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3472E0">
      <w:pPr>
        <w:ind w:firstLine="0" w:firstLineChars="0"/>
        <w:jc w:val="center"/>
        <w:rPr>
          <w:rFonts w:ascii="黑体" w:hAnsi="黑体" w:eastAsia="黑体" w:cs="黑体"/>
          <w:bCs/>
          <w:sz w:val="40"/>
          <w:szCs w:val="40"/>
        </w:rPr>
      </w:pPr>
    </w:p>
    <w:p w14:paraId="6562ED4B">
      <w:pPr>
        <w:pStyle w:val="17"/>
        <w:rPr>
          <w:lang w:val="zh-CN"/>
        </w:rPr>
      </w:pPr>
      <w:r>
        <w:rPr>
          <w:rFonts w:hint="eastAsia"/>
        </w:rPr>
        <w:t>新建合肥至武汉高速铁路湖北段</w:t>
      </w:r>
    </w:p>
    <w:p w14:paraId="7006E194">
      <w:pPr>
        <w:pStyle w:val="17"/>
        <w:rPr>
          <w:lang w:val="zh-CN"/>
        </w:rPr>
      </w:pPr>
    </w:p>
    <w:p w14:paraId="24E1A0D4">
      <w:pPr>
        <w:pStyle w:val="17"/>
        <w:rPr>
          <w:rFonts w:ascii="黑体" w:hAnsi="黑体" w:eastAsia="黑体" w:cs="黑体"/>
          <w:bCs/>
          <w:sz w:val="72"/>
          <w:szCs w:val="72"/>
          <w:lang w:val="zh-CN"/>
        </w:rPr>
      </w:pPr>
      <w:r>
        <w:rPr>
          <w:rFonts w:hint="eastAsia"/>
          <w:sz w:val="72"/>
          <w:szCs w:val="72"/>
          <w:lang w:eastAsia="zh-CN"/>
        </w:rPr>
        <w:t>XGT6015-8S1</w:t>
      </w:r>
      <w:r>
        <w:rPr>
          <w:rFonts w:hint="eastAsia"/>
          <w:sz w:val="72"/>
          <w:szCs w:val="72"/>
        </w:rPr>
        <w:t>塔式起重机安拆专项施工方案</w:t>
      </w:r>
    </w:p>
    <w:p w14:paraId="7EE3A8D2">
      <w:pPr>
        <w:pStyle w:val="17"/>
        <w:rPr>
          <w:lang w:val="zh-CN"/>
        </w:rPr>
      </w:pPr>
    </w:p>
    <w:p w14:paraId="7ED08F40">
      <w:pPr>
        <w:spacing w:line="240" w:lineRule="auto"/>
        <w:ind w:firstLine="0" w:firstLineChars="0"/>
        <w:jc w:val="center"/>
        <w:rPr>
          <w:rFonts w:ascii="仿宋_GB2312"/>
        </w:rPr>
      </w:pPr>
      <w:r>
        <w:rPr>
          <w:rFonts w:ascii="黑体" w:hAnsi="黑体" w:eastAsia="黑体" w:cs="楷体_GB2312"/>
          <w:sz w:val="32"/>
          <w:szCs w:val="32"/>
        </w:rPr>
        <w:drawing>
          <wp:inline distT="0" distB="0" distL="0" distR="0">
            <wp:extent cx="3273425" cy="2910840"/>
            <wp:effectExtent l="0" t="0" r="3175" b="3810"/>
            <wp:docPr id="168252363" name="图片 1" descr="18-19VI基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52363" name="图片 1" descr="18-19VI基础"/>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273425" cy="2910840"/>
                    </a:xfrm>
                    <a:prstGeom prst="rect">
                      <a:avLst/>
                    </a:prstGeom>
                    <a:noFill/>
                    <a:ln>
                      <a:noFill/>
                    </a:ln>
                    <a:effectLst/>
                  </pic:spPr>
                </pic:pic>
              </a:graphicData>
            </a:graphic>
          </wp:inline>
        </w:drawing>
      </w:r>
    </w:p>
    <w:p w14:paraId="299C52AC">
      <w:pPr>
        <w:ind w:firstLine="560"/>
        <w:rPr>
          <w:rFonts w:ascii="仿宋_GB2312" w:hAnsi="宋体"/>
        </w:rPr>
      </w:pPr>
    </w:p>
    <w:p w14:paraId="6D1C4CB9">
      <w:pPr>
        <w:pStyle w:val="12"/>
        <w:ind w:firstLine="560"/>
        <w:rPr>
          <w:rFonts w:hint="default" w:ascii="仿宋_GB2312" w:hAnsi="宋体"/>
        </w:rPr>
      </w:pPr>
    </w:p>
    <w:p w14:paraId="71B856E8">
      <w:pPr>
        <w:ind w:firstLine="560"/>
        <w:rPr>
          <w:rFonts w:ascii="仿宋_GB2312" w:hAnsi="宋体"/>
        </w:rPr>
      </w:pPr>
    </w:p>
    <w:p w14:paraId="1AD131F7">
      <w:pPr>
        <w:ind w:firstLine="0" w:firstLineChars="0"/>
        <w:jc w:val="center"/>
        <w:rPr>
          <w:rFonts w:ascii="宋体" w:hAnsi="宋体"/>
          <w:sz w:val="32"/>
          <w:szCs w:val="32"/>
        </w:rPr>
      </w:pPr>
      <w:r>
        <w:rPr>
          <w:rFonts w:hint="eastAsia" w:ascii="宋体" w:hAnsi="宋体"/>
          <w:sz w:val="32"/>
          <w:szCs w:val="32"/>
        </w:rPr>
        <w:t>中铁大桥局集团有限公司</w:t>
      </w:r>
    </w:p>
    <w:p w14:paraId="66769A9C">
      <w:pPr>
        <w:ind w:firstLine="0" w:firstLineChars="0"/>
        <w:jc w:val="center"/>
        <w:rPr>
          <w:rFonts w:ascii="宋体" w:hAnsi="宋体"/>
          <w:sz w:val="32"/>
          <w:szCs w:val="32"/>
        </w:rPr>
      </w:pPr>
      <w:r>
        <w:rPr>
          <w:rFonts w:hint="eastAsia" w:ascii="宋体" w:hAnsi="宋体"/>
          <w:sz w:val="32"/>
          <w:szCs w:val="32"/>
        </w:rPr>
        <w:t>新建合武高铁湖北段HWZQ-4标项目经理部</w:t>
      </w:r>
    </w:p>
    <w:p w14:paraId="6F163041">
      <w:pPr>
        <w:ind w:firstLine="0" w:firstLineChars="0"/>
        <w:jc w:val="center"/>
        <w:rPr>
          <w:rFonts w:ascii="宋体" w:hAnsi="宋体"/>
          <w:color w:val="000000"/>
          <w:sz w:val="32"/>
          <w:szCs w:val="32"/>
        </w:rPr>
      </w:pPr>
      <w:r>
        <w:rPr>
          <w:rFonts w:hint="eastAsia" w:ascii="宋体" w:hAnsi="宋体"/>
          <w:color w:val="000000"/>
          <w:sz w:val="32"/>
          <w:szCs w:val="32"/>
        </w:rPr>
        <w:t>二〇二四年十一月</w:t>
      </w:r>
    </w:p>
    <w:p w14:paraId="12D0F541">
      <w:pPr>
        <w:ind w:firstLine="0" w:firstLineChars="0"/>
        <w:contextualSpacing/>
        <w:jc w:val="center"/>
        <w:sectPr>
          <w:headerReference r:id="rId5" w:type="default"/>
          <w:pgSz w:w="11906" w:h="16838"/>
          <w:pgMar w:top="1417" w:right="1304" w:bottom="1417" w:left="1587" w:header="850" w:footer="992" w:gutter="0"/>
          <w:pgBorders>
            <w:top w:val="none" w:sz="0" w:space="0"/>
            <w:left w:val="none" w:sz="0" w:space="0"/>
            <w:bottom w:val="none" w:sz="0" w:space="0"/>
            <w:right w:val="none" w:sz="0" w:space="0"/>
          </w:pgBorders>
          <w:pgNumType w:start="1"/>
          <w:cols w:space="720" w:num="1"/>
          <w:docGrid w:type="lines" w:linePitch="312" w:charSpace="0"/>
        </w:sectPr>
      </w:pPr>
    </w:p>
    <w:p w14:paraId="626C1DAE">
      <w:pPr>
        <w:pStyle w:val="17"/>
        <w:spacing w:line="480" w:lineRule="auto"/>
        <w:rPr>
          <w:sz w:val="32"/>
          <w:szCs w:val="32"/>
        </w:rPr>
        <w:sectPr>
          <w:footerReference r:id="rId6" w:type="default"/>
          <w:pgSz w:w="11906" w:h="16838"/>
          <w:pgMar w:top="1417" w:right="1304" w:bottom="1417" w:left="1587" w:header="850" w:footer="992" w:gutter="0"/>
          <w:pgBorders>
            <w:top w:val="none" w:sz="0" w:space="0"/>
            <w:left w:val="none" w:sz="0" w:space="0"/>
            <w:bottom w:val="none" w:sz="0" w:space="0"/>
            <w:right w:val="none" w:sz="0" w:space="0"/>
          </w:pgBorders>
          <w:pgNumType w:start="1"/>
          <w:cols w:space="720" w:num="1"/>
          <w:docGrid w:type="lines" w:linePitch="312" w:charSpace="0"/>
        </w:sectPr>
      </w:pPr>
    </w:p>
    <w:p w14:paraId="64B0BD2F">
      <w:pPr>
        <w:pStyle w:val="17"/>
        <w:spacing w:line="480" w:lineRule="auto"/>
        <w:rPr>
          <w:sz w:val="32"/>
          <w:szCs w:val="32"/>
        </w:rPr>
      </w:pPr>
    </w:p>
    <w:p w14:paraId="04F4319F">
      <w:pPr>
        <w:pStyle w:val="17"/>
        <w:spacing w:line="480" w:lineRule="auto"/>
        <w:rPr>
          <w:b w:val="0"/>
          <w:sz w:val="48"/>
          <w:szCs w:val="48"/>
        </w:rPr>
      </w:pPr>
      <w:r>
        <w:rPr>
          <w:rFonts w:hint="eastAsia"/>
          <w:sz w:val="48"/>
          <w:szCs w:val="48"/>
        </w:rPr>
        <w:t>新建合肥至武汉高速铁路湖北段</w:t>
      </w:r>
    </w:p>
    <w:p w14:paraId="272052F7">
      <w:pPr>
        <w:pStyle w:val="17"/>
        <w:rPr>
          <w:b w:val="0"/>
          <w:sz w:val="48"/>
          <w:szCs w:val="48"/>
        </w:rPr>
      </w:pPr>
    </w:p>
    <w:p w14:paraId="6DD43558">
      <w:pPr>
        <w:pStyle w:val="17"/>
        <w:rPr>
          <w:sz w:val="72"/>
          <w:szCs w:val="72"/>
        </w:rPr>
      </w:pPr>
      <w:r>
        <w:rPr>
          <w:rFonts w:hint="eastAsia"/>
          <w:sz w:val="72"/>
          <w:szCs w:val="72"/>
          <w:lang w:eastAsia="zh-CN"/>
        </w:rPr>
        <w:t>XGT6015-8S1</w:t>
      </w:r>
      <w:r>
        <w:rPr>
          <w:rFonts w:hint="eastAsia"/>
          <w:sz w:val="72"/>
          <w:szCs w:val="72"/>
        </w:rPr>
        <w:t>塔式起重机安拆专项施工方案</w:t>
      </w:r>
    </w:p>
    <w:p w14:paraId="010F523B">
      <w:pPr>
        <w:pStyle w:val="17"/>
        <w:rPr>
          <w:sz w:val="32"/>
          <w:szCs w:val="32"/>
        </w:rPr>
      </w:pPr>
    </w:p>
    <w:p w14:paraId="43D24C38">
      <w:pPr>
        <w:pStyle w:val="17"/>
        <w:rPr>
          <w:sz w:val="32"/>
          <w:szCs w:val="32"/>
        </w:rPr>
      </w:pPr>
    </w:p>
    <w:p w14:paraId="75C2CF51">
      <w:pPr>
        <w:pStyle w:val="17"/>
        <w:rPr>
          <w:sz w:val="32"/>
          <w:szCs w:val="32"/>
        </w:rPr>
      </w:pPr>
    </w:p>
    <w:p w14:paraId="4D984CF6">
      <w:pPr>
        <w:pStyle w:val="17"/>
        <w:spacing w:line="480" w:lineRule="auto"/>
        <w:ind w:firstLine="2409" w:firstLineChars="750"/>
        <w:jc w:val="left"/>
        <w:rPr>
          <w:sz w:val="32"/>
          <w:szCs w:val="32"/>
        </w:rPr>
      </w:pPr>
      <w:r>
        <w:rPr>
          <w:rFonts w:hint="eastAsia"/>
          <w:sz w:val="32"/>
          <w:szCs w:val="32"/>
        </w:rPr>
        <w:t xml:space="preserve">编    制：  </w:t>
      </w:r>
    </w:p>
    <w:p w14:paraId="03A01E60">
      <w:pPr>
        <w:pStyle w:val="17"/>
        <w:spacing w:line="480" w:lineRule="auto"/>
        <w:ind w:firstLine="2409" w:firstLineChars="750"/>
        <w:jc w:val="left"/>
        <w:rPr>
          <w:sz w:val="32"/>
          <w:szCs w:val="32"/>
        </w:rPr>
      </w:pPr>
      <w:r>
        <w:rPr>
          <w:rFonts w:hint="eastAsia"/>
          <w:sz w:val="32"/>
          <w:szCs w:val="32"/>
        </w:rPr>
        <w:t>审    核：</w:t>
      </w:r>
    </w:p>
    <w:p w14:paraId="30B9E905">
      <w:pPr>
        <w:pStyle w:val="17"/>
        <w:spacing w:line="480" w:lineRule="auto"/>
        <w:ind w:firstLine="2409" w:firstLineChars="750"/>
        <w:jc w:val="left"/>
        <w:rPr>
          <w:sz w:val="32"/>
          <w:szCs w:val="32"/>
        </w:rPr>
      </w:pPr>
      <w:r>
        <w:rPr>
          <w:rFonts w:hint="eastAsia"/>
          <w:sz w:val="32"/>
          <w:szCs w:val="32"/>
        </w:rPr>
        <w:t>审    批：</w:t>
      </w:r>
    </w:p>
    <w:p w14:paraId="7A3AA50A">
      <w:pPr>
        <w:pStyle w:val="17"/>
        <w:spacing w:line="480" w:lineRule="auto"/>
        <w:rPr>
          <w:sz w:val="32"/>
          <w:szCs w:val="32"/>
        </w:rPr>
      </w:pPr>
    </w:p>
    <w:p w14:paraId="2133E92D">
      <w:pPr>
        <w:pStyle w:val="17"/>
        <w:spacing w:line="480" w:lineRule="auto"/>
        <w:rPr>
          <w:sz w:val="32"/>
          <w:szCs w:val="32"/>
        </w:rPr>
      </w:pPr>
    </w:p>
    <w:p w14:paraId="36DA7CF9">
      <w:pPr>
        <w:spacing w:line="240" w:lineRule="auto"/>
        <w:ind w:firstLine="0" w:firstLineChars="0"/>
        <w:jc w:val="center"/>
        <w:rPr>
          <w:rFonts w:ascii="宋体" w:hAnsi="宋体"/>
          <w:sz w:val="32"/>
          <w:szCs w:val="32"/>
        </w:rPr>
      </w:pPr>
      <w:r>
        <w:rPr>
          <w:rFonts w:hint="eastAsia" w:ascii="宋体" w:hAnsi="宋体"/>
          <w:sz w:val="32"/>
          <w:szCs w:val="32"/>
        </w:rPr>
        <w:t>中铁大桥局集团有限公司</w:t>
      </w:r>
    </w:p>
    <w:p w14:paraId="76F93E89">
      <w:pPr>
        <w:ind w:firstLine="0" w:firstLineChars="0"/>
        <w:jc w:val="center"/>
        <w:rPr>
          <w:rFonts w:ascii="宋体" w:hAnsi="宋体"/>
          <w:sz w:val="32"/>
          <w:szCs w:val="32"/>
        </w:rPr>
      </w:pPr>
      <w:r>
        <w:rPr>
          <w:rFonts w:hint="eastAsia" w:ascii="宋体" w:hAnsi="宋体"/>
          <w:sz w:val="32"/>
          <w:szCs w:val="32"/>
        </w:rPr>
        <w:t>新建合武高铁湖北段HWZQ-4标项目经理部</w:t>
      </w:r>
    </w:p>
    <w:p w14:paraId="52E1050E">
      <w:pPr>
        <w:ind w:firstLine="0" w:firstLineChars="0"/>
        <w:jc w:val="center"/>
        <w:rPr>
          <w:rFonts w:ascii="宋体" w:hAnsi="宋体"/>
          <w:sz w:val="32"/>
          <w:szCs w:val="32"/>
        </w:rPr>
      </w:pPr>
      <w:r>
        <w:rPr>
          <w:rFonts w:hint="eastAsia" w:ascii="宋体" w:hAnsi="宋体"/>
          <w:sz w:val="32"/>
          <w:szCs w:val="32"/>
        </w:rPr>
        <w:t>二〇二四年</w:t>
      </w:r>
      <w:r>
        <w:rPr>
          <w:rFonts w:hint="eastAsia" w:ascii="宋体" w:hAnsi="宋体"/>
          <w:color w:val="000000"/>
          <w:sz w:val="32"/>
          <w:szCs w:val="32"/>
        </w:rPr>
        <w:t>十一</w:t>
      </w:r>
      <w:r>
        <w:rPr>
          <w:rFonts w:hint="eastAsia" w:ascii="宋体" w:hAnsi="宋体"/>
          <w:sz w:val="32"/>
          <w:szCs w:val="32"/>
        </w:rPr>
        <w:t>月</w:t>
      </w:r>
    </w:p>
    <w:p w14:paraId="1D8BCA85">
      <w:pPr>
        <w:ind w:firstLine="0" w:firstLineChars="0"/>
        <w:jc w:val="center"/>
        <w:rPr>
          <w:rFonts w:ascii="宋体" w:hAnsi="宋体"/>
          <w:sz w:val="32"/>
          <w:szCs w:val="32"/>
        </w:rPr>
      </w:pPr>
    </w:p>
    <w:p w14:paraId="554A452F">
      <w:pPr>
        <w:spacing w:line="240" w:lineRule="auto"/>
        <w:ind w:firstLine="0" w:firstLineChars="0"/>
        <w:jc w:val="center"/>
        <w:rPr>
          <w:rFonts w:hint="eastAsia"/>
          <w:color w:val="000000"/>
          <w:sz w:val="32"/>
          <w:szCs w:val="32"/>
        </w:rPr>
      </w:pPr>
      <w:bookmarkStart w:id="0" w:name="_Toc4691"/>
      <w:bookmarkStart w:id="1" w:name="_Toc21598"/>
      <w:bookmarkStart w:id="2" w:name="_Toc2628"/>
      <w:bookmarkStart w:id="3" w:name="_Toc23028"/>
      <w:bookmarkStart w:id="4" w:name="_Toc14401"/>
      <w:bookmarkStart w:id="5" w:name="_Toc29686"/>
      <w:bookmarkStart w:id="6" w:name="_Toc13551"/>
      <w:bookmarkStart w:id="7" w:name="_Toc19165"/>
      <w:bookmarkStart w:id="8" w:name="_Toc21072"/>
      <w:bookmarkStart w:id="9" w:name="_Toc28390"/>
      <w:bookmarkStart w:id="10" w:name="_Toc1815"/>
      <w:bookmarkStart w:id="11" w:name="_Toc16713"/>
      <w:bookmarkStart w:id="12" w:name="_Toc18989"/>
      <w:bookmarkStart w:id="13" w:name="_Toc21301"/>
      <w:bookmarkStart w:id="14" w:name="_Toc20191"/>
    </w:p>
    <w:p w14:paraId="5FD8F6D6">
      <w:pPr>
        <w:tabs>
          <w:tab w:val="left" w:pos="6271"/>
        </w:tabs>
        <w:bidi w:val="0"/>
        <w:jc w:val="left"/>
        <w:rPr>
          <w:rFonts w:hint="eastAsia" w:ascii="Times New Roman" w:hAnsi="Times New Roman" w:eastAsia="仿宋" w:cs="Times New Roman"/>
          <w:kern w:val="2"/>
          <w:sz w:val="28"/>
          <w:szCs w:val="21"/>
          <w:lang w:val="en-US" w:eastAsia="zh-CN" w:bidi="ar-SA"/>
        </w:rPr>
        <w:sectPr>
          <w:footerReference r:id="rId7" w:type="default"/>
          <w:pgSz w:w="11906" w:h="16838"/>
          <w:pgMar w:top="1417" w:right="1304" w:bottom="1417" w:left="1587" w:header="850" w:footer="992" w:gutter="0"/>
          <w:pgBorders>
            <w:top w:val="none" w:sz="0" w:space="0"/>
            <w:left w:val="none" w:sz="0" w:space="0"/>
            <w:bottom w:val="none" w:sz="0" w:space="0"/>
            <w:right w:val="none" w:sz="0" w:space="0"/>
          </w:pgBorders>
          <w:pgNumType w:start="1"/>
          <w:cols w:space="720" w:num="1"/>
          <w:docGrid w:type="lines" w:linePitch="312" w:charSpace="0"/>
        </w:sectPr>
      </w:pPr>
      <w:r>
        <w:rPr>
          <w:rFonts w:hint="eastAsia" w:cs="Times New Roman"/>
          <w:kern w:val="2"/>
          <w:sz w:val="28"/>
          <w:szCs w:val="21"/>
          <w:lang w:val="en-US" w:eastAsia="zh-CN" w:bidi="ar-SA"/>
        </w:rPr>
        <w:tab/>
      </w:r>
    </w:p>
    <w:p w14:paraId="10F3545E">
      <w:pPr>
        <w:spacing w:line="240" w:lineRule="auto"/>
        <w:ind w:firstLine="0" w:firstLineChars="0"/>
        <w:jc w:val="center"/>
        <w:rPr>
          <w:color w:val="000000"/>
          <w:sz w:val="32"/>
          <w:szCs w:val="32"/>
        </w:rPr>
      </w:pPr>
      <w:r>
        <w:rPr>
          <w:rFonts w:hint="eastAsia"/>
          <w:color w:val="000000"/>
          <w:sz w:val="32"/>
          <w:szCs w:val="32"/>
        </w:rPr>
        <w:t>目录</w:t>
      </w:r>
    </w:p>
    <w:p w14:paraId="469D7E5B">
      <w:pPr>
        <w:pStyle w:val="28"/>
        <w:tabs>
          <w:tab w:val="right" w:leader="dot" w:pos="9015"/>
        </w:tabs>
      </w:pPr>
      <w:r>
        <w:rPr>
          <w:rFonts w:hint="eastAsia"/>
          <w:color w:val="000000"/>
        </w:rPr>
        <w:fldChar w:fldCharType="begin"/>
      </w:r>
      <w:r>
        <w:rPr>
          <w:rFonts w:hint="eastAsia"/>
          <w:color w:val="000000"/>
        </w:rPr>
        <w:instrText xml:space="preserve">TOC \o "1-2" \h \u </w:instrText>
      </w:r>
      <w:r>
        <w:rPr>
          <w:rFonts w:hint="eastAsia"/>
          <w:color w:val="000000"/>
        </w:rPr>
        <w:fldChar w:fldCharType="separate"/>
      </w:r>
      <w:r>
        <w:rPr>
          <w:rFonts w:hint="eastAsia"/>
          <w:color w:val="000000"/>
        </w:rPr>
        <w:fldChar w:fldCharType="begin"/>
      </w:r>
      <w:r>
        <w:rPr>
          <w:rFonts w:hint="eastAsia"/>
        </w:rPr>
        <w:instrText xml:space="preserve"> HYPERLINK \l _Toc15901 </w:instrText>
      </w:r>
      <w:r>
        <w:rPr>
          <w:rFonts w:hint="eastAsia"/>
        </w:rPr>
        <w:fldChar w:fldCharType="separate"/>
      </w:r>
      <w:r>
        <w:rPr>
          <w:rFonts w:hint="eastAsia"/>
        </w:rPr>
        <w:t>第一章 编制说明</w:t>
      </w:r>
      <w:r>
        <w:tab/>
      </w:r>
      <w:r>
        <w:fldChar w:fldCharType="begin"/>
      </w:r>
      <w:r>
        <w:instrText xml:space="preserve"> PAGEREF _Toc15901 \h </w:instrText>
      </w:r>
      <w:r>
        <w:fldChar w:fldCharType="separate"/>
      </w:r>
      <w:r>
        <w:t>1</w:t>
      </w:r>
      <w:r>
        <w:fldChar w:fldCharType="end"/>
      </w:r>
      <w:r>
        <w:rPr>
          <w:rFonts w:hint="eastAsia"/>
          <w:color w:val="000000"/>
        </w:rPr>
        <w:fldChar w:fldCharType="end"/>
      </w:r>
    </w:p>
    <w:p w14:paraId="78491E7A">
      <w:pPr>
        <w:pStyle w:val="33"/>
        <w:tabs>
          <w:tab w:val="right" w:leader="dot" w:pos="9015"/>
        </w:tabs>
      </w:pPr>
      <w:r>
        <w:rPr>
          <w:rFonts w:hint="eastAsia"/>
          <w:color w:val="000000"/>
        </w:rPr>
        <w:fldChar w:fldCharType="begin"/>
      </w:r>
      <w:r>
        <w:rPr>
          <w:rFonts w:hint="eastAsia"/>
        </w:rPr>
        <w:instrText xml:space="preserve"> HYPERLINK \l _Toc3014 </w:instrText>
      </w:r>
      <w:r>
        <w:rPr>
          <w:rFonts w:hint="eastAsia"/>
        </w:rPr>
        <w:fldChar w:fldCharType="separate"/>
      </w:r>
      <w:r>
        <w:rPr>
          <w:rFonts w:hint="eastAsia"/>
        </w:rPr>
        <w:t>1</w:t>
      </w:r>
      <w:r>
        <w:t>.1编制依据</w:t>
      </w:r>
      <w:r>
        <w:tab/>
      </w:r>
      <w:r>
        <w:fldChar w:fldCharType="begin"/>
      </w:r>
      <w:r>
        <w:instrText xml:space="preserve"> PAGEREF _Toc3014 \h </w:instrText>
      </w:r>
      <w:r>
        <w:fldChar w:fldCharType="separate"/>
      </w:r>
      <w:r>
        <w:t>1</w:t>
      </w:r>
      <w:r>
        <w:fldChar w:fldCharType="end"/>
      </w:r>
      <w:r>
        <w:rPr>
          <w:rFonts w:hint="eastAsia"/>
          <w:color w:val="000000"/>
        </w:rPr>
        <w:fldChar w:fldCharType="end"/>
      </w:r>
    </w:p>
    <w:p w14:paraId="2F8343F2">
      <w:pPr>
        <w:pStyle w:val="33"/>
        <w:tabs>
          <w:tab w:val="right" w:leader="dot" w:pos="9015"/>
        </w:tabs>
      </w:pPr>
      <w:r>
        <w:rPr>
          <w:rFonts w:hint="eastAsia"/>
          <w:color w:val="000000"/>
        </w:rPr>
        <w:fldChar w:fldCharType="begin"/>
      </w:r>
      <w:r>
        <w:rPr>
          <w:rFonts w:hint="eastAsia"/>
        </w:rPr>
        <w:instrText xml:space="preserve"> HYPERLINK \l _Toc31152 </w:instrText>
      </w:r>
      <w:r>
        <w:rPr>
          <w:rFonts w:hint="eastAsia"/>
        </w:rPr>
        <w:fldChar w:fldCharType="separate"/>
      </w:r>
      <w:r>
        <w:rPr>
          <w:rFonts w:hint="eastAsia"/>
        </w:rPr>
        <w:t>1.2 编制原则</w:t>
      </w:r>
      <w:r>
        <w:tab/>
      </w:r>
      <w:r>
        <w:fldChar w:fldCharType="begin"/>
      </w:r>
      <w:r>
        <w:instrText xml:space="preserve"> PAGEREF _Toc31152 \h </w:instrText>
      </w:r>
      <w:r>
        <w:fldChar w:fldCharType="separate"/>
      </w:r>
      <w:r>
        <w:t>1</w:t>
      </w:r>
      <w:r>
        <w:fldChar w:fldCharType="end"/>
      </w:r>
      <w:r>
        <w:rPr>
          <w:rFonts w:hint="eastAsia"/>
          <w:color w:val="000000"/>
        </w:rPr>
        <w:fldChar w:fldCharType="end"/>
      </w:r>
    </w:p>
    <w:p w14:paraId="6834A6BE">
      <w:pPr>
        <w:pStyle w:val="33"/>
        <w:tabs>
          <w:tab w:val="right" w:leader="dot" w:pos="9015"/>
        </w:tabs>
      </w:pPr>
      <w:r>
        <w:rPr>
          <w:rFonts w:hint="eastAsia"/>
          <w:color w:val="000000"/>
        </w:rPr>
        <w:fldChar w:fldCharType="begin"/>
      </w:r>
      <w:r>
        <w:rPr>
          <w:rFonts w:hint="eastAsia"/>
        </w:rPr>
        <w:instrText xml:space="preserve"> HYPERLINK \l _Toc5169 </w:instrText>
      </w:r>
      <w:r>
        <w:rPr>
          <w:rFonts w:hint="eastAsia"/>
        </w:rPr>
        <w:fldChar w:fldCharType="separate"/>
      </w:r>
      <w:r>
        <w:rPr>
          <w:rFonts w:hint="eastAsia"/>
        </w:rPr>
        <w:t>1.3 编制范围</w:t>
      </w:r>
      <w:r>
        <w:tab/>
      </w:r>
      <w:r>
        <w:fldChar w:fldCharType="begin"/>
      </w:r>
      <w:r>
        <w:instrText xml:space="preserve"> PAGEREF _Toc5169 \h </w:instrText>
      </w:r>
      <w:r>
        <w:fldChar w:fldCharType="separate"/>
      </w:r>
      <w:r>
        <w:t>2</w:t>
      </w:r>
      <w:r>
        <w:fldChar w:fldCharType="end"/>
      </w:r>
      <w:r>
        <w:rPr>
          <w:rFonts w:hint="eastAsia"/>
          <w:color w:val="000000"/>
        </w:rPr>
        <w:fldChar w:fldCharType="end"/>
      </w:r>
    </w:p>
    <w:p w14:paraId="464CFB55">
      <w:pPr>
        <w:pStyle w:val="28"/>
        <w:tabs>
          <w:tab w:val="right" w:leader="dot" w:pos="9015"/>
        </w:tabs>
      </w:pPr>
      <w:r>
        <w:rPr>
          <w:rFonts w:hint="eastAsia"/>
          <w:color w:val="000000"/>
        </w:rPr>
        <w:fldChar w:fldCharType="begin"/>
      </w:r>
      <w:r>
        <w:rPr>
          <w:rFonts w:hint="eastAsia"/>
        </w:rPr>
        <w:instrText xml:space="preserve"> HYPERLINK \l _Toc7455 </w:instrText>
      </w:r>
      <w:r>
        <w:rPr>
          <w:rFonts w:hint="eastAsia"/>
        </w:rPr>
        <w:fldChar w:fldCharType="separate"/>
      </w:r>
      <w:r>
        <w:rPr>
          <w:rFonts w:hint="eastAsia"/>
        </w:rPr>
        <w:t>第二章 工程概况</w:t>
      </w:r>
      <w:r>
        <w:tab/>
      </w:r>
      <w:r>
        <w:fldChar w:fldCharType="begin"/>
      </w:r>
      <w:r>
        <w:instrText xml:space="preserve"> PAGEREF _Toc7455 \h </w:instrText>
      </w:r>
      <w:r>
        <w:fldChar w:fldCharType="separate"/>
      </w:r>
      <w:r>
        <w:t>3</w:t>
      </w:r>
      <w:r>
        <w:fldChar w:fldCharType="end"/>
      </w:r>
      <w:r>
        <w:rPr>
          <w:rFonts w:hint="eastAsia"/>
          <w:color w:val="000000"/>
        </w:rPr>
        <w:fldChar w:fldCharType="end"/>
      </w:r>
    </w:p>
    <w:p w14:paraId="762F4592">
      <w:pPr>
        <w:pStyle w:val="33"/>
        <w:tabs>
          <w:tab w:val="right" w:leader="dot" w:pos="9015"/>
        </w:tabs>
      </w:pPr>
      <w:r>
        <w:rPr>
          <w:rFonts w:hint="eastAsia"/>
          <w:color w:val="000000"/>
        </w:rPr>
        <w:fldChar w:fldCharType="begin"/>
      </w:r>
      <w:r>
        <w:rPr>
          <w:rFonts w:hint="eastAsia"/>
        </w:rPr>
        <w:instrText xml:space="preserve"> HYPERLINK \l _Toc10611 </w:instrText>
      </w:r>
      <w:r>
        <w:rPr>
          <w:rFonts w:hint="eastAsia"/>
        </w:rPr>
        <w:fldChar w:fldCharType="separate"/>
      </w:r>
      <w:r>
        <w:rPr>
          <w:rFonts w:hint="eastAsia"/>
        </w:rPr>
        <w:t>2.1 工程概况</w:t>
      </w:r>
      <w:r>
        <w:tab/>
      </w:r>
      <w:r>
        <w:fldChar w:fldCharType="begin"/>
      </w:r>
      <w:r>
        <w:instrText xml:space="preserve"> PAGEREF _Toc10611 \h </w:instrText>
      </w:r>
      <w:r>
        <w:fldChar w:fldCharType="separate"/>
      </w:r>
      <w:r>
        <w:t>3</w:t>
      </w:r>
      <w:r>
        <w:fldChar w:fldCharType="end"/>
      </w:r>
      <w:r>
        <w:rPr>
          <w:rFonts w:hint="eastAsia"/>
          <w:color w:val="000000"/>
        </w:rPr>
        <w:fldChar w:fldCharType="end"/>
      </w:r>
    </w:p>
    <w:p w14:paraId="0CB90156">
      <w:pPr>
        <w:pStyle w:val="33"/>
        <w:tabs>
          <w:tab w:val="right" w:leader="dot" w:pos="9015"/>
        </w:tabs>
      </w:pPr>
      <w:r>
        <w:rPr>
          <w:rFonts w:hint="eastAsia"/>
          <w:color w:val="000000"/>
        </w:rPr>
        <w:fldChar w:fldCharType="begin"/>
      </w:r>
      <w:r>
        <w:rPr>
          <w:rFonts w:hint="eastAsia"/>
        </w:rPr>
        <w:instrText xml:space="preserve"> HYPERLINK \l _Toc15827 </w:instrText>
      </w:r>
      <w:r>
        <w:rPr>
          <w:rFonts w:hint="eastAsia"/>
        </w:rPr>
        <w:fldChar w:fldCharType="separate"/>
      </w:r>
      <w:r>
        <w:rPr>
          <w:rFonts w:hint="eastAsia"/>
        </w:rPr>
        <w:t>2.2 塔机布置</w:t>
      </w:r>
      <w:r>
        <w:tab/>
      </w:r>
      <w:r>
        <w:fldChar w:fldCharType="begin"/>
      </w:r>
      <w:r>
        <w:instrText xml:space="preserve"> PAGEREF _Toc15827 \h </w:instrText>
      </w:r>
      <w:r>
        <w:fldChar w:fldCharType="separate"/>
      </w:r>
      <w:r>
        <w:t>7</w:t>
      </w:r>
      <w:r>
        <w:fldChar w:fldCharType="end"/>
      </w:r>
      <w:r>
        <w:rPr>
          <w:rFonts w:hint="eastAsia"/>
          <w:color w:val="000000"/>
        </w:rPr>
        <w:fldChar w:fldCharType="end"/>
      </w:r>
    </w:p>
    <w:p w14:paraId="104915B1">
      <w:pPr>
        <w:pStyle w:val="28"/>
        <w:tabs>
          <w:tab w:val="right" w:leader="dot" w:pos="9015"/>
        </w:tabs>
      </w:pPr>
      <w:r>
        <w:rPr>
          <w:rFonts w:hint="eastAsia"/>
          <w:color w:val="000000"/>
        </w:rPr>
        <w:fldChar w:fldCharType="begin"/>
      </w:r>
      <w:r>
        <w:rPr>
          <w:rFonts w:hint="eastAsia"/>
        </w:rPr>
        <w:instrText xml:space="preserve"> HYPERLINK \l _Toc2188 </w:instrText>
      </w:r>
      <w:r>
        <w:rPr>
          <w:rFonts w:hint="eastAsia"/>
        </w:rPr>
        <w:fldChar w:fldCharType="separate"/>
      </w:r>
      <w:r>
        <w:rPr>
          <w:rFonts w:hint="eastAsia"/>
        </w:rPr>
        <w:t>第三章 所选用塔式起重机型号与性能</w:t>
      </w:r>
      <w:r>
        <w:tab/>
      </w:r>
      <w:r>
        <w:fldChar w:fldCharType="begin"/>
      </w:r>
      <w:r>
        <w:instrText xml:space="preserve"> PAGEREF _Toc2188 \h </w:instrText>
      </w:r>
      <w:r>
        <w:fldChar w:fldCharType="separate"/>
      </w:r>
      <w:r>
        <w:t>10</w:t>
      </w:r>
      <w:r>
        <w:fldChar w:fldCharType="end"/>
      </w:r>
      <w:r>
        <w:rPr>
          <w:rFonts w:hint="eastAsia"/>
          <w:color w:val="000000"/>
        </w:rPr>
        <w:fldChar w:fldCharType="end"/>
      </w:r>
    </w:p>
    <w:p w14:paraId="6F975527">
      <w:pPr>
        <w:pStyle w:val="33"/>
        <w:tabs>
          <w:tab w:val="right" w:leader="dot" w:pos="9015"/>
        </w:tabs>
      </w:pPr>
      <w:r>
        <w:rPr>
          <w:rFonts w:hint="eastAsia"/>
          <w:color w:val="000000"/>
        </w:rPr>
        <w:fldChar w:fldCharType="begin"/>
      </w:r>
      <w:r>
        <w:rPr>
          <w:rFonts w:hint="eastAsia"/>
        </w:rPr>
        <w:instrText xml:space="preserve"> HYPERLINK \l _Toc13567 </w:instrText>
      </w:r>
      <w:r>
        <w:rPr>
          <w:rFonts w:hint="eastAsia"/>
        </w:rPr>
        <w:fldChar w:fldCharType="separate"/>
      </w:r>
      <w:r>
        <w:rPr>
          <w:rFonts w:hint="eastAsia" w:ascii="Times New Roman" w:hAnsi="Times New Roman"/>
          <w:szCs w:val="28"/>
        </w:rPr>
        <w:t>3.1塔机型号</w:t>
      </w:r>
      <w:r>
        <w:tab/>
      </w:r>
      <w:r>
        <w:fldChar w:fldCharType="begin"/>
      </w:r>
      <w:r>
        <w:instrText xml:space="preserve"> PAGEREF _Toc13567 \h </w:instrText>
      </w:r>
      <w:r>
        <w:fldChar w:fldCharType="separate"/>
      </w:r>
      <w:r>
        <w:t>10</w:t>
      </w:r>
      <w:r>
        <w:fldChar w:fldCharType="end"/>
      </w:r>
      <w:r>
        <w:rPr>
          <w:rFonts w:hint="eastAsia"/>
          <w:color w:val="000000"/>
        </w:rPr>
        <w:fldChar w:fldCharType="end"/>
      </w:r>
    </w:p>
    <w:p w14:paraId="680367F5">
      <w:pPr>
        <w:pStyle w:val="33"/>
        <w:tabs>
          <w:tab w:val="right" w:leader="dot" w:pos="9015"/>
        </w:tabs>
      </w:pPr>
      <w:r>
        <w:rPr>
          <w:rFonts w:hint="eastAsia"/>
          <w:color w:val="000000"/>
        </w:rPr>
        <w:fldChar w:fldCharType="begin"/>
      </w:r>
      <w:r>
        <w:rPr>
          <w:rFonts w:hint="eastAsia"/>
        </w:rPr>
        <w:instrText xml:space="preserve"> HYPERLINK \l _Toc23868 </w:instrText>
      </w:r>
      <w:r>
        <w:rPr>
          <w:rFonts w:hint="eastAsia"/>
        </w:rPr>
        <w:fldChar w:fldCharType="separate"/>
      </w:r>
      <w:r>
        <w:rPr>
          <w:rFonts w:hint="eastAsia" w:ascii="Times New Roman" w:hAnsi="Times New Roman"/>
          <w:szCs w:val="28"/>
        </w:rPr>
        <w:t>3.2塔机性能与参数</w:t>
      </w:r>
      <w:r>
        <w:tab/>
      </w:r>
      <w:r>
        <w:fldChar w:fldCharType="begin"/>
      </w:r>
      <w:r>
        <w:instrText xml:space="preserve"> PAGEREF _Toc23868 \h </w:instrText>
      </w:r>
      <w:r>
        <w:fldChar w:fldCharType="separate"/>
      </w:r>
      <w:r>
        <w:t>10</w:t>
      </w:r>
      <w:r>
        <w:fldChar w:fldCharType="end"/>
      </w:r>
      <w:r>
        <w:rPr>
          <w:rFonts w:hint="eastAsia"/>
          <w:color w:val="000000"/>
        </w:rPr>
        <w:fldChar w:fldCharType="end"/>
      </w:r>
    </w:p>
    <w:p w14:paraId="6F44D9FB">
      <w:pPr>
        <w:pStyle w:val="33"/>
        <w:tabs>
          <w:tab w:val="right" w:leader="dot" w:pos="9015"/>
        </w:tabs>
      </w:pPr>
      <w:r>
        <w:rPr>
          <w:rFonts w:hint="eastAsia"/>
          <w:color w:val="000000"/>
        </w:rPr>
        <w:fldChar w:fldCharType="begin"/>
      </w:r>
      <w:r>
        <w:rPr>
          <w:rFonts w:hint="eastAsia"/>
        </w:rPr>
        <w:instrText xml:space="preserve"> HYPERLINK \l _Toc8566 </w:instrText>
      </w:r>
      <w:r>
        <w:rPr>
          <w:rFonts w:hint="eastAsia"/>
        </w:rPr>
        <w:fldChar w:fldCharType="separate"/>
      </w:r>
      <w:r>
        <w:rPr>
          <w:rFonts w:hint="eastAsia" w:ascii="Times New Roman" w:hAnsi="Times New Roman"/>
          <w:szCs w:val="28"/>
        </w:rPr>
        <w:t>3.3防雷接地</w:t>
      </w:r>
      <w:r>
        <w:tab/>
      </w:r>
      <w:r>
        <w:fldChar w:fldCharType="begin"/>
      </w:r>
      <w:r>
        <w:instrText xml:space="preserve"> PAGEREF _Toc8566 \h </w:instrText>
      </w:r>
      <w:r>
        <w:fldChar w:fldCharType="separate"/>
      </w:r>
      <w:r>
        <w:t>11</w:t>
      </w:r>
      <w:r>
        <w:fldChar w:fldCharType="end"/>
      </w:r>
      <w:r>
        <w:rPr>
          <w:rFonts w:hint="eastAsia"/>
          <w:color w:val="000000"/>
        </w:rPr>
        <w:fldChar w:fldCharType="end"/>
      </w:r>
    </w:p>
    <w:p w14:paraId="0DEEFBC9">
      <w:pPr>
        <w:pStyle w:val="33"/>
        <w:tabs>
          <w:tab w:val="right" w:leader="dot" w:pos="9015"/>
        </w:tabs>
      </w:pPr>
      <w:r>
        <w:rPr>
          <w:rFonts w:hint="eastAsia"/>
          <w:color w:val="000000"/>
        </w:rPr>
        <w:fldChar w:fldCharType="begin"/>
      </w:r>
      <w:r>
        <w:rPr>
          <w:rFonts w:hint="eastAsia"/>
        </w:rPr>
        <w:instrText xml:space="preserve"> HYPERLINK \l _Toc3305 </w:instrText>
      </w:r>
      <w:r>
        <w:rPr>
          <w:rFonts w:hint="eastAsia"/>
        </w:rPr>
        <w:fldChar w:fldCharType="separate"/>
      </w:r>
      <w:r>
        <w:rPr>
          <w:rFonts w:hint="eastAsia" w:ascii="Times New Roman" w:hAnsi="Times New Roman"/>
          <w:szCs w:val="28"/>
        </w:rPr>
        <w:t>3.4塔机基础</w:t>
      </w:r>
      <w:r>
        <w:tab/>
      </w:r>
      <w:r>
        <w:fldChar w:fldCharType="begin"/>
      </w:r>
      <w:r>
        <w:instrText xml:space="preserve"> PAGEREF _Toc3305 \h </w:instrText>
      </w:r>
      <w:r>
        <w:fldChar w:fldCharType="separate"/>
      </w:r>
      <w:r>
        <w:t>12</w:t>
      </w:r>
      <w:r>
        <w:fldChar w:fldCharType="end"/>
      </w:r>
      <w:r>
        <w:rPr>
          <w:rFonts w:hint="eastAsia"/>
          <w:color w:val="000000"/>
        </w:rPr>
        <w:fldChar w:fldCharType="end"/>
      </w:r>
    </w:p>
    <w:p w14:paraId="33E6A95C">
      <w:pPr>
        <w:pStyle w:val="28"/>
        <w:tabs>
          <w:tab w:val="right" w:leader="dot" w:pos="9015"/>
        </w:tabs>
      </w:pPr>
      <w:r>
        <w:rPr>
          <w:rFonts w:hint="eastAsia"/>
          <w:color w:val="000000"/>
        </w:rPr>
        <w:fldChar w:fldCharType="begin"/>
      </w:r>
      <w:r>
        <w:rPr>
          <w:rFonts w:hint="eastAsia"/>
        </w:rPr>
        <w:instrText xml:space="preserve"> HYPERLINK \l _Toc5463 </w:instrText>
      </w:r>
      <w:r>
        <w:rPr>
          <w:rFonts w:hint="eastAsia"/>
        </w:rPr>
        <w:fldChar w:fldCharType="separate"/>
      </w:r>
      <w:r>
        <w:rPr>
          <w:rFonts w:hint="eastAsia"/>
        </w:rPr>
        <w:t>第四章 施工技术方案</w:t>
      </w:r>
      <w:r>
        <w:tab/>
      </w:r>
      <w:r>
        <w:fldChar w:fldCharType="begin"/>
      </w:r>
      <w:r>
        <w:instrText xml:space="preserve"> PAGEREF _Toc5463 \h </w:instrText>
      </w:r>
      <w:r>
        <w:fldChar w:fldCharType="separate"/>
      </w:r>
      <w:r>
        <w:t>14</w:t>
      </w:r>
      <w:r>
        <w:fldChar w:fldCharType="end"/>
      </w:r>
      <w:r>
        <w:rPr>
          <w:rFonts w:hint="eastAsia"/>
          <w:color w:val="000000"/>
        </w:rPr>
        <w:fldChar w:fldCharType="end"/>
      </w:r>
    </w:p>
    <w:p w14:paraId="39D97D04">
      <w:pPr>
        <w:pStyle w:val="33"/>
        <w:tabs>
          <w:tab w:val="right" w:leader="dot" w:pos="9015"/>
        </w:tabs>
      </w:pPr>
      <w:r>
        <w:rPr>
          <w:rFonts w:hint="eastAsia"/>
          <w:color w:val="000000"/>
        </w:rPr>
        <w:fldChar w:fldCharType="begin"/>
      </w:r>
      <w:r>
        <w:rPr>
          <w:rFonts w:hint="eastAsia"/>
        </w:rPr>
        <w:instrText xml:space="preserve"> HYPERLINK \l _Toc552 </w:instrText>
      </w:r>
      <w:r>
        <w:rPr>
          <w:rFonts w:hint="eastAsia"/>
        </w:rPr>
        <w:fldChar w:fldCharType="separate"/>
      </w:r>
      <w:r>
        <w:rPr>
          <w:rFonts w:hint="eastAsia"/>
        </w:rPr>
        <w:t>4.1 组织机构</w:t>
      </w:r>
      <w:r>
        <w:tab/>
      </w:r>
      <w:r>
        <w:fldChar w:fldCharType="begin"/>
      </w:r>
      <w:r>
        <w:instrText xml:space="preserve"> PAGEREF _Toc552 \h </w:instrText>
      </w:r>
      <w:r>
        <w:fldChar w:fldCharType="separate"/>
      </w:r>
      <w:r>
        <w:t>14</w:t>
      </w:r>
      <w:r>
        <w:fldChar w:fldCharType="end"/>
      </w:r>
      <w:r>
        <w:rPr>
          <w:rFonts w:hint="eastAsia"/>
          <w:color w:val="000000"/>
        </w:rPr>
        <w:fldChar w:fldCharType="end"/>
      </w:r>
    </w:p>
    <w:p w14:paraId="45F00306">
      <w:pPr>
        <w:pStyle w:val="33"/>
        <w:tabs>
          <w:tab w:val="right" w:leader="dot" w:pos="9015"/>
        </w:tabs>
      </w:pPr>
      <w:r>
        <w:rPr>
          <w:rFonts w:hint="eastAsia"/>
          <w:color w:val="000000"/>
        </w:rPr>
        <w:fldChar w:fldCharType="begin"/>
      </w:r>
      <w:r>
        <w:rPr>
          <w:rFonts w:hint="eastAsia"/>
        </w:rPr>
        <w:instrText xml:space="preserve"> HYPERLINK \l _Toc13843 </w:instrText>
      </w:r>
      <w:r>
        <w:rPr>
          <w:rFonts w:hint="eastAsia"/>
        </w:rPr>
        <w:fldChar w:fldCharType="separate"/>
      </w:r>
      <w:r>
        <w:rPr>
          <w:rFonts w:hint="eastAsia"/>
        </w:rPr>
        <w:t>4.2 工期计划</w:t>
      </w:r>
      <w:r>
        <w:tab/>
      </w:r>
      <w:r>
        <w:fldChar w:fldCharType="begin"/>
      </w:r>
      <w:r>
        <w:instrText xml:space="preserve"> PAGEREF _Toc13843 \h </w:instrText>
      </w:r>
      <w:r>
        <w:fldChar w:fldCharType="separate"/>
      </w:r>
      <w:r>
        <w:t>15</w:t>
      </w:r>
      <w:r>
        <w:fldChar w:fldCharType="end"/>
      </w:r>
      <w:r>
        <w:rPr>
          <w:rFonts w:hint="eastAsia"/>
          <w:color w:val="000000"/>
        </w:rPr>
        <w:fldChar w:fldCharType="end"/>
      </w:r>
    </w:p>
    <w:p w14:paraId="6BD49D7F">
      <w:pPr>
        <w:pStyle w:val="33"/>
        <w:tabs>
          <w:tab w:val="right" w:leader="dot" w:pos="9015"/>
        </w:tabs>
      </w:pPr>
      <w:r>
        <w:rPr>
          <w:rFonts w:hint="eastAsia"/>
          <w:color w:val="000000"/>
        </w:rPr>
        <w:fldChar w:fldCharType="begin"/>
      </w:r>
      <w:r>
        <w:rPr>
          <w:rFonts w:hint="eastAsia"/>
        </w:rPr>
        <w:instrText xml:space="preserve"> HYPERLINK \l _Toc17707 </w:instrText>
      </w:r>
      <w:r>
        <w:rPr>
          <w:rFonts w:hint="eastAsia"/>
        </w:rPr>
        <w:fldChar w:fldCharType="separate"/>
      </w:r>
      <w:r>
        <w:rPr>
          <w:rFonts w:hint="eastAsia"/>
        </w:rPr>
        <w:t>4.3资源配置</w:t>
      </w:r>
      <w:r>
        <w:tab/>
      </w:r>
      <w:r>
        <w:fldChar w:fldCharType="begin"/>
      </w:r>
      <w:r>
        <w:instrText xml:space="preserve"> PAGEREF _Toc17707 \h </w:instrText>
      </w:r>
      <w:r>
        <w:fldChar w:fldCharType="separate"/>
      </w:r>
      <w:r>
        <w:t>16</w:t>
      </w:r>
      <w:r>
        <w:fldChar w:fldCharType="end"/>
      </w:r>
      <w:r>
        <w:rPr>
          <w:rFonts w:hint="eastAsia"/>
          <w:color w:val="000000"/>
        </w:rPr>
        <w:fldChar w:fldCharType="end"/>
      </w:r>
    </w:p>
    <w:p w14:paraId="7A17FD8D">
      <w:pPr>
        <w:pStyle w:val="33"/>
        <w:tabs>
          <w:tab w:val="right" w:leader="dot" w:pos="9015"/>
        </w:tabs>
      </w:pPr>
      <w:r>
        <w:rPr>
          <w:rFonts w:hint="eastAsia"/>
          <w:color w:val="000000"/>
        </w:rPr>
        <w:fldChar w:fldCharType="begin"/>
      </w:r>
      <w:r>
        <w:rPr>
          <w:rFonts w:hint="eastAsia"/>
        </w:rPr>
        <w:instrText xml:space="preserve"> HYPERLINK \l _Toc2447 </w:instrText>
      </w:r>
      <w:r>
        <w:rPr>
          <w:rFonts w:hint="eastAsia"/>
        </w:rPr>
        <w:fldChar w:fldCharType="separate"/>
      </w:r>
      <w:r>
        <w:rPr>
          <w:rFonts w:hint="eastAsia"/>
        </w:rPr>
        <w:t xml:space="preserve">4.4 </w:t>
      </w:r>
      <w:r>
        <w:t>安装</w:t>
      </w:r>
      <w:r>
        <w:rPr>
          <w:rFonts w:hint="eastAsia"/>
        </w:rPr>
        <w:t>起重机械</w:t>
      </w:r>
      <w:r>
        <w:t>设备的型号、性能及</w:t>
      </w:r>
      <w:r>
        <w:rPr>
          <w:rFonts w:hint="eastAsia"/>
        </w:rPr>
        <w:t>起吊能力验算</w:t>
      </w:r>
      <w:r>
        <w:tab/>
      </w:r>
      <w:r>
        <w:fldChar w:fldCharType="begin"/>
      </w:r>
      <w:r>
        <w:instrText xml:space="preserve"> PAGEREF _Toc2447 \h </w:instrText>
      </w:r>
      <w:r>
        <w:fldChar w:fldCharType="separate"/>
      </w:r>
      <w:r>
        <w:t>17</w:t>
      </w:r>
      <w:r>
        <w:fldChar w:fldCharType="end"/>
      </w:r>
      <w:r>
        <w:rPr>
          <w:rFonts w:hint="eastAsia"/>
          <w:color w:val="000000"/>
        </w:rPr>
        <w:fldChar w:fldCharType="end"/>
      </w:r>
    </w:p>
    <w:p w14:paraId="245C73A7">
      <w:pPr>
        <w:pStyle w:val="28"/>
        <w:tabs>
          <w:tab w:val="right" w:leader="dot" w:pos="9015"/>
        </w:tabs>
      </w:pPr>
      <w:r>
        <w:rPr>
          <w:rFonts w:hint="eastAsia"/>
          <w:color w:val="000000"/>
        </w:rPr>
        <w:fldChar w:fldCharType="begin"/>
      </w:r>
      <w:r>
        <w:rPr>
          <w:rFonts w:hint="eastAsia"/>
        </w:rPr>
        <w:instrText xml:space="preserve"> HYPERLINK \l _Toc20688 </w:instrText>
      </w:r>
      <w:r>
        <w:rPr>
          <w:rFonts w:hint="eastAsia"/>
        </w:rPr>
        <w:fldChar w:fldCharType="separate"/>
      </w:r>
      <w:r>
        <w:rPr>
          <w:rFonts w:hint="eastAsia"/>
        </w:rPr>
        <w:t xml:space="preserve">第五章 </w:t>
      </w:r>
      <w:r>
        <w:rPr>
          <w:rFonts w:hint="eastAsia"/>
          <w:lang w:eastAsia="zh-CN"/>
        </w:rPr>
        <w:t>XGT6015-8S1</w:t>
      </w:r>
      <w:r>
        <w:rPr>
          <w:rFonts w:hint="eastAsia"/>
        </w:rPr>
        <w:t>安装施工方案</w:t>
      </w:r>
      <w:r>
        <w:tab/>
      </w:r>
      <w:r>
        <w:fldChar w:fldCharType="begin"/>
      </w:r>
      <w:r>
        <w:instrText xml:space="preserve"> PAGEREF _Toc20688 \h </w:instrText>
      </w:r>
      <w:r>
        <w:fldChar w:fldCharType="separate"/>
      </w:r>
      <w:r>
        <w:t>27</w:t>
      </w:r>
      <w:r>
        <w:fldChar w:fldCharType="end"/>
      </w:r>
      <w:r>
        <w:rPr>
          <w:rFonts w:hint="eastAsia"/>
          <w:color w:val="000000"/>
        </w:rPr>
        <w:fldChar w:fldCharType="end"/>
      </w:r>
    </w:p>
    <w:p w14:paraId="5C8F07C8">
      <w:pPr>
        <w:pStyle w:val="33"/>
        <w:tabs>
          <w:tab w:val="right" w:leader="dot" w:pos="9015"/>
        </w:tabs>
      </w:pPr>
      <w:r>
        <w:rPr>
          <w:rFonts w:hint="eastAsia"/>
          <w:color w:val="000000"/>
        </w:rPr>
        <w:fldChar w:fldCharType="begin"/>
      </w:r>
      <w:r>
        <w:rPr>
          <w:rFonts w:hint="eastAsia"/>
        </w:rPr>
        <w:instrText xml:space="preserve"> HYPERLINK \l _Toc16757 </w:instrText>
      </w:r>
      <w:r>
        <w:rPr>
          <w:rFonts w:hint="eastAsia"/>
        </w:rPr>
        <w:fldChar w:fldCharType="separate"/>
      </w:r>
      <w:r>
        <w:rPr>
          <w:rFonts w:hint="eastAsia"/>
        </w:rPr>
        <w:t>5.1塔机安装流程</w:t>
      </w:r>
      <w:r>
        <w:tab/>
      </w:r>
      <w:r>
        <w:fldChar w:fldCharType="begin"/>
      </w:r>
      <w:r>
        <w:instrText xml:space="preserve"> PAGEREF _Toc16757 \h </w:instrText>
      </w:r>
      <w:r>
        <w:fldChar w:fldCharType="separate"/>
      </w:r>
      <w:r>
        <w:t>27</w:t>
      </w:r>
      <w:r>
        <w:fldChar w:fldCharType="end"/>
      </w:r>
      <w:r>
        <w:rPr>
          <w:rFonts w:hint="eastAsia"/>
          <w:color w:val="000000"/>
        </w:rPr>
        <w:fldChar w:fldCharType="end"/>
      </w:r>
    </w:p>
    <w:p w14:paraId="23C1DA86">
      <w:pPr>
        <w:pStyle w:val="33"/>
        <w:tabs>
          <w:tab w:val="right" w:leader="dot" w:pos="9015"/>
        </w:tabs>
      </w:pPr>
      <w:r>
        <w:rPr>
          <w:rFonts w:hint="eastAsia"/>
          <w:color w:val="000000"/>
        </w:rPr>
        <w:fldChar w:fldCharType="begin"/>
      </w:r>
      <w:r>
        <w:rPr>
          <w:rFonts w:hint="eastAsia"/>
        </w:rPr>
        <w:instrText xml:space="preserve"> HYPERLINK \l _Toc20796 </w:instrText>
      </w:r>
      <w:r>
        <w:rPr>
          <w:rFonts w:hint="eastAsia"/>
        </w:rPr>
        <w:fldChar w:fldCharType="separate"/>
      </w:r>
      <w:r>
        <w:rPr>
          <w:rFonts w:hint="eastAsia"/>
        </w:rPr>
        <w:t>5.2安装前准备工作</w:t>
      </w:r>
      <w:r>
        <w:tab/>
      </w:r>
      <w:r>
        <w:fldChar w:fldCharType="begin"/>
      </w:r>
      <w:r>
        <w:instrText xml:space="preserve"> PAGEREF _Toc20796 \h </w:instrText>
      </w:r>
      <w:r>
        <w:fldChar w:fldCharType="separate"/>
      </w:r>
      <w:r>
        <w:t>28</w:t>
      </w:r>
      <w:r>
        <w:fldChar w:fldCharType="end"/>
      </w:r>
      <w:r>
        <w:rPr>
          <w:rFonts w:hint="eastAsia"/>
          <w:color w:val="000000"/>
        </w:rPr>
        <w:fldChar w:fldCharType="end"/>
      </w:r>
    </w:p>
    <w:p w14:paraId="2A4EAC3B">
      <w:pPr>
        <w:pStyle w:val="33"/>
        <w:tabs>
          <w:tab w:val="right" w:leader="dot" w:pos="9015"/>
        </w:tabs>
      </w:pPr>
      <w:r>
        <w:rPr>
          <w:rFonts w:hint="eastAsia"/>
          <w:color w:val="000000"/>
        </w:rPr>
        <w:fldChar w:fldCharType="begin"/>
      </w:r>
      <w:r>
        <w:rPr>
          <w:rFonts w:hint="eastAsia"/>
        </w:rPr>
        <w:instrText xml:space="preserve"> HYPERLINK \l _Toc7666 </w:instrText>
      </w:r>
      <w:r>
        <w:rPr>
          <w:rFonts w:hint="eastAsia"/>
        </w:rPr>
        <w:fldChar w:fldCharType="separate"/>
      </w:r>
      <w:r>
        <w:rPr>
          <w:rFonts w:hint="eastAsia"/>
        </w:rPr>
        <w:t xml:space="preserve">5.3 </w:t>
      </w:r>
      <w:r>
        <w:rPr>
          <w:rFonts w:hint="eastAsia"/>
          <w:lang w:eastAsia="zh-CN"/>
        </w:rPr>
        <w:t>XGT6015-8S1</w:t>
      </w:r>
      <w:r>
        <w:rPr>
          <w:rFonts w:hint="eastAsia"/>
        </w:rPr>
        <w:t>塔机主机安装过程</w:t>
      </w:r>
      <w:r>
        <w:tab/>
      </w:r>
      <w:r>
        <w:fldChar w:fldCharType="begin"/>
      </w:r>
      <w:r>
        <w:instrText xml:space="preserve"> PAGEREF _Toc7666 \h </w:instrText>
      </w:r>
      <w:r>
        <w:fldChar w:fldCharType="separate"/>
      </w:r>
      <w:r>
        <w:t>29</w:t>
      </w:r>
      <w:r>
        <w:fldChar w:fldCharType="end"/>
      </w:r>
      <w:r>
        <w:rPr>
          <w:rFonts w:hint="eastAsia"/>
          <w:color w:val="000000"/>
        </w:rPr>
        <w:fldChar w:fldCharType="end"/>
      </w:r>
    </w:p>
    <w:p w14:paraId="400183CE">
      <w:pPr>
        <w:pStyle w:val="33"/>
        <w:tabs>
          <w:tab w:val="right" w:leader="dot" w:pos="9015"/>
        </w:tabs>
      </w:pPr>
      <w:r>
        <w:rPr>
          <w:rFonts w:hint="eastAsia"/>
          <w:color w:val="000000"/>
        </w:rPr>
        <w:fldChar w:fldCharType="begin"/>
      </w:r>
      <w:r>
        <w:rPr>
          <w:rFonts w:hint="eastAsia"/>
        </w:rPr>
        <w:instrText xml:space="preserve"> HYPERLINK \l _Toc8219 </w:instrText>
      </w:r>
      <w:r>
        <w:rPr>
          <w:rFonts w:hint="eastAsia"/>
        </w:rPr>
        <w:fldChar w:fldCharType="separate"/>
      </w:r>
      <w:r>
        <w:rPr>
          <w:rFonts w:hint="eastAsia"/>
        </w:rPr>
        <w:t>5.4 顶升加节</w:t>
      </w:r>
      <w:r>
        <w:tab/>
      </w:r>
      <w:r>
        <w:fldChar w:fldCharType="begin"/>
      </w:r>
      <w:r>
        <w:instrText xml:space="preserve"> PAGEREF _Toc8219 \h </w:instrText>
      </w:r>
      <w:r>
        <w:fldChar w:fldCharType="separate"/>
      </w:r>
      <w:r>
        <w:t>50</w:t>
      </w:r>
      <w:r>
        <w:fldChar w:fldCharType="end"/>
      </w:r>
      <w:r>
        <w:rPr>
          <w:rFonts w:hint="eastAsia"/>
          <w:color w:val="000000"/>
        </w:rPr>
        <w:fldChar w:fldCharType="end"/>
      </w:r>
    </w:p>
    <w:p w14:paraId="4ABEE58A">
      <w:pPr>
        <w:pStyle w:val="28"/>
        <w:tabs>
          <w:tab w:val="right" w:leader="dot" w:pos="9015"/>
        </w:tabs>
      </w:pPr>
      <w:r>
        <w:rPr>
          <w:rFonts w:hint="eastAsia"/>
          <w:color w:val="000000"/>
        </w:rPr>
        <w:fldChar w:fldCharType="begin"/>
      </w:r>
      <w:r>
        <w:rPr>
          <w:rFonts w:hint="eastAsia"/>
        </w:rPr>
        <w:instrText xml:space="preserve"> HYPERLINK \l _Toc2927 </w:instrText>
      </w:r>
      <w:r>
        <w:rPr>
          <w:rFonts w:hint="eastAsia"/>
        </w:rPr>
        <w:fldChar w:fldCharType="separate"/>
      </w:r>
      <w:r>
        <w:rPr>
          <w:rFonts w:hint="eastAsia"/>
        </w:rPr>
        <w:t xml:space="preserve">第六章 </w:t>
      </w:r>
      <w:r>
        <w:rPr>
          <w:rFonts w:hint="eastAsia"/>
          <w:lang w:eastAsia="zh-CN"/>
        </w:rPr>
        <w:t>XGT6015-8S1</w:t>
      </w:r>
      <w:r>
        <w:rPr>
          <w:rFonts w:hint="eastAsia"/>
        </w:rPr>
        <w:t>塔机拆除施工方案</w:t>
      </w:r>
      <w:r>
        <w:tab/>
      </w:r>
      <w:r>
        <w:fldChar w:fldCharType="begin"/>
      </w:r>
      <w:r>
        <w:instrText xml:space="preserve"> PAGEREF _Toc2927 \h </w:instrText>
      </w:r>
      <w:r>
        <w:fldChar w:fldCharType="separate"/>
      </w:r>
      <w:r>
        <w:t>60</w:t>
      </w:r>
      <w:r>
        <w:fldChar w:fldCharType="end"/>
      </w:r>
      <w:r>
        <w:rPr>
          <w:rFonts w:hint="eastAsia"/>
          <w:color w:val="000000"/>
        </w:rPr>
        <w:fldChar w:fldCharType="end"/>
      </w:r>
    </w:p>
    <w:p w14:paraId="02B59CBB">
      <w:pPr>
        <w:pStyle w:val="33"/>
        <w:tabs>
          <w:tab w:val="right" w:leader="dot" w:pos="9015"/>
        </w:tabs>
      </w:pPr>
      <w:r>
        <w:rPr>
          <w:rFonts w:hint="eastAsia"/>
          <w:color w:val="000000"/>
        </w:rPr>
        <w:fldChar w:fldCharType="begin"/>
      </w:r>
      <w:r>
        <w:rPr>
          <w:rFonts w:hint="eastAsia"/>
        </w:rPr>
        <w:instrText xml:space="preserve"> HYPERLINK \l _Toc13303 </w:instrText>
      </w:r>
      <w:r>
        <w:rPr>
          <w:rFonts w:hint="eastAsia"/>
        </w:rPr>
        <w:fldChar w:fldCharType="separate"/>
      </w:r>
      <w:r>
        <w:rPr>
          <w:rFonts w:hint="eastAsia"/>
        </w:rPr>
        <w:t>6.1拆塔前的准备工作</w:t>
      </w:r>
      <w:r>
        <w:tab/>
      </w:r>
      <w:r>
        <w:fldChar w:fldCharType="begin"/>
      </w:r>
      <w:r>
        <w:instrText xml:space="preserve"> PAGEREF _Toc13303 \h </w:instrText>
      </w:r>
      <w:r>
        <w:fldChar w:fldCharType="separate"/>
      </w:r>
      <w:r>
        <w:t>60</w:t>
      </w:r>
      <w:r>
        <w:fldChar w:fldCharType="end"/>
      </w:r>
      <w:r>
        <w:rPr>
          <w:rFonts w:hint="eastAsia"/>
          <w:color w:val="000000"/>
        </w:rPr>
        <w:fldChar w:fldCharType="end"/>
      </w:r>
    </w:p>
    <w:p w14:paraId="36EECF89">
      <w:pPr>
        <w:pStyle w:val="33"/>
        <w:tabs>
          <w:tab w:val="right" w:leader="dot" w:pos="9015"/>
        </w:tabs>
      </w:pPr>
      <w:r>
        <w:rPr>
          <w:rFonts w:hint="eastAsia"/>
          <w:color w:val="000000"/>
        </w:rPr>
        <w:fldChar w:fldCharType="begin"/>
      </w:r>
      <w:r>
        <w:rPr>
          <w:rFonts w:hint="eastAsia"/>
        </w:rPr>
        <w:instrText xml:space="preserve"> HYPERLINK \l _Toc31495 </w:instrText>
      </w:r>
      <w:r>
        <w:rPr>
          <w:rFonts w:hint="eastAsia"/>
        </w:rPr>
        <w:fldChar w:fldCharType="separate"/>
      </w:r>
      <w:r>
        <w:rPr>
          <w:rFonts w:hint="eastAsia"/>
        </w:rPr>
        <w:t>6.2拆塔注意事项</w:t>
      </w:r>
      <w:r>
        <w:tab/>
      </w:r>
      <w:r>
        <w:fldChar w:fldCharType="begin"/>
      </w:r>
      <w:r>
        <w:instrText xml:space="preserve"> PAGEREF _Toc31495 \h </w:instrText>
      </w:r>
      <w:r>
        <w:fldChar w:fldCharType="separate"/>
      </w:r>
      <w:r>
        <w:t>60</w:t>
      </w:r>
      <w:r>
        <w:fldChar w:fldCharType="end"/>
      </w:r>
      <w:r>
        <w:rPr>
          <w:rFonts w:hint="eastAsia"/>
          <w:color w:val="000000"/>
        </w:rPr>
        <w:fldChar w:fldCharType="end"/>
      </w:r>
    </w:p>
    <w:p w14:paraId="721639A5">
      <w:pPr>
        <w:pStyle w:val="33"/>
        <w:tabs>
          <w:tab w:val="right" w:leader="dot" w:pos="9015"/>
        </w:tabs>
      </w:pPr>
      <w:r>
        <w:rPr>
          <w:rFonts w:hint="eastAsia"/>
          <w:color w:val="000000"/>
        </w:rPr>
        <w:fldChar w:fldCharType="begin"/>
      </w:r>
      <w:r>
        <w:rPr>
          <w:rFonts w:hint="eastAsia"/>
        </w:rPr>
        <w:instrText xml:space="preserve"> HYPERLINK \l _Toc9037 </w:instrText>
      </w:r>
      <w:r>
        <w:rPr>
          <w:rFonts w:hint="eastAsia"/>
        </w:rPr>
        <w:fldChar w:fldCharType="separate"/>
      </w:r>
      <w:r>
        <w:rPr>
          <w:rFonts w:hint="eastAsia"/>
        </w:rPr>
        <w:t>6.3拆除总工序</w:t>
      </w:r>
      <w:r>
        <w:tab/>
      </w:r>
      <w:r>
        <w:fldChar w:fldCharType="begin"/>
      </w:r>
      <w:r>
        <w:instrText xml:space="preserve"> PAGEREF _Toc9037 \h </w:instrText>
      </w:r>
      <w:r>
        <w:fldChar w:fldCharType="separate"/>
      </w:r>
      <w:r>
        <w:t>61</w:t>
      </w:r>
      <w:r>
        <w:fldChar w:fldCharType="end"/>
      </w:r>
      <w:r>
        <w:rPr>
          <w:rFonts w:hint="eastAsia"/>
          <w:color w:val="000000"/>
        </w:rPr>
        <w:fldChar w:fldCharType="end"/>
      </w:r>
    </w:p>
    <w:p w14:paraId="7AF27BF4">
      <w:pPr>
        <w:pStyle w:val="33"/>
        <w:tabs>
          <w:tab w:val="right" w:leader="dot" w:pos="9015"/>
        </w:tabs>
      </w:pPr>
      <w:r>
        <w:rPr>
          <w:rFonts w:hint="eastAsia"/>
          <w:color w:val="000000"/>
        </w:rPr>
        <w:fldChar w:fldCharType="begin"/>
      </w:r>
      <w:r>
        <w:rPr>
          <w:rFonts w:hint="eastAsia"/>
        </w:rPr>
        <w:instrText xml:space="preserve"> HYPERLINK \l _Toc13261 </w:instrText>
      </w:r>
      <w:r>
        <w:rPr>
          <w:rFonts w:hint="eastAsia"/>
        </w:rPr>
        <w:fldChar w:fldCharType="separate"/>
      </w:r>
      <w:r>
        <w:rPr>
          <w:rFonts w:hint="eastAsia"/>
        </w:rPr>
        <w:t>6.4 拆塔</w:t>
      </w:r>
      <w:r>
        <w:tab/>
      </w:r>
      <w:r>
        <w:fldChar w:fldCharType="begin"/>
      </w:r>
      <w:r>
        <w:instrText xml:space="preserve"> PAGEREF _Toc13261 \h </w:instrText>
      </w:r>
      <w:r>
        <w:fldChar w:fldCharType="separate"/>
      </w:r>
      <w:r>
        <w:t>61</w:t>
      </w:r>
      <w:r>
        <w:fldChar w:fldCharType="end"/>
      </w:r>
      <w:r>
        <w:rPr>
          <w:rFonts w:hint="eastAsia"/>
          <w:color w:val="000000"/>
        </w:rPr>
        <w:fldChar w:fldCharType="end"/>
      </w:r>
    </w:p>
    <w:p w14:paraId="5F17246D">
      <w:pPr>
        <w:pStyle w:val="28"/>
        <w:tabs>
          <w:tab w:val="right" w:leader="dot" w:pos="9015"/>
        </w:tabs>
      </w:pPr>
      <w:r>
        <w:rPr>
          <w:rFonts w:hint="eastAsia"/>
          <w:color w:val="000000"/>
        </w:rPr>
        <w:fldChar w:fldCharType="begin"/>
      </w:r>
      <w:r>
        <w:rPr>
          <w:rFonts w:hint="eastAsia"/>
        </w:rPr>
        <w:instrText xml:space="preserve"> HYPERLINK \l _Toc8518 </w:instrText>
      </w:r>
      <w:r>
        <w:rPr>
          <w:rFonts w:hint="eastAsia"/>
        </w:rPr>
        <w:fldChar w:fldCharType="separate"/>
      </w:r>
      <w:r>
        <w:rPr>
          <w:rFonts w:hint="eastAsia"/>
        </w:rPr>
        <w:t>第七章 危险源辨识与分析</w:t>
      </w:r>
      <w:r>
        <w:tab/>
      </w:r>
      <w:r>
        <w:fldChar w:fldCharType="begin"/>
      </w:r>
      <w:r>
        <w:instrText xml:space="preserve"> PAGEREF _Toc8518 \h </w:instrText>
      </w:r>
      <w:r>
        <w:fldChar w:fldCharType="separate"/>
      </w:r>
      <w:r>
        <w:t>72</w:t>
      </w:r>
      <w:r>
        <w:fldChar w:fldCharType="end"/>
      </w:r>
      <w:r>
        <w:rPr>
          <w:rFonts w:hint="eastAsia"/>
          <w:color w:val="000000"/>
        </w:rPr>
        <w:fldChar w:fldCharType="end"/>
      </w:r>
    </w:p>
    <w:p w14:paraId="2A74690D">
      <w:pPr>
        <w:pStyle w:val="33"/>
        <w:tabs>
          <w:tab w:val="right" w:leader="dot" w:pos="9015"/>
        </w:tabs>
      </w:pPr>
      <w:r>
        <w:rPr>
          <w:rFonts w:hint="eastAsia"/>
          <w:color w:val="000000"/>
        </w:rPr>
        <w:fldChar w:fldCharType="begin"/>
      </w:r>
      <w:r>
        <w:rPr>
          <w:rFonts w:hint="eastAsia"/>
        </w:rPr>
        <w:instrText xml:space="preserve"> HYPERLINK \l _Toc2846 </w:instrText>
      </w:r>
      <w:r>
        <w:rPr>
          <w:rFonts w:hint="eastAsia"/>
        </w:rPr>
        <w:fldChar w:fldCharType="separate"/>
      </w:r>
      <w:r>
        <w:rPr>
          <w:rFonts w:hint="eastAsia"/>
        </w:rPr>
        <w:t>7.</w:t>
      </w:r>
      <w:r>
        <w:t>1</w:t>
      </w:r>
      <w:r>
        <w:rPr>
          <w:rFonts w:hint="eastAsia"/>
        </w:rPr>
        <w:t>危险因素辨识</w:t>
      </w:r>
      <w:r>
        <w:tab/>
      </w:r>
      <w:r>
        <w:fldChar w:fldCharType="begin"/>
      </w:r>
      <w:r>
        <w:instrText xml:space="preserve"> PAGEREF _Toc2846 \h </w:instrText>
      </w:r>
      <w:r>
        <w:fldChar w:fldCharType="separate"/>
      </w:r>
      <w:r>
        <w:t>72</w:t>
      </w:r>
      <w:r>
        <w:fldChar w:fldCharType="end"/>
      </w:r>
      <w:r>
        <w:rPr>
          <w:rFonts w:hint="eastAsia"/>
          <w:color w:val="000000"/>
        </w:rPr>
        <w:fldChar w:fldCharType="end"/>
      </w:r>
    </w:p>
    <w:p w14:paraId="4AC0EC7B">
      <w:pPr>
        <w:pStyle w:val="33"/>
        <w:tabs>
          <w:tab w:val="right" w:leader="dot" w:pos="9015"/>
        </w:tabs>
      </w:pPr>
      <w:r>
        <w:rPr>
          <w:rFonts w:hint="eastAsia"/>
          <w:color w:val="000000"/>
        </w:rPr>
        <w:fldChar w:fldCharType="begin"/>
      </w:r>
      <w:r>
        <w:rPr>
          <w:rFonts w:hint="eastAsia"/>
        </w:rPr>
        <w:instrText xml:space="preserve"> HYPERLINK \l _Toc18752 </w:instrText>
      </w:r>
      <w:r>
        <w:rPr>
          <w:rFonts w:hint="eastAsia"/>
        </w:rPr>
        <w:fldChar w:fldCharType="separate"/>
      </w:r>
      <w:r>
        <w:rPr>
          <w:rFonts w:hint="eastAsia"/>
        </w:rPr>
        <w:t>7.</w:t>
      </w:r>
      <w:r>
        <w:t>2</w:t>
      </w:r>
      <w:r>
        <w:rPr>
          <w:rFonts w:hint="eastAsia"/>
        </w:rPr>
        <w:t>危险因素分析</w:t>
      </w:r>
      <w:r>
        <w:tab/>
      </w:r>
      <w:r>
        <w:fldChar w:fldCharType="begin"/>
      </w:r>
      <w:r>
        <w:instrText xml:space="preserve"> PAGEREF _Toc18752 \h </w:instrText>
      </w:r>
      <w:r>
        <w:fldChar w:fldCharType="separate"/>
      </w:r>
      <w:r>
        <w:t>74</w:t>
      </w:r>
      <w:r>
        <w:fldChar w:fldCharType="end"/>
      </w:r>
      <w:r>
        <w:rPr>
          <w:rFonts w:hint="eastAsia"/>
          <w:color w:val="000000"/>
        </w:rPr>
        <w:fldChar w:fldCharType="end"/>
      </w:r>
    </w:p>
    <w:p w14:paraId="622EA814">
      <w:pPr>
        <w:pStyle w:val="33"/>
        <w:tabs>
          <w:tab w:val="right" w:leader="dot" w:pos="9015"/>
        </w:tabs>
      </w:pPr>
      <w:r>
        <w:rPr>
          <w:rFonts w:hint="eastAsia"/>
          <w:color w:val="000000"/>
        </w:rPr>
        <w:fldChar w:fldCharType="begin"/>
      </w:r>
      <w:r>
        <w:rPr>
          <w:rFonts w:hint="eastAsia"/>
        </w:rPr>
        <w:instrText xml:space="preserve"> HYPERLINK \l _Toc9355 </w:instrText>
      </w:r>
      <w:r>
        <w:rPr>
          <w:rFonts w:hint="eastAsia"/>
        </w:rPr>
        <w:fldChar w:fldCharType="separate"/>
      </w:r>
      <w:r>
        <w:rPr>
          <w:rFonts w:hint="eastAsia"/>
        </w:rPr>
        <w:t>7.</w:t>
      </w:r>
      <w:r>
        <w:t>3</w:t>
      </w:r>
      <w:r>
        <w:rPr>
          <w:rFonts w:hint="eastAsia"/>
        </w:rPr>
        <w:t>风险因素评估</w:t>
      </w:r>
      <w:r>
        <w:tab/>
      </w:r>
      <w:r>
        <w:fldChar w:fldCharType="begin"/>
      </w:r>
      <w:r>
        <w:instrText xml:space="preserve"> PAGEREF _Toc9355 \h </w:instrText>
      </w:r>
      <w:r>
        <w:fldChar w:fldCharType="separate"/>
      </w:r>
      <w:r>
        <w:t>74</w:t>
      </w:r>
      <w:r>
        <w:fldChar w:fldCharType="end"/>
      </w:r>
      <w:r>
        <w:rPr>
          <w:rFonts w:hint="eastAsia"/>
          <w:color w:val="000000"/>
        </w:rPr>
        <w:fldChar w:fldCharType="end"/>
      </w:r>
    </w:p>
    <w:p w14:paraId="72257D1B">
      <w:pPr>
        <w:pStyle w:val="28"/>
        <w:tabs>
          <w:tab w:val="right" w:leader="dot" w:pos="9015"/>
        </w:tabs>
      </w:pPr>
      <w:r>
        <w:rPr>
          <w:rFonts w:hint="eastAsia"/>
          <w:color w:val="000000"/>
        </w:rPr>
        <w:fldChar w:fldCharType="begin"/>
      </w:r>
      <w:r>
        <w:rPr>
          <w:rFonts w:hint="eastAsia"/>
        </w:rPr>
        <w:instrText xml:space="preserve"> HYPERLINK \l _Toc30599 </w:instrText>
      </w:r>
      <w:r>
        <w:rPr>
          <w:rFonts w:hint="eastAsia"/>
        </w:rPr>
        <w:fldChar w:fldCharType="separate"/>
      </w:r>
      <w:r>
        <w:rPr>
          <w:rFonts w:hint="eastAsia"/>
        </w:rPr>
        <w:t>第八章 施工安全技术保障措施</w:t>
      </w:r>
      <w:r>
        <w:tab/>
      </w:r>
      <w:r>
        <w:fldChar w:fldCharType="begin"/>
      </w:r>
      <w:r>
        <w:instrText xml:space="preserve"> PAGEREF _Toc30599 \h </w:instrText>
      </w:r>
      <w:r>
        <w:fldChar w:fldCharType="separate"/>
      </w:r>
      <w:r>
        <w:t>77</w:t>
      </w:r>
      <w:r>
        <w:fldChar w:fldCharType="end"/>
      </w:r>
      <w:r>
        <w:rPr>
          <w:rFonts w:hint="eastAsia"/>
          <w:color w:val="000000"/>
        </w:rPr>
        <w:fldChar w:fldCharType="end"/>
      </w:r>
    </w:p>
    <w:p w14:paraId="3CD95C69">
      <w:pPr>
        <w:pStyle w:val="33"/>
        <w:tabs>
          <w:tab w:val="right" w:leader="dot" w:pos="9015"/>
        </w:tabs>
      </w:pPr>
      <w:r>
        <w:rPr>
          <w:rFonts w:hint="eastAsia"/>
          <w:color w:val="000000"/>
        </w:rPr>
        <w:fldChar w:fldCharType="begin"/>
      </w:r>
      <w:r>
        <w:rPr>
          <w:rFonts w:hint="eastAsia"/>
        </w:rPr>
        <w:instrText xml:space="preserve"> HYPERLINK \l _Toc7721 </w:instrText>
      </w:r>
      <w:r>
        <w:rPr>
          <w:rFonts w:hint="eastAsia"/>
        </w:rPr>
        <w:fldChar w:fldCharType="separate"/>
      </w:r>
      <w:r>
        <w:rPr>
          <w:rFonts w:hint="eastAsia"/>
        </w:rPr>
        <w:t>8.1健康</w:t>
      </w:r>
      <w:r>
        <w:tab/>
      </w:r>
      <w:r>
        <w:fldChar w:fldCharType="begin"/>
      </w:r>
      <w:r>
        <w:instrText xml:space="preserve"> PAGEREF _Toc7721 \h </w:instrText>
      </w:r>
      <w:r>
        <w:fldChar w:fldCharType="separate"/>
      </w:r>
      <w:r>
        <w:t>77</w:t>
      </w:r>
      <w:r>
        <w:fldChar w:fldCharType="end"/>
      </w:r>
      <w:r>
        <w:rPr>
          <w:rFonts w:hint="eastAsia"/>
          <w:color w:val="000000"/>
        </w:rPr>
        <w:fldChar w:fldCharType="end"/>
      </w:r>
    </w:p>
    <w:p w14:paraId="68587848">
      <w:pPr>
        <w:pStyle w:val="33"/>
        <w:tabs>
          <w:tab w:val="right" w:leader="dot" w:pos="9015"/>
        </w:tabs>
      </w:pPr>
      <w:r>
        <w:rPr>
          <w:rFonts w:hint="eastAsia"/>
          <w:color w:val="000000"/>
        </w:rPr>
        <w:fldChar w:fldCharType="begin"/>
      </w:r>
      <w:r>
        <w:rPr>
          <w:rFonts w:hint="eastAsia"/>
        </w:rPr>
        <w:instrText xml:space="preserve"> HYPERLINK \l _Toc8432 </w:instrText>
      </w:r>
      <w:r>
        <w:rPr>
          <w:rFonts w:hint="eastAsia"/>
        </w:rPr>
        <w:fldChar w:fldCharType="separate"/>
      </w:r>
      <w:r>
        <w:rPr>
          <w:rFonts w:hint="eastAsia"/>
        </w:rPr>
        <w:t>8.2环境</w:t>
      </w:r>
      <w:r>
        <w:tab/>
      </w:r>
      <w:r>
        <w:fldChar w:fldCharType="begin"/>
      </w:r>
      <w:r>
        <w:instrText xml:space="preserve"> PAGEREF _Toc8432 \h </w:instrText>
      </w:r>
      <w:r>
        <w:fldChar w:fldCharType="separate"/>
      </w:r>
      <w:r>
        <w:t>79</w:t>
      </w:r>
      <w:r>
        <w:fldChar w:fldCharType="end"/>
      </w:r>
      <w:r>
        <w:rPr>
          <w:rFonts w:hint="eastAsia"/>
          <w:color w:val="000000"/>
        </w:rPr>
        <w:fldChar w:fldCharType="end"/>
      </w:r>
    </w:p>
    <w:p w14:paraId="31F8E8DE">
      <w:pPr>
        <w:pStyle w:val="33"/>
        <w:tabs>
          <w:tab w:val="right" w:leader="dot" w:pos="9015"/>
        </w:tabs>
      </w:pPr>
      <w:r>
        <w:rPr>
          <w:rFonts w:hint="eastAsia"/>
          <w:color w:val="000000"/>
        </w:rPr>
        <w:fldChar w:fldCharType="begin"/>
      </w:r>
      <w:r>
        <w:rPr>
          <w:rFonts w:hint="eastAsia"/>
        </w:rPr>
        <w:instrText xml:space="preserve"> HYPERLINK \l _Toc29765 </w:instrText>
      </w:r>
      <w:r>
        <w:rPr>
          <w:rFonts w:hint="eastAsia"/>
        </w:rPr>
        <w:fldChar w:fldCharType="separate"/>
      </w:r>
      <w:r>
        <w:rPr>
          <w:rFonts w:hint="eastAsia"/>
        </w:rPr>
        <w:t>8.3 安全</w:t>
      </w:r>
      <w:r>
        <w:tab/>
      </w:r>
      <w:r>
        <w:fldChar w:fldCharType="begin"/>
      </w:r>
      <w:r>
        <w:instrText xml:space="preserve"> PAGEREF _Toc29765 \h </w:instrText>
      </w:r>
      <w:r>
        <w:fldChar w:fldCharType="separate"/>
      </w:r>
      <w:r>
        <w:t>82</w:t>
      </w:r>
      <w:r>
        <w:fldChar w:fldCharType="end"/>
      </w:r>
      <w:r>
        <w:rPr>
          <w:rFonts w:hint="eastAsia"/>
          <w:color w:val="000000"/>
        </w:rPr>
        <w:fldChar w:fldCharType="end"/>
      </w:r>
    </w:p>
    <w:p w14:paraId="47447C1D">
      <w:pPr>
        <w:pStyle w:val="33"/>
        <w:tabs>
          <w:tab w:val="right" w:leader="dot" w:pos="9015"/>
        </w:tabs>
      </w:pPr>
      <w:r>
        <w:rPr>
          <w:rFonts w:hint="eastAsia"/>
          <w:color w:val="000000"/>
        </w:rPr>
        <w:fldChar w:fldCharType="begin"/>
      </w:r>
      <w:r>
        <w:rPr>
          <w:rFonts w:hint="eastAsia"/>
        </w:rPr>
        <w:instrText xml:space="preserve"> HYPERLINK \l _Toc26677 </w:instrText>
      </w:r>
      <w:r>
        <w:rPr>
          <w:rFonts w:hint="eastAsia"/>
        </w:rPr>
        <w:fldChar w:fldCharType="separate"/>
      </w:r>
      <w:r>
        <w:rPr>
          <w:rFonts w:hint="eastAsia"/>
        </w:rPr>
        <w:t>8.4质量监测与监控</w:t>
      </w:r>
      <w:r>
        <w:tab/>
      </w:r>
      <w:r>
        <w:fldChar w:fldCharType="begin"/>
      </w:r>
      <w:r>
        <w:instrText xml:space="preserve"> PAGEREF _Toc26677 \h </w:instrText>
      </w:r>
      <w:r>
        <w:fldChar w:fldCharType="separate"/>
      </w:r>
      <w:r>
        <w:t>85</w:t>
      </w:r>
      <w:r>
        <w:fldChar w:fldCharType="end"/>
      </w:r>
      <w:r>
        <w:rPr>
          <w:rFonts w:hint="eastAsia"/>
          <w:color w:val="000000"/>
        </w:rPr>
        <w:fldChar w:fldCharType="end"/>
      </w:r>
    </w:p>
    <w:p w14:paraId="6FC8D448">
      <w:pPr>
        <w:pStyle w:val="28"/>
        <w:tabs>
          <w:tab w:val="right" w:leader="dot" w:pos="9015"/>
        </w:tabs>
      </w:pPr>
      <w:r>
        <w:rPr>
          <w:rFonts w:hint="eastAsia"/>
          <w:color w:val="000000"/>
        </w:rPr>
        <w:fldChar w:fldCharType="begin"/>
      </w:r>
      <w:r>
        <w:rPr>
          <w:rFonts w:hint="eastAsia"/>
        </w:rPr>
        <w:instrText xml:space="preserve"> HYPERLINK \l _Toc32717 </w:instrText>
      </w:r>
      <w:r>
        <w:rPr>
          <w:rFonts w:hint="eastAsia"/>
        </w:rPr>
        <w:fldChar w:fldCharType="separate"/>
      </w:r>
      <w:r>
        <w:rPr>
          <w:rFonts w:hint="eastAsia"/>
        </w:rPr>
        <w:t>第九章 安全管理措施</w:t>
      </w:r>
      <w:r>
        <w:tab/>
      </w:r>
      <w:r>
        <w:fldChar w:fldCharType="begin"/>
      </w:r>
      <w:r>
        <w:instrText xml:space="preserve"> PAGEREF _Toc32717 \h </w:instrText>
      </w:r>
      <w:r>
        <w:fldChar w:fldCharType="separate"/>
      </w:r>
      <w:r>
        <w:t>87</w:t>
      </w:r>
      <w:r>
        <w:fldChar w:fldCharType="end"/>
      </w:r>
      <w:r>
        <w:rPr>
          <w:rFonts w:hint="eastAsia"/>
          <w:color w:val="000000"/>
        </w:rPr>
        <w:fldChar w:fldCharType="end"/>
      </w:r>
    </w:p>
    <w:p w14:paraId="202DB7A9">
      <w:pPr>
        <w:pStyle w:val="33"/>
        <w:tabs>
          <w:tab w:val="right" w:leader="dot" w:pos="9015"/>
        </w:tabs>
      </w:pPr>
      <w:r>
        <w:rPr>
          <w:rFonts w:hint="eastAsia"/>
          <w:color w:val="000000"/>
        </w:rPr>
        <w:fldChar w:fldCharType="begin"/>
      </w:r>
      <w:r>
        <w:rPr>
          <w:rFonts w:hint="eastAsia"/>
        </w:rPr>
        <w:instrText xml:space="preserve"> HYPERLINK \l _Toc26430 </w:instrText>
      </w:r>
      <w:r>
        <w:rPr>
          <w:rFonts w:hint="eastAsia"/>
        </w:rPr>
        <w:fldChar w:fldCharType="separate"/>
      </w:r>
      <w:r>
        <w:rPr>
          <w:rFonts w:hint="eastAsia"/>
        </w:rPr>
        <w:t>9.</w:t>
      </w:r>
      <w:r>
        <w:t xml:space="preserve">1 </w:t>
      </w:r>
      <w:r>
        <w:rPr>
          <w:rFonts w:hint="eastAsia"/>
        </w:rPr>
        <w:t>安全保证措施</w:t>
      </w:r>
      <w:r>
        <w:tab/>
      </w:r>
      <w:r>
        <w:fldChar w:fldCharType="begin"/>
      </w:r>
      <w:r>
        <w:instrText xml:space="preserve"> PAGEREF _Toc26430 \h </w:instrText>
      </w:r>
      <w:r>
        <w:fldChar w:fldCharType="separate"/>
      </w:r>
      <w:r>
        <w:t>87</w:t>
      </w:r>
      <w:r>
        <w:fldChar w:fldCharType="end"/>
      </w:r>
      <w:r>
        <w:rPr>
          <w:rFonts w:hint="eastAsia"/>
          <w:color w:val="000000"/>
        </w:rPr>
        <w:fldChar w:fldCharType="end"/>
      </w:r>
    </w:p>
    <w:p w14:paraId="71B50B5B">
      <w:pPr>
        <w:pStyle w:val="33"/>
        <w:tabs>
          <w:tab w:val="right" w:leader="dot" w:pos="9015"/>
        </w:tabs>
      </w:pPr>
      <w:r>
        <w:rPr>
          <w:rFonts w:hint="eastAsia"/>
          <w:color w:val="000000"/>
        </w:rPr>
        <w:fldChar w:fldCharType="begin"/>
      </w:r>
      <w:r>
        <w:rPr>
          <w:rFonts w:hint="eastAsia"/>
        </w:rPr>
        <w:instrText xml:space="preserve"> HYPERLINK \l _Toc19695 </w:instrText>
      </w:r>
      <w:r>
        <w:rPr>
          <w:rFonts w:hint="eastAsia"/>
        </w:rPr>
        <w:fldChar w:fldCharType="separate"/>
      </w:r>
      <w:r>
        <w:rPr>
          <w:rFonts w:hint="eastAsia" w:ascii="Times New Roman" w:hAnsi="Times New Roman"/>
        </w:rPr>
        <w:t>9.2危险源安全监控措施</w:t>
      </w:r>
      <w:r>
        <w:tab/>
      </w:r>
      <w:r>
        <w:fldChar w:fldCharType="begin"/>
      </w:r>
      <w:r>
        <w:instrText xml:space="preserve"> PAGEREF _Toc19695 \h </w:instrText>
      </w:r>
      <w:r>
        <w:fldChar w:fldCharType="separate"/>
      </w:r>
      <w:r>
        <w:t>90</w:t>
      </w:r>
      <w:r>
        <w:fldChar w:fldCharType="end"/>
      </w:r>
      <w:r>
        <w:rPr>
          <w:rFonts w:hint="eastAsia"/>
          <w:color w:val="000000"/>
        </w:rPr>
        <w:fldChar w:fldCharType="end"/>
      </w:r>
    </w:p>
    <w:p w14:paraId="413FFE02">
      <w:pPr>
        <w:pStyle w:val="33"/>
        <w:tabs>
          <w:tab w:val="right" w:leader="dot" w:pos="9015"/>
        </w:tabs>
      </w:pPr>
      <w:r>
        <w:rPr>
          <w:rFonts w:hint="eastAsia"/>
          <w:color w:val="000000"/>
        </w:rPr>
        <w:fldChar w:fldCharType="begin"/>
      </w:r>
      <w:r>
        <w:rPr>
          <w:rFonts w:hint="eastAsia"/>
        </w:rPr>
        <w:instrText xml:space="preserve"> HYPERLINK \l _Toc5060 </w:instrText>
      </w:r>
      <w:r>
        <w:rPr>
          <w:rFonts w:hint="eastAsia"/>
        </w:rPr>
        <w:fldChar w:fldCharType="separate"/>
      </w:r>
      <w:r>
        <w:rPr>
          <w:rFonts w:hint="eastAsia"/>
        </w:rPr>
        <w:t>9.3 施工安全保证措施</w:t>
      </w:r>
      <w:r>
        <w:tab/>
      </w:r>
      <w:r>
        <w:fldChar w:fldCharType="begin"/>
      </w:r>
      <w:r>
        <w:instrText xml:space="preserve"> PAGEREF _Toc5060 \h </w:instrText>
      </w:r>
      <w:r>
        <w:fldChar w:fldCharType="separate"/>
      </w:r>
      <w:r>
        <w:t>98</w:t>
      </w:r>
      <w:r>
        <w:fldChar w:fldCharType="end"/>
      </w:r>
      <w:r>
        <w:rPr>
          <w:rFonts w:hint="eastAsia"/>
          <w:color w:val="000000"/>
        </w:rPr>
        <w:fldChar w:fldCharType="end"/>
      </w:r>
    </w:p>
    <w:p w14:paraId="2BB02174">
      <w:pPr>
        <w:pStyle w:val="33"/>
        <w:tabs>
          <w:tab w:val="right" w:leader="dot" w:pos="9015"/>
        </w:tabs>
      </w:pPr>
      <w:r>
        <w:rPr>
          <w:rFonts w:hint="eastAsia"/>
          <w:color w:val="000000"/>
        </w:rPr>
        <w:fldChar w:fldCharType="begin"/>
      </w:r>
      <w:r>
        <w:rPr>
          <w:rFonts w:hint="eastAsia"/>
        </w:rPr>
        <w:instrText xml:space="preserve"> HYPERLINK \l _Toc13241 </w:instrText>
      </w:r>
      <w:r>
        <w:rPr>
          <w:rFonts w:hint="eastAsia"/>
        </w:rPr>
        <w:fldChar w:fldCharType="separate"/>
      </w:r>
      <w:r>
        <w:rPr>
          <w:rFonts w:hint="eastAsia"/>
        </w:rPr>
        <w:t>9.4</w:t>
      </w:r>
      <w:r>
        <w:t xml:space="preserve"> 高处作业及临边防护安全技术措施</w:t>
      </w:r>
      <w:r>
        <w:tab/>
      </w:r>
      <w:r>
        <w:fldChar w:fldCharType="begin"/>
      </w:r>
      <w:r>
        <w:instrText xml:space="preserve"> PAGEREF _Toc13241 \h </w:instrText>
      </w:r>
      <w:r>
        <w:fldChar w:fldCharType="separate"/>
      </w:r>
      <w:r>
        <w:t>105</w:t>
      </w:r>
      <w:r>
        <w:fldChar w:fldCharType="end"/>
      </w:r>
      <w:r>
        <w:rPr>
          <w:rFonts w:hint="eastAsia"/>
          <w:color w:val="000000"/>
        </w:rPr>
        <w:fldChar w:fldCharType="end"/>
      </w:r>
    </w:p>
    <w:p w14:paraId="00FAF800">
      <w:pPr>
        <w:pStyle w:val="33"/>
        <w:tabs>
          <w:tab w:val="right" w:leader="dot" w:pos="9015"/>
        </w:tabs>
      </w:pPr>
      <w:r>
        <w:rPr>
          <w:rFonts w:hint="eastAsia"/>
          <w:color w:val="000000"/>
        </w:rPr>
        <w:fldChar w:fldCharType="begin"/>
      </w:r>
      <w:r>
        <w:rPr>
          <w:rFonts w:hint="eastAsia"/>
        </w:rPr>
        <w:instrText xml:space="preserve"> HYPERLINK \l _Toc8685 </w:instrText>
      </w:r>
      <w:r>
        <w:rPr>
          <w:rFonts w:hint="eastAsia"/>
        </w:rPr>
        <w:fldChar w:fldCharType="separate"/>
      </w:r>
      <w:r>
        <w:rPr>
          <w:rFonts w:hint="eastAsia"/>
        </w:rPr>
        <w:t>9.5绿色施工保证措施</w:t>
      </w:r>
      <w:r>
        <w:tab/>
      </w:r>
      <w:r>
        <w:fldChar w:fldCharType="begin"/>
      </w:r>
      <w:r>
        <w:instrText xml:space="preserve"> PAGEREF _Toc8685 \h </w:instrText>
      </w:r>
      <w:r>
        <w:fldChar w:fldCharType="separate"/>
      </w:r>
      <w:r>
        <w:t>106</w:t>
      </w:r>
      <w:r>
        <w:fldChar w:fldCharType="end"/>
      </w:r>
      <w:r>
        <w:rPr>
          <w:rFonts w:hint="eastAsia"/>
          <w:color w:val="000000"/>
        </w:rPr>
        <w:fldChar w:fldCharType="end"/>
      </w:r>
    </w:p>
    <w:p w14:paraId="54459C6E">
      <w:pPr>
        <w:pStyle w:val="33"/>
        <w:tabs>
          <w:tab w:val="right" w:leader="dot" w:pos="9015"/>
        </w:tabs>
      </w:pPr>
      <w:r>
        <w:rPr>
          <w:rFonts w:hint="eastAsia"/>
          <w:color w:val="000000"/>
        </w:rPr>
        <w:fldChar w:fldCharType="begin"/>
      </w:r>
      <w:r>
        <w:rPr>
          <w:rFonts w:hint="eastAsia"/>
        </w:rPr>
        <w:instrText xml:space="preserve"> HYPERLINK \l _Toc10950 </w:instrText>
      </w:r>
      <w:r>
        <w:rPr>
          <w:rFonts w:hint="eastAsia"/>
        </w:rPr>
        <w:fldChar w:fldCharType="separate"/>
      </w:r>
      <w:r>
        <w:rPr>
          <w:rFonts w:hint="eastAsia"/>
        </w:rPr>
        <w:t>9.6验收及日常检查维保</w:t>
      </w:r>
      <w:r>
        <w:tab/>
      </w:r>
      <w:r>
        <w:fldChar w:fldCharType="begin"/>
      </w:r>
      <w:r>
        <w:instrText xml:space="preserve"> PAGEREF _Toc10950 \h </w:instrText>
      </w:r>
      <w:r>
        <w:fldChar w:fldCharType="separate"/>
      </w:r>
      <w:r>
        <w:t>106</w:t>
      </w:r>
      <w:r>
        <w:fldChar w:fldCharType="end"/>
      </w:r>
      <w:r>
        <w:rPr>
          <w:rFonts w:hint="eastAsia"/>
          <w:color w:val="000000"/>
        </w:rPr>
        <w:fldChar w:fldCharType="end"/>
      </w:r>
    </w:p>
    <w:p w14:paraId="162EFBD9">
      <w:pPr>
        <w:pStyle w:val="33"/>
        <w:tabs>
          <w:tab w:val="right" w:leader="dot" w:pos="9015"/>
        </w:tabs>
      </w:pPr>
      <w:r>
        <w:rPr>
          <w:rFonts w:hint="eastAsia"/>
          <w:color w:val="000000"/>
        </w:rPr>
        <w:fldChar w:fldCharType="begin"/>
      </w:r>
      <w:r>
        <w:rPr>
          <w:rFonts w:hint="eastAsia"/>
        </w:rPr>
        <w:instrText xml:space="preserve"> HYPERLINK \l _Toc7372 </w:instrText>
      </w:r>
      <w:r>
        <w:rPr>
          <w:rFonts w:hint="eastAsia"/>
        </w:rPr>
        <w:fldChar w:fldCharType="separate"/>
      </w:r>
      <w:r>
        <w:rPr>
          <w:rFonts w:hint="eastAsia"/>
        </w:rPr>
        <w:t>9.7塔机监测监控</w:t>
      </w:r>
      <w:r>
        <w:tab/>
      </w:r>
      <w:r>
        <w:fldChar w:fldCharType="begin"/>
      </w:r>
      <w:r>
        <w:instrText xml:space="preserve"> PAGEREF _Toc7372 \h </w:instrText>
      </w:r>
      <w:r>
        <w:fldChar w:fldCharType="separate"/>
      </w:r>
      <w:r>
        <w:t>108</w:t>
      </w:r>
      <w:r>
        <w:fldChar w:fldCharType="end"/>
      </w:r>
      <w:r>
        <w:rPr>
          <w:rFonts w:hint="eastAsia"/>
          <w:color w:val="000000"/>
        </w:rPr>
        <w:fldChar w:fldCharType="end"/>
      </w:r>
    </w:p>
    <w:p w14:paraId="47CB5080">
      <w:pPr>
        <w:pStyle w:val="28"/>
        <w:tabs>
          <w:tab w:val="right" w:leader="dot" w:pos="9015"/>
        </w:tabs>
      </w:pPr>
      <w:r>
        <w:rPr>
          <w:rFonts w:hint="eastAsia"/>
          <w:color w:val="000000"/>
        </w:rPr>
        <w:fldChar w:fldCharType="begin"/>
      </w:r>
      <w:r>
        <w:rPr>
          <w:rFonts w:hint="eastAsia"/>
        </w:rPr>
        <w:instrText xml:space="preserve"> HYPERLINK \l _Toc19511 </w:instrText>
      </w:r>
      <w:r>
        <w:rPr>
          <w:rFonts w:hint="eastAsia"/>
        </w:rPr>
        <w:fldChar w:fldCharType="separate"/>
      </w:r>
      <w:r>
        <w:rPr>
          <w:rFonts w:hint="eastAsia"/>
        </w:rPr>
        <w:t>第十章应急预案</w:t>
      </w:r>
      <w:r>
        <w:tab/>
      </w:r>
      <w:r>
        <w:fldChar w:fldCharType="begin"/>
      </w:r>
      <w:r>
        <w:instrText xml:space="preserve"> PAGEREF _Toc19511 \h </w:instrText>
      </w:r>
      <w:r>
        <w:fldChar w:fldCharType="separate"/>
      </w:r>
      <w:r>
        <w:t>115</w:t>
      </w:r>
      <w:r>
        <w:fldChar w:fldCharType="end"/>
      </w:r>
      <w:r>
        <w:rPr>
          <w:rFonts w:hint="eastAsia"/>
          <w:color w:val="000000"/>
        </w:rPr>
        <w:fldChar w:fldCharType="end"/>
      </w:r>
    </w:p>
    <w:p w14:paraId="409FE3BD">
      <w:pPr>
        <w:pStyle w:val="33"/>
        <w:tabs>
          <w:tab w:val="right" w:leader="dot" w:pos="9015"/>
        </w:tabs>
      </w:pPr>
      <w:r>
        <w:rPr>
          <w:rFonts w:hint="eastAsia"/>
          <w:color w:val="000000"/>
        </w:rPr>
        <w:fldChar w:fldCharType="begin"/>
      </w:r>
      <w:r>
        <w:rPr>
          <w:rFonts w:hint="eastAsia"/>
        </w:rPr>
        <w:instrText xml:space="preserve"> HYPERLINK \l _Toc27633 </w:instrText>
      </w:r>
      <w:r>
        <w:rPr>
          <w:rFonts w:hint="eastAsia"/>
        </w:rPr>
        <w:fldChar w:fldCharType="separate"/>
      </w:r>
      <w:r>
        <w:rPr>
          <w:rFonts w:hint="eastAsia"/>
        </w:rPr>
        <w:t>10.</w:t>
      </w:r>
      <w:r>
        <w:t>1</w:t>
      </w:r>
      <w:r>
        <w:rPr>
          <w:rFonts w:hint="eastAsia"/>
        </w:rPr>
        <w:t>编制目的</w:t>
      </w:r>
      <w:r>
        <w:tab/>
      </w:r>
      <w:r>
        <w:fldChar w:fldCharType="begin"/>
      </w:r>
      <w:r>
        <w:instrText xml:space="preserve"> PAGEREF _Toc27633 \h </w:instrText>
      </w:r>
      <w:r>
        <w:fldChar w:fldCharType="separate"/>
      </w:r>
      <w:r>
        <w:t>115</w:t>
      </w:r>
      <w:r>
        <w:fldChar w:fldCharType="end"/>
      </w:r>
      <w:r>
        <w:rPr>
          <w:rFonts w:hint="eastAsia"/>
          <w:color w:val="000000"/>
        </w:rPr>
        <w:fldChar w:fldCharType="end"/>
      </w:r>
    </w:p>
    <w:p w14:paraId="46EA4817">
      <w:pPr>
        <w:pStyle w:val="33"/>
        <w:tabs>
          <w:tab w:val="right" w:leader="dot" w:pos="9015"/>
        </w:tabs>
      </w:pPr>
      <w:r>
        <w:rPr>
          <w:rFonts w:hint="eastAsia"/>
          <w:color w:val="000000"/>
        </w:rPr>
        <w:fldChar w:fldCharType="begin"/>
      </w:r>
      <w:r>
        <w:rPr>
          <w:rFonts w:hint="eastAsia"/>
        </w:rPr>
        <w:instrText xml:space="preserve"> HYPERLINK \l _Toc1926 </w:instrText>
      </w:r>
      <w:r>
        <w:rPr>
          <w:rFonts w:hint="eastAsia"/>
        </w:rPr>
        <w:fldChar w:fldCharType="separate"/>
      </w:r>
      <w:r>
        <w:rPr>
          <w:rFonts w:hint="eastAsia"/>
        </w:rPr>
        <w:t>1</w:t>
      </w:r>
      <w:r>
        <w:t>0.2</w:t>
      </w:r>
      <w:r>
        <w:rPr>
          <w:rFonts w:hint="eastAsia"/>
        </w:rPr>
        <w:t>应急组织机构</w:t>
      </w:r>
      <w:r>
        <w:tab/>
      </w:r>
      <w:r>
        <w:fldChar w:fldCharType="begin"/>
      </w:r>
      <w:r>
        <w:instrText xml:space="preserve"> PAGEREF _Toc1926 \h </w:instrText>
      </w:r>
      <w:r>
        <w:fldChar w:fldCharType="separate"/>
      </w:r>
      <w:r>
        <w:t>115</w:t>
      </w:r>
      <w:r>
        <w:fldChar w:fldCharType="end"/>
      </w:r>
      <w:r>
        <w:rPr>
          <w:rFonts w:hint="eastAsia"/>
          <w:color w:val="000000"/>
        </w:rPr>
        <w:fldChar w:fldCharType="end"/>
      </w:r>
    </w:p>
    <w:p w14:paraId="48A8B386">
      <w:pPr>
        <w:pStyle w:val="33"/>
        <w:tabs>
          <w:tab w:val="right" w:leader="dot" w:pos="9015"/>
        </w:tabs>
      </w:pPr>
      <w:r>
        <w:rPr>
          <w:rFonts w:hint="eastAsia"/>
          <w:color w:val="000000"/>
        </w:rPr>
        <w:fldChar w:fldCharType="begin"/>
      </w:r>
      <w:r>
        <w:rPr>
          <w:rFonts w:hint="eastAsia"/>
        </w:rPr>
        <w:instrText xml:space="preserve"> HYPERLINK \l _Toc30314 </w:instrText>
      </w:r>
      <w:r>
        <w:rPr>
          <w:rFonts w:hint="eastAsia"/>
        </w:rPr>
        <w:fldChar w:fldCharType="separate"/>
      </w:r>
      <w:r>
        <w:rPr>
          <w:rFonts w:hint="eastAsia"/>
        </w:rPr>
        <w:t>10.</w:t>
      </w:r>
      <w:r>
        <w:t>2紧急事故救援小组成员分工</w:t>
      </w:r>
      <w:r>
        <w:tab/>
      </w:r>
      <w:r>
        <w:fldChar w:fldCharType="begin"/>
      </w:r>
      <w:r>
        <w:instrText xml:space="preserve"> PAGEREF _Toc30314 \h </w:instrText>
      </w:r>
      <w:r>
        <w:fldChar w:fldCharType="separate"/>
      </w:r>
      <w:r>
        <w:t>116</w:t>
      </w:r>
      <w:r>
        <w:fldChar w:fldCharType="end"/>
      </w:r>
      <w:r>
        <w:rPr>
          <w:rFonts w:hint="eastAsia"/>
          <w:color w:val="000000"/>
        </w:rPr>
        <w:fldChar w:fldCharType="end"/>
      </w:r>
    </w:p>
    <w:p w14:paraId="68172C40">
      <w:pPr>
        <w:pStyle w:val="33"/>
        <w:tabs>
          <w:tab w:val="right" w:leader="dot" w:pos="9015"/>
        </w:tabs>
      </w:pPr>
      <w:r>
        <w:rPr>
          <w:rFonts w:hint="eastAsia"/>
          <w:color w:val="000000"/>
        </w:rPr>
        <w:fldChar w:fldCharType="begin"/>
      </w:r>
      <w:r>
        <w:rPr>
          <w:rFonts w:hint="eastAsia"/>
        </w:rPr>
        <w:instrText xml:space="preserve"> HYPERLINK \l _Toc3840 </w:instrText>
      </w:r>
      <w:r>
        <w:rPr>
          <w:rFonts w:hint="eastAsia"/>
        </w:rPr>
        <w:fldChar w:fldCharType="separate"/>
      </w:r>
      <w:r>
        <w:rPr>
          <w:rFonts w:hint="eastAsia"/>
        </w:rPr>
        <w:t>10.</w:t>
      </w:r>
      <w:r>
        <w:t>3应急准备</w:t>
      </w:r>
      <w:r>
        <w:tab/>
      </w:r>
      <w:r>
        <w:fldChar w:fldCharType="begin"/>
      </w:r>
      <w:r>
        <w:instrText xml:space="preserve"> PAGEREF _Toc3840 \h </w:instrText>
      </w:r>
      <w:r>
        <w:fldChar w:fldCharType="separate"/>
      </w:r>
      <w:r>
        <w:t>116</w:t>
      </w:r>
      <w:r>
        <w:fldChar w:fldCharType="end"/>
      </w:r>
      <w:r>
        <w:rPr>
          <w:rFonts w:hint="eastAsia"/>
          <w:color w:val="000000"/>
        </w:rPr>
        <w:fldChar w:fldCharType="end"/>
      </w:r>
    </w:p>
    <w:p w14:paraId="21EF4C7D">
      <w:pPr>
        <w:pStyle w:val="33"/>
        <w:tabs>
          <w:tab w:val="right" w:leader="dot" w:pos="9015"/>
        </w:tabs>
      </w:pPr>
      <w:r>
        <w:rPr>
          <w:rFonts w:hint="eastAsia"/>
          <w:color w:val="000000"/>
        </w:rPr>
        <w:fldChar w:fldCharType="begin"/>
      </w:r>
      <w:r>
        <w:rPr>
          <w:rFonts w:hint="eastAsia"/>
        </w:rPr>
        <w:instrText xml:space="preserve"> HYPERLINK \l _Toc22249 </w:instrText>
      </w:r>
      <w:r>
        <w:rPr>
          <w:rFonts w:hint="eastAsia"/>
        </w:rPr>
        <w:fldChar w:fldCharType="separate"/>
      </w:r>
      <w:r>
        <w:rPr>
          <w:rFonts w:hint="eastAsia"/>
        </w:rPr>
        <w:t>10.</w:t>
      </w:r>
      <w:r>
        <w:t>4施工现场的急救步骤</w:t>
      </w:r>
      <w:r>
        <w:tab/>
      </w:r>
      <w:r>
        <w:fldChar w:fldCharType="begin"/>
      </w:r>
      <w:r>
        <w:instrText xml:space="preserve"> PAGEREF _Toc22249 \h </w:instrText>
      </w:r>
      <w:r>
        <w:fldChar w:fldCharType="separate"/>
      </w:r>
      <w:r>
        <w:t>117</w:t>
      </w:r>
      <w:r>
        <w:fldChar w:fldCharType="end"/>
      </w:r>
      <w:r>
        <w:rPr>
          <w:rFonts w:hint="eastAsia"/>
          <w:color w:val="000000"/>
        </w:rPr>
        <w:fldChar w:fldCharType="end"/>
      </w:r>
    </w:p>
    <w:p w14:paraId="289A5D41">
      <w:pPr>
        <w:pStyle w:val="33"/>
        <w:tabs>
          <w:tab w:val="right" w:leader="dot" w:pos="9015"/>
        </w:tabs>
      </w:pPr>
      <w:r>
        <w:rPr>
          <w:rFonts w:hint="eastAsia"/>
          <w:color w:val="000000"/>
        </w:rPr>
        <w:fldChar w:fldCharType="begin"/>
      </w:r>
      <w:r>
        <w:rPr>
          <w:rFonts w:hint="eastAsia"/>
        </w:rPr>
        <w:instrText xml:space="preserve"> HYPERLINK \l _Toc17886 </w:instrText>
      </w:r>
      <w:r>
        <w:rPr>
          <w:rFonts w:hint="eastAsia"/>
        </w:rPr>
        <w:fldChar w:fldCharType="separate"/>
      </w:r>
      <w:r>
        <w:rPr>
          <w:rFonts w:hint="eastAsia"/>
        </w:rPr>
        <w:t>10.</w:t>
      </w:r>
      <w:r>
        <w:t>5现场预案及措施</w:t>
      </w:r>
      <w:r>
        <w:tab/>
      </w:r>
      <w:r>
        <w:fldChar w:fldCharType="begin"/>
      </w:r>
      <w:r>
        <w:instrText xml:space="preserve"> PAGEREF _Toc17886 \h </w:instrText>
      </w:r>
      <w:r>
        <w:fldChar w:fldCharType="separate"/>
      </w:r>
      <w:r>
        <w:t>117</w:t>
      </w:r>
      <w:r>
        <w:fldChar w:fldCharType="end"/>
      </w:r>
      <w:r>
        <w:rPr>
          <w:rFonts w:hint="eastAsia"/>
          <w:color w:val="000000"/>
        </w:rPr>
        <w:fldChar w:fldCharType="end"/>
      </w:r>
    </w:p>
    <w:p w14:paraId="2ECD4619">
      <w:pPr>
        <w:pStyle w:val="33"/>
        <w:tabs>
          <w:tab w:val="right" w:leader="dot" w:pos="9015"/>
        </w:tabs>
      </w:pPr>
      <w:r>
        <w:rPr>
          <w:rFonts w:hint="eastAsia"/>
          <w:color w:val="000000"/>
        </w:rPr>
        <w:fldChar w:fldCharType="begin"/>
      </w:r>
      <w:r>
        <w:rPr>
          <w:rFonts w:hint="eastAsia"/>
        </w:rPr>
        <w:instrText xml:space="preserve"> HYPERLINK \l _Toc29156 </w:instrText>
      </w:r>
      <w:r>
        <w:rPr>
          <w:rFonts w:hint="eastAsia"/>
        </w:rPr>
        <w:fldChar w:fldCharType="separate"/>
      </w:r>
      <w:r>
        <w:rPr>
          <w:rFonts w:hint="eastAsia"/>
        </w:rPr>
        <w:t>10.</w:t>
      </w:r>
      <w:r>
        <w:t>6</w:t>
      </w:r>
      <w:r>
        <w:rPr>
          <w:lang w:val="zh-CN"/>
        </w:rPr>
        <w:t>应急响应</w:t>
      </w:r>
      <w:r>
        <w:tab/>
      </w:r>
      <w:r>
        <w:fldChar w:fldCharType="begin"/>
      </w:r>
      <w:r>
        <w:instrText xml:space="preserve"> PAGEREF _Toc29156 \h </w:instrText>
      </w:r>
      <w:r>
        <w:fldChar w:fldCharType="separate"/>
      </w:r>
      <w:r>
        <w:t>126</w:t>
      </w:r>
      <w:r>
        <w:fldChar w:fldCharType="end"/>
      </w:r>
      <w:r>
        <w:rPr>
          <w:rFonts w:hint="eastAsia"/>
          <w:color w:val="000000"/>
        </w:rPr>
        <w:fldChar w:fldCharType="end"/>
      </w:r>
    </w:p>
    <w:p w14:paraId="75EAAE95">
      <w:pPr>
        <w:pStyle w:val="33"/>
        <w:tabs>
          <w:tab w:val="right" w:leader="dot" w:pos="9015"/>
        </w:tabs>
      </w:pPr>
      <w:r>
        <w:rPr>
          <w:rFonts w:hint="eastAsia"/>
          <w:color w:val="000000"/>
        </w:rPr>
        <w:fldChar w:fldCharType="begin"/>
      </w:r>
      <w:r>
        <w:rPr>
          <w:rFonts w:hint="eastAsia"/>
        </w:rPr>
        <w:instrText xml:space="preserve"> HYPERLINK \l _Toc23637 </w:instrText>
      </w:r>
      <w:r>
        <w:rPr>
          <w:rFonts w:hint="eastAsia"/>
        </w:rPr>
        <w:fldChar w:fldCharType="separate"/>
      </w:r>
      <w:r>
        <w:rPr>
          <w:rFonts w:hint="eastAsia"/>
        </w:rPr>
        <w:t>10.7</w:t>
      </w:r>
      <w:r>
        <w:rPr>
          <w:lang w:val="zh-CN"/>
        </w:rPr>
        <w:t>应急电话</w:t>
      </w:r>
      <w:r>
        <w:tab/>
      </w:r>
      <w:r>
        <w:fldChar w:fldCharType="begin"/>
      </w:r>
      <w:r>
        <w:instrText xml:space="preserve"> PAGEREF _Toc23637 \h </w:instrText>
      </w:r>
      <w:r>
        <w:fldChar w:fldCharType="separate"/>
      </w:r>
      <w:r>
        <w:t>127</w:t>
      </w:r>
      <w:r>
        <w:fldChar w:fldCharType="end"/>
      </w:r>
      <w:r>
        <w:rPr>
          <w:rFonts w:hint="eastAsia"/>
          <w:color w:val="000000"/>
        </w:rPr>
        <w:fldChar w:fldCharType="end"/>
      </w:r>
    </w:p>
    <w:p w14:paraId="55A21BD0">
      <w:pPr>
        <w:pStyle w:val="28"/>
        <w:tabs>
          <w:tab w:val="right" w:leader="dot" w:pos="9015"/>
        </w:tabs>
      </w:pPr>
      <w:r>
        <w:rPr>
          <w:rFonts w:hint="eastAsia"/>
          <w:color w:val="000000"/>
        </w:rPr>
        <w:fldChar w:fldCharType="begin"/>
      </w:r>
      <w:r>
        <w:rPr>
          <w:rFonts w:hint="eastAsia"/>
        </w:rPr>
        <w:instrText xml:space="preserve"> HYPERLINK \l _Toc1514 </w:instrText>
      </w:r>
      <w:r>
        <w:rPr>
          <w:rFonts w:hint="eastAsia"/>
        </w:rPr>
        <w:fldChar w:fldCharType="separate"/>
      </w:r>
      <w:r>
        <w:rPr>
          <w:rFonts w:hint="eastAsia"/>
        </w:rPr>
        <w:t>第十一章附件</w:t>
      </w:r>
      <w:r>
        <w:tab/>
      </w:r>
      <w:r>
        <w:fldChar w:fldCharType="begin"/>
      </w:r>
      <w:r>
        <w:instrText xml:space="preserve"> PAGEREF _Toc1514 \h </w:instrText>
      </w:r>
      <w:r>
        <w:fldChar w:fldCharType="separate"/>
      </w:r>
      <w:r>
        <w:t>128</w:t>
      </w:r>
      <w:r>
        <w:fldChar w:fldCharType="end"/>
      </w:r>
      <w:r>
        <w:rPr>
          <w:rFonts w:hint="eastAsia"/>
          <w:color w:val="000000"/>
        </w:rPr>
        <w:fldChar w:fldCharType="end"/>
      </w:r>
    </w:p>
    <w:p w14:paraId="190B06C1">
      <w:pPr>
        <w:pStyle w:val="33"/>
        <w:tabs>
          <w:tab w:val="right" w:leader="dot" w:pos="9015"/>
        </w:tabs>
      </w:pPr>
      <w:r>
        <w:rPr>
          <w:rFonts w:hint="eastAsia"/>
          <w:color w:val="000000"/>
        </w:rPr>
        <w:fldChar w:fldCharType="begin"/>
      </w:r>
      <w:r>
        <w:rPr>
          <w:rFonts w:hint="eastAsia"/>
        </w:rPr>
        <w:instrText xml:space="preserve"> HYPERLINK \l _Toc28961 </w:instrText>
      </w:r>
      <w:r>
        <w:rPr>
          <w:rFonts w:hint="eastAsia"/>
        </w:rPr>
        <w:fldChar w:fldCharType="separate"/>
      </w:r>
      <w:r>
        <w:rPr>
          <w:rFonts w:hint="eastAsia"/>
        </w:rPr>
        <w:t>11.</w:t>
      </w:r>
      <w:r>
        <w:t>1</w:t>
      </w:r>
      <w:r>
        <w:rPr>
          <w:rFonts w:hint="eastAsia"/>
        </w:rPr>
        <w:t>安拆单位证件</w:t>
      </w:r>
      <w:r>
        <w:tab/>
      </w:r>
      <w:r>
        <w:fldChar w:fldCharType="begin"/>
      </w:r>
      <w:r>
        <w:instrText xml:space="preserve"> PAGEREF _Toc28961 \h </w:instrText>
      </w:r>
      <w:r>
        <w:fldChar w:fldCharType="separate"/>
      </w:r>
      <w:r>
        <w:t>128</w:t>
      </w:r>
      <w:r>
        <w:fldChar w:fldCharType="end"/>
      </w:r>
      <w:r>
        <w:rPr>
          <w:rFonts w:hint="eastAsia"/>
          <w:color w:val="000000"/>
        </w:rPr>
        <w:fldChar w:fldCharType="end"/>
      </w:r>
    </w:p>
    <w:p w14:paraId="65D93077">
      <w:pPr>
        <w:pStyle w:val="33"/>
        <w:tabs>
          <w:tab w:val="right" w:leader="dot" w:pos="9015"/>
        </w:tabs>
      </w:pPr>
      <w:r>
        <w:rPr>
          <w:rFonts w:hint="eastAsia"/>
          <w:color w:val="000000"/>
        </w:rPr>
        <w:fldChar w:fldCharType="begin"/>
      </w:r>
      <w:r>
        <w:rPr>
          <w:rFonts w:hint="eastAsia"/>
        </w:rPr>
        <w:instrText xml:space="preserve"> HYPERLINK \l _Toc20363 </w:instrText>
      </w:r>
      <w:r>
        <w:rPr>
          <w:rFonts w:hint="eastAsia"/>
        </w:rPr>
        <w:fldChar w:fldCharType="separate"/>
      </w:r>
      <w:r>
        <w:rPr>
          <w:rFonts w:hint="eastAsia"/>
        </w:rPr>
        <w:t>11.2安拆人员证件</w:t>
      </w:r>
      <w:r>
        <w:tab/>
      </w:r>
      <w:r>
        <w:fldChar w:fldCharType="begin"/>
      </w:r>
      <w:r>
        <w:instrText xml:space="preserve"> PAGEREF _Toc20363 \h </w:instrText>
      </w:r>
      <w:r>
        <w:fldChar w:fldCharType="separate"/>
      </w:r>
      <w:r>
        <w:t>130</w:t>
      </w:r>
      <w:r>
        <w:fldChar w:fldCharType="end"/>
      </w:r>
      <w:r>
        <w:rPr>
          <w:rFonts w:hint="eastAsia"/>
          <w:color w:val="000000"/>
        </w:rPr>
        <w:fldChar w:fldCharType="end"/>
      </w:r>
    </w:p>
    <w:p w14:paraId="2098C76C">
      <w:pPr>
        <w:pStyle w:val="33"/>
        <w:tabs>
          <w:tab w:val="right" w:leader="dot" w:pos="9015"/>
        </w:tabs>
      </w:pPr>
      <w:r>
        <w:rPr>
          <w:rFonts w:hint="eastAsia"/>
          <w:color w:val="000000"/>
        </w:rPr>
        <w:fldChar w:fldCharType="begin"/>
      </w:r>
      <w:r>
        <w:rPr>
          <w:rFonts w:hint="eastAsia"/>
        </w:rPr>
        <w:instrText xml:space="preserve"> HYPERLINK \l _Toc3147 </w:instrText>
      </w:r>
      <w:r>
        <w:rPr>
          <w:rFonts w:hint="eastAsia"/>
        </w:rPr>
        <w:fldChar w:fldCharType="separate"/>
      </w:r>
      <w:r>
        <w:rPr>
          <w:rFonts w:hint="eastAsia"/>
        </w:rPr>
        <w:t>11.3安装竣工验收样表</w:t>
      </w:r>
      <w:r>
        <w:tab/>
      </w:r>
      <w:r>
        <w:fldChar w:fldCharType="begin"/>
      </w:r>
      <w:r>
        <w:instrText xml:space="preserve"> PAGEREF _Toc3147 \h </w:instrText>
      </w:r>
      <w:r>
        <w:fldChar w:fldCharType="separate"/>
      </w:r>
      <w:r>
        <w:t>139</w:t>
      </w:r>
      <w:r>
        <w:fldChar w:fldCharType="end"/>
      </w:r>
      <w:r>
        <w:rPr>
          <w:rFonts w:hint="eastAsia"/>
          <w:color w:val="000000"/>
        </w:rPr>
        <w:fldChar w:fldCharType="end"/>
      </w:r>
    </w:p>
    <w:p w14:paraId="5C47C417">
      <w:pPr>
        <w:pStyle w:val="33"/>
        <w:tabs>
          <w:tab w:val="right" w:leader="dot" w:pos="9015"/>
        </w:tabs>
      </w:pPr>
      <w:r>
        <w:rPr>
          <w:rFonts w:hint="eastAsia"/>
          <w:color w:val="000000"/>
        </w:rPr>
        <w:fldChar w:fldCharType="begin"/>
      </w:r>
      <w:r>
        <w:rPr>
          <w:rFonts w:hint="eastAsia"/>
        </w:rPr>
        <w:instrText xml:space="preserve"> HYPERLINK \l _Toc25982 </w:instrText>
      </w:r>
      <w:r>
        <w:rPr>
          <w:rFonts w:hint="eastAsia"/>
        </w:rPr>
        <w:fldChar w:fldCharType="separate"/>
      </w:r>
      <w:r>
        <w:rPr>
          <w:rFonts w:hint="eastAsia" w:cs="Times New Roman"/>
        </w:rPr>
        <w:t>11.</w:t>
      </w:r>
      <w:r>
        <w:rPr>
          <w:rFonts w:hint="eastAsia" w:cs="Times New Roman"/>
          <w:lang w:val="en-US" w:eastAsia="zh-CN"/>
        </w:rPr>
        <w:t>4</w:t>
      </w:r>
      <w:r>
        <w:rPr>
          <w:rFonts w:hint="eastAsia" w:cs="Times New Roman"/>
          <w:lang w:eastAsia="zh-CN"/>
        </w:rPr>
        <w:t>基础计算书</w:t>
      </w:r>
      <w:r>
        <w:tab/>
      </w:r>
      <w:r>
        <w:fldChar w:fldCharType="begin"/>
      </w:r>
      <w:r>
        <w:instrText xml:space="preserve"> PAGEREF _Toc25982 \h </w:instrText>
      </w:r>
      <w:r>
        <w:fldChar w:fldCharType="separate"/>
      </w:r>
      <w:r>
        <w:t>143</w:t>
      </w:r>
      <w:r>
        <w:fldChar w:fldCharType="end"/>
      </w:r>
      <w:r>
        <w:rPr>
          <w:rFonts w:hint="eastAsia"/>
          <w:color w:val="000000"/>
        </w:rPr>
        <w:fldChar w:fldCharType="end"/>
      </w:r>
    </w:p>
    <w:p w14:paraId="3F6DA104">
      <w:pPr>
        <w:pStyle w:val="2"/>
        <w:rPr>
          <w:rFonts w:hint="eastAsia"/>
          <w:color w:val="000000"/>
        </w:rPr>
        <w:sectPr>
          <w:footerReference r:id="rId8" w:type="default"/>
          <w:pgSz w:w="11906" w:h="16838"/>
          <w:pgMar w:top="1417" w:right="1304" w:bottom="1417" w:left="1587" w:header="850" w:footer="992" w:gutter="0"/>
          <w:pgBorders>
            <w:top w:val="none" w:sz="0" w:space="0"/>
            <w:left w:val="none" w:sz="0" w:space="0"/>
            <w:bottom w:val="none" w:sz="0" w:space="0"/>
            <w:right w:val="none" w:sz="0" w:space="0"/>
          </w:pgBorders>
          <w:pgNumType w:start="1"/>
          <w:cols w:space="720" w:num="1"/>
          <w:docGrid w:type="lines" w:linePitch="312" w:charSpace="0"/>
        </w:sectPr>
      </w:pPr>
    </w:p>
    <w:p w14:paraId="27FDBBF6">
      <w:pPr>
        <w:pStyle w:val="2"/>
        <w:rPr>
          <w:color w:val="000000"/>
        </w:rPr>
      </w:pPr>
      <w:r>
        <w:rPr>
          <w:rFonts w:hint="eastAsia"/>
          <w:color w:val="000000"/>
        </w:rPr>
        <w:fldChar w:fldCharType="end"/>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Start w:id="15" w:name="_Toc15901"/>
      <w:bookmarkStart w:id="16" w:name="_Toc27001"/>
      <w:bookmarkStart w:id="17" w:name="_Toc1088"/>
      <w:bookmarkStart w:id="18" w:name="_Toc11000"/>
      <w:bookmarkStart w:id="19" w:name="_Toc4904"/>
      <w:bookmarkStart w:id="20" w:name="_Toc29568"/>
      <w:bookmarkStart w:id="21" w:name="_Toc26662"/>
      <w:bookmarkStart w:id="22" w:name="_Toc21675"/>
      <w:bookmarkStart w:id="23" w:name="_Toc27881_WPSOffice_Level2"/>
      <w:bookmarkStart w:id="24" w:name="_Toc26927"/>
      <w:bookmarkStart w:id="25" w:name="_Toc11518"/>
      <w:bookmarkStart w:id="26" w:name="_Toc27285_WPSOffice_Level2"/>
      <w:bookmarkStart w:id="27" w:name="_Toc6644"/>
      <w:bookmarkStart w:id="28" w:name="_Toc13952"/>
      <w:bookmarkStart w:id="29" w:name="_Toc30524"/>
      <w:bookmarkStart w:id="30" w:name="_Toc5984"/>
      <w:bookmarkStart w:id="31" w:name="_Toc23905_WPSOffice_Level2"/>
      <w:bookmarkStart w:id="32" w:name="_Toc4057"/>
      <w:bookmarkStart w:id="33" w:name="_Toc4066"/>
      <w:bookmarkStart w:id="34" w:name="_Toc28574"/>
      <w:bookmarkStart w:id="35" w:name="_Toc8641_WPSOffice_Level2"/>
      <w:bookmarkStart w:id="36" w:name="_Toc174_WPSOffice_Level2"/>
      <w:bookmarkStart w:id="37" w:name="_Toc16667_WPSOffice_Level2"/>
      <w:bookmarkStart w:id="38" w:name="_Toc6685"/>
      <w:bookmarkStart w:id="39" w:name="_Toc23722"/>
      <w:bookmarkStart w:id="40" w:name="_Toc525111829"/>
      <w:bookmarkStart w:id="41" w:name="_Toc28833_WPSOffice_Level2"/>
      <w:bookmarkStart w:id="42" w:name="_Toc27678"/>
      <w:r>
        <w:rPr>
          <w:rFonts w:hint="eastAsia"/>
          <w:color w:val="000000"/>
        </w:rPr>
        <w:t>第一章 编制说明</w:t>
      </w:r>
      <w:bookmarkEnd w:id="15"/>
    </w:p>
    <w:p w14:paraId="4C209AE4">
      <w:pPr>
        <w:pStyle w:val="3"/>
        <w:rPr>
          <w:color w:val="000000"/>
        </w:rPr>
      </w:pPr>
      <w:bookmarkStart w:id="43" w:name="_Toc78734648"/>
      <w:bookmarkStart w:id="44" w:name="_Toc30367"/>
      <w:bookmarkStart w:id="45" w:name="_Toc27194"/>
      <w:bookmarkStart w:id="46" w:name="_Toc38284771"/>
      <w:bookmarkStart w:id="47" w:name="_Toc3014"/>
      <w:bookmarkStart w:id="48" w:name="_Toc31845"/>
      <w:bookmarkStart w:id="49" w:name="_Toc16472"/>
      <w:bookmarkStart w:id="50" w:name="_Toc15621"/>
      <w:bookmarkStart w:id="51" w:name="_Toc31524"/>
      <w:bookmarkStart w:id="52" w:name="_Toc1885"/>
      <w:bookmarkStart w:id="53" w:name="_Toc2675"/>
      <w:bookmarkStart w:id="54" w:name="_Toc16112"/>
      <w:bookmarkStart w:id="55" w:name="_Toc45466123"/>
      <w:bookmarkStart w:id="56" w:name="_Toc38284943"/>
      <w:bookmarkStart w:id="57" w:name="_Toc29906"/>
      <w:bookmarkStart w:id="58" w:name="_Toc18198"/>
      <w:bookmarkStart w:id="59" w:name="_Toc29292"/>
      <w:bookmarkStart w:id="60" w:name="_Toc19508"/>
      <w:bookmarkStart w:id="61" w:name="_Toc18899"/>
      <w:r>
        <w:rPr>
          <w:rFonts w:hint="eastAsia"/>
          <w:color w:val="000000"/>
        </w:rPr>
        <w:t>1</w:t>
      </w:r>
      <w:r>
        <w:rPr>
          <w:color w:val="000000"/>
        </w:rPr>
        <w:t>.1编制依据</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19E30475">
      <w:pPr>
        <w:ind w:left="560" w:leftChars="200" w:firstLine="0" w:firstLineChars="0"/>
        <w:rPr>
          <w:color w:val="000000"/>
        </w:rPr>
      </w:pPr>
      <w:r>
        <w:rPr>
          <w:rFonts w:hint="eastAsia"/>
          <w:color w:val="000000"/>
        </w:rPr>
        <w:t>现行法规、规范、标准及办法，主要有：</w:t>
      </w:r>
    </w:p>
    <w:p w14:paraId="352EB7FF">
      <w:pPr>
        <w:ind w:firstLine="560"/>
        <w:rPr>
          <w:color w:val="000000"/>
        </w:rPr>
      </w:pPr>
      <w:r>
        <w:rPr>
          <w:color w:val="000000"/>
        </w:rPr>
        <w:t>[1]</w:t>
      </w:r>
      <w:r>
        <w:rPr>
          <w:rFonts w:hint="eastAsia"/>
          <w:color w:val="000000"/>
        </w:rPr>
        <w:t>《中华人民共和国特种设备安全法》（主席令第四号）</w:t>
      </w:r>
    </w:p>
    <w:p w14:paraId="5C559404">
      <w:pPr>
        <w:ind w:firstLine="560"/>
      </w:pPr>
      <w:r>
        <w:rPr>
          <w:color w:val="000000"/>
        </w:rPr>
        <w:t>[</w:t>
      </w:r>
      <w:r>
        <w:rPr>
          <w:rFonts w:hint="eastAsia"/>
          <w:color w:val="000000"/>
        </w:rPr>
        <w:t>2</w:t>
      </w:r>
      <w:r>
        <w:rPr>
          <w:color w:val="000000"/>
        </w:rPr>
        <w:t>]</w:t>
      </w:r>
      <w:r>
        <w:rPr>
          <w:rFonts w:hint="eastAsia"/>
          <w:color w:val="000000"/>
        </w:rPr>
        <w:t>《中华人民共和国安全生产法 》（第三次修正）</w:t>
      </w:r>
    </w:p>
    <w:p w14:paraId="5A1C4A3F">
      <w:pPr>
        <w:ind w:firstLine="560"/>
        <w:rPr>
          <w:color w:val="000000"/>
        </w:rPr>
      </w:pPr>
      <w:r>
        <w:rPr>
          <w:color w:val="000000"/>
        </w:rPr>
        <w:t>[</w:t>
      </w:r>
      <w:r>
        <w:rPr>
          <w:rFonts w:hint="eastAsia"/>
          <w:color w:val="000000"/>
        </w:rPr>
        <w:t>3</w:t>
      </w:r>
      <w:r>
        <w:rPr>
          <w:color w:val="000000"/>
        </w:rPr>
        <w:t>]</w:t>
      </w:r>
      <w:r>
        <w:rPr>
          <w:rFonts w:hint="eastAsia"/>
          <w:color w:val="000000"/>
        </w:rPr>
        <w:t>《建设工程安全生产管理条例》（国务院令第</w:t>
      </w:r>
      <w:r>
        <w:rPr>
          <w:color w:val="000000"/>
        </w:rPr>
        <w:t>393</w:t>
      </w:r>
      <w:r>
        <w:rPr>
          <w:rFonts w:hint="eastAsia"/>
          <w:color w:val="000000"/>
        </w:rPr>
        <w:t>号）</w:t>
      </w:r>
    </w:p>
    <w:p w14:paraId="0A594934">
      <w:pPr>
        <w:ind w:firstLine="560"/>
        <w:rPr>
          <w:color w:val="000000"/>
        </w:rPr>
      </w:pPr>
      <w:r>
        <w:rPr>
          <w:color w:val="000000"/>
        </w:rPr>
        <w:t>[</w:t>
      </w:r>
      <w:r>
        <w:rPr>
          <w:rFonts w:hint="eastAsia"/>
          <w:color w:val="000000"/>
        </w:rPr>
        <w:t>4</w:t>
      </w:r>
      <w:r>
        <w:rPr>
          <w:color w:val="000000"/>
        </w:rPr>
        <w:t>]</w:t>
      </w:r>
      <w:r>
        <w:rPr>
          <w:rFonts w:hint="eastAsia"/>
          <w:color w:val="000000"/>
        </w:rPr>
        <w:t>《特种设备使用管理规则》（</w:t>
      </w:r>
      <w:r>
        <w:rPr>
          <w:color w:val="000000"/>
        </w:rPr>
        <w:t>TSG 08-2017</w:t>
      </w:r>
      <w:r>
        <w:rPr>
          <w:rFonts w:hint="eastAsia"/>
          <w:color w:val="000000"/>
        </w:rPr>
        <w:t>）</w:t>
      </w:r>
    </w:p>
    <w:p w14:paraId="1E59FC1A">
      <w:pPr>
        <w:ind w:firstLine="560"/>
        <w:rPr>
          <w:color w:val="000000"/>
        </w:rPr>
      </w:pPr>
      <w:r>
        <w:rPr>
          <w:color w:val="000000"/>
        </w:rPr>
        <w:t>[</w:t>
      </w:r>
      <w:r>
        <w:rPr>
          <w:rFonts w:hint="eastAsia"/>
          <w:color w:val="000000"/>
        </w:rPr>
        <w:t>5</w:t>
      </w:r>
      <w:r>
        <w:rPr>
          <w:color w:val="000000"/>
        </w:rPr>
        <w:t>]</w:t>
      </w:r>
      <w:r>
        <w:rPr>
          <w:rFonts w:hint="eastAsia"/>
          <w:color w:val="000000"/>
        </w:rPr>
        <w:t>《特种设备安全监察条例》（国务院令第</w:t>
      </w:r>
      <w:r>
        <w:rPr>
          <w:color w:val="000000"/>
        </w:rPr>
        <w:t>549</w:t>
      </w:r>
      <w:r>
        <w:rPr>
          <w:rFonts w:hint="eastAsia"/>
          <w:color w:val="000000"/>
        </w:rPr>
        <w:t>号）</w:t>
      </w:r>
    </w:p>
    <w:p w14:paraId="7D292B5D">
      <w:pPr>
        <w:ind w:firstLine="560"/>
        <w:rPr>
          <w:color w:val="000000"/>
        </w:rPr>
      </w:pPr>
      <w:r>
        <w:rPr>
          <w:color w:val="000000"/>
        </w:rPr>
        <w:t>[</w:t>
      </w:r>
      <w:r>
        <w:rPr>
          <w:rFonts w:hint="eastAsia"/>
          <w:color w:val="000000"/>
        </w:rPr>
        <w:t>6</w:t>
      </w:r>
      <w:r>
        <w:rPr>
          <w:color w:val="000000"/>
        </w:rPr>
        <w:t>]</w:t>
      </w:r>
      <w:r>
        <w:rPr>
          <w:rFonts w:hint="eastAsia"/>
          <w:color w:val="000000"/>
        </w:rPr>
        <w:t>《建筑施工塔式起重机安装、使用、拆卸安全技术规程》（</w:t>
      </w:r>
      <w:r>
        <w:rPr>
          <w:color w:val="000000"/>
        </w:rPr>
        <w:t>JGJ196-2010</w:t>
      </w:r>
      <w:r>
        <w:rPr>
          <w:rFonts w:hint="eastAsia"/>
          <w:color w:val="000000"/>
        </w:rPr>
        <w:t>）</w:t>
      </w:r>
    </w:p>
    <w:p w14:paraId="2F717849">
      <w:pPr>
        <w:ind w:firstLine="560"/>
        <w:rPr>
          <w:color w:val="000000"/>
        </w:rPr>
      </w:pPr>
      <w:r>
        <w:rPr>
          <w:color w:val="000000"/>
        </w:rPr>
        <w:t>[</w:t>
      </w:r>
      <w:r>
        <w:rPr>
          <w:rFonts w:hint="eastAsia"/>
          <w:color w:val="000000"/>
        </w:rPr>
        <w:t>7</w:t>
      </w:r>
      <w:r>
        <w:rPr>
          <w:color w:val="000000"/>
        </w:rPr>
        <w:t>]</w:t>
      </w:r>
      <w:r>
        <w:rPr>
          <w:rFonts w:hint="eastAsia"/>
          <w:color w:val="000000"/>
        </w:rPr>
        <w:t>《塔式起重机安全规程》（</w:t>
      </w:r>
      <w:r>
        <w:rPr>
          <w:color w:val="000000"/>
        </w:rPr>
        <w:t>GB5144-2006</w:t>
      </w:r>
      <w:r>
        <w:rPr>
          <w:rFonts w:hint="eastAsia"/>
          <w:color w:val="000000"/>
        </w:rPr>
        <w:t>）</w:t>
      </w:r>
    </w:p>
    <w:p w14:paraId="2F2058C5">
      <w:pPr>
        <w:ind w:firstLine="560"/>
        <w:rPr>
          <w:color w:val="000000"/>
        </w:rPr>
      </w:pPr>
      <w:r>
        <w:rPr>
          <w:color w:val="000000"/>
        </w:rPr>
        <w:t>[</w:t>
      </w:r>
      <w:r>
        <w:rPr>
          <w:rFonts w:hint="eastAsia"/>
          <w:color w:val="000000"/>
        </w:rPr>
        <w:t>8</w:t>
      </w:r>
      <w:r>
        <w:rPr>
          <w:color w:val="000000"/>
        </w:rPr>
        <w:t>]</w:t>
      </w:r>
      <w:r>
        <w:rPr>
          <w:rFonts w:hint="eastAsia"/>
          <w:color w:val="000000"/>
        </w:rPr>
        <w:t>《建筑机械使用安全技术规程》（</w:t>
      </w:r>
      <w:r>
        <w:rPr>
          <w:color w:val="000000"/>
        </w:rPr>
        <w:t>JGJ33-2012</w:t>
      </w:r>
      <w:r>
        <w:rPr>
          <w:rFonts w:hint="eastAsia"/>
          <w:color w:val="000000"/>
        </w:rPr>
        <w:t>）</w:t>
      </w:r>
    </w:p>
    <w:p w14:paraId="06FA45A7">
      <w:pPr>
        <w:ind w:firstLine="560"/>
        <w:rPr>
          <w:color w:val="000000"/>
        </w:rPr>
      </w:pPr>
      <w:r>
        <w:rPr>
          <w:color w:val="000000"/>
        </w:rPr>
        <w:t>[</w:t>
      </w:r>
      <w:r>
        <w:rPr>
          <w:rFonts w:hint="eastAsia"/>
          <w:color w:val="000000"/>
        </w:rPr>
        <w:t>9</w:t>
      </w:r>
      <w:r>
        <w:rPr>
          <w:color w:val="000000"/>
        </w:rPr>
        <w:t>]</w:t>
      </w:r>
      <w:r>
        <w:rPr>
          <w:rFonts w:hint="eastAsia"/>
          <w:color w:val="000000"/>
        </w:rPr>
        <w:t>《建筑施工安全检查标准》（</w:t>
      </w:r>
      <w:r>
        <w:rPr>
          <w:color w:val="000000"/>
        </w:rPr>
        <w:t>JGJ59-2011</w:t>
      </w:r>
      <w:r>
        <w:rPr>
          <w:rFonts w:hint="eastAsia"/>
          <w:color w:val="000000"/>
        </w:rPr>
        <w:t>）</w:t>
      </w:r>
    </w:p>
    <w:p w14:paraId="4A4EC11A">
      <w:pPr>
        <w:ind w:firstLine="560"/>
        <w:rPr>
          <w:color w:val="000000"/>
        </w:rPr>
      </w:pPr>
      <w:r>
        <w:rPr>
          <w:color w:val="000000"/>
        </w:rPr>
        <w:t>[</w:t>
      </w:r>
      <w:r>
        <w:rPr>
          <w:rFonts w:hint="eastAsia"/>
          <w:color w:val="000000"/>
        </w:rPr>
        <w:t>11</w:t>
      </w:r>
      <w:r>
        <w:rPr>
          <w:color w:val="000000"/>
        </w:rPr>
        <w:t>]</w:t>
      </w:r>
      <w:r>
        <w:rPr>
          <w:rFonts w:hint="eastAsia"/>
          <w:color w:val="000000"/>
        </w:rPr>
        <w:t>《建筑施工高处作业安全技术规范》（</w:t>
      </w:r>
      <w:r>
        <w:rPr>
          <w:color w:val="000000"/>
        </w:rPr>
        <w:t>JGJ80-2016</w:t>
      </w:r>
      <w:r>
        <w:rPr>
          <w:rFonts w:hint="eastAsia"/>
          <w:color w:val="000000"/>
        </w:rPr>
        <w:t>）</w:t>
      </w:r>
    </w:p>
    <w:p w14:paraId="4A52ED71">
      <w:pPr>
        <w:ind w:firstLine="560"/>
        <w:rPr>
          <w:color w:val="000000"/>
        </w:rPr>
      </w:pPr>
      <w:r>
        <w:rPr>
          <w:color w:val="000000"/>
        </w:rPr>
        <w:t>[1</w:t>
      </w:r>
      <w:r>
        <w:rPr>
          <w:rFonts w:hint="eastAsia"/>
          <w:color w:val="000000"/>
        </w:rPr>
        <w:t>2</w:t>
      </w:r>
      <w:r>
        <w:rPr>
          <w:color w:val="000000"/>
        </w:rPr>
        <w:t>]</w:t>
      </w:r>
      <w:r>
        <w:rPr>
          <w:rFonts w:hint="eastAsia"/>
          <w:color w:val="000000"/>
        </w:rPr>
        <w:t>《建筑施工起重吊装工程安全技术规范》（</w:t>
      </w:r>
      <w:r>
        <w:rPr>
          <w:color w:val="000000"/>
        </w:rPr>
        <w:t>JGJ276-2012</w:t>
      </w:r>
      <w:r>
        <w:rPr>
          <w:rFonts w:hint="eastAsia"/>
          <w:color w:val="000000"/>
        </w:rPr>
        <w:t>）</w:t>
      </w:r>
    </w:p>
    <w:p w14:paraId="6A6BF093">
      <w:pPr>
        <w:ind w:firstLine="560"/>
        <w:rPr>
          <w:color w:val="000000"/>
        </w:rPr>
      </w:pPr>
      <w:r>
        <w:rPr>
          <w:color w:val="000000"/>
        </w:rPr>
        <w:t>[1</w:t>
      </w:r>
      <w:r>
        <w:rPr>
          <w:rFonts w:hint="eastAsia"/>
          <w:color w:val="000000"/>
        </w:rPr>
        <w:t>3</w:t>
      </w:r>
      <w:r>
        <w:rPr>
          <w:color w:val="000000"/>
        </w:rPr>
        <w:t>]</w:t>
      </w:r>
      <w:r>
        <w:rPr>
          <w:rFonts w:hint="eastAsia"/>
          <w:color w:val="000000"/>
        </w:rPr>
        <w:t>《建筑起重机械安全监督管理规定》（建设部第</w:t>
      </w:r>
      <w:r>
        <w:rPr>
          <w:color w:val="000000"/>
        </w:rPr>
        <w:t>166</w:t>
      </w:r>
      <w:r>
        <w:rPr>
          <w:rFonts w:hint="eastAsia"/>
          <w:color w:val="000000"/>
        </w:rPr>
        <w:t>号令）</w:t>
      </w:r>
    </w:p>
    <w:p w14:paraId="49F92027">
      <w:pPr>
        <w:ind w:firstLine="560"/>
        <w:rPr>
          <w:color w:val="000000"/>
        </w:rPr>
      </w:pPr>
      <w:r>
        <w:rPr>
          <w:color w:val="000000"/>
        </w:rPr>
        <w:t>[1</w:t>
      </w:r>
      <w:r>
        <w:rPr>
          <w:rFonts w:hint="eastAsia"/>
          <w:color w:val="000000"/>
        </w:rPr>
        <w:t>4</w:t>
      </w:r>
      <w:r>
        <w:rPr>
          <w:color w:val="000000"/>
        </w:rPr>
        <w:t>]</w:t>
      </w:r>
      <w:r>
        <w:rPr>
          <w:rFonts w:hint="eastAsia"/>
          <w:color w:val="000000"/>
        </w:rPr>
        <w:t>《起重机钢丝绳保养、维护、检验和报废》（</w:t>
      </w:r>
      <w:r>
        <w:rPr>
          <w:color w:val="000000"/>
        </w:rPr>
        <w:t>GB/T5972-20</w:t>
      </w:r>
      <w:r>
        <w:rPr>
          <w:rFonts w:hint="eastAsia"/>
          <w:color w:val="000000"/>
          <w:lang w:val="en-US" w:eastAsia="zh-CN"/>
        </w:rPr>
        <w:t>23</w:t>
      </w:r>
      <w:r>
        <w:rPr>
          <w:rFonts w:hint="eastAsia"/>
          <w:color w:val="000000"/>
        </w:rPr>
        <w:t>）</w:t>
      </w:r>
    </w:p>
    <w:p w14:paraId="75534F75">
      <w:pPr>
        <w:ind w:firstLine="560"/>
      </w:pPr>
      <w:r>
        <w:rPr>
          <w:color w:val="000000"/>
        </w:rPr>
        <w:t>[1</w:t>
      </w:r>
      <w:r>
        <w:rPr>
          <w:rFonts w:hint="eastAsia"/>
          <w:color w:val="000000"/>
        </w:rPr>
        <w:t>5</w:t>
      </w:r>
      <w:r>
        <w:rPr>
          <w:color w:val="000000"/>
        </w:rPr>
        <w:t>]</w:t>
      </w:r>
      <w:r>
        <w:rPr>
          <w:rFonts w:hint="eastAsia"/>
          <w:color w:val="000000"/>
        </w:rPr>
        <w:t>《</w:t>
      </w:r>
      <w:r>
        <w:rPr>
          <w:rFonts w:hint="eastAsia"/>
        </w:rPr>
        <w:t>一般用途钢丝绳吊索特性和技术条件</w:t>
      </w:r>
      <w:r>
        <w:t>》</w:t>
      </w:r>
      <w:r>
        <w:rPr>
          <w:rFonts w:hint="eastAsia"/>
        </w:rPr>
        <w:t>(GB/T 1</w:t>
      </w:r>
      <w:r>
        <w:t xml:space="preserve">6762-2020 </w:t>
      </w:r>
      <w:r>
        <w:rPr>
          <w:rFonts w:hint="eastAsia"/>
        </w:rPr>
        <w:t>)</w:t>
      </w:r>
    </w:p>
    <w:p w14:paraId="181C2CCC">
      <w:pPr>
        <w:ind w:firstLine="560"/>
      </w:pPr>
      <w:r>
        <w:rPr>
          <w:color w:val="000000"/>
        </w:rPr>
        <w:t>[1</w:t>
      </w:r>
      <w:r>
        <w:rPr>
          <w:rFonts w:hint="eastAsia"/>
          <w:color w:val="000000"/>
        </w:rPr>
        <w:t>6</w:t>
      </w:r>
      <w:r>
        <w:rPr>
          <w:color w:val="000000"/>
        </w:rPr>
        <w:t>]</w:t>
      </w:r>
      <w:r>
        <w:t>《</w:t>
      </w:r>
      <w:r>
        <w:rPr>
          <w:rFonts w:hint="eastAsia"/>
        </w:rPr>
        <w:t>钢丝绳通用技术条件</w:t>
      </w:r>
      <w:r>
        <w:t>》</w:t>
      </w:r>
      <w:r>
        <w:rPr>
          <w:rFonts w:hint="eastAsia"/>
        </w:rPr>
        <w:t>(GB/T 20118</w:t>
      </w:r>
      <w:r>
        <w:t>-20</w:t>
      </w:r>
      <w:r>
        <w:rPr>
          <w:rFonts w:hint="eastAsia"/>
        </w:rPr>
        <w:t>17 )</w:t>
      </w:r>
    </w:p>
    <w:p w14:paraId="0BEF5A2A">
      <w:pPr>
        <w:ind w:firstLine="560"/>
        <w:rPr>
          <w:color w:val="000000"/>
        </w:rPr>
      </w:pPr>
      <w:r>
        <w:rPr>
          <w:color w:val="000000"/>
        </w:rPr>
        <w:t>[1</w:t>
      </w:r>
      <w:r>
        <w:rPr>
          <w:rFonts w:hint="eastAsia"/>
          <w:color w:val="000000"/>
        </w:rPr>
        <w:t>7</w:t>
      </w:r>
      <w:r>
        <w:rPr>
          <w:color w:val="000000"/>
        </w:rPr>
        <w:t>]</w:t>
      </w:r>
      <w:r>
        <w:rPr>
          <w:rFonts w:hint="eastAsia"/>
          <w:color w:val="000000"/>
        </w:rPr>
        <w:t>《塔式起重机混凝土基础工程技术标准》（</w:t>
      </w:r>
      <w:r>
        <w:rPr>
          <w:color w:val="000000"/>
        </w:rPr>
        <w:t>JGJ/T187-2019</w:t>
      </w:r>
      <w:r>
        <w:rPr>
          <w:rFonts w:hint="eastAsia"/>
          <w:color w:val="000000"/>
        </w:rPr>
        <w:t>）</w:t>
      </w:r>
    </w:p>
    <w:p w14:paraId="7862BEBE">
      <w:pPr>
        <w:ind w:firstLine="560"/>
        <w:rPr>
          <w:color w:val="000000"/>
        </w:rPr>
      </w:pPr>
      <w:r>
        <w:rPr>
          <w:color w:val="000000"/>
        </w:rPr>
        <w:t>[1</w:t>
      </w:r>
      <w:r>
        <w:rPr>
          <w:rFonts w:hint="eastAsia"/>
          <w:color w:val="000000"/>
        </w:rPr>
        <w:t>8</w:t>
      </w:r>
      <w:r>
        <w:rPr>
          <w:color w:val="000000"/>
        </w:rPr>
        <w:t>]</w:t>
      </w:r>
      <w:r>
        <w:rPr>
          <w:rFonts w:hint="eastAsia"/>
          <w:color w:val="000000"/>
        </w:rPr>
        <w:t>《危险性较大的分部分项工程安全管理规定》</w:t>
      </w:r>
      <w:r>
        <w:rPr>
          <w:color w:val="000000"/>
        </w:rPr>
        <w:t>(</w:t>
      </w:r>
      <w:r>
        <w:rPr>
          <w:rFonts w:hint="eastAsia"/>
          <w:color w:val="000000"/>
        </w:rPr>
        <w:t>住建部令第37号</w:t>
      </w:r>
      <w:r>
        <w:rPr>
          <w:color w:val="000000"/>
        </w:rPr>
        <w:t>)</w:t>
      </w:r>
    </w:p>
    <w:p w14:paraId="7F3C75C8">
      <w:pPr>
        <w:ind w:firstLine="560"/>
        <w:rPr>
          <w:color w:val="000000"/>
        </w:rPr>
      </w:pPr>
      <w:r>
        <w:rPr>
          <w:color w:val="000000"/>
        </w:rPr>
        <w:t>[</w:t>
      </w:r>
      <w:r>
        <w:rPr>
          <w:rFonts w:hint="eastAsia"/>
          <w:color w:val="000000"/>
        </w:rPr>
        <w:t>19</w:t>
      </w:r>
      <w:r>
        <w:rPr>
          <w:color w:val="000000"/>
        </w:rPr>
        <w:t>]</w:t>
      </w:r>
      <w:r>
        <w:rPr>
          <w:rFonts w:hint="eastAsia"/>
          <w:color w:val="000000"/>
        </w:rPr>
        <w:t>《公路工程施工安全技术规范》（</w:t>
      </w:r>
      <w:r>
        <w:rPr>
          <w:color w:val="000000"/>
        </w:rPr>
        <w:t xml:space="preserve">JTG F90-2015 </w:t>
      </w:r>
      <w:r>
        <w:rPr>
          <w:rFonts w:hint="eastAsia"/>
          <w:color w:val="000000"/>
        </w:rPr>
        <w:t>）</w:t>
      </w:r>
    </w:p>
    <w:p w14:paraId="4E139ABB">
      <w:pPr>
        <w:ind w:firstLine="560"/>
        <w:rPr>
          <w:rFonts w:hint="eastAsia"/>
          <w:color w:val="000000"/>
        </w:rPr>
      </w:pPr>
      <w:r>
        <w:rPr>
          <w:color w:val="000000"/>
        </w:rPr>
        <w:t>[</w:t>
      </w:r>
      <w:r>
        <w:rPr>
          <w:rFonts w:hint="eastAsia"/>
          <w:color w:val="000000"/>
        </w:rPr>
        <w:t>20</w:t>
      </w:r>
      <w:r>
        <w:rPr>
          <w:color w:val="000000"/>
        </w:rPr>
        <w:t>]</w:t>
      </w:r>
      <w:r>
        <w:rPr>
          <w:rFonts w:hint="eastAsia"/>
          <w:color w:val="000000"/>
        </w:rPr>
        <w:t>《施工现场临时用电安全技术规范》（</w:t>
      </w:r>
      <w:r>
        <w:rPr>
          <w:color w:val="000000"/>
        </w:rPr>
        <w:t>JGJ46-2005</w:t>
      </w:r>
      <w:r>
        <w:rPr>
          <w:rFonts w:hint="eastAsia"/>
          <w:color w:val="000000"/>
        </w:rPr>
        <w:t>）</w:t>
      </w:r>
    </w:p>
    <w:p w14:paraId="23C52228">
      <w:pPr>
        <w:ind w:firstLine="560"/>
        <w:rPr>
          <w:rFonts w:hint="eastAsia"/>
          <w:color w:val="000000"/>
        </w:rPr>
      </w:pPr>
      <w:r>
        <w:rPr>
          <w:rFonts w:hint="eastAsia"/>
          <w:color w:val="000000"/>
          <w:lang w:val="en-US" w:eastAsia="zh-CN"/>
        </w:rPr>
        <w:t>[21]</w:t>
      </w:r>
      <w:r>
        <w:rPr>
          <w:rFonts w:hint="eastAsia"/>
          <w:color w:val="000000"/>
        </w:rPr>
        <w:t>《起重机械安全技术规程》（TSG 51-2023）</w:t>
      </w:r>
    </w:p>
    <w:p w14:paraId="2DE30523">
      <w:pPr>
        <w:ind w:firstLine="560"/>
      </w:pPr>
      <w:r>
        <w:rPr>
          <w:color w:val="000000"/>
        </w:rPr>
        <w:t>[</w:t>
      </w:r>
      <w:r>
        <w:rPr>
          <w:rFonts w:hint="eastAsia"/>
          <w:color w:val="000000"/>
        </w:rPr>
        <w:t>2</w:t>
      </w:r>
      <w:r>
        <w:rPr>
          <w:rFonts w:hint="eastAsia"/>
          <w:color w:val="000000"/>
          <w:lang w:val="en-US" w:eastAsia="zh-CN"/>
        </w:rPr>
        <w:t>2</w:t>
      </w:r>
      <w:r>
        <w:rPr>
          <w:color w:val="000000"/>
        </w:rPr>
        <w:t xml:space="preserve">] </w:t>
      </w:r>
      <w:bookmarkStart w:id="62" w:name="_Toc19823"/>
      <w:bookmarkStart w:id="63" w:name="_Toc19237"/>
      <w:bookmarkStart w:id="64" w:name="_Toc16460"/>
      <w:bookmarkStart w:id="65" w:name="_Toc3672"/>
      <w:bookmarkStart w:id="66" w:name="_Toc11265"/>
      <w:bookmarkStart w:id="67" w:name="_Toc24559"/>
      <w:bookmarkStart w:id="68" w:name="_Toc14535"/>
      <w:bookmarkStart w:id="69" w:name="_Toc4539"/>
      <w:bookmarkStart w:id="70" w:name="_Toc14821"/>
      <w:bookmarkStart w:id="71" w:name="_Toc13106"/>
      <w:bookmarkStart w:id="72" w:name="_Toc1855"/>
      <w:bookmarkStart w:id="73" w:name="_Toc26335"/>
      <w:bookmarkStart w:id="74" w:name="_Toc25765"/>
      <w:bookmarkStart w:id="75" w:name="_Toc28189"/>
      <w:bookmarkStart w:id="76" w:name="_Toc30101"/>
      <w:r>
        <w:rPr>
          <w:rFonts w:hint="eastAsia"/>
        </w:rPr>
        <w:t>徐工《</w:t>
      </w:r>
      <w:r>
        <w:rPr>
          <w:rFonts w:hint="eastAsia"/>
          <w:lang w:eastAsia="zh-CN"/>
        </w:rPr>
        <w:t>XGT6015-8S1</w:t>
      </w:r>
      <w:r>
        <w:rPr>
          <w:rFonts w:hint="eastAsia"/>
        </w:rPr>
        <w:t>塔式起重机使用说明书》</w:t>
      </w:r>
    </w:p>
    <w:p w14:paraId="7948D7F1">
      <w:pPr>
        <w:pStyle w:val="3"/>
        <w:rPr>
          <w:rFonts w:ascii="Times New Roman" w:hAnsi="Times New Roman"/>
          <w:color w:val="000000"/>
        </w:rPr>
      </w:pPr>
      <w:bookmarkStart w:id="77" w:name="_Toc31152"/>
      <w:r>
        <w:rPr>
          <w:rFonts w:hint="eastAsia"/>
          <w:color w:val="000000"/>
        </w:rPr>
        <w:t>1.2 编制原则</w:t>
      </w:r>
      <w:bookmarkEnd w:id="77"/>
    </w:p>
    <w:p w14:paraId="7A913CA5">
      <w:pPr>
        <w:widowControl/>
        <w:adjustRightInd w:val="0"/>
        <w:ind w:firstLine="560"/>
        <w:jc w:val="left"/>
        <w:rPr>
          <w:color w:val="000000"/>
        </w:rPr>
      </w:pPr>
      <w:r>
        <w:rPr>
          <w:rFonts w:hint="eastAsia"/>
          <w:color w:val="000000"/>
        </w:rPr>
        <w:t>（1）安全第一的原则，坚持“安全第一，预防为主，综合治理”的指导思想，遵守国家安全相关法律法规，结合工程特点，制定积极有效的安全管理、技术、组织措施，确保人身安全和工程安全。</w:t>
      </w:r>
    </w:p>
    <w:p w14:paraId="30D08F23">
      <w:pPr>
        <w:widowControl/>
        <w:adjustRightInd w:val="0"/>
        <w:ind w:firstLine="560"/>
        <w:jc w:val="left"/>
        <w:rPr>
          <w:color w:val="000000"/>
        </w:rPr>
      </w:pPr>
      <w:r>
        <w:rPr>
          <w:rFonts w:hint="eastAsia"/>
          <w:color w:val="000000"/>
        </w:rPr>
        <w:t>（2）确保工期的原则，根据工程施工组织安排，编制科学的、合理的、周密的施工方案，合理安排塔柱施工进度，实行网络控制，做好工序衔接，实施进度监控，确保实现工期目标，满足业主要求。</w:t>
      </w:r>
    </w:p>
    <w:p w14:paraId="4C0FFBAB">
      <w:pPr>
        <w:widowControl/>
        <w:adjustRightInd w:val="0"/>
        <w:ind w:firstLine="560"/>
        <w:jc w:val="left"/>
      </w:pPr>
      <w:r>
        <w:rPr>
          <w:rFonts w:hint="eastAsia"/>
          <w:color w:val="000000"/>
        </w:rPr>
        <w:t>（3）方案优化的原则，科学组织，合理安排，以采用成熟的施工技术、先进的机械、完善的施工工艺为原则。</w:t>
      </w:r>
    </w:p>
    <w:p w14:paraId="1C36B3AD">
      <w:pPr>
        <w:pStyle w:val="3"/>
        <w:rPr>
          <w:color w:val="000000"/>
        </w:rPr>
      </w:pPr>
      <w:bookmarkStart w:id="78" w:name="_Toc5169"/>
      <w:r>
        <w:rPr>
          <w:rFonts w:hint="eastAsia"/>
          <w:color w:val="000000"/>
        </w:rPr>
        <w:t>1.3 编制范围</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8"/>
    </w:p>
    <w:p w14:paraId="7997C48B">
      <w:pPr>
        <w:widowControl/>
        <w:adjustRightInd w:val="0"/>
        <w:ind w:firstLine="560"/>
        <w:jc w:val="left"/>
        <w:rPr>
          <w:color w:val="000000"/>
        </w:rPr>
      </w:pPr>
      <w:r>
        <w:rPr>
          <w:rFonts w:hint="eastAsia"/>
          <w:color w:val="000000"/>
        </w:rPr>
        <w:t>本方案适用于新建合肥至武汉高速铁路（湖北段）站前工程HWZQ-4标段黄花涝府河特大桥</w:t>
      </w:r>
      <w:r>
        <w:rPr>
          <w:rFonts w:hint="eastAsia"/>
          <w:color w:val="000000"/>
          <w:lang w:val="en-US" w:eastAsia="zh-CN"/>
        </w:rPr>
        <w:t>144</w:t>
      </w:r>
      <w:r>
        <w:rPr>
          <w:rFonts w:hint="eastAsia"/>
          <w:color w:val="000000"/>
        </w:rPr>
        <w:t>#墩</w:t>
      </w:r>
      <w:r>
        <w:rPr>
          <w:rFonts w:hint="eastAsia"/>
          <w:color w:val="000000"/>
          <w:lang w:eastAsia="zh-CN"/>
        </w:rPr>
        <w:t>、</w:t>
      </w:r>
      <w:r>
        <w:rPr>
          <w:rFonts w:hint="eastAsia"/>
          <w:color w:val="000000"/>
          <w:lang w:val="en-US" w:eastAsia="zh-CN"/>
        </w:rPr>
        <w:t>143#墩</w:t>
      </w:r>
      <w:r>
        <w:rPr>
          <w:rFonts w:hint="eastAsia"/>
          <w:color w:val="000000"/>
          <w:lang w:eastAsia="zh-CN"/>
        </w:rPr>
        <w:t>XGT6015-8S1型</w:t>
      </w:r>
      <w:r>
        <w:rPr>
          <w:rFonts w:hint="eastAsia"/>
          <w:color w:val="000000"/>
        </w:rPr>
        <w:t>塔式起重机安拆施工。</w:t>
      </w:r>
    </w:p>
    <w:p w14:paraId="4E5BFA63">
      <w:pPr>
        <w:ind w:firstLine="560"/>
        <w:rPr>
          <w:rFonts w:hint="eastAsia" w:eastAsia="仿宋" w:cs="仿宋"/>
          <w:bCs/>
          <w:color w:val="000000"/>
          <w:kern w:val="44"/>
          <w:szCs w:val="44"/>
          <w:lang w:val="en-US" w:eastAsia="zh-CN"/>
        </w:rPr>
      </w:pPr>
      <w:bookmarkStart w:id="79" w:name="_Toc6722"/>
      <w:r>
        <w:rPr>
          <w:rFonts w:hint="eastAsia" w:cs="仿宋"/>
          <w:bCs/>
          <w:color w:val="000000"/>
          <w:kern w:val="44"/>
          <w:szCs w:val="44"/>
          <w:lang w:val="en-US" w:eastAsia="zh-CN"/>
        </w:rPr>
        <w:t xml:space="preserve"> </w:t>
      </w:r>
    </w:p>
    <w:p w14:paraId="39A18567">
      <w:pPr>
        <w:pStyle w:val="2"/>
        <w:ind w:left="1960" w:right="1960"/>
        <w:rPr>
          <w:color w:val="000000"/>
        </w:rPr>
      </w:pPr>
      <w:bookmarkStart w:id="80" w:name="_Toc25032"/>
      <w:bookmarkStart w:id="81" w:name="_Toc7455"/>
      <w:bookmarkStart w:id="82" w:name="_Toc1259"/>
      <w:bookmarkStart w:id="83" w:name="_Toc2670"/>
      <w:bookmarkStart w:id="84" w:name="_Toc668"/>
      <w:bookmarkStart w:id="85" w:name="_Toc9989"/>
      <w:bookmarkStart w:id="86" w:name="_Toc30497"/>
      <w:bookmarkStart w:id="87" w:name="_Toc23740"/>
      <w:bookmarkStart w:id="88" w:name="_Toc15747"/>
      <w:bookmarkStart w:id="89" w:name="_Toc20439"/>
      <w:bookmarkStart w:id="90" w:name="_Toc26925"/>
      <w:bookmarkStart w:id="91" w:name="_Toc32171"/>
      <w:bookmarkStart w:id="92" w:name="_Toc7598"/>
      <w:bookmarkStart w:id="93" w:name="_Toc24863"/>
      <w:bookmarkStart w:id="94" w:name="_Toc31276"/>
      <w:r>
        <w:rPr>
          <w:rFonts w:hint="eastAsia"/>
          <w:color w:val="000000"/>
        </w:rPr>
        <w:t>第二章 工程概况</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0487874E">
      <w:pPr>
        <w:pStyle w:val="3"/>
        <w:rPr>
          <w:color w:val="000000"/>
        </w:rPr>
      </w:pPr>
      <w:bookmarkStart w:id="95" w:name="_Toc7670"/>
      <w:bookmarkStart w:id="96" w:name="_Toc14286"/>
      <w:bookmarkStart w:id="97" w:name="_Toc17559"/>
      <w:bookmarkStart w:id="98" w:name="_Toc14049"/>
      <w:bookmarkStart w:id="99" w:name="_Toc10611"/>
      <w:bookmarkStart w:id="100" w:name="_Toc31978"/>
      <w:bookmarkStart w:id="101" w:name="_Toc20636"/>
      <w:bookmarkStart w:id="102" w:name="_Toc24560"/>
      <w:bookmarkStart w:id="103" w:name="_Toc32454"/>
      <w:bookmarkStart w:id="104" w:name="_Toc21266"/>
      <w:bookmarkStart w:id="105" w:name="_Toc18349"/>
      <w:bookmarkStart w:id="106" w:name="_Toc6653"/>
      <w:bookmarkStart w:id="107" w:name="_Toc27851"/>
      <w:bookmarkStart w:id="108" w:name="_Toc13963"/>
      <w:bookmarkStart w:id="109" w:name="_Toc25631"/>
      <w:r>
        <w:rPr>
          <w:rFonts w:hint="eastAsia"/>
          <w:color w:val="000000"/>
        </w:rPr>
        <w:t>2.1 工程概况</w:t>
      </w:r>
      <w:bookmarkEnd w:id="95"/>
      <w:bookmarkEnd w:id="96"/>
      <w:bookmarkEnd w:id="97"/>
      <w:bookmarkEnd w:id="98"/>
      <w:bookmarkEnd w:id="99"/>
      <w:bookmarkEnd w:id="100"/>
      <w:bookmarkEnd w:id="101"/>
    </w:p>
    <w:p w14:paraId="5E5E685E">
      <w:pPr>
        <w:ind w:firstLine="560"/>
        <w:outlineLvl w:val="2"/>
        <w:rPr>
          <w:rFonts w:ascii="黑体" w:hAnsi="黑体" w:eastAsia="黑体" w:cs="黑体"/>
          <w:color w:val="000000"/>
        </w:rPr>
      </w:pPr>
      <w:r>
        <w:rPr>
          <w:rFonts w:hint="eastAsia" w:ascii="黑体" w:hAnsi="黑体" w:eastAsia="黑体" w:cs="黑体"/>
          <w:color w:val="000000"/>
        </w:rPr>
        <w:t>2.1.1 工程概况</w:t>
      </w:r>
    </w:p>
    <w:p w14:paraId="01C559E0">
      <w:pPr>
        <w:ind w:firstLine="480"/>
      </w:pPr>
      <w:r>
        <w:rPr>
          <w:rFonts w:hint="eastAsia"/>
        </w:rPr>
        <w:t>新建合肥至武汉高速铁路（湖北段）</w:t>
      </w:r>
      <w:r>
        <w:t>HWZQ-4</w:t>
      </w:r>
      <w:r>
        <w:rPr>
          <w:rFonts w:hint="eastAsia"/>
        </w:rPr>
        <w:t>标黄花涝府河特大桥、142#~145#墩跨府河大堤（48+80+48）m连续梁。桥梁采用跨度为（48+80+48）m的预应力混凝土连续梁，计算总长177.5m。</w:t>
      </w:r>
    </w:p>
    <w:p w14:paraId="78D6BD31">
      <w:pPr>
        <w:spacing w:line="240" w:lineRule="auto"/>
        <w:ind w:firstLine="0" w:firstLineChars="0"/>
        <w:jc w:val="center"/>
      </w:pPr>
      <w:r>
        <w:drawing>
          <wp:inline distT="0" distB="0" distL="114300" distR="114300">
            <wp:extent cx="5573395" cy="2259965"/>
            <wp:effectExtent l="0" t="0" r="8255" b="6985"/>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12"/>
                    <a:stretch>
                      <a:fillRect/>
                    </a:stretch>
                  </pic:blipFill>
                  <pic:spPr>
                    <a:xfrm>
                      <a:off x="0" y="0"/>
                      <a:ext cx="5573395" cy="2259965"/>
                    </a:xfrm>
                    <a:prstGeom prst="rect">
                      <a:avLst/>
                    </a:prstGeom>
                    <a:noFill/>
                    <a:ln>
                      <a:noFill/>
                    </a:ln>
                  </pic:spPr>
                </pic:pic>
              </a:graphicData>
            </a:graphic>
          </wp:inline>
        </w:drawing>
      </w:r>
    </w:p>
    <w:p w14:paraId="7D5BCD28">
      <w:pPr>
        <w:pStyle w:val="7"/>
        <w:numPr>
          <w:ilvl w:val="5"/>
          <w:numId w:val="0"/>
        </w:numPr>
        <w:ind w:left="0" w:leftChars="0" w:firstLine="0" w:firstLineChars="0"/>
      </w:pPr>
      <w:r>
        <w:rPr>
          <w:rFonts w:hint="eastAsia" w:ascii="黑体" w:hAnsi="宋体" w:eastAsia="黑体" w:cs="宋体"/>
          <w:b/>
          <w:i w:val="0"/>
          <w:kern w:val="2"/>
          <w:sz w:val="21"/>
          <w:szCs w:val="21"/>
          <w:lang w:val="en-US" w:eastAsia="zh-CN" w:bidi="ar-SA"/>
        </w:rPr>
        <w:t>图</w:t>
      </w:r>
      <w:r>
        <w:rPr>
          <w:rFonts w:hint="eastAsia" w:ascii="黑体" w:hAnsi="宋体" w:cs="宋体"/>
          <w:b/>
          <w:i w:val="0"/>
          <w:kern w:val="2"/>
          <w:sz w:val="21"/>
          <w:szCs w:val="21"/>
          <w:lang w:val="en-US" w:eastAsia="zh-CN" w:bidi="ar-SA"/>
        </w:rPr>
        <w:t>2-1</w:t>
      </w:r>
      <w:r>
        <w:rPr>
          <w:rFonts w:hint="eastAsia" w:ascii="黑体" w:hAnsi="宋体" w:eastAsia="黑体" w:cs="宋体"/>
          <w:b/>
          <w:i w:val="0"/>
          <w:kern w:val="2"/>
          <w:sz w:val="21"/>
          <w:szCs w:val="21"/>
          <w:lang w:val="en-US" w:eastAsia="zh-CN" w:bidi="ar-SA"/>
        </w:rPr>
        <w:t xml:space="preserve"> </w:t>
      </w:r>
      <w:r>
        <w:rPr>
          <w:rFonts w:hint="eastAsia"/>
        </w:rPr>
        <w:t>合武高铁H</w:t>
      </w:r>
      <w:r>
        <w:t>WZQ-</w:t>
      </w:r>
      <w:r>
        <w:rPr>
          <w:rFonts w:hint="eastAsia"/>
        </w:rPr>
        <w:t>4 142#~145#墩连续梁施工布置图</w:t>
      </w:r>
    </w:p>
    <w:p w14:paraId="67A54339">
      <w:pPr>
        <w:ind w:firstLine="560"/>
        <w:outlineLvl w:val="2"/>
        <w:rPr>
          <w:rFonts w:hint="eastAsia" w:ascii="黑体" w:hAnsi="黑体" w:eastAsia="黑体" w:cs="黑体"/>
          <w:color w:val="000000"/>
        </w:rPr>
      </w:pPr>
      <w:r>
        <w:rPr>
          <w:rFonts w:hint="eastAsia" w:ascii="黑体" w:hAnsi="黑体" w:eastAsia="黑体" w:cs="黑体"/>
          <w:color w:val="000000"/>
        </w:rPr>
        <w:t>2.1.</w:t>
      </w:r>
      <w:r>
        <w:rPr>
          <w:rFonts w:ascii="黑体" w:hAnsi="黑体" w:eastAsia="黑体" w:cs="黑体"/>
          <w:color w:val="000000"/>
        </w:rPr>
        <w:t>2</w:t>
      </w:r>
      <w:r>
        <w:rPr>
          <w:rFonts w:hint="eastAsia" w:ascii="黑体" w:hAnsi="黑体" w:eastAsia="黑体" w:cs="黑体"/>
          <w:color w:val="000000"/>
        </w:rPr>
        <w:t xml:space="preserve"> 结构形式</w:t>
      </w:r>
    </w:p>
    <w:p w14:paraId="32AC0F4D">
      <w:pPr>
        <w:ind w:firstLine="480"/>
      </w:pPr>
      <w:r>
        <w:rPr>
          <w:rFonts w:hint="eastAsia"/>
        </w:rPr>
        <w:t>（48+80+48）m预应力混凝土连续箱梁截面采用单箱单室、变高度、变截面直腹板形式。梁全长177.5m，中支点截面中心线处梁高6.635m，跨中9m直线段及边跨13.25m直线段截面中心线处梁高3.835m，梁底下缘按二次抛物线变化。边支座中心线至梁端0.75m，梁缝分界线至梁端0.1m。边支座横桥向中心距5.3m，中支座横桥向中心距5.8m。</w:t>
      </w:r>
    </w:p>
    <w:p w14:paraId="0FA8DE81">
      <w:pPr>
        <w:ind w:firstLine="480"/>
      </w:pPr>
      <w:r>
        <w:rPr>
          <w:rFonts w:hint="eastAsia"/>
        </w:rPr>
        <w:t>梁顶宽12.6m，底宽6.7m。顶板厚度为38.5～63.5cm；腹板厚48～90cm，按折线变化端点60cm，依次变为48、70、90cm，到中支点处腹板局部加厚到90cm；底板厚由端点80cm，变为40cm，再折线变化至支点的90cm。全联在端支点、中跨共设置4个横隔板，边支座横隔板厚度为1.15m，中支点处横隔板厚度2.4m，横隔板处均设有孔洞，供检查人员通过。箱梁采用纵向、横向预应力体系，箱梁支点处设置横向预应力</w:t>
      </w:r>
    </w:p>
    <w:p w14:paraId="4F27DF00">
      <w:pPr>
        <w:spacing w:line="240" w:lineRule="auto"/>
        <w:ind w:firstLine="0" w:firstLineChars="0"/>
      </w:pPr>
      <w:r>
        <w:drawing>
          <wp:inline distT="0" distB="0" distL="0" distR="0">
            <wp:extent cx="1807210" cy="1774825"/>
            <wp:effectExtent l="0" t="0" r="2540" b="15875"/>
            <wp:docPr id="6344084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408459" name="图片 1"/>
                    <pic:cNvPicPr>
                      <a:picLocks noChangeAspect="1"/>
                    </pic:cNvPicPr>
                  </pic:nvPicPr>
                  <pic:blipFill>
                    <a:blip r:embed="rId13"/>
                    <a:stretch>
                      <a:fillRect/>
                    </a:stretch>
                  </pic:blipFill>
                  <pic:spPr>
                    <a:xfrm>
                      <a:off x="0" y="0"/>
                      <a:ext cx="1869825" cy="1836373"/>
                    </a:xfrm>
                    <a:prstGeom prst="rect">
                      <a:avLst/>
                    </a:prstGeom>
                  </pic:spPr>
                </pic:pic>
              </a:graphicData>
            </a:graphic>
          </wp:inline>
        </w:drawing>
      </w:r>
      <w:r>
        <w:drawing>
          <wp:inline distT="0" distB="0" distL="0" distR="0">
            <wp:extent cx="3017520" cy="1816100"/>
            <wp:effectExtent l="0" t="0" r="11430" b="12700"/>
            <wp:docPr id="13860629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062952" name="图片 1"/>
                    <pic:cNvPicPr>
                      <a:picLocks noChangeAspect="1"/>
                    </pic:cNvPicPr>
                  </pic:nvPicPr>
                  <pic:blipFill>
                    <a:blip r:embed="rId14"/>
                    <a:stretch>
                      <a:fillRect/>
                    </a:stretch>
                  </pic:blipFill>
                  <pic:spPr>
                    <a:xfrm>
                      <a:off x="0" y="0"/>
                      <a:ext cx="3074001" cy="1850183"/>
                    </a:xfrm>
                    <a:prstGeom prst="rect">
                      <a:avLst/>
                    </a:prstGeom>
                  </pic:spPr>
                </pic:pic>
              </a:graphicData>
            </a:graphic>
          </wp:inline>
        </w:drawing>
      </w:r>
    </w:p>
    <w:p w14:paraId="2836F204">
      <w:pPr>
        <w:pStyle w:val="7"/>
        <w:numPr>
          <w:ilvl w:val="5"/>
          <w:numId w:val="0"/>
        </w:numPr>
        <w:ind w:left="0" w:leftChars="0" w:firstLine="0" w:firstLineChars="0"/>
      </w:pPr>
      <w:r>
        <w:rPr>
          <w:rFonts w:hint="eastAsia" w:ascii="黑体" w:hAnsi="宋体" w:eastAsia="黑体" w:cs="宋体"/>
          <w:b/>
          <w:i w:val="0"/>
          <w:kern w:val="2"/>
          <w:sz w:val="21"/>
          <w:szCs w:val="21"/>
          <w:lang w:val="en-US" w:eastAsia="zh-CN" w:bidi="ar-SA"/>
        </w:rPr>
        <w:t>图</w:t>
      </w:r>
      <w:r>
        <w:rPr>
          <w:rFonts w:hint="eastAsia" w:ascii="黑体" w:hAnsi="宋体" w:cs="宋体"/>
          <w:b/>
          <w:i w:val="0"/>
          <w:kern w:val="2"/>
          <w:sz w:val="21"/>
          <w:szCs w:val="21"/>
          <w:lang w:val="en-US" w:eastAsia="zh-CN" w:bidi="ar-SA"/>
        </w:rPr>
        <w:t>2</w:t>
      </w:r>
      <w:r>
        <w:rPr>
          <w:rFonts w:hint="eastAsia" w:ascii="黑体" w:hAnsi="宋体" w:eastAsia="黑体" w:cs="宋体"/>
          <w:b/>
          <w:i w:val="0"/>
          <w:kern w:val="2"/>
          <w:sz w:val="21"/>
          <w:szCs w:val="21"/>
          <w:lang w:val="en-US" w:eastAsia="zh-CN" w:bidi="ar-SA"/>
        </w:rPr>
        <w:t>-</w:t>
      </w:r>
      <w:r>
        <w:rPr>
          <w:rFonts w:hint="eastAsia" w:ascii="黑体" w:hAnsi="宋体" w:cs="宋体"/>
          <w:b/>
          <w:i w:val="0"/>
          <w:kern w:val="2"/>
          <w:sz w:val="21"/>
          <w:szCs w:val="21"/>
          <w:lang w:val="en-US" w:eastAsia="zh-CN" w:bidi="ar-SA"/>
        </w:rPr>
        <w:t>2</w:t>
      </w:r>
      <w:r>
        <w:rPr>
          <w:rFonts w:hint="eastAsia" w:ascii="黑体" w:hAnsi="宋体" w:eastAsia="黑体" w:cs="宋体"/>
          <w:b/>
          <w:i w:val="0"/>
          <w:kern w:val="2"/>
          <w:sz w:val="21"/>
          <w:szCs w:val="21"/>
          <w:lang w:val="en-US" w:eastAsia="zh-CN" w:bidi="ar-SA"/>
        </w:rPr>
        <w:t xml:space="preserve"> </w:t>
      </w:r>
      <w:r>
        <w:rPr>
          <w:rFonts w:hint="eastAsia"/>
        </w:rPr>
        <w:t>主梁截面图（单位：cm）</w:t>
      </w:r>
    </w:p>
    <w:p w14:paraId="33AC66D4">
      <w:pPr>
        <w:ind w:firstLine="480"/>
      </w:pPr>
      <w:r>
        <w:rPr>
          <w:rFonts w:hint="eastAsia"/>
        </w:rPr>
        <w:t>80m连续梁采用悬臂浇筑法施工，全桥分成13个块段（含0#块）施工，0#块长度为12m，其余块段长2.7m、3.1m或3.5m，边跨直线段长7.75m，边跨合龙段长2m，中跨合龙段长2m。</w:t>
      </w:r>
    </w:p>
    <w:p w14:paraId="08A6DFB0">
      <w:pPr>
        <w:ind w:firstLine="480"/>
      </w:pPr>
      <w:r>
        <w:rPr>
          <w:rFonts w:hint="eastAsia"/>
        </w:rPr>
        <w:t>连续箱梁主梁最大悬臂施工长度33米，悬臂施工1#～10#共10个号块；边跨直线段施工12#块，合龙段施工11#块；悬臂施工节段4#重量最大为153.449t，设计要求施工挂篮自重不超过800kN。</w:t>
      </w:r>
    </w:p>
    <w:p w14:paraId="38E85DA7">
      <w:pPr>
        <w:spacing w:line="240" w:lineRule="auto"/>
        <w:ind w:firstLine="0" w:firstLineChars="0"/>
      </w:pPr>
      <w:r>
        <w:drawing>
          <wp:inline distT="0" distB="0" distL="0" distR="0">
            <wp:extent cx="6031230" cy="1333500"/>
            <wp:effectExtent l="0" t="0" r="7620" b="0"/>
            <wp:docPr id="8073132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13229" name="图片 1"/>
                    <pic:cNvPicPr>
                      <a:picLocks noChangeAspect="1"/>
                    </pic:cNvPicPr>
                  </pic:nvPicPr>
                  <pic:blipFill>
                    <a:blip r:embed="rId15"/>
                    <a:stretch>
                      <a:fillRect/>
                    </a:stretch>
                  </pic:blipFill>
                  <pic:spPr>
                    <a:xfrm>
                      <a:off x="0" y="0"/>
                      <a:ext cx="6031230" cy="1344053"/>
                    </a:xfrm>
                    <a:prstGeom prst="rect">
                      <a:avLst/>
                    </a:prstGeom>
                  </pic:spPr>
                </pic:pic>
              </a:graphicData>
            </a:graphic>
          </wp:inline>
        </w:drawing>
      </w:r>
    </w:p>
    <w:p w14:paraId="7E1ECB2F">
      <w:pPr>
        <w:pStyle w:val="7"/>
        <w:numPr>
          <w:ilvl w:val="5"/>
          <w:numId w:val="0"/>
        </w:numPr>
        <w:ind w:left="0" w:leftChars="0" w:firstLine="0" w:firstLineChars="0"/>
      </w:pPr>
      <w:r>
        <w:rPr>
          <w:rFonts w:hint="eastAsia" w:ascii="黑体" w:hAnsi="宋体" w:eastAsia="黑体" w:cs="宋体"/>
          <w:b/>
          <w:i w:val="0"/>
          <w:kern w:val="2"/>
          <w:sz w:val="21"/>
          <w:szCs w:val="21"/>
          <w:lang w:val="en-US" w:eastAsia="zh-CN" w:bidi="ar-SA"/>
        </w:rPr>
        <w:t>图</w:t>
      </w:r>
      <w:r>
        <w:rPr>
          <w:rFonts w:hint="eastAsia" w:ascii="黑体" w:hAnsi="宋体" w:cs="宋体"/>
          <w:b/>
          <w:i w:val="0"/>
          <w:kern w:val="2"/>
          <w:sz w:val="21"/>
          <w:szCs w:val="21"/>
          <w:lang w:val="en-US" w:eastAsia="zh-CN" w:bidi="ar-SA"/>
        </w:rPr>
        <w:t>2</w:t>
      </w:r>
      <w:r>
        <w:rPr>
          <w:rFonts w:hint="eastAsia" w:ascii="黑体" w:hAnsi="宋体" w:eastAsia="黑体" w:cs="宋体"/>
          <w:b/>
          <w:i w:val="0"/>
          <w:kern w:val="2"/>
          <w:sz w:val="21"/>
          <w:szCs w:val="21"/>
          <w:lang w:val="en-US" w:eastAsia="zh-CN" w:bidi="ar-SA"/>
        </w:rPr>
        <w:t>-</w:t>
      </w:r>
      <w:r>
        <w:rPr>
          <w:rFonts w:hint="eastAsia" w:ascii="黑体" w:hAnsi="宋体" w:cs="宋体"/>
          <w:b/>
          <w:i w:val="0"/>
          <w:kern w:val="2"/>
          <w:sz w:val="21"/>
          <w:szCs w:val="21"/>
          <w:lang w:val="en-US" w:eastAsia="zh-CN" w:bidi="ar-SA"/>
        </w:rPr>
        <w:t xml:space="preserve">3 </w:t>
      </w:r>
      <w:r>
        <w:rPr>
          <w:rFonts w:hint="eastAsia"/>
        </w:rPr>
        <w:t>边跨悬臂节段结构图（单位：cm）</w:t>
      </w:r>
    </w:p>
    <w:p w14:paraId="45292555">
      <w:pPr>
        <w:spacing w:line="240" w:lineRule="auto"/>
        <w:ind w:firstLine="0" w:firstLineChars="0"/>
      </w:pPr>
      <w:r>
        <w:drawing>
          <wp:inline distT="0" distB="0" distL="0" distR="0">
            <wp:extent cx="6009640" cy="1464945"/>
            <wp:effectExtent l="0" t="0" r="10160" b="1905"/>
            <wp:docPr id="15850779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077989" name="图片 1"/>
                    <pic:cNvPicPr>
                      <a:picLocks noChangeAspect="1"/>
                    </pic:cNvPicPr>
                  </pic:nvPicPr>
                  <pic:blipFill>
                    <a:blip r:embed="rId16"/>
                    <a:stretch>
                      <a:fillRect/>
                    </a:stretch>
                  </pic:blipFill>
                  <pic:spPr>
                    <a:xfrm>
                      <a:off x="0" y="0"/>
                      <a:ext cx="6009640" cy="1464945"/>
                    </a:xfrm>
                    <a:prstGeom prst="rect">
                      <a:avLst/>
                    </a:prstGeom>
                  </pic:spPr>
                </pic:pic>
              </a:graphicData>
            </a:graphic>
          </wp:inline>
        </w:drawing>
      </w:r>
    </w:p>
    <w:p w14:paraId="3E7EED96">
      <w:pPr>
        <w:pStyle w:val="7"/>
        <w:numPr>
          <w:ilvl w:val="5"/>
          <w:numId w:val="0"/>
        </w:numPr>
        <w:ind w:left="0" w:leftChars="0" w:firstLine="0" w:firstLineChars="0"/>
        <w:rPr>
          <w:rFonts w:hint="eastAsia"/>
        </w:rPr>
      </w:pPr>
      <w:r>
        <w:rPr>
          <w:rFonts w:hint="eastAsia" w:ascii="黑体" w:hAnsi="宋体" w:eastAsia="黑体" w:cs="宋体"/>
          <w:b/>
          <w:i w:val="0"/>
          <w:kern w:val="2"/>
          <w:sz w:val="21"/>
          <w:szCs w:val="21"/>
          <w:lang w:val="en-US" w:eastAsia="zh-CN" w:bidi="ar-SA"/>
        </w:rPr>
        <w:t>图</w:t>
      </w:r>
      <w:r>
        <w:rPr>
          <w:rFonts w:hint="eastAsia" w:ascii="黑体" w:hAnsi="宋体" w:cs="宋体"/>
          <w:b/>
          <w:i w:val="0"/>
          <w:kern w:val="2"/>
          <w:sz w:val="21"/>
          <w:szCs w:val="21"/>
          <w:lang w:val="en-US" w:eastAsia="zh-CN" w:bidi="ar-SA"/>
        </w:rPr>
        <w:t>2</w:t>
      </w:r>
      <w:r>
        <w:rPr>
          <w:rFonts w:hint="eastAsia" w:ascii="黑体" w:hAnsi="宋体" w:eastAsia="黑体" w:cs="宋体"/>
          <w:b/>
          <w:i w:val="0"/>
          <w:kern w:val="2"/>
          <w:sz w:val="21"/>
          <w:szCs w:val="21"/>
          <w:lang w:val="en-US" w:eastAsia="zh-CN" w:bidi="ar-SA"/>
        </w:rPr>
        <w:t>-</w:t>
      </w:r>
      <w:r>
        <w:rPr>
          <w:rFonts w:hint="eastAsia" w:ascii="黑体" w:hAnsi="宋体" w:cs="宋体"/>
          <w:b/>
          <w:i w:val="0"/>
          <w:kern w:val="2"/>
          <w:sz w:val="21"/>
          <w:szCs w:val="21"/>
          <w:lang w:val="en-US" w:eastAsia="zh-CN" w:bidi="ar-SA"/>
        </w:rPr>
        <w:t>4</w:t>
      </w:r>
      <w:r>
        <w:rPr>
          <w:rFonts w:hint="eastAsia" w:ascii="黑体" w:hAnsi="宋体" w:eastAsia="黑体" w:cs="宋体"/>
          <w:b/>
          <w:i w:val="0"/>
          <w:kern w:val="2"/>
          <w:sz w:val="21"/>
          <w:szCs w:val="21"/>
          <w:lang w:val="en-US" w:eastAsia="zh-CN" w:bidi="ar-SA"/>
        </w:rPr>
        <w:t xml:space="preserve"> </w:t>
      </w:r>
      <w:r>
        <w:rPr>
          <w:rFonts w:hint="eastAsia"/>
        </w:rPr>
        <w:t>中跨悬臂节段结构图（单位：cm）</w:t>
      </w:r>
    </w:p>
    <w:p w14:paraId="06BCC6DC">
      <w:pPr>
        <w:ind w:firstLine="560"/>
        <w:outlineLvl w:val="2"/>
        <w:rPr>
          <w:rFonts w:hint="eastAsia" w:ascii="黑体" w:hAnsi="黑体" w:eastAsia="黑体" w:cs="黑体"/>
          <w:color w:val="000000"/>
        </w:rPr>
      </w:pPr>
      <w:bookmarkStart w:id="110" w:name="_Toc176542139"/>
      <w:r>
        <w:rPr>
          <w:rFonts w:hint="eastAsia" w:ascii="黑体" w:hAnsi="黑体" w:eastAsia="黑体" w:cs="黑体"/>
          <w:color w:val="000000"/>
          <w:lang w:val="en-US" w:eastAsia="zh-CN"/>
        </w:rPr>
        <w:t>2.1.3</w:t>
      </w:r>
      <w:r>
        <w:rPr>
          <w:rFonts w:hint="eastAsia" w:ascii="黑体" w:hAnsi="黑体" w:eastAsia="黑体" w:cs="黑体"/>
          <w:color w:val="000000"/>
        </w:rPr>
        <w:t>地质条件</w:t>
      </w:r>
      <w:bookmarkEnd w:id="110"/>
    </w:p>
    <w:p w14:paraId="11F423C2">
      <w:pPr>
        <w:ind w:firstLine="480"/>
      </w:pPr>
      <w:r>
        <w:rPr>
          <w:rFonts w:hint="eastAsia"/>
        </w:rPr>
        <w:t>岩土层按其成因分类，从上至下分别为：第四系全新统人工堆积层(Q41ml)，第四系上更新统冲洪积层(Q3al+p1)，志留系坟头头组(S2f)砂质页岩。</w:t>
      </w:r>
    </w:p>
    <w:p w14:paraId="413BAB72">
      <w:pPr>
        <w:spacing w:line="240" w:lineRule="auto"/>
        <w:ind w:firstLine="0" w:firstLineChars="0"/>
        <w:jc w:val="center"/>
      </w:pPr>
      <w:r>
        <w:rPr>
          <w14:ligatures w14:val="standardContextual"/>
        </w:rPr>
        <w:drawing>
          <wp:inline distT="0" distB="0" distL="0" distR="0">
            <wp:extent cx="5579110" cy="5155565"/>
            <wp:effectExtent l="0" t="0" r="2540" b="698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7"/>
                    <a:stretch>
                      <a:fillRect/>
                    </a:stretch>
                  </pic:blipFill>
                  <pic:spPr>
                    <a:xfrm>
                      <a:off x="0" y="0"/>
                      <a:ext cx="5579110" cy="5155565"/>
                    </a:xfrm>
                    <a:prstGeom prst="rect">
                      <a:avLst/>
                    </a:prstGeom>
                  </pic:spPr>
                </pic:pic>
              </a:graphicData>
            </a:graphic>
          </wp:inline>
        </w:drawing>
      </w:r>
    </w:p>
    <w:p w14:paraId="6EBB3D10">
      <w:pPr>
        <w:pStyle w:val="7"/>
        <w:numPr>
          <w:ilvl w:val="5"/>
          <w:numId w:val="0"/>
        </w:numPr>
        <w:ind w:left="0" w:leftChars="0" w:firstLine="0" w:firstLineChars="0"/>
      </w:pPr>
      <w:r>
        <w:rPr>
          <w:rFonts w:hint="eastAsia" w:ascii="黑体" w:hAnsi="宋体" w:eastAsia="黑体" w:cs="宋体"/>
          <w:b/>
          <w:i w:val="0"/>
          <w:kern w:val="2"/>
          <w:sz w:val="21"/>
          <w:szCs w:val="21"/>
          <w:lang w:val="en-US" w:eastAsia="zh-CN" w:bidi="ar-SA"/>
        </w:rPr>
        <w:t>图</w:t>
      </w:r>
      <w:r>
        <w:rPr>
          <w:rFonts w:hint="eastAsia" w:ascii="黑体" w:hAnsi="宋体" w:cs="宋体"/>
          <w:b/>
          <w:i w:val="0"/>
          <w:kern w:val="2"/>
          <w:sz w:val="21"/>
          <w:szCs w:val="21"/>
          <w:lang w:val="en-US" w:eastAsia="zh-CN" w:bidi="ar-SA"/>
        </w:rPr>
        <w:t xml:space="preserve">2-5 </w:t>
      </w:r>
      <w:r>
        <w:rPr>
          <w:rFonts w:hint="eastAsia"/>
        </w:rPr>
        <w:t>地质情况图</w:t>
      </w:r>
    </w:p>
    <w:p w14:paraId="6B6F518A">
      <w:pPr>
        <w:ind w:firstLine="560"/>
        <w:outlineLvl w:val="2"/>
        <w:rPr>
          <w:rFonts w:hint="eastAsia" w:ascii="黑体" w:hAnsi="黑体" w:eastAsia="黑体" w:cs="黑体"/>
          <w:color w:val="000000"/>
          <w:lang w:val="en-US" w:eastAsia="zh-CN"/>
        </w:rPr>
      </w:pPr>
      <w:bookmarkStart w:id="111" w:name="_Toc176542140"/>
      <w:r>
        <w:rPr>
          <w:rFonts w:hint="eastAsia" w:ascii="黑体" w:hAnsi="黑体" w:eastAsia="黑体" w:cs="黑体"/>
          <w:color w:val="000000"/>
          <w:lang w:val="en-US" w:eastAsia="zh-CN"/>
        </w:rPr>
        <w:t>2.1.4气象条件</w:t>
      </w:r>
      <w:bookmarkEnd w:id="111"/>
    </w:p>
    <w:p w14:paraId="3A21967D">
      <w:pPr>
        <w:ind w:firstLine="480"/>
      </w:pPr>
      <w:r>
        <w:rPr>
          <w:rFonts w:hint="eastAsia"/>
        </w:rPr>
        <w:t>沿线为亚热带季风性气候，冬季干旱，夏季多雨，干湿交替，四季分明。年平均降雨量900～1600mm，每年6～9月为汛期，此期间降雨量一般占全年降雨量的60%以上。年平均气温14.6℃～16.4℃，一月最冷，该月平均气温1.4℃～3.3℃，极端最低气温-12.9℃～-24.0℃；七月最热，平均气温27.2～28.7℃。极端最高气温43.3℃。春夏多东南风，秋冬多西北风。风力最大8～9级，风速21～25m/s。</w:t>
      </w:r>
    </w:p>
    <w:p w14:paraId="2C75F183">
      <w:pPr>
        <w:ind w:firstLine="560"/>
        <w:outlineLvl w:val="2"/>
        <w:rPr>
          <w:rFonts w:hint="eastAsia" w:ascii="黑体" w:hAnsi="黑体" w:eastAsia="黑体" w:cs="黑体"/>
          <w:color w:val="000000"/>
          <w:lang w:val="en-US" w:eastAsia="zh-CN"/>
        </w:rPr>
      </w:pPr>
      <w:bookmarkStart w:id="112" w:name="_Toc176542141"/>
      <w:r>
        <w:rPr>
          <w:rFonts w:hint="eastAsia" w:ascii="黑体" w:hAnsi="黑体" w:eastAsia="黑体" w:cs="黑体"/>
          <w:color w:val="000000"/>
          <w:lang w:val="en-US" w:eastAsia="zh-CN"/>
        </w:rPr>
        <w:t>2.1.5水文条件</w:t>
      </w:r>
      <w:bookmarkEnd w:id="112"/>
    </w:p>
    <w:p w14:paraId="3392ABDA">
      <w:pPr>
        <w:ind w:firstLine="480"/>
      </w:pPr>
      <w:r>
        <w:rPr>
          <w:rFonts w:hint="eastAsia"/>
        </w:rPr>
        <w:t>1.地表水</w:t>
      </w:r>
    </w:p>
    <w:p w14:paraId="2B938111">
      <w:pPr>
        <w:ind w:firstLine="480"/>
      </w:pPr>
      <w:r>
        <w:rPr>
          <w:rFonts w:hint="eastAsia"/>
        </w:rPr>
        <w:t>地表水发育，主要为地表水沟、水塘水，水田水，水塘星罗棋布，桥址于DK309+844～310+895.29段跨越府河（常水位：+</w:t>
      </w:r>
      <w:r>
        <w:t>18.0</w:t>
      </w:r>
      <w:r>
        <w:rPr>
          <w:rFonts w:hint="eastAsia"/>
        </w:rPr>
        <w:t>m），地表水主要接受大气降水补给，水量随季节性变化较大。</w:t>
      </w:r>
    </w:p>
    <w:p w14:paraId="786208BB">
      <w:pPr>
        <w:ind w:firstLine="480"/>
      </w:pPr>
      <w:r>
        <w:rPr>
          <w:rFonts w:hint="eastAsia"/>
        </w:rPr>
        <w:t>2.地下水</w:t>
      </w:r>
    </w:p>
    <w:p w14:paraId="04436886">
      <w:pPr>
        <w:ind w:firstLine="480"/>
      </w:pPr>
      <w:r>
        <w:rPr>
          <w:rFonts w:hint="eastAsia"/>
        </w:rPr>
        <w:t>桥址区地下水类型可分为孔隙水、基岩裂隙水、构造裂隙水、碳酸盐岩岩溶水。孔隙水主要赋存在第四系地层中，含水层为淤泥、淤泥质黏土、粉质黏土等，地下水类型为潜水，富水性为弱富水性。基岩裂隙水主要赋存于泥质砂岩、含砂砂岩、泥质页岩及灰岩、白云岩的基岩裂隙中，基岩裂隙水主要靠大气降水补给，侧向排泄（补给）潜水和岩溶水，富水性一般。构造裂隙水主要赋存于断层角砾岩的断层处及泥岩、灰岩、白云岩的岩性接触带处的构造裂隙中，构造裂隙水主要靠大气降水补给，侧向排泄（补给）潜水和岩溶水，富水性一般。碳酸盐岩岩溶水主要赋存于石炭系黄龙群组（C2h）白云岩、灰岩等可溶岩中，岩溶发育，补给储存条件较好，水量较丰富。由于岩溶区内分布有大量溶隙、溶沟、溶槽等，大气降水、地表水体可直接经过这些地方潜入地下补给岩溶水，富水性较好。地下水主要接受大气降水入渗补给，以蒸发排泄为主，动态变化不大。</w:t>
      </w:r>
    </w:p>
    <w:p w14:paraId="6408C099">
      <w:pPr>
        <w:ind w:firstLine="560"/>
        <w:outlineLvl w:val="2"/>
        <w:rPr>
          <w:rFonts w:hint="eastAsia" w:ascii="黑体" w:hAnsi="黑体" w:eastAsia="黑体" w:cs="黑体"/>
          <w:color w:val="000000"/>
          <w:lang w:val="en-US" w:eastAsia="zh-CN"/>
        </w:rPr>
      </w:pPr>
      <w:bookmarkStart w:id="113" w:name="_Toc176542142"/>
      <w:r>
        <w:rPr>
          <w:rFonts w:hint="eastAsia" w:ascii="黑体" w:hAnsi="黑体" w:eastAsia="黑体" w:cs="黑体"/>
          <w:color w:val="000000"/>
          <w:lang w:val="en-US" w:eastAsia="zh-CN"/>
        </w:rPr>
        <w:t>2.1.6既有道路情况</w:t>
      </w:r>
      <w:bookmarkEnd w:id="113"/>
    </w:p>
    <w:p w14:paraId="048C0304">
      <w:pPr>
        <w:ind w:firstLine="480"/>
      </w:pPr>
      <w:r>
        <w:rPr>
          <w:rFonts w:hint="eastAsia"/>
        </w:rPr>
        <w:t>新建桥梁与府河大堤路斜交，夹角为25°，143#墩承台距离路面投影最小为26.9m，144#墩承台距离距离高速公路桥面翼缘投影最小为30.6m，梁体下缘距离路面最小净高为7.6m，府河大堤路路面标高30.12m，路面正宽度4.5m。</w:t>
      </w:r>
    </w:p>
    <w:p w14:paraId="3092920E">
      <w:pPr>
        <w:spacing w:line="240" w:lineRule="auto"/>
        <w:ind w:firstLine="0" w:firstLineChars="0"/>
        <w:jc w:val="center"/>
      </w:pPr>
      <w:r>
        <w:drawing>
          <wp:inline distT="0" distB="0" distL="0" distR="0">
            <wp:extent cx="4991100" cy="3318510"/>
            <wp:effectExtent l="0" t="0" r="0" b="1524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8"/>
                    <a:stretch>
                      <a:fillRect/>
                    </a:stretch>
                  </pic:blipFill>
                  <pic:spPr>
                    <a:xfrm>
                      <a:off x="0" y="0"/>
                      <a:ext cx="4992542" cy="3319649"/>
                    </a:xfrm>
                    <a:prstGeom prst="rect">
                      <a:avLst/>
                    </a:prstGeom>
                  </pic:spPr>
                </pic:pic>
              </a:graphicData>
            </a:graphic>
          </wp:inline>
        </w:drawing>
      </w:r>
    </w:p>
    <w:p w14:paraId="27A78300">
      <w:pPr>
        <w:pStyle w:val="7"/>
        <w:numPr>
          <w:ilvl w:val="5"/>
          <w:numId w:val="0"/>
        </w:numPr>
        <w:ind w:left="0" w:leftChars="0" w:firstLine="0" w:firstLineChars="0"/>
      </w:pPr>
      <w:r>
        <w:rPr>
          <w:rFonts w:hint="eastAsia" w:ascii="黑体" w:hAnsi="宋体" w:eastAsia="黑体" w:cs="宋体"/>
          <w:b/>
          <w:i w:val="0"/>
          <w:kern w:val="2"/>
          <w:sz w:val="21"/>
          <w:szCs w:val="21"/>
          <w:lang w:val="en-US" w:eastAsia="zh-CN" w:bidi="ar-SA"/>
        </w:rPr>
        <w:t>图</w:t>
      </w:r>
      <w:r>
        <w:rPr>
          <w:rFonts w:hint="eastAsia" w:ascii="黑体" w:hAnsi="宋体" w:cs="宋体"/>
          <w:b/>
          <w:i w:val="0"/>
          <w:kern w:val="2"/>
          <w:sz w:val="21"/>
          <w:szCs w:val="21"/>
          <w:lang w:val="en-US" w:eastAsia="zh-CN" w:bidi="ar-SA"/>
        </w:rPr>
        <w:t>2-6</w:t>
      </w:r>
      <w:r>
        <w:rPr>
          <w:rFonts w:hint="eastAsia" w:ascii="黑体" w:hAnsi="宋体" w:eastAsia="黑体" w:cs="宋体"/>
          <w:b/>
          <w:i w:val="0"/>
          <w:kern w:val="2"/>
          <w:sz w:val="21"/>
          <w:szCs w:val="21"/>
          <w:lang w:val="en-US" w:eastAsia="zh-CN" w:bidi="ar-SA"/>
        </w:rPr>
        <w:t xml:space="preserve"> </w:t>
      </w:r>
      <w:r>
        <w:t>80</w:t>
      </w:r>
      <w:r>
        <w:rPr>
          <w:rFonts w:hint="eastAsia"/>
        </w:rPr>
        <w:t>m连续梁与既有道路情况</w:t>
      </w:r>
    </w:p>
    <w:p w14:paraId="60F65A29"/>
    <w:p w14:paraId="319E15EA">
      <w:pPr>
        <w:pStyle w:val="3"/>
        <w:rPr>
          <w:color w:val="000000"/>
        </w:rPr>
      </w:pPr>
      <w:bookmarkStart w:id="114" w:name="_Toc15827"/>
      <w:r>
        <w:rPr>
          <w:rFonts w:hint="eastAsia"/>
          <w:color w:val="000000"/>
        </w:rPr>
        <w:t>2.2 塔机布置</w:t>
      </w:r>
      <w:bookmarkEnd w:id="114"/>
    </w:p>
    <w:p w14:paraId="18BB8E2C">
      <w:pPr>
        <w:spacing w:line="240" w:lineRule="auto"/>
        <w:ind w:firstLine="560"/>
        <w:jc w:val="left"/>
      </w:pPr>
      <w:r>
        <w:rPr>
          <w:rFonts w:hint="eastAsia"/>
        </w:rPr>
        <w:t>本工程计划在</w:t>
      </w:r>
      <w:r>
        <w:rPr>
          <w:rFonts w:hint="eastAsia"/>
          <w:lang w:val="en-US" w:eastAsia="zh-CN"/>
        </w:rPr>
        <w:t>144#墩、143#墩各</w:t>
      </w:r>
      <w:r>
        <w:rPr>
          <w:rFonts w:hint="eastAsia"/>
        </w:rPr>
        <w:t>安装一台徐州建机工程机械有限公司生产的</w:t>
      </w:r>
      <w:r>
        <w:rPr>
          <w:rFonts w:hint="eastAsia"/>
          <w:lang w:eastAsia="zh-CN"/>
        </w:rPr>
        <w:t>XGT6015-8S1</w:t>
      </w:r>
      <w:r>
        <w:rPr>
          <w:rFonts w:hint="eastAsia"/>
        </w:rPr>
        <w:t>塔式起重机，144#墩塔机基础位于主墩顺桥向右侧、</w:t>
      </w:r>
      <w:r>
        <w:rPr>
          <w:rFonts w:hint="eastAsia"/>
          <w:lang w:eastAsia="zh-CN"/>
        </w:rPr>
        <w:t>塔机基础设置于桥墩附近，距离梁翼缘板间距为1.2m</w:t>
      </w:r>
      <w:r>
        <w:rPr>
          <w:rFonts w:hint="eastAsia"/>
        </w:rPr>
        <w:t>。，14</w:t>
      </w:r>
      <w:r>
        <w:rPr>
          <w:rFonts w:hint="eastAsia"/>
          <w:lang w:val="en-US" w:eastAsia="zh-CN"/>
        </w:rPr>
        <w:t>3</w:t>
      </w:r>
      <w:r>
        <w:rPr>
          <w:rFonts w:hint="eastAsia"/>
        </w:rPr>
        <w:t>#墩塔机基础位于主墩顺桥向右侧、塔机基础设置于桥墩附近，距离梁翼缘板间距为1.2m。</w:t>
      </w:r>
      <w:r>
        <w:rPr>
          <w:rFonts w:hint="eastAsia"/>
          <w:lang w:val="en-US" w:eastAsia="zh-CN"/>
        </w:rPr>
        <w:t>144#墩塔机与143#墩</w:t>
      </w:r>
      <w:r>
        <w:rPr>
          <w:rFonts w:hint="eastAsia"/>
        </w:rPr>
        <w:t>塔机存在交差作业，</w:t>
      </w:r>
      <w:r>
        <w:rPr>
          <w:rFonts w:hint="eastAsia"/>
          <w:lang w:val="en-US" w:eastAsia="zh-CN"/>
        </w:rPr>
        <w:t>144</w:t>
      </w:r>
      <w:r>
        <w:rPr>
          <w:rFonts w:hint="eastAsia"/>
        </w:rPr>
        <w:t>#塔机与</w:t>
      </w:r>
      <w:r>
        <w:rPr>
          <w:rFonts w:hint="eastAsia"/>
          <w:lang w:val="en-US" w:eastAsia="zh-CN"/>
        </w:rPr>
        <w:t>143</w:t>
      </w:r>
      <w:r>
        <w:rPr>
          <w:rFonts w:hint="eastAsia"/>
        </w:rPr>
        <w:t>#塔机高差不小于5.</w:t>
      </w:r>
      <w:r>
        <w:rPr>
          <w:rFonts w:hint="eastAsia"/>
          <w:lang w:val="en-US" w:eastAsia="zh-CN"/>
        </w:rPr>
        <w:t>8</w:t>
      </w:r>
      <w:r>
        <w:rPr>
          <w:rFonts w:hint="eastAsia"/>
        </w:rPr>
        <w:t>米使用。</w:t>
      </w:r>
      <w:r>
        <w:drawing>
          <wp:inline distT="0" distB="0" distL="114300" distR="114300">
            <wp:extent cx="5915660" cy="2972435"/>
            <wp:effectExtent l="0" t="0" r="8890" b="18415"/>
            <wp:docPr id="4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7"/>
                    <pic:cNvPicPr>
                      <a:picLocks noChangeAspect="1"/>
                    </pic:cNvPicPr>
                  </pic:nvPicPr>
                  <pic:blipFill>
                    <a:blip r:embed="rId19"/>
                    <a:srcRect t="4215" b="3665"/>
                    <a:stretch>
                      <a:fillRect/>
                    </a:stretch>
                  </pic:blipFill>
                  <pic:spPr>
                    <a:xfrm>
                      <a:off x="0" y="0"/>
                      <a:ext cx="5915660" cy="2972435"/>
                    </a:xfrm>
                    <a:prstGeom prst="rect">
                      <a:avLst/>
                    </a:prstGeom>
                    <a:noFill/>
                    <a:ln>
                      <a:noFill/>
                    </a:ln>
                  </pic:spPr>
                </pic:pic>
              </a:graphicData>
            </a:graphic>
          </wp:inline>
        </w:drawing>
      </w:r>
    </w:p>
    <w:p w14:paraId="25C261DD">
      <w:pPr>
        <w:pStyle w:val="123"/>
      </w:pPr>
      <w:r>
        <w:rPr>
          <w:rFonts w:hint="eastAsia"/>
        </w:rPr>
        <w:t>图</w:t>
      </w:r>
      <w:r>
        <w:t>2-3</w:t>
      </w:r>
      <w:r>
        <w:rPr>
          <w:rFonts w:hint="eastAsia"/>
        </w:rPr>
        <w:t xml:space="preserve">  塔机平面布置图</w:t>
      </w:r>
    </w:p>
    <w:p w14:paraId="2D313520">
      <w:pPr>
        <w:spacing w:line="240" w:lineRule="auto"/>
        <w:ind w:firstLine="0" w:firstLineChars="0"/>
        <w:jc w:val="center"/>
      </w:pPr>
      <w:r>
        <w:drawing>
          <wp:inline distT="0" distB="0" distL="114300" distR="114300">
            <wp:extent cx="5718175" cy="2451735"/>
            <wp:effectExtent l="0" t="0" r="15875" b="571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0"/>
                    <a:stretch>
                      <a:fillRect/>
                    </a:stretch>
                  </pic:blipFill>
                  <pic:spPr>
                    <a:xfrm>
                      <a:off x="0" y="0"/>
                      <a:ext cx="5718175" cy="2451735"/>
                    </a:xfrm>
                    <a:prstGeom prst="rect">
                      <a:avLst/>
                    </a:prstGeom>
                    <a:noFill/>
                    <a:ln>
                      <a:noFill/>
                    </a:ln>
                  </pic:spPr>
                </pic:pic>
              </a:graphicData>
            </a:graphic>
          </wp:inline>
        </w:drawing>
      </w:r>
    </w:p>
    <w:p w14:paraId="53CFDE4C">
      <w:pPr>
        <w:pStyle w:val="123"/>
        <w:rPr>
          <w:rFonts w:hint="eastAsia"/>
        </w:rPr>
      </w:pPr>
      <w:r>
        <w:rPr>
          <w:rFonts w:hint="eastAsia"/>
        </w:rPr>
        <w:t>图</w:t>
      </w:r>
      <w:r>
        <w:t>2-4</w:t>
      </w:r>
      <w:r>
        <w:rPr>
          <w:rFonts w:hint="eastAsia"/>
        </w:rPr>
        <w:t xml:space="preserve"> 塔式起重机立面布置图</w:t>
      </w:r>
    </w:p>
    <w:p w14:paraId="4BB4F5DA">
      <w:pPr>
        <w:rPr>
          <w:rFonts w:hint="eastAsia"/>
          <w:lang w:eastAsia="zh-CN"/>
        </w:rPr>
      </w:pPr>
      <w:r>
        <w:rPr>
          <w:rFonts w:hint="eastAsia"/>
          <w:lang w:val="en-US" w:eastAsia="zh-CN"/>
        </w:rPr>
        <w:t>本项目</w:t>
      </w:r>
      <w:r>
        <w:rPr>
          <w:rFonts w:hint="eastAsia"/>
        </w:rPr>
        <w:t>144#墩、143#墩</w:t>
      </w:r>
      <w:r>
        <w:rPr>
          <w:rFonts w:hint="eastAsia"/>
          <w:lang w:eastAsia="zh-CN"/>
        </w:rPr>
        <w:t>塔机起重臂覆盖于既有道路上。未避免吊装作业对既有道路上的车辆及人员造成威胁，需采取以下措施；</w:t>
      </w:r>
    </w:p>
    <w:p w14:paraId="2EB414E3">
      <w:pPr>
        <w:rPr>
          <w:rFonts w:hint="eastAsia"/>
          <w:lang w:eastAsia="zh-CN"/>
        </w:rPr>
      </w:pPr>
      <w:r>
        <w:rPr>
          <w:rFonts w:hint="eastAsia"/>
          <w:lang w:val="en-US" w:eastAsia="zh-CN"/>
        </w:rPr>
        <w:t>1、</w:t>
      </w:r>
      <w:r>
        <w:rPr>
          <w:rFonts w:hint="eastAsia"/>
          <w:lang w:eastAsia="zh-CN"/>
        </w:rPr>
        <w:t>‌吊装区域的安全管理‌：吊装区域必须设置明显的警示标志，并设专人警戒。起重机工作时，起重臂杆旋转半径范围内严禁站人或通过‌。</w:t>
      </w:r>
    </w:p>
    <w:p w14:paraId="5DD6D979">
      <w:pPr>
        <w:rPr>
          <w:rFonts w:hint="eastAsia"/>
          <w:lang w:eastAsia="zh-CN"/>
        </w:rPr>
      </w:pPr>
      <w:r>
        <w:rPr>
          <w:rFonts w:hint="eastAsia"/>
          <w:lang w:val="en-US" w:eastAsia="zh-CN"/>
        </w:rPr>
        <w:t>2、</w:t>
      </w:r>
      <w:r>
        <w:rPr>
          <w:rFonts w:hint="eastAsia"/>
          <w:lang w:eastAsia="zh-CN"/>
        </w:rPr>
        <w:t>‌吊装作业前的检查‌：在开始吊装前应进行安全技术交底，并对起重所用索具、卡环、夹具等进行细致检查，发现有损坏或松动现象应马上调换或修好‌。</w:t>
      </w:r>
    </w:p>
    <w:p w14:paraId="016A6E38">
      <w:pPr>
        <w:rPr>
          <w:rFonts w:hint="eastAsia"/>
          <w:lang w:eastAsia="zh-CN"/>
        </w:rPr>
      </w:pPr>
      <w:r>
        <w:rPr>
          <w:rFonts w:hint="eastAsia"/>
          <w:lang w:val="en-US" w:eastAsia="zh-CN"/>
        </w:rPr>
        <w:t>3、</w:t>
      </w:r>
      <w:r>
        <w:rPr>
          <w:rFonts w:hint="eastAsia"/>
          <w:lang w:eastAsia="zh-CN"/>
        </w:rPr>
        <w:t>‌吊装过程中的安全操作‌：起吊时，吊臂下和吊件及吊臂的回转范围内严禁无关人员停留或通过。多吊点吊装时，必须防止吊件受力不均匀遭受破坏‌。禁止吊物在既有道路上无防护区域内经过。吊物起吊后，起重臂摆到对应位置再行走小车吊装到位。</w:t>
      </w:r>
    </w:p>
    <w:p w14:paraId="6AA9845F">
      <w:pPr>
        <w:rPr>
          <w:rFonts w:hint="eastAsia"/>
          <w:lang w:eastAsia="zh-CN"/>
        </w:rPr>
      </w:pPr>
      <w:r>
        <w:rPr>
          <w:rFonts w:hint="eastAsia"/>
          <w:lang w:val="en-US" w:eastAsia="zh-CN"/>
        </w:rPr>
        <w:t>4、</w:t>
      </w:r>
      <w:r>
        <w:rPr>
          <w:rFonts w:hint="eastAsia"/>
          <w:lang w:eastAsia="zh-CN"/>
        </w:rPr>
        <w:t>‌特殊天气条件下的操作‌：在大风、大雨等恶劣天气下禁</w:t>
      </w:r>
    </w:p>
    <w:p w14:paraId="561AAF05">
      <w:pPr>
        <w:rPr>
          <w:rFonts w:hint="eastAsia"/>
          <w:lang w:eastAsia="zh-CN"/>
        </w:rPr>
      </w:pPr>
      <w:r>
        <w:rPr>
          <w:rFonts w:hint="eastAsia"/>
          <w:lang w:eastAsia="zh-CN"/>
        </w:rPr>
        <w:t>止进行吊装工作，夜间施工时必须有足够的照明‌。</w:t>
      </w:r>
    </w:p>
    <w:p w14:paraId="1A64FCD2">
      <w:pPr>
        <w:rPr>
          <w:rFonts w:hint="eastAsia"/>
          <w:lang w:eastAsia="zh-CN"/>
        </w:rPr>
      </w:pPr>
      <w:r>
        <w:rPr>
          <w:rFonts w:hint="eastAsia"/>
          <w:lang w:val="en-US" w:eastAsia="zh-CN"/>
        </w:rPr>
        <w:t>5、</w:t>
      </w:r>
      <w:r>
        <w:rPr>
          <w:rFonts w:hint="eastAsia"/>
          <w:lang w:eastAsia="zh-CN"/>
        </w:rPr>
        <w:t>‌人员培训和安全教育‌：加强对现场吊装人员，特别是塔吊司机的安全教育，做好班前安全技术交底，明确作业内容和安全区域‌。</w:t>
      </w:r>
    </w:p>
    <w:p w14:paraId="4282DD36">
      <w:pPr>
        <w:rPr>
          <w:rFonts w:hint="eastAsia"/>
          <w:lang w:eastAsia="zh-CN"/>
        </w:rPr>
      </w:pPr>
      <w:r>
        <w:rPr>
          <w:rFonts w:hint="eastAsia"/>
          <w:lang w:val="en-US" w:eastAsia="zh-CN"/>
        </w:rPr>
        <w:t>6、</w:t>
      </w:r>
      <w:r>
        <w:rPr>
          <w:rFonts w:hint="eastAsia"/>
          <w:lang w:eastAsia="zh-CN"/>
        </w:rPr>
        <w:t>‌设备检查和维护‌：起重设备必须定期检查维护，确保设备处于良好状态，严禁带病作业。起重机的操作必须严格按照设备性能和技术要求进行‌。</w:t>
      </w:r>
    </w:p>
    <w:p w14:paraId="72806ACA">
      <w:pPr>
        <w:rPr>
          <w:rFonts w:hint="eastAsia"/>
          <w:lang w:eastAsia="zh-CN"/>
        </w:rPr>
      </w:pPr>
      <w:r>
        <w:rPr>
          <w:rFonts w:hint="eastAsia"/>
          <w:lang w:eastAsia="zh-CN"/>
        </w:rPr>
        <w:t>本项目144#墩、143#墩塔机起重臂存在重合覆盖区域有碰撞危险，需采取以下措施；</w:t>
      </w:r>
    </w:p>
    <w:p w14:paraId="6E94C0BE">
      <w:pPr>
        <w:rPr>
          <w:rFonts w:hint="eastAsia"/>
          <w:lang w:eastAsia="zh-CN"/>
        </w:rPr>
      </w:pPr>
      <w:r>
        <w:rPr>
          <w:rFonts w:hint="eastAsia"/>
          <w:lang w:eastAsia="zh-CN"/>
        </w:rPr>
        <w:t>通过合理划分塔吊的工作区，避免交叉工作区，确保低位塔吊的起重臂不会与高位塔吊的起重钢丝绳发生碰撞。此外，配备有合格操作证的信号指挥工，确保塔吊回转作业时低塔的起重臂不碰撞高塔的起升钢丝绳‌。</w:t>
      </w:r>
    </w:p>
    <w:p w14:paraId="6676FCFB">
      <w:pPr>
        <w:rPr>
          <w:rFonts w:hint="eastAsia"/>
          <w:lang w:eastAsia="zh-CN"/>
        </w:rPr>
      </w:pPr>
      <w:r>
        <w:rPr>
          <w:rFonts w:hint="eastAsia"/>
          <w:lang w:eastAsia="zh-CN"/>
        </w:rPr>
        <w:t>确保高塔起重臂比低塔起重臂高差不小于5米，且高塔起重臂下端距低塔起重臂拉杆上端高差不小于2.5米，以防止碰撞‌。</w:t>
      </w:r>
    </w:p>
    <w:p w14:paraId="3133B591">
      <w:pPr>
        <w:rPr>
          <w:rFonts w:hint="eastAsia"/>
          <w:lang w:eastAsia="zh-CN"/>
        </w:rPr>
      </w:pPr>
      <w:r>
        <w:rPr>
          <w:rFonts w:hint="eastAsia"/>
          <w:lang w:eastAsia="zh-CN"/>
        </w:rPr>
        <w:t>当现场风速达到6级（风速达到10.8～13.8米/秒）时，塔吊必须停止作业，以防止因风力引起的碰撞‌。</w:t>
      </w:r>
    </w:p>
    <w:p w14:paraId="6E2C2E9C">
      <w:pPr>
        <w:rPr>
          <w:rFonts w:hint="eastAsia"/>
          <w:lang w:eastAsia="zh-CN"/>
        </w:rPr>
      </w:pPr>
      <w:r>
        <w:rPr>
          <w:rFonts w:hint="eastAsia"/>
          <w:lang w:eastAsia="zh-CN"/>
        </w:rPr>
        <w:t>确保所有塔吊操作人员持有合格的操作证，并具备丰富的经验。每次使用后或在非工作状态下，将塔吊的吊钩升至顶端，并将起重小车行走到起重臂根部‌。</w:t>
      </w:r>
    </w:p>
    <w:bookmarkEnd w:id="102"/>
    <w:bookmarkEnd w:id="103"/>
    <w:bookmarkEnd w:id="104"/>
    <w:bookmarkEnd w:id="105"/>
    <w:bookmarkEnd w:id="106"/>
    <w:bookmarkEnd w:id="107"/>
    <w:p w14:paraId="688FE2FF">
      <w:pPr>
        <w:pStyle w:val="2"/>
        <w:ind w:right="1960" w:firstLine="1600" w:firstLineChars="500"/>
        <w:jc w:val="left"/>
        <w:rPr>
          <w:color w:val="000000"/>
        </w:rPr>
      </w:pPr>
      <w:bookmarkStart w:id="115" w:name="_Toc2188"/>
      <w:bookmarkStart w:id="116" w:name="_Toc23197"/>
      <w:bookmarkStart w:id="117" w:name="_Toc1640"/>
      <w:bookmarkStart w:id="118" w:name="_Toc21514"/>
      <w:bookmarkStart w:id="119" w:name="_Toc5190"/>
      <w:bookmarkStart w:id="120" w:name="_Toc12715"/>
      <w:bookmarkStart w:id="121" w:name="_Toc8727"/>
      <w:r>
        <w:rPr>
          <w:rFonts w:hint="eastAsia"/>
          <w:color w:val="000000"/>
        </w:rPr>
        <w:t>第三章 所选用塔式起重机型号与性能</w:t>
      </w:r>
      <w:bookmarkEnd w:id="115"/>
    </w:p>
    <w:bookmarkEnd w:id="116"/>
    <w:bookmarkEnd w:id="117"/>
    <w:bookmarkEnd w:id="118"/>
    <w:bookmarkEnd w:id="119"/>
    <w:bookmarkEnd w:id="120"/>
    <w:bookmarkEnd w:id="121"/>
    <w:p w14:paraId="73044539">
      <w:pPr>
        <w:pStyle w:val="3"/>
        <w:ind w:firstLine="280" w:firstLineChars="100"/>
        <w:rPr>
          <w:rFonts w:ascii="Times New Roman" w:hAnsi="Times New Roman"/>
          <w:sz w:val="28"/>
          <w:szCs w:val="28"/>
        </w:rPr>
      </w:pPr>
      <w:bookmarkStart w:id="122" w:name="_Toc13567"/>
      <w:r>
        <w:rPr>
          <w:rFonts w:hint="eastAsia" w:ascii="Times New Roman" w:hAnsi="Times New Roman"/>
          <w:sz w:val="28"/>
          <w:szCs w:val="28"/>
        </w:rPr>
        <w:t>3.1塔机型号</w:t>
      </w:r>
      <w:bookmarkEnd w:id="122"/>
    </w:p>
    <w:p w14:paraId="1D872AA4">
      <w:pPr>
        <w:ind w:left="0" w:leftChars="0" w:firstLine="560" w:firstLineChars="200"/>
        <w:rPr>
          <w:rFonts w:hint="eastAsia"/>
        </w:rPr>
      </w:pPr>
      <w:r>
        <w:rPr>
          <w:rFonts w:hint="eastAsia"/>
        </w:rPr>
        <w:t>本工程144#墩、143#墩塔机型号</w:t>
      </w:r>
      <w:r>
        <w:rPr>
          <w:rFonts w:hint="eastAsia"/>
          <w:lang w:eastAsia="zh-CN"/>
        </w:rPr>
        <w:t>都</w:t>
      </w:r>
      <w:r>
        <w:rPr>
          <w:rFonts w:hint="eastAsia"/>
        </w:rPr>
        <w:t>为徐州建机</w:t>
      </w:r>
      <w:r>
        <w:rPr>
          <w:rFonts w:hint="eastAsia"/>
          <w:lang w:eastAsia="zh-CN"/>
        </w:rPr>
        <w:t>XGT6015-8S1</w:t>
      </w:r>
      <w:r>
        <w:rPr>
          <w:rFonts w:hint="eastAsia"/>
        </w:rPr>
        <w:t>。</w:t>
      </w:r>
    </w:p>
    <w:p w14:paraId="05E08DD4">
      <w:pPr>
        <w:ind w:left="0" w:leftChars="0" w:firstLine="560" w:firstLineChars="200"/>
      </w:pPr>
      <w:r>
        <w:rPr>
          <w:rFonts w:hint="eastAsia"/>
          <w:lang w:eastAsia="zh-CN"/>
        </w:rPr>
        <w:t>XGT6015-8S1</w:t>
      </w:r>
      <w:r>
        <w:rPr>
          <w:rFonts w:hint="eastAsia"/>
        </w:rPr>
        <w:t>塔机由徐州建机工程机械有限公司设计制造。该塔机为水平臂架、小车变幅、上回转、自升式多用途塔机。最大工作幅度60米，预埋螺栓式独立起升高度40米，最大额定起重量为8t。主要的参数见表3-1。</w:t>
      </w:r>
    </w:p>
    <w:p w14:paraId="12ADA3B5">
      <w:pPr>
        <w:ind w:firstLine="560"/>
      </w:pPr>
      <w:r>
        <w:t>本工程根据实际施工需要，</w:t>
      </w:r>
      <w:r>
        <w:rPr>
          <w:rFonts w:hint="eastAsia"/>
          <w:lang w:eastAsia="zh-CN"/>
        </w:rPr>
        <w:t>XGT6015-8S1</w:t>
      </w:r>
      <w:r>
        <w:t>塔机</w:t>
      </w:r>
      <w:r>
        <w:rPr>
          <w:rFonts w:hint="eastAsia"/>
        </w:rPr>
        <w:t>采用</w:t>
      </w:r>
      <w:r>
        <w:rPr>
          <w:rFonts w:hint="eastAsia"/>
          <w:lang w:val="en-US" w:eastAsia="zh-CN"/>
        </w:rPr>
        <w:t>5</w:t>
      </w:r>
      <w:r>
        <w:rPr>
          <w:rFonts w:hint="eastAsia"/>
        </w:rPr>
        <w:t>0m起重臂长，144#墩塔吊</w:t>
      </w:r>
      <w:r>
        <w:rPr>
          <w:rFonts w:hint="eastAsia"/>
          <w:lang w:eastAsia="zh-CN"/>
        </w:rPr>
        <w:t>XGT6015-8S1</w:t>
      </w:r>
      <w:r>
        <w:rPr>
          <w:rFonts w:hint="eastAsia"/>
        </w:rPr>
        <w:t>塔机最终安装</w:t>
      </w:r>
      <w:r>
        <w:t>高度为</w:t>
      </w:r>
      <w:r>
        <w:rPr>
          <w:rFonts w:hint="eastAsia"/>
          <w:lang w:val="en-US" w:eastAsia="zh-CN"/>
        </w:rPr>
        <w:t>34.6</w:t>
      </w:r>
      <w:r>
        <w:t>m(</w:t>
      </w:r>
      <w:r>
        <w:rPr>
          <w:rFonts w:hint="eastAsia"/>
          <w:lang w:val="en-US" w:eastAsia="zh-CN"/>
        </w:rPr>
        <w:t>1节基础节10</w:t>
      </w:r>
      <w:r>
        <w:t>节标准</w:t>
      </w:r>
      <w:r>
        <w:rPr>
          <w:rFonts w:hint="eastAsia"/>
          <w:lang w:eastAsia="zh-CN"/>
        </w:rPr>
        <w:t>节</w:t>
      </w:r>
      <w:r>
        <w:t>），无附墙设置。</w:t>
      </w:r>
      <w:r>
        <w:rPr>
          <w:rFonts w:hint="eastAsia"/>
        </w:rPr>
        <w:t>14</w:t>
      </w:r>
      <w:r>
        <w:rPr>
          <w:rFonts w:hint="eastAsia"/>
          <w:lang w:val="en-US" w:eastAsia="zh-CN"/>
        </w:rPr>
        <w:t>3</w:t>
      </w:r>
      <w:r>
        <w:rPr>
          <w:rFonts w:hint="eastAsia"/>
        </w:rPr>
        <w:t>#墩塔吊</w:t>
      </w:r>
      <w:r>
        <w:rPr>
          <w:rFonts w:hint="eastAsia"/>
          <w:lang w:eastAsia="zh-CN"/>
        </w:rPr>
        <w:t>XGT6015-8S1</w:t>
      </w:r>
      <w:r>
        <w:rPr>
          <w:rFonts w:hint="eastAsia"/>
        </w:rPr>
        <w:t>塔机最终安装</w:t>
      </w:r>
      <w:r>
        <w:t>高度为</w:t>
      </w:r>
      <w:r>
        <w:rPr>
          <w:rFonts w:hint="eastAsia"/>
          <w:lang w:val="en-US" w:eastAsia="zh-CN"/>
        </w:rPr>
        <w:t>28.8</w:t>
      </w:r>
      <w:r>
        <w:t>m(</w:t>
      </w:r>
      <w:r>
        <w:rPr>
          <w:rFonts w:hint="eastAsia"/>
          <w:lang w:val="en-US" w:eastAsia="zh-CN"/>
        </w:rPr>
        <w:t>1节基础节8</w:t>
      </w:r>
      <w:r>
        <w:t>节标准</w:t>
      </w:r>
      <w:r>
        <w:rPr>
          <w:rFonts w:hint="eastAsia"/>
          <w:lang w:eastAsia="zh-CN"/>
        </w:rPr>
        <w:t>节</w:t>
      </w:r>
      <w:r>
        <w:t>），无附墙设置。</w:t>
      </w:r>
    </w:p>
    <w:p w14:paraId="2A6E183E">
      <w:pPr>
        <w:pStyle w:val="3"/>
        <w:ind w:firstLine="280" w:firstLineChars="100"/>
        <w:rPr>
          <w:rFonts w:ascii="Times New Roman" w:hAnsi="Times New Roman"/>
          <w:sz w:val="28"/>
          <w:szCs w:val="28"/>
        </w:rPr>
      </w:pPr>
      <w:bookmarkStart w:id="123" w:name="_Toc23868"/>
      <w:r>
        <w:rPr>
          <w:rFonts w:hint="eastAsia" w:ascii="Times New Roman" w:hAnsi="Times New Roman"/>
          <w:sz w:val="28"/>
          <w:szCs w:val="28"/>
        </w:rPr>
        <w:t>3.2塔机性能与参数</w:t>
      </w:r>
      <w:bookmarkEnd w:id="123"/>
    </w:p>
    <w:p w14:paraId="5CA4D2EC">
      <w:pPr>
        <w:pStyle w:val="123"/>
      </w:pPr>
      <w:r>
        <w:rPr>
          <w:rFonts w:hint="eastAsia"/>
        </w:rPr>
        <w:t xml:space="preserve">表3-1 </w:t>
      </w:r>
      <w:r>
        <w:rPr>
          <w:rFonts w:hint="eastAsia"/>
          <w:lang w:eastAsia="zh-CN"/>
        </w:rPr>
        <w:t>XGT6015-8S1</w:t>
      </w:r>
      <w:r>
        <w:rPr>
          <w:rFonts w:hint="eastAsia"/>
        </w:rPr>
        <w:t>塔机主要技术参数</w:t>
      </w:r>
    </w:p>
    <w:p w14:paraId="3A3C7DC1">
      <w:pPr>
        <w:pStyle w:val="107"/>
      </w:pPr>
      <w:r>
        <w:drawing>
          <wp:inline distT="0" distB="0" distL="114300" distR="114300">
            <wp:extent cx="5723890" cy="4380865"/>
            <wp:effectExtent l="0" t="0" r="0" b="0"/>
            <wp:docPr id="1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1"/>
                    <pic:cNvPicPr>
                      <a:picLocks noChangeAspect="1"/>
                    </pic:cNvPicPr>
                  </pic:nvPicPr>
                  <pic:blipFill>
                    <a:blip r:embed="rId21"/>
                    <a:srcRect b="29741"/>
                    <a:stretch>
                      <a:fillRect/>
                    </a:stretch>
                  </pic:blipFill>
                  <pic:spPr>
                    <a:xfrm>
                      <a:off x="0" y="0"/>
                      <a:ext cx="5723890" cy="4380865"/>
                    </a:xfrm>
                    <a:prstGeom prst="rect">
                      <a:avLst/>
                    </a:prstGeom>
                    <a:noFill/>
                    <a:ln>
                      <a:noFill/>
                    </a:ln>
                  </pic:spPr>
                </pic:pic>
              </a:graphicData>
            </a:graphic>
          </wp:inline>
        </w:drawing>
      </w:r>
      <w:r>
        <w:drawing>
          <wp:inline distT="0" distB="0" distL="114300" distR="114300">
            <wp:extent cx="5723890" cy="1890395"/>
            <wp:effectExtent l="0" t="0" r="0" b="0"/>
            <wp:docPr id="3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1"/>
                    <pic:cNvPicPr>
                      <a:picLocks noChangeAspect="1"/>
                    </pic:cNvPicPr>
                  </pic:nvPicPr>
                  <pic:blipFill>
                    <a:blip r:embed="rId21"/>
                    <a:srcRect t="69913" b="-231"/>
                    <a:stretch>
                      <a:fillRect/>
                    </a:stretch>
                  </pic:blipFill>
                  <pic:spPr>
                    <a:xfrm>
                      <a:off x="0" y="0"/>
                      <a:ext cx="5723890" cy="1890395"/>
                    </a:xfrm>
                    <a:prstGeom prst="rect">
                      <a:avLst/>
                    </a:prstGeom>
                    <a:noFill/>
                    <a:ln>
                      <a:noFill/>
                    </a:ln>
                  </pic:spPr>
                </pic:pic>
              </a:graphicData>
            </a:graphic>
          </wp:inline>
        </w:drawing>
      </w:r>
      <w:r>
        <w:drawing>
          <wp:inline distT="0" distB="0" distL="114300" distR="114300">
            <wp:extent cx="5747385" cy="1514475"/>
            <wp:effectExtent l="0" t="0" r="5715" b="9525"/>
            <wp:docPr id="2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2"/>
                    <pic:cNvPicPr>
                      <a:picLocks noChangeAspect="1"/>
                    </pic:cNvPicPr>
                  </pic:nvPicPr>
                  <pic:blipFill>
                    <a:blip r:embed="rId22"/>
                    <a:stretch>
                      <a:fillRect/>
                    </a:stretch>
                  </pic:blipFill>
                  <pic:spPr>
                    <a:xfrm>
                      <a:off x="0" y="0"/>
                      <a:ext cx="5747385" cy="1514475"/>
                    </a:xfrm>
                    <a:prstGeom prst="rect">
                      <a:avLst/>
                    </a:prstGeom>
                    <a:noFill/>
                    <a:ln>
                      <a:noFill/>
                    </a:ln>
                  </pic:spPr>
                </pic:pic>
              </a:graphicData>
            </a:graphic>
          </wp:inline>
        </w:drawing>
      </w:r>
    </w:p>
    <w:p w14:paraId="3DB11CAC">
      <w:pPr>
        <w:pStyle w:val="172"/>
        <w:spacing w:line="240" w:lineRule="auto"/>
        <w:ind w:firstLine="0" w:firstLineChars="0"/>
        <w:jc w:val="both"/>
      </w:pPr>
    </w:p>
    <w:p w14:paraId="4EA5B7DE">
      <w:pPr>
        <w:pStyle w:val="123"/>
      </w:pPr>
      <w:bookmarkStart w:id="124" w:name="_Toc522109871"/>
      <w:bookmarkStart w:id="125" w:name="_Toc525053747"/>
      <w:bookmarkStart w:id="126" w:name="_Toc522109637"/>
      <w:bookmarkStart w:id="127" w:name="_Toc521920693"/>
      <w:bookmarkStart w:id="128" w:name="_Toc520882276"/>
      <w:bookmarkStart w:id="129" w:name="_Toc525111760"/>
      <w:r>
        <w:rPr>
          <w:rFonts w:hint="eastAsia"/>
        </w:rPr>
        <w:t>表3-</w:t>
      </w:r>
      <w:r>
        <w:t>2</w:t>
      </w:r>
      <w:r>
        <w:rPr>
          <w:rFonts w:hint="eastAsia"/>
        </w:rPr>
        <w:t xml:space="preserve"> </w:t>
      </w:r>
      <w:r>
        <w:rPr>
          <w:rFonts w:hint="eastAsia"/>
          <w:lang w:eastAsia="zh-CN"/>
        </w:rPr>
        <w:t>XGT6015-8S1</w:t>
      </w:r>
      <w:r>
        <w:rPr>
          <w:rFonts w:hint="eastAsia"/>
        </w:rPr>
        <w:t>塔机起重特性一览表</w:t>
      </w:r>
      <w:bookmarkEnd w:id="124"/>
      <w:bookmarkEnd w:id="125"/>
      <w:bookmarkEnd w:id="126"/>
      <w:bookmarkEnd w:id="127"/>
      <w:bookmarkEnd w:id="128"/>
      <w:bookmarkEnd w:id="129"/>
    </w:p>
    <w:p w14:paraId="468BA121">
      <w:pPr>
        <w:pStyle w:val="107"/>
      </w:pPr>
      <w:bookmarkStart w:id="130" w:name="_Toc129361802"/>
      <w:bookmarkStart w:id="131" w:name="_Toc25420"/>
      <w:bookmarkStart w:id="132" w:name="_Toc29369"/>
      <w:bookmarkStart w:id="133" w:name="_Toc20157"/>
      <w:bookmarkStart w:id="134" w:name="_Toc19646"/>
      <w:bookmarkStart w:id="135" w:name="_Toc11503"/>
      <w:r>
        <mc:AlternateContent>
          <mc:Choice Requires="wps">
            <w:drawing>
              <wp:anchor distT="0" distB="0" distL="114300" distR="114300" simplePos="0" relativeHeight="251659264" behindDoc="0" locked="0" layoutInCell="1" allowOverlap="1">
                <wp:simplePos x="0" y="0"/>
                <wp:positionH relativeFrom="column">
                  <wp:posOffset>635</wp:posOffset>
                </wp:positionH>
                <wp:positionV relativeFrom="paragraph">
                  <wp:posOffset>1326515</wp:posOffset>
                </wp:positionV>
                <wp:extent cx="5058410" cy="457835"/>
                <wp:effectExtent l="19050" t="19050" r="27940" b="37465"/>
                <wp:wrapNone/>
                <wp:docPr id="14" name="矩形 14"/>
                <wp:cNvGraphicFramePr/>
                <a:graphic xmlns:a="http://schemas.openxmlformats.org/drawingml/2006/main">
                  <a:graphicData uri="http://schemas.microsoft.com/office/word/2010/wordprocessingShape">
                    <wps:wsp>
                      <wps:cNvSpPr/>
                      <wps:spPr>
                        <a:xfrm>
                          <a:off x="932180" y="8416290"/>
                          <a:ext cx="5058410" cy="457835"/>
                        </a:xfrm>
                        <a:prstGeom prst="rect">
                          <a:avLst/>
                        </a:prstGeom>
                        <a:noFill/>
                        <a:ln w="381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05pt;margin-top:104.45pt;height:36.05pt;width:398.3pt;z-index:251659264;v-text-anchor:middle;mso-width-relative:page;mso-height-relative:page;" filled="f" stroked="t" coordsize="21600,21600" o:gfxdata="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6+2Vi1QAAAAgBAAAPAAAAAAAAAAEAIAAAACIAAABkcnMvZG93bnJldi54bWxQSwEC&#10;FAAUAAAACACHTuJA7shW+GkCAADBBAAADgAAAAAAAAABACAAAAAkAQAAZHJzL2Uyb0RvYy54bWxQ&#10;SwUGAAAAAAYABgBZAQAA/wUAAAAA&#10;">
                <v:fill on="f" focussize="0,0"/>
                <v:stroke weight="3pt" color="#FF0000 [2404]" joinstyle="round"/>
                <v:imagedata o:title=""/>
                <o:lock v:ext="edit" aspectratio="f"/>
              </v:rect>
            </w:pict>
          </mc:Fallback>
        </mc:AlternateContent>
      </w:r>
      <w:r>
        <w:drawing>
          <wp:inline distT="0" distB="0" distL="114300" distR="114300">
            <wp:extent cx="5723255" cy="3390265"/>
            <wp:effectExtent l="0" t="0" r="10795" b="635"/>
            <wp:docPr id="7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3"/>
                    <pic:cNvPicPr>
                      <a:picLocks noChangeAspect="1"/>
                    </pic:cNvPicPr>
                  </pic:nvPicPr>
                  <pic:blipFill>
                    <a:blip r:embed="rId23"/>
                    <a:stretch>
                      <a:fillRect/>
                    </a:stretch>
                  </pic:blipFill>
                  <pic:spPr>
                    <a:xfrm>
                      <a:off x="0" y="0"/>
                      <a:ext cx="5723255" cy="3390265"/>
                    </a:xfrm>
                    <a:prstGeom prst="rect">
                      <a:avLst/>
                    </a:prstGeom>
                    <a:noFill/>
                    <a:ln>
                      <a:noFill/>
                    </a:ln>
                  </pic:spPr>
                </pic:pic>
              </a:graphicData>
            </a:graphic>
          </wp:inline>
        </w:drawing>
      </w:r>
    </w:p>
    <w:p w14:paraId="75B154E3">
      <w:pPr>
        <w:pStyle w:val="3"/>
        <w:ind w:firstLine="280" w:firstLineChars="100"/>
        <w:rPr>
          <w:rFonts w:eastAsia="仿宋"/>
          <w:b/>
          <w:color w:val="000000"/>
          <w:sz w:val="28"/>
          <w:szCs w:val="28"/>
        </w:rPr>
      </w:pPr>
      <w:bookmarkStart w:id="136" w:name="_Toc8566"/>
      <w:r>
        <w:rPr>
          <w:rFonts w:hint="eastAsia" w:ascii="Times New Roman" w:hAnsi="Times New Roman"/>
          <w:sz w:val="28"/>
          <w:szCs w:val="28"/>
        </w:rPr>
        <w:t>3.3防雷接地</w:t>
      </w:r>
      <w:bookmarkEnd w:id="130"/>
      <w:bookmarkEnd w:id="136"/>
    </w:p>
    <w:p w14:paraId="2F1289DE">
      <w:pPr>
        <w:ind w:firstLine="560"/>
        <w:rPr>
          <w:color w:val="000000"/>
          <w:szCs w:val="28"/>
        </w:rPr>
      </w:pPr>
      <w:r>
        <w:rPr>
          <w:color w:val="000000"/>
          <w:szCs w:val="28"/>
        </w:rPr>
        <w:t>依照现行国家标准《塔式起重机安全规程》 GB5144-2006的要求，塔机主体机构、电动机基座和所有电气设备金属外壳均应可靠接地。</w:t>
      </w:r>
    </w:p>
    <w:p w14:paraId="753FD7CC">
      <w:pPr>
        <w:ind w:firstLine="560"/>
        <w:rPr>
          <w:color w:val="000000"/>
          <w:szCs w:val="28"/>
        </w:rPr>
      </w:pPr>
      <w:r>
        <w:rPr>
          <w:color w:val="000000"/>
          <w:szCs w:val="28"/>
        </w:rPr>
        <w:t>依据《施工现场临时用电安全技术规范》JGJ46-2005中防雷要求，塔机可不另设避雷针（接闪器），防雷引下线可利用设备金属结构体，并保证电气连接。</w:t>
      </w:r>
    </w:p>
    <w:p w14:paraId="2D469842">
      <w:pPr>
        <w:pStyle w:val="172"/>
        <w:spacing w:line="240" w:lineRule="auto"/>
        <w:ind w:firstLine="560" w:firstLineChars="0"/>
        <w:jc w:val="left"/>
        <w:rPr>
          <w:rFonts w:ascii="仿宋" w:hAnsi="仿宋" w:eastAsia="仿宋" w:cs="仿宋"/>
          <w:color w:val="000000"/>
          <w:sz w:val="28"/>
          <w:szCs w:val="28"/>
        </w:rPr>
      </w:pPr>
      <w:r>
        <w:rPr>
          <w:rFonts w:hint="eastAsia" w:ascii="仿宋" w:hAnsi="仿宋" w:eastAsia="仿宋" w:cs="仿宋"/>
          <w:color w:val="000000"/>
          <w:sz w:val="28"/>
          <w:szCs w:val="28"/>
        </w:rPr>
        <w:t>为了更好地形成雷电通路，塔机电气重复节点应单独接多股铜线，防雷的多股铜线的截面积必须大于25mm</w:t>
      </w:r>
      <w:r>
        <w:rPr>
          <w:rFonts w:hint="eastAsia" w:ascii="仿宋" w:hAnsi="仿宋" w:eastAsia="仿宋" w:cs="仿宋"/>
          <w:color w:val="000000"/>
          <w:sz w:val="28"/>
          <w:szCs w:val="28"/>
          <w:vertAlign w:val="superscript"/>
        </w:rPr>
        <w:t>2</w:t>
      </w:r>
      <w:r>
        <w:rPr>
          <w:rFonts w:hint="eastAsia" w:ascii="仿宋" w:hAnsi="仿宋" w:eastAsia="仿宋" w:cs="仿宋"/>
          <w:color w:val="000000"/>
          <w:sz w:val="28"/>
          <w:szCs w:val="28"/>
        </w:rPr>
        <w:t>。塔机主体结构、电机机座和所有电气设备的金属外壳、导线的金属保护管均应可靠接地，其接地电阻应不大于4Ω。采用多处重复接地时，其接地电阻应不大于10Ω。</w:t>
      </w:r>
    </w:p>
    <w:p w14:paraId="084BEC3A">
      <w:pPr>
        <w:pStyle w:val="3"/>
        <w:ind w:firstLine="280" w:firstLineChars="100"/>
        <w:rPr>
          <w:b/>
          <w:color w:val="000000"/>
          <w:sz w:val="28"/>
          <w:szCs w:val="28"/>
        </w:rPr>
      </w:pPr>
      <w:bookmarkStart w:id="137" w:name="_Toc3305"/>
      <w:r>
        <w:rPr>
          <w:rFonts w:hint="eastAsia" w:ascii="Times New Roman" w:hAnsi="Times New Roman"/>
          <w:sz w:val="28"/>
          <w:szCs w:val="28"/>
        </w:rPr>
        <w:t>3.4塔机基础</w:t>
      </w:r>
      <w:bookmarkEnd w:id="137"/>
    </w:p>
    <w:p w14:paraId="7CC305C9">
      <w:pPr>
        <w:pStyle w:val="172"/>
        <w:spacing w:line="240" w:lineRule="auto"/>
        <w:ind w:firstLine="560" w:firstLineChars="0"/>
        <w:jc w:val="left"/>
        <w:rPr>
          <w:rFonts w:hint="eastAsia" w:ascii="仿宋" w:hAnsi="仿宋" w:eastAsia="仿宋" w:cs="仿宋"/>
          <w:color w:val="000000"/>
          <w:sz w:val="28"/>
          <w:szCs w:val="28"/>
          <w:lang w:eastAsia="zh-CN"/>
        </w:rPr>
      </w:pPr>
      <w:r>
        <w:rPr>
          <w:rFonts w:hint="eastAsia" w:ascii="仿宋" w:hAnsi="仿宋" w:eastAsia="仿宋" w:cs="仿宋"/>
          <w:color w:val="000000"/>
          <w:sz w:val="28"/>
          <w:szCs w:val="28"/>
        </w:rPr>
        <w:t>根据现场实际情况，塔机基础设置于桥墩附近，距离梁翼缘板间距为1.2m，</w:t>
      </w:r>
      <w:r>
        <w:rPr>
          <w:rFonts w:hint="eastAsia" w:ascii="仿宋" w:hAnsi="仿宋" w:eastAsia="仿宋" w:cs="仿宋"/>
          <w:color w:val="000000"/>
          <w:sz w:val="28"/>
          <w:szCs w:val="28"/>
          <w:lang w:eastAsia="zh-CN"/>
        </w:rPr>
        <w:t>基础为桩基础形式，基础承台</w:t>
      </w:r>
      <w:r>
        <w:rPr>
          <w:rFonts w:hint="eastAsia" w:ascii="仿宋" w:hAnsi="仿宋" w:eastAsia="仿宋" w:cs="仿宋"/>
          <w:color w:val="000000"/>
          <w:sz w:val="28"/>
          <w:szCs w:val="28"/>
        </w:rPr>
        <w:t>尺寸为</w:t>
      </w:r>
      <w:r>
        <w:rPr>
          <w:rFonts w:hint="eastAsia" w:ascii="仿宋" w:hAnsi="仿宋" w:eastAsia="仿宋" w:cs="仿宋"/>
          <w:color w:val="000000"/>
          <w:sz w:val="28"/>
          <w:szCs w:val="28"/>
          <w:lang w:val="en-US" w:eastAsia="zh-CN"/>
        </w:rPr>
        <w:t>6</w:t>
      </w: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6</w:t>
      </w: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m</w:t>
      </w:r>
      <w:r>
        <w:rPr>
          <w:rFonts w:hint="eastAsia" w:ascii="仿宋" w:hAnsi="仿宋" w:eastAsia="仿宋" w:cs="仿宋"/>
          <w:color w:val="000000"/>
          <w:sz w:val="28"/>
          <w:szCs w:val="28"/>
          <w:lang w:eastAsia="zh-CN"/>
        </w:rPr>
        <w:t>。</w:t>
      </w:r>
    </w:p>
    <w:p w14:paraId="46ADE8F7">
      <w:pPr>
        <w:pStyle w:val="172"/>
        <w:spacing w:line="240" w:lineRule="auto"/>
        <w:ind w:firstLine="560" w:firstLineChars="0"/>
        <w:jc w:val="left"/>
        <w:rPr>
          <w:rFonts w:ascii="仿宋" w:hAnsi="仿宋" w:eastAsia="仿宋" w:cs="仿宋"/>
          <w:color w:val="000000"/>
          <w:sz w:val="28"/>
          <w:szCs w:val="28"/>
        </w:rPr>
      </w:pPr>
      <w:r>
        <w:rPr>
          <w:rFonts w:hint="eastAsia" w:ascii="仿宋" w:hAnsi="仿宋" w:eastAsia="仿宋" w:cs="仿宋"/>
          <w:color w:val="000000"/>
          <w:sz w:val="28"/>
          <w:szCs w:val="28"/>
        </w:rPr>
        <w:t>塔机基础：根据基础要求准备好预埋螺栓，在</w:t>
      </w:r>
      <w:r>
        <w:rPr>
          <w:rFonts w:hint="eastAsia" w:ascii="仿宋" w:hAnsi="仿宋" w:eastAsia="仿宋" w:cs="仿宋"/>
          <w:color w:val="000000"/>
          <w:sz w:val="28"/>
          <w:szCs w:val="28"/>
          <w:lang w:eastAsia="zh-CN"/>
        </w:rPr>
        <w:t>桥墩</w:t>
      </w:r>
      <w:r>
        <w:rPr>
          <w:rFonts w:hint="eastAsia" w:ascii="仿宋" w:hAnsi="仿宋" w:eastAsia="仿宋" w:cs="仿宋"/>
          <w:color w:val="000000"/>
          <w:sz w:val="28"/>
          <w:szCs w:val="28"/>
        </w:rPr>
        <w:t>承台混凝土浇筑完成后，重新开挖基坑</w:t>
      </w:r>
      <w:r>
        <w:rPr>
          <w:rFonts w:hint="eastAsia" w:ascii="仿宋" w:hAnsi="仿宋" w:eastAsia="仿宋" w:cs="仿宋"/>
          <w:color w:val="000000"/>
          <w:sz w:val="28"/>
          <w:szCs w:val="28"/>
          <w:lang w:eastAsia="zh-CN"/>
        </w:rPr>
        <w:t>至基础桩预留位置</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，然后模板与钢筋安装，再将预埋螺栓放入承台预留塔机基础位置内固定好，根据说明书要求施工。在浇筑砼前必须对预埋螺栓检查垂直度。其垂直度小于2/1000。浇筑完砼后检查基础水平，水平面不大于1/1000。</w:t>
      </w:r>
    </w:p>
    <w:p w14:paraId="60736618">
      <w:pPr>
        <w:spacing w:line="240" w:lineRule="auto"/>
        <w:ind w:firstLine="560"/>
        <w:jc w:val="both"/>
        <w:rPr>
          <w:rFonts w:hint="eastAsia" w:eastAsia="宋体"/>
          <w:lang w:eastAsia="zh-CN"/>
        </w:rPr>
      </w:pPr>
      <w:r>
        <w:drawing>
          <wp:inline distT="0" distB="0" distL="114300" distR="114300">
            <wp:extent cx="5720715" cy="2963545"/>
            <wp:effectExtent l="0" t="0" r="13335" b="8255"/>
            <wp:docPr id="2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1"/>
                    <pic:cNvPicPr>
                      <a:picLocks noChangeAspect="1"/>
                    </pic:cNvPicPr>
                  </pic:nvPicPr>
                  <pic:blipFill>
                    <a:blip r:embed="rId24"/>
                    <a:stretch>
                      <a:fillRect/>
                    </a:stretch>
                  </pic:blipFill>
                  <pic:spPr>
                    <a:xfrm>
                      <a:off x="0" y="0"/>
                      <a:ext cx="5720715" cy="2963545"/>
                    </a:xfrm>
                    <a:prstGeom prst="rect">
                      <a:avLst/>
                    </a:prstGeom>
                    <a:noFill/>
                    <a:ln>
                      <a:noFill/>
                    </a:ln>
                  </pic:spPr>
                </pic:pic>
              </a:graphicData>
            </a:graphic>
          </wp:inline>
        </w:drawing>
      </w:r>
    </w:p>
    <w:p w14:paraId="46208F78">
      <w:pPr>
        <w:pStyle w:val="123"/>
      </w:pPr>
      <w:r>
        <w:rPr>
          <w:rFonts w:hint="eastAsia"/>
        </w:rPr>
        <w:t>图3-</w:t>
      </w:r>
      <w:r>
        <w:t>1</w:t>
      </w:r>
      <w:r>
        <w:rPr>
          <w:rFonts w:hint="eastAsia"/>
        </w:rPr>
        <w:t>塔机基础图</w:t>
      </w:r>
    </w:p>
    <w:p w14:paraId="209851EB">
      <w:pPr>
        <w:spacing w:line="240" w:lineRule="auto"/>
        <w:ind w:firstLine="0" w:firstLineChars="0"/>
        <w:rPr>
          <w:rFonts w:hint="eastAsia" w:eastAsia="仿宋"/>
          <w:lang w:eastAsia="zh-CN"/>
        </w:rPr>
      </w:pPr>
      <w:r>
        <w:rPr>
          <w:rFonts w:hint="eastAsia" w:eastAsia="仿宋"/>
          <w:lang w:eastAsia="zh-CN"/>
        </w:rPr>
        <w:drawing>
          <wp:inline distT="0" distB="0" distL="114300" distR="114300">
            <wp:extent cx="5718175" cy="4079875"/>
            <wp:effectExtent l="0" t="0" r="15875" b="15875"/>
            <wp:docPr id="28" name="图片 28" descr="173465598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734655981552"/>
                    <pic:cNvPicPr>
                      <a:picLocks noChangeAspect="1"/>
                    </pic:cNvPicPr>
                  </pic:nvPicPr>
                  <pic:blipFill>
                    <a:blip r:embed="rId25"/>
                    <a:stretch>
                      <a:fillRect/>
                    </a:stretch>
                  </pic:blipFill>
                  <pic:spPr>
                    <a:xfrm>
                      <a:off x="0" y="0"/>
                      <a:ext cx="5718175" cy="4079875"/>
                    </a:xfrm>
                    <a:prstGeom prst="rect">
                      <a:avLst/>
                    </a:prstGeom>
                  </pic:spPr>
                </pic:pic>
              </a:graphicData>
            </a:graphic>
          </wp:inline>
        </w:drawing>
      </w:r>
    </w:p>
    <w:p w14:paraId="1F615ED3">
      <w:pPr>
        <w:pStyle w:val="123"/>
      </w:pPr>
      <w:r>
        <w:rPr>
          <w:rFonts w:hint="eastAsia"/>
        </w:rPr>
        <w:t>图3-</w:t>
      </w:r>
      <w:r>
        <w:t>2</w:t>
      </w:r>
      <w:r>
        <w:rPr>
          <w:rFonts w:hint="eastAsia"/>
        </w:rPr>
        <w:t>塔机基础钢筋图</w:t>
      </w:r>
    </w:p>
    <w:p w14:paraId="25F2C85C">
      <w:pPr>
        <w:spacing w:line="240" w:lineRule="auto"/>
        <w:ind w:firstLine="0" w:firstLineChars="0"/>
        <w:rPr>
          <w:rFonts w:hint="eastAsia"/>
        </w:rPr>
      </w:pPr>
    </w:p>
    <w:bookmarkEnd w:id="108"/>
    <w:bookmarkEnd w:id="109"/>
    <w:bookmarkEnd w:id="131"/>
    <w:bookmarkEnd w:id="132"/>
    <w:bookmarkEnd w:id="133"/>
    <w:bookmarkEnd w:id="134"/>
    <w:bookmarkEnd w:id="135"/>
    <w:p w14:paraId="6A2CC5E2">
      <w:pPr>
        <w:pStyle w:val="2"/>
        <w:ind w:left="1960" w:right="1960" w:firstLine="1280" w:firstLineChars="400"/>
        <w:jc w:val="both"/>
        <w:rPr>
          <w:color w:val="000000"/>
        </w:rPr>
      </w:pPr>
      <w:bookmarkStart w:id="138" w:name="_Toc526402030"/>
      <w:bookmarkStart w:id="139" w:name="_Toc32314"/>
      <w:bookmarkStart w:id="140" w:name="_Toc15182"/>
      <w:bookmarkStart w:id="141" w:name="_Toc18875"/>
      <w:bookmarkStart w:id="142" w:name="_Toc20180"/>
      <w:bookmarkStart w:id="143" w:name="_Toc12526"/>
      <w:bookmarkStart w:id="144" w:name="_Toc24480"/>
      <w:bookmarkStart w:id="145" w:name="_Toc19228"/>
      <w:bookmarkStart w:id="146" w:name="_Toc531896369"/>
      <w:bookmarkStart w:id="147" w:name="_Toc28258"/>
      <w:bookmarkStart w:id="148" w:name="_Toc10066"/>
      <w:bookmarkStart w:id="149" w:name="_Toc11396"/>
      <w:bookmarkStart w:id="150" w:name="_Toc8163"/>
      <w:bookmarkStart w:id="151" w:name="_Toc5463"/>
      <w:bookmarkStart w:id="152" w:name="_Toc24545"/>
      <w:bookmarkStart w:id="153" w:name="_Toc25516"/>
      <w:bookmarkStart w:id="154" w:name="_Toc9049"/>
      <w:bookmarkStart w:id="155" w:name="_Toc5939"/>
      <w:bookmarkStart w:id="156" w:name="_Toc22146"/>
      <w:bookmarkStart w:id="157" w:name="_Toc32091"/>
      <w:r>
        <w:rPr>
          <w:rFonts w:hint="eastAsia"/>
          <w:color w:val="000000"/>
        </w:rPr>
        <w:t>第四章 施工</w:t>
      </w:r>
      <w:bookmarkEnd w:id="138"/>
      <w:bookmarkEnd w:id="139"/>
      <w:bookmarkEnd w:id="140"/>
      <w:bookmarkEnd w:id="141"/>
      <w:bookmarkEnd w:id="142"/>
      <w:bookmarkEnd w:id="143"/>
      <w:bookmarkEnd w:id="144"/>
      <w:bookmarkEnd w:id="145"/>
      <w:bookmarkEnd w:id="146"/>
      <w:bookmarkEnd w:id="147"/>
      <w:bookmarkEnd w:id="148"/>
      <w:bookmarkEnd w:id="149"/>
      <w:bookmarkEnd w:id="150"/>
      <w:r>
        <w:rPr>
          <w:rFonts w:hint="eastAsia"/>
          <w:color w:val="000000"/>
        </w:rPr>
        <w:t>技术方案</w:t>
      </w:r>
      <w:bookmarkEnd w:id="151"/>
      <w:bookmarkEnd w:id="152"/>
      <w:bookmarkEnd w:id="153"/>
      <w:bookmarkEnd w:id="154"/>
      <w:bookmarkEnd w:id="155"/>
      <w:bookmarkEnd w:id="156"/>
      <w:bookmarkEnd w:id="157"/>
    </w:p>
    <w:p w14:paraId="52B06064">
      <w:pPr>
        <w:pStyle w:val="3"/>
        <w:rPr>
          <w:color w:val="000000"/>
        </w:rPr>
      </w:pPr>
      <w:bookmarkStart w:id="158" w:name="_Toc13514"/>
      <w:bookmarkStart w:id="159" w:name="_Toc20690"/>
      <w:bookmarkStart w:id="160" w:name="_Toc18626"/>
      <w:bookmarkStart w:id="161" w:name="_Toc30976"/>
      <w:bookmarkStart w:id="162" w:name="_Toc10614"/>
      <w:bookmarkStart w:id="163" w:name="_Toc5459"/>
      <w:bookmarkStart w:id="164" w:name="_Toc552"/>
      <w:bookmarkStart w:id="165" w:name="_Toc23852"/>
      <w:bookmarkStart w:id="166" w:name="_Toc24903"/>
      <w:bookmarkStart w:id="167" w:name="_Toc22610"/>
      <w:bookmarkStart w:id="168" w:name="_Toc20207"/>
      <w:bookmarkStart w:id="169" w:name="_Toc7312"/>
      <w:bookmarkStart w:id="170" w:name="_Toc31565"/>
      <w:bookmarkStart w:id="171" w:name="_Toc22300"/>
      <w:r>
        <w:rPr>
          <w:rFonts w:hint="eastAsia"/>
          <w:color w:val="000000"/>
        </w:rPr>
        <w:t>4.1 组织机构</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536ECEBE">
      <w:pPr>
        <w:ind w:firstLine="560"/>
      </w:pPr>
      <w:bookmarkStart w:id="172" w:name="_Toc23518"/>
      <w:bookmarkStart w:id="173" w:name="_Toc1909"/>
      <w:bookmarkStart w:id="174" w:name="_Toc30832"/>
      <w:bookmarkStart w:id="175" w:name="_Toc2774"/>
      <w:bookmarkStart w:id="176" w:name="_Toc31708"/>
      <w:bookmarkStart w:id="177" w:name="_Toc531896370"/>
      <w:bookmarkStart w:id="178" w:name="_Toc4571"/>
      <w:bookmarkStart w:id="179" w:name="_Toc10279"/>
      <w:bookmarkStart w:id="180" w:name="_Toc29878"/>
      <w:bookmarkStart w:id="181" w:name="_Toc28673"/>
      <w:bookmarkStart w:id="182" w:name="_Toc29716"/>
      <w:bookmarkStart w:id="183" w:name="_Toc26147"/>
      <w:bookmarkStart w:id="184" w:name="_Toc28912"/>
      <w:bookmarkStart w:id="185" w:name="_Toc514412681"/>
      <w:bookmarkStart w:id="186" w:name="_Toc356"/>
      <w:bookmarkStart w:id="187" w:name="_Toc514922752"/>
      <w:bookmarkStart w:id="188" w:name="_Toc24476"/>
      <w:bookmarkStart w:id="189" w:name="_Toc31779"/>
      <w:bookmarkStart w:id="190" w:name="_Toc10000"/>
      <w:bookmarkStart w:id="191" w:name="_Toc10433"/>
      <w:bookmarkStart w:id="192" w:name="_Toc441657861"/>
      <w:bookmarkStart w:id="193" w:name="_Toc526402036"/>
      <w:r>
        <w:rPr>
          <w:rFonts w:hint="eastAsia"/>
        </w:rPr>
        <w:t>根据本工程实际情况，为全面落实施工生产安排，对塔机安装、拆卸、运输全过程进行管理和监控，确保质量目标、工期目标、环境管理目标和职业健康安全管理目标的实现，确定如下施工组织机构，并明确分工职责。</w:t>
      </w:r>
    </w:p>
    <w:p w14:paraId="5CFE36DF">
      <w:pPr>
        <w:pStyle w:val="80"/>
        <w:spacing w:line="240" w:lineRule="auto"/>
        <w:ind w:firstLine="0" w:firstLineChars="0"/>
      </w:pPr>
      <w:r>
        <w:rPr>
          <w:rStyle w:val="124"/>
        </w:rPr>
        <w:drawing>
          <wp:inline distT="0" distB="0" distL="114300" distR="114300">
            <wp:extent cx="5224145" cy="2447290"/>
            <wp:effectExtent l="0" t="0" r="3175" b="6350"/>
            <wp:docPr id="7" name="图片 5"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绘图1"/>
                    <pic:cNvPicPr>
                      <a:picLocks noChangeAspect="1"/>
                    </pic:cNvPicPr>
                  </pic:nvPicPr>
                  <pic:blipFill>
                    <a:blip r:embed="rId26"/>
                    <a:stretch>
                      <a:fillRect/>
                    </a:stretch>
                  </pic:blipFill>
                  <pic:spPr>
                    <a:xfrm>
                      <a:off x="0" y="0"/>
                      <a:ext cx="5224145" cy="2447290"/>
                    </a:xfrm>
                    <a:prstGeom prst="rect">
                      <a:avLst/>
                    </a:prstGeom>
                    <a:noFill/>
                    <a:ln>
                      <a:noFill/>
                    </a:ln>
                  </pic:spPr>
                </pic:pic>
              </a:graphicData>
            </a:graphic>
          </wp:inline>
        </w:drawing>
      </w:r>
    </w:p>
    <w:p w14:paraId="1F8BFFC6">
      <w:pPr>
        <w:pStyle w:val="123"/>
        <w:ind w:firstLine="0"/>
        <w:rPr>
          <w:rFonts w:ascii="Times New Roman" w:hAnsi="Times New Roman" w:eastAsia="仿宋" w:cs="Times New Roman"/>
          <w:b w:val="0"/>
          <w:color w:val="auto"/>
        </w:rPr>
      </w:pPr>
      <w:r>
        <w:rPr>
          <w:rFonts w:hint="eastAsia" w:ascii="Times New Roman" w:hAnsi="Times New Roman" w:eastAsia="仿宋" w:cs="Times New Roman"/>
          <w:color w:val="auto"/>
        </w:rPr>
        <w:t>图4.1-1 塔式起重机安拆组织机构图</w:t>
      </w:r>
    </w:p>
    <w:p w14:paraId="58E024F2">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4.1.1施工人员职责分工</w:t>
      </w:r>
    </w:p>
    <w:p w14:paraId="29F645D6">
      <w:pPr>
        <w:pStyle w:val="123"/>
        <w:rPr>
          <w:rStyle w:val="124"/>
          <w:b/>
        </w:rPr>
      </w:pPr>
      <w:r>
        <w:rPr>
          <w:rStyle w:val="124"/>
          <w:rFonts w:hint="eastAsia"/>
          <w:b/>
        </w:rPr>
        <w:t>表4.1-1塔机安装施工管理人员配置表</w:t>
      </w:r>
    </w:p>
    <w:tbl>
      <w:tblPr>
        <w:tblStyle w:val="41"/>
        <w:tblW w:w="878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0"/>
        <w:gridCol w:w="1262"/>
        <w:gridCol w:w="1637"/>
        <w:gridCol w:w="4100"/>
      </w:tblGrid>
      <w:tr w14:paraId="200DCB9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Align w:val="center"/>
          </w:tcPr>
          <w:p w14:paraId="67E1E820">
            <w:pPr>
              <w:widowControl/>
              <w:adjustRightInd w:val="0"/>
              <w:spacing w:line="240" w:lineRule="auto"/>
              <w:ind w:firstLine="33" w:firstLineChars="14"/>
              <w:jc w:val="center"/>
              <w:textAlignment w:val="center"/>
              <w:rPr>
                <w:rFonts w:ascii="仿宋" w:hAnsi="仿宋"/>
                <w:kern w:val="0"/>
                <w:sz w:val="24"/>
                <w:szCs w:val="24"/>
              </w:rPr>
            </w:pPr>
            <w:bookmarkStart w:id="194" w:name="_Hlk533448464"/>
            <w:r>
              <w:rPr>
                <w:rFonts w:hint="eastAsia" w:ascii="仿宋" w:hAnsi="仿宋"/>
                <w:kern w:val="0"/>
                <w:sz w:val="24"/>
                <w:szCs w:val="24"/>
              </w:rPr>
              <w:t>单位</w:t>
            </w:r>
          </w:p>
        </w:tc>
        <w:tc>
          <w:tcPr>
            <w:tcW w:w="1262" w:type="dxa"/>
            <w:vAlign w:val="center"/>
          </w:tcPr>
          <w:p w14:paraId="6092F51B">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姓名</w:t>
            </w:r>
          </w:p>
        </w:tc>
        <w:tc>
          <w:tcPr>
            <w:tcW w:w="1637" w:type="dxa"/>
            <w:vAlign w:val="center"/>
          </w:tcPr>
          <w:p w14:paraId="00D1F2B7">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岗位</w:t>
            </w:r>
          </w:p>
        </w:tc>
        <w:tc>
          <w:tcPr>
            <w:tcW w:w="4100" w:type="dxa"/>
            <w:vAlign w:val="center"/>
          </w:tcPr>
          <w:p w14:paraId="11590B29">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岗位职责</w:t>
            </w:r>
          </w:p>
        </w:tc>
      </w:tr>
      <w:tr w14:paraId="117F01D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restart"/>
            <w:vAlign w:val="center"/>
          </w:tcPr>
          <w:p w14:paraId="4C48E8FD">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中铁大桥局机械化施工公司</w:t>
            </w:r>
          </w:p>
        </w:tc>
        <w:tc>
          <w:tcPr>
            <w:tcW w:w="1262" w:type="dxa"/>
            <w:vAlign w:val="center"/>
          </w:tcPr>
          <w:p w14:paraId="241F14C8">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张腾万</w:t>
            </w:r>
          </w:p>
        </w:tc>
        <w:tc>
          <w:tcPr>
            <w:tcW w:w="1637" w:type="dxa"/>
            <w:vAlign w:val="center"/>
          </w:tcPr>
          <w:p w14:paraId="576CF6CD">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安拆负责人</w:t>
            </w:r>
          </w:p>
        </w:tc>
        <w:tc>
          <w:tcPr>
            <w:tcW w:w="4100" w:type="dxa"/>
          </w:tcPr>
          <w:p w14:paraId="0A44EE84">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对塔机安装的全过程进行管理、监控，合理的组织生产，确保安全施工。</w:t>
            </w:r>
          </w:p>
        </w:tc>
      </w:tr>
      <w:tr w14:paraId="3F6D7C5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50765E4F">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680CE84B">
            <w:pPr>
              <w:widowControl/>
              <w:adjustRightInd w:val="0"/>
              <w:spacing w:line="240" w:lineRule="auto"/>
              <w:ind w:firstLine="0" w:firstLineChars="0"/>
              <w:jc w:val="center"/>
              <w:textAlignment w:val="center"/>
              <w:rPr>
                <w:rFonts w:ascii="仿宋" w:hAnsi="仿宋"/>
                <w:kern w:val="0"/>
                <w:sz w:val="24"/>
                <w:szCs w:val="24"/>
              </w:rPr>
            </w:pPr>
            <w:r>
              <w:rPr>
                <w:rFonts w:hint="eastAsia" w:ascii="仿宋" w:hAnsi="仿宋"/>
                <w:kern w:val="0"/>
                <w:sz w:val="24"/>
                <w:szCs w:val="24"/>
              </w:rPr>
              <w:t>温  涛</w:t>
            </w:r>
          </w:p>
        </w:tc>
        <w:tc>
          <w:tcPr>
            <w:tcW w:w="1637" w:type="dxa"/>
            <w:vAlign w:val="center"/>
          </w:tcPr>
          <w:p w14:paraId="52387F27">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技术总工</w:t>
            </w:r>
          </w:p>
        </w:tc>
        <w:tc>
          <w:tcPr>
            <w:tcW w:w="4100" w:type="dxa"/>
          </w:tcPr>
          <w:p w14:paraId="5C72E950">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现场勘察，编制塔机的安装技术方案，负责安装技术指导，汇编整理技术资料，监管设备检验。</w:t>
            </w:r>
          </w:p>
        </w:tc>
      </w:tr>
      <w:tr w14:paraId="0D1CEAC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66485DD0">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0143DB98">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黄教亮</w:t>
            </w:r>
          </w:p>
        </w:tc>
        <w:tc>
          <w:tcPr>
            <w:tcW w:w="1637" w:type="dxa"/>
            <w:vAlign w:val="center"/>
          </w:tcPr>
          <w:p w14:paraId="234C0055">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施工工长</w:t>
            </w:r>
          </w:p>
        </w:tc>
        <w:tc>
          <w:tcPr>
            <w:tcW w:w="4100" w:type="dxa"/>
          </w:tcPr>
          <w:p w14:paraId="35B57381">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负责现场塔机按照安装方案安装，以及组织现场安装人员施工。</w:t>
            </w:r>
          </w:p>
        </w:tc>
      </w:tr>
      <w:tr w14:paraId="50842A1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29688ED8">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2B3CBC2D">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张腾万</w:t>
            </w:r>
          </w:p>
        </w:tc>
        <w:tc>
          <w:tcPr>
            <w:tcW w:w="1637" w:type="dxa"/>
            <w:vAlign w:val="center"/>
          </w:tcPr>
          <w:p w14:paraId="540BDDAB">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安全员</w:t>
            </w:r>
          </w:p>
        </w:tc>
        <w:tc>
          <w:tcPr>
            <w:tcW w:w="4100" w:type="dxa"/>
          </w:tcPr>
          <w:p w14:paraId="6643C25C">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检查施工中安全保护措施的监督执行，监督执行作业前安全技术交底，负责现场施工安全监督。</w:t>
            </w:r>
          </w:p>
        </w:tc>
      </w:tr>
      <w:tr w14:paraId="3000F10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794EEEE5">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642FB8C8">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贺中兵</w:t>
            </w:r>
          </w:p>
        </w:tc>
        <w:tc>
          <w:tcPr>
            <w:tcW w:w="1637" w:type="dxa"/>
            <w:vAlign w:val="center"/>
          </w:tcPr>
          <w:p w14:paraId="15D0B896">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起重指挥</w:t>
            </w:r>
          </w:p>
        </w:tc>
        <w:tc>
          <w:tcPr>
            <w:tcW w:w="4100" w:type="dxa"/>
          </w:tcPr>
          <w:p w14:paraId="03460380">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负责地面起重指挥，做好作业人员的协调工作。</w:t>
            </w:r>
          </w:p>
        </w:tc>
      </w:tr>
      <w:tr w14:paraId="3332869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2F2BAE34">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39C6D9C2">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吴强</w:t>
            </w:r>
          </w:p>
        </w:tc>
        <w:tc>
          <w:tcPr>
            <w:tcW w:w="1637" w:type="dxa"/>
            <w:vAlign w:val="center"/>
          </w:tcPr>
          <w:p w14:paraId="1C9CAB4A">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安拆电工</w:t>
            </w:r>
          </w:p>
        </w:tc>
        <w:tc>
          <w:tcPr>
            <w:tcW w:w="4100" w:type="dxa"/>
          </w:tcPr>
          <w:p w14:paraId="4163F81F">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负责塔机电控柜、电阻箱等电气元件接线</w:t>
            </w:r>
          </w:p>
        </w:tc>
      </w:tr>
      <w:tr w14:paraId="7FF370A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34632E92">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5BFE6257">
            <w:pPr>
              <w:widowControl/>
              <w:adjustRightInd w:val="0"/>
              <w:spacing w:line="240" w:lineRule="auto"/>
              <w:ind w:firstLine="33" w:firstLineChars="14"/>
              <w:jc w:val="center"/>
              <w:textAlignment w:val="center"/>
              <w:rPr>
                <w:kern w:val="0"/>
                <w:sz w:val="24"/>
                <w:szCs w:val="24"/>
              </w:rPr>
            </w:pPr>
            <w:r>
              <w:rPr>
                <w:rFonts w:hint="eastAsia" w:ascii="仿宋" w:hAnsi="仿宋"/>
                <w:kern w:val="0"/>
                <w:sz w:val="24"/>
                <w:szCs w:val="24"/>
              </w:rPr>
              <w:t xml:space="preserve">黄教亮 邹四胡 </w:t>
            </w:r>
            <w:r>
              <w:rPr>
                <w:rFonts w:hint="eastAsia"/>
                <w:kern w:val="0"/>
                <w:sz w:val="24"/>
                <w:szCs w:val="24"/>
              </w:rPr>
              <w:t>李小琴 胡杰</w:t>
            </w:r>
          </w:p>
        </w:tc>
        <w:tc>
          <w:tcPr>
            <w:tcW w:w="1637" w:type="dxa"/>
            <w:vAlign w:val="center"/>
          </w:tcPr>
          <w:p w14:paraId="490F9280">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塔机安拆工</w:t>
            </w:r>
          </w:p>
        </w:tc>
        <w:tc>
          <w:tcPr>
            <w:tcW w:w="4100" w:type="dxa"/>
          </w:tcPr>
          <w:p w14:paraId="75740BBE">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所有作业人员进入施工现场必须持有效操作证件上岗，接受塔机安装作业前的安全技术交底危险源辨识。服从班组指挥分工，严格执行作业程序，精力集中，做好自我防护，正确配带和使用安全防护用品，不违章作业。</w:t>
            </w:r>
          </w:p>
        </w:tc>
      </w:tr>
      <w:tr w14:paraId="0FAE742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3935C7F4">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5F44BD45">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万元</w:t>
            </w:r>
          </w:p>
        </w:tc>
        <w:tc>
          <w:tcPr>
            <w:tcW w:w="1637" w:type="dxa"/>
            <w:vAlign w:val="center"/>
          </w:tcPr>
          <w:p w14:paraId="6B1DF3E7">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塔机司机</w:t>
            </w:r>
          </w:p>
        </w:tc>
        <w:tc>
          <w:tcPr>
            <w:tcW w:w="4100" w:type="dxa"/>
          </w:tcPr>
          <w:p w14:paraId="7722DE13">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负责顶升期间操作塔机</w:t>
            </w:r>
          </w:p>
        </w:tc>
      </w:tr>
      <w:tr w14:paraId="02EB03E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restart"/>
            <w:vAlign w:val="center"/>
          </w:tcPr>
          <w:p w14:paraId="32AB5370">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项目部</w:t>
            </w:r>
          </w:p>
        </w:tc>
        <w:tc>
          <w:tcPr>
            <w:tcW w:w="1262" w:type="dxa"/>
            <w:vAlign w:val="center"/>
          </w:tcPr>
          <w:p w14:paraId="71ACC3E7">
            <w:pPr>
              <w:widowControl/>
              <w:adjustRightInd w:val="0"/>
              <w:spacing w:line="240" w:lineRule="auto"/>
              <w:ind w:firstLine="33" w:firstLineChars="14"/>
              <w:jc w:val="center"/>
              <w:textAlignment w:val="center"/>
              <w:rPr>
                <w:rFonts w:ascii="仿宋" w:hAnsi="仿宋"/>
                <w:kern w:val="0"/>
                <w:sz w:val="24"/>
                <w:szCs w:val="24"/>
              </w:rPr>
            </w:pPr>
            <w:r>
              <w:rPr>
                <w:rFonts w:ascii="仿宋" w:hAnsi="仿宋"/>
                <w:kern w:val="0"/>
                <w:sz w:val="24"/>
                <w:szCs w:val="24"/>
              </w:rPr>
              <w:t>/</w:t>
            </w:r>
          </w:p>
        </w:tc>
        <w:tc>
          <w:tcPr>
            <w:tcW w:w="1637" w:type="dxa"/>
            <w:vAlign w:val="center"/>
          </w:tcPr>
          <w:p w14:paraId="0BE47B6B">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汽车吊操作工</w:t>
            </w:r>
          </w:p>
        </w:tc>
        <w:tc>
          <w:tcPr>
            <w:tcW w:w="4100" w:type="dxa"/>
          </w:tcPr>
          <w:p w14:paraId="575F6D25">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在安装前一天必须到现场查看场地参加技术安全、危险源交底。</w:t>
            </w:r>
          </w:p>
        </w:tc>
      </w:tr>
      <w:tr w14:paraId="273406D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0D017822">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0C6A6136">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w:t>
            </w:r>
          </w:p>
        </w:tc>
        <w:tc>
          <w:tcPr>
            <w:tcW w:w="1637" w:type="dxa"/>
            <w:vAlign w:val="center"/>
          </w:tcPr>
          <w:p w14:paraId="68200935">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起重指挥司索工</w:t>
            </w:r>
          </w:p>
        </w:tc>
        <w:tc>
          <w:tcPr>
            <w:tcW w:w="4100" w:type="dxa"/>
          </w:tcPr>
          <w:p w14:paraId="300E1478">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塔吊指挥要严格执行塔吊起重吊运方案及技术、安全要求和措施</w:t>
            </w:r>
          </w:p>
        </w:tc>
      </w:tr>
      <w:tr w14:paraId="40A633F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11F7A912">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651DE324">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李骏</w:t>
            </w:r>
          </w:p>
        </w:tc>
        <w:tc>
          <w:tcPr>
            <w:tcW w:w="1637" w:type="dxa"/>
            <w:vAlign w:val="center"/>
          </w:tcPr>
          <w:p w14:paraId="469FC07B">
            <w:pPr>
              <w:widowControl/>
              <w:adjustRightInd w:val="0"/>
              <w:spacing w:line="240" w:lineRule="auto"/>
              <w:ind w:firstLine="33" w:firstLineChars="14"/>
              <w:jc w:val="center"/>
              <w:textAlignment w:val="center"/>
              <w:rPr>
                <w:rFonts w:ascii="仿宋" w:hAnsi="仿宋" w:cs="宋体"/>
                <w:kern w:val="0"/>
                <w:sz w:val="24"/>
                <w:szCs w:val="24"/>
              </w:rPr>
            </w:pPr>
            <w:r>
              <w:rPr>
                <w:rFonts w:hint="eastAsia" w:ascii="仿宋" w:hAnsi="仿宋" w:cs="宋体"/>
                <w:kern w:val="0"/>
                <w:sz w:val="24"/>
                <w:szCs w:val="24"/>
              </w:rPr>
              <w:t>现场负责人</w:t>
            </w:r>
          </w:p>
        </w:tc>
        <w:tc>
          <w:tcPr>
            <w:tcW w:w="4100" w:type="dxa"/>
            <w:vAlign w:val="center"/>
          </w:tcPr>
          <w:p w14:paraId="79A817CE">
            <w:pPr>
              <w:widowControl/>
              <w:adjustRightInd w:val="0"/>
              <w:spacing w:line="240" w:lineRule="auto"/>
              <w:ind w:firstLine="33" w:firstLineChars="14"/>
              <w:textAlignment w:val="center"/>
              <w:rPr>
                <w:rFonts w:ascii="仿宋" w:hAnsi="仿宋" w:cs="宋体"/>
                <w:kern w:val="0"/>
                <w:sz w:val="24"/>
                <w:szCs w:val="24"/>
              </w:rPr>
            </w:pPr>
            <w:r>
              <w:rPr>
                <w:rFonts w:hint="eastAsia" w:ascii="仿宋" w:hAnsi="仿宋" w:cs="宋体"/>
                <w:kern w:val="0"/>
                <w:sz w:val="24"/>
                <w:szCs w:val="24"/>
              </w:rPr>
              <w:t>对塔机安拆的全过程进行统筹、协调，确保安全施工。</w:t>
            </w:r>
          </w:p>
        </w:tc>
      </w:tr>
      <w:tr w14:paraId="54D8001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61057AA7">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2A3F4D1C">
            <w:pPr>
              <w:widowControl/>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kern w:val="0"/>
                <w:sz w:val="24"/>
                <w:szCs w:val="24"/>
              </w:rPr>
              <w:t>傅燕平</w:t>
            </w:r>
          </w:p>
        </w:tc>
        <w:tc>
          <w:tcPr>
            <w:tcW w:w="1637" w:type="dxa"/>
            <w:vAlign w:val="center"/>
          </w:tcPr>
          <w:p w14:paraId="597DE8FD">
            <w:pPr>
              <w:widowControl/>
              <w:adjustRightInd w:val="0"/>
              <w:spacing w:line="240" w:lineRule="auto"/>
              <w:ind w:firstLine="33" w:firstLineChars="14"/>
              <w:jc w:val="center"/>
              <w:textAlignment w:val="center"/>
              <w:rPr>
                <w:rFonts w:hint="eastAsia" w:ascii="仿宋" w:hAnsi="仿宋" w:cs="宋体"/>
                <w:kern w:val="0"/>
                <w:sz w:val="24"/>
                <w:szCs w:val="24"/>
              </w:rPr>
            </w:pPr>
            <w:r>
              <w:rPr>
                <w:rFonts w:hint="eastAsia" w:ascii="仿宋" w:hAnsi="仿宋" w:cs="宋体"/>
                <w:kern w:val="0"/>
                <w:sz w:val="24"/>
                <w:szCs w:val="24"/>
              </w:rPr>
              <w:t>技术负责人</w:t>
            </w:r>
          </w:p>
        </w:tc>
        <w:tc>
          <w:tcPr>
            <w:tcW w:w="4100" w:type="dxa"/>
            <w:vAlign w:val="center"/>
          </w:tcPr>
          <w:p w14:paraId="4E600621">
            <w:pPr>
              <w:widowControl/>
              <w:adjustRightInd w:val="0"/>
              <w:spacing w:line="240" w:lineRule="auto"/>
              <w:ind w:firstLine="33" w:firstLineChars="14"/>
              <w:textAlignment w:val="center"/>
              <w:rPr>
                <w:rFonts w:hint="eastAsia" w:ascii="仿宋" w:hAnsi="仿宋" w:cs="宋体"/>
                <w:kern w:val="0"/>
                <w:sz w:val="24"/>
                <w:szCs w:val="24"/>
              </w:rPr>
            </w:pPr>
            <w:r>
              <w:rPr>
                <w:rFonts w:hint="eastAsia" w:ascii="仿宋" w:hAnsi="仿宋" w:cs="宋体"/>
                <w:kern w:val="0"/>
                <w:sz w:val="24"/>
                <w:szCs w:val="24"/>
              </w:rPr>
              <w:t>进行安全技术交底、负责技术管理工作。</w:t>
            </w:r>
          </w:p>
        </w:tc>
      </w:tr>
      <w:tr w14:paraId="6B946B7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43248DEE">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6C65BF52">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刘平</w:t>
            </w:r>
          </w:p>
        </w:tc>
        <w:tc>
          <w:tcPr>
            <w:tcW w:w="1637" w:type="dxa"/>
            <w:vAlign w:val="center"/>
          </w:tcPr>
          <w:p w14:paraId="1669A128">
            <w:pPr>
              <w:widowControl/>
              <w:adjustRightInd w:val="0"/>
              <w:spacing w:line="240" w:lineRule="auto"/>
              <w:ind w:firstLine="33" w:firstLineChars="14"/>
              <w:jc w:val="center"/>
              <w:textAlignment w:val="center"/>
              <w:rPr>
                <w:rFonts w:ascii="仿宋" w:hAnsi="仿宋" w:cs="宋体"/>
                <w:kern w:val="0"/>
                <w:sz w:val="24"/>
                <w:szCs w:val="24"/>
              </w:rPr>
            </w:pPr>
            <w:r>
              <w:rPr>
                <w:rFonts w:hint="eastAsia" w:ascii="仿宋" w:hAnsi="仿宋" w:cs="宋体"/>
                <w:kern w:val="0"/>
                <w:sz w:val="24"/>
                <w:szCs w:val="24"/>
              </w:rPr>
              <w:t>安全员</w:t>
            </w:r>
          </w:p>
        </w:tc>
        <w:tc>
          <w:tcPr>
            <w:tcW w:w="4100" w:type="dxa"/>
            <w:vAlign w:val="center"/>
          </w:tcPr>
          <w:p w14:paraId="6D583274">
            <w:pPr>
              <w:widowControl/>
              <w:adjustRightInd w:val="0"/>
              <w:spacing w:line="240" w:lineRule="auto"/>
              <w:ind w:firstLine="33" w:firstLineChars="14"/>
              <w:textAlignment w:val="center"/>
              <w:rPr>
                <w:rFonts w:ascii="仿宋" w:hAnsi="仿宋" w:cs="宋体"/>
                <w:kern w:val="0"/>
                <w:sz w:val="24"/>
                <w:szCs w:val="24"/>
              </w:rPr>
            </w:pPr>
            <w:r>
              <w:rPr>
                <w:rFonts w:hint="eastAsia" w:ascii="仿宋" w:hAnsi="仿宋" w:cs="宋体"/>
                <w:kern w:val="0"/>
                <w:sz w:val="24"/>
                <w:szCs w:val="24"/>
              </w:rPr>
              <w:t>检查施工中安全保护措施的监督执行，监督执行作业前安全技术交底，负责现场施工安全监督。</w:t>
            </w:r>
          </w:p>
        </w:tc>
      </w:tr>
      <w:tr w14:paraId="24B216C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37EAF66A">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4BFC200A">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周文亮</w:t>
            </w:r>
          </w:p>
        </w:tc>
        <w:tc>
          <w:tcPr>
            <w:tcW w:w="1637" w:type="dxa"/>
            <w:vAlign w:val="center"/>
          </w:tcPr>
          <w:p w14:paraId="2266102D">
            <w:pPr>
              <w:widowControl/>
              <w:adjustRightInd w:val="0"/>
              <w:spacing w:line="240" w:lineRule="auto"/>
              <w:ind w:firstLine="33" w:firstLineChars="14"/>
              <w:jc w:val="center"/>
              <w:textAlignment w:val="center"/>
              <w:rPr>
                <w:rFonts w:ascii="仿宋" w:hAnsi="仿宋" w:cs="宋体"/>
                <w:kern w:val="0"/>
                <w:sz w:val="24"/>
                <w:szCs w:val="24"/>
              </w:rPr>
            </w:pPr>
            <w:r>
              <w:rPr>
                <w:rFonts w:hint="eastAsia" w:ascii="仿宋" w:hAnsi="仿宋" w:cs="宋体"/>
                <w:kern w:val="0"/>
                <w:sz w:val="24"/>
                <w:szCs w:val="24"/>
              </w:rPr>
              <w:t>机管员</w:t>
            </w:r>
          </w:p>
        </w:tc>
        <w:tc>
          <w:tcPr>
            <w:tcW w:w="4100" w:type="dxa"/>
            <w:vAlign w:val="center"/>
          </w:tcPr>
          <w:p w14:paraId="40876172">
            <w:pPr>
              <w:widowControl/>
              <w:adjustRightInd w:val="0"/>
              <w:spacing w:line="240" w:lineRule="auto"/>
              <w:ind w:firstLine="33" w:firstLineChars="14"/>
              <w:textAlignment w:val="center"/>
              <w:rPr>
                <w:rFonts w:ascii="仿宋" w:hAnsi="仿宋" w:cs="宋体"/>
                <w:kern w:val="0"/>
                <w:sz w:val="24"/>
                <w:szCs w:val="24"/>
              </w:rPr>
            </w:pPr>
            <w:r>
              <w:rPr>
                <w:rFonts w:hint="eastAsia" w:ascii="仿宋" w:hAnsi="仿宋" w:cs="宋体"/>
                <w:kern w:val="0"/>
                <w:sz w:val="24"/>
                <w:szCs w:val="24"/>
              </w:rPr>
              <w:t>配合汇编整理技术资料，监管设备检验，塔机安装完毕后自检。</w:t>
            </w:r>
          </w:p>
        </w:tc>
      </w:tr>
      <w:tr w14:paraId="1957A70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5F1F9066">
            <w:pPr>
              <w:widowControl/>
              <w:adjustRightInd w:val="0"/>
              <w:spacing w:line="240" w:lineRule="auto"/>
              <w:ind w:firstLine="33" w:firstLineChars="14"/>
              <w:jc w:val="center"/>
              <w:textAlignment w:val="center"/>
              <w:rPr>
                <w:rFonts w:ascii="仿宋" w:hAnsi="仿宋"/>
                <w:kern w:val="0"/>
                <w:sz w:val="24"/>
                <w:szCs w:val="24"/>
              </w:rPr>
            </w:pPr>
          </w:p>
        </w:tc>
        <w:tc>
          <w:tcPr>
            <w:tcW w:w="1262" w:type="dxa"/>
          </w:tcPr>
          <w:p w14:paraId="58F3924A">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伍启</w:t>
            </w:r>
          </w:p>
        </w:tc>
        <w:tc>
          <w:tcPr>
            <w:tcW w:w="1637" w:type="dxa"/>
            <w:vAlign w:val="center"/>
          </w:tcPr>
          <w:p w14:paraId="133FF6AE">
            <w:pPr>
              <w:widowControl/>
              <w:adjustRightInd w:val="0"/>
              <w:spacing w:line="240" w:lineRule="auto"/>
              <w:ind w:firstLine="33" w:firstLineChars="14"/>
              <w:jc w:val="center"/>
              <w:textAlignment w:val="center"/>
              <w:rPr>
                <w:rFonts w:ascii="仿宋" w:hAnsi="仿宋" w:cs="宋体"/>
                <w:kern w:val="0"/>
                <w:sz w:val="24"/>
                <w:szCs w:val="24"/>
              </w:rPr>
            </w:pPr>
            <w:r>
              <w:rPr>
                <w:rFonts w:hint="eastAsia" w:ascii="仿宋" w:hAnsi="仿宋" w:cs="宋体"/>
                <w:kern w:val="0"/>
                <w:sz w:val="24"/>
                <w:szCs w:val="24"/>
              </w:rPr>
              <w:t>测量人员</w:t>
            </w:r>
          </w:p>
        </w:tc>
        <w:tc>
          <w:tcPr>
            <w:tcW w:w="4100" w:type="dxa"/>
            <w:vAlign w:val="center"/>
          </w:tcPr>
          <w:p w14:paraId="17E723DE">
            <w:pPr>
              <w:widowControl/>
              <w:adjustRightInd w:val="0"/>
              <w:spacing w:line="240" w:lineRule="auto"/>
              <w:ind w:firstLine="33" w:firstLineChars="14"/>
              <w:textAlignment w:val="center"/>
              <w:rPr>
                <w:rFonts w:ascii="仿宋" w:hAnsi="仿宋" w:cs="宋体"/>
                <w:kern w:val="0"/>
                <w:sz w:val="24"/>
                <w:szCs w:val="24"/>
              </w:rPr>
            </w:pPr>
            <w:r>
              <w:rPr>
                <w:rFonts w:hint="eastAsia" w:ascii="仿宋" w:hAnsi="仿宋" w:cs="宋体"/>
                <w:kern w:val="0"/>
                <w:sz w:val="24"/>
                <w:szCs w:val="24"/>
              </w:rPr>
              <w:t>配合塔吊垂直度测量</w:t>
            </w:r>
          </w:p>
        </w:tc>
      </w:tr>
      <w:tr w14:paraId="54C05BB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52AFBE43">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3B2300CF">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袁康林</w:t>
            </w:r>
          </w:p>
        </w:tc>
        <w:tc>
          <w:tcPr>
            <w:tcW w:w="1637" w:type="dxa"/>
            <w:vAlign w:val="center"/>
          </w:tcPr>
          <w:p w14:paraId="48E2D153">
            <w:pPr>
              <w:widowControl/>
              <w:adjustRightInd w:val="0"/>
              <w:spacing w:line="240" w:lineRule="auto"/>
              <w:ind w:firstLine="33" w:firstLineChars="14"/>
              <w:jc w:val="center"/>
              <w:textAlignment w:val="center"/>
              <w:rPr>
                <w:rFonts w:ascii="仿宋" w:hAnsi="仿宋" w:cs="宋体"/>
                <w:kern w:val="0"/>
                <w:sz w:val="24"/>
                <w:szCs w:val="24"/>
              </w:rPr>
            </w:pPr>
            <w:r>
              <w:rPr>
                <w:rFonts w:hint="eastAsia" w:ascii="仿宋" w:hAnsi="仿宋" w:cs="宋体"/>
                <w:kern w:val="0"/>
                <w:sz w:val="24"/>
                <w:szCs w:val="24"/>
              </w:rPr>
              <w:t>特种设备管理人员</w:t>
            </w:r>
          </w:p>
        </w:tc>
        <w:tc>
          <w:tcPr>
            <w:tcW w:w="4100" w:type="dxa"/>
            <w:vAlign w:val="center"/>
          </w:tcPr>
          <w:p w14:paraId="40854BF9">
            <w:pPr>
              <w:widowControl/>
              <w:adjustRightInd w:val="0"/>
              <w:spacing w:line="240" w:lineRule="auto"/>
              <w:ind w:firstLine="33" w:firstLineChars="14"/>
              <w:textAlignment w:val="center"/>
              <w:rPr>
                <w:rFonts w:ascii="仿宋" w:hAnsi="仿宋" w:cs="宋体"/>
                <w:kern w:val="0"/>
                <w:sz w:val="24"/>
                <w:szCs w:val="24"/>
              </w:rPr>
            </w:pPr>
            <w:r>
              <w:rPr>
                <w:rFonts w:hint="eastAsia" w:ascii="仿宋" w:hAnsi="仿宋" w:cs="宋体"/>
                <w:kern w:val="0"/>
                <w:sz w:val="24"/>
                <w:szCs w:val="24"/>
              </w:rPr>
              <w:t>塔吊安拆过程全过程盯控</w:t>
            </w:r>
          </w:p>
        </w:tc>
      </w:tr>
      <w:bookmarkEnd w:id="194"/>
    </w:tbl>
    <w:p w14:paraId="728C11B0">
      <w:pPr>
        <w:pStyle w:val="3"/>
        <w:spacing w:line="240" w:lineRule="auto"/>
        <w:rPr>
          <w:color w:val="000000"/>
        </w:rPr>
      </w:pPr>
      <w:bookmarkStart w:id="195" w:name="_Toc13843"/>
      <w:r>
        <w:rPr>
          <w:rFonts w:hint="eastAsia"/>
          <w:color w:val="000000"/>
        </w:rPr>
        <w:t>4.2 工期计划</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95"/>
    </w:p>
    <w:p w14:paraId="028F7757">
      <w:pPr>
        <w:ind w:firstLine="560"/>
      </w:pPr>
      <w:r>
        <w:rPr>
          <w:rFonts w:hint="eastAsia"/>
          <w:lang w:eastAsia="zh-CN"/>
        </w:rPr>
        <w:t>XGT6015-8S1</w:t>
      </w:r>
      <w:r>
        <w:rPr>
          <w:rFonts w:hint="eastAsia"/>
        </w:rPr>
        <w:t>塔机安装顶升到使用高度用时约5天，其中包含塔机预拼组件时间。</w:t>
      </w:r>
    </w:p>
    <w:p w14:paraId="54E1F562">
      <w:pPr>
        <w:pStyle w:val="123"/>
        <w:rPr>
          <w:rStyle w:val="124"/>
          <w:b/>
        </w:rPr>
      </w:pPr>
      <w:bookmarkStart w:id="196" w:name="_Toc29824_WPSOffice_Level2"/>
      <w:r>
        <w:rPr>
          <w:rStyle w:val="124"/>
          <w:rFonts w:hint="eastAsia"/>
          <w:b/>
        </w:rPr>
        <w:t xml:space="preserve">表4.2-1 </w:t>
      </w:r>
      <w:r>
        <w:rPr>
          <w:rStyle w:val="124"/>
          <w:rFonts w:hint="eastAsia"/>
          <w:b/>
          <w:lang w:eastAsia="zh-CN"/>
        </w:rPr>
        <w:t>XGT6015-8S1</w:t>
      </w:r>
      <w:r>
        <w:rPr>
          <w:rStyle w:val="124"/>
          <w:rFonts w:hint="eastAsia"/>
          <w:b/>
        </w:rPr>
        <w:t>施工进度表</w:t>
      </w:r>
      <w:bookmarkEnd w:id="196"/>
    </w:p>
    <w:tbl>
      <w:tblPr>
        <w:tblStyle w:val="41"/>
        <w:tblW w:w="9160" w:type="dxa"/>
        <w:tblInd w:w="0" w:type="dxa"/>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Layout w:type="fixed"/>
        <w:tblCellMar>
          <w:top w:w="0" w:type="dxa"/>
          <w:left w:w="108" w:type="dxa"/>
          <w:bottom w:w="0" w:type="dxa"/>
          <w:right w:w="108" w:type="dxa"/>
        </w:tblCellMar>
      </w:tblPr>
      <w:tblGrid>
        <w:gridCol w:w="978"/>
        <w:gridCol w:w="5831"/>
        <w:gridCol w:w="1114"/>
        <w:gridCol w:w="1237"/>
      </w:tblGrid>
      <w:tr w14:paraId="1E26D211">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78" w:type="dxa"/>
            <w:tcBorders>
              <w:tl2br w:val="nil"/>
              <w:tr2bl w:val="nil"/>
            </w:tcBorders>
            <w:vAlign w:val="center"/>
          </w:tcPr>
          <w:p w14:paraId="7B8F93F5">
            <w:pPr>
              <w:ind w:firstLine="0" w:firstLineChars="0"/>
              <w:jc w:val="center"/>
              <w:rPr>
                <w:rFonts w:ascii="仿宋" w:hAnsi="仿宋" w:cs="宋体"/>
                <w:b/>
                <w:bCs/>
                <w:sz w:val="24"/>
                <w:szCs w:val="24"/>
              </w:rPr>
            </w:pPr>
            <w:r>
              <w:rPr>
                <w:rFonts w:hint="eastAsia" w:ascii="仿宋" w:hAnsi="仿宋" w:cs="宋体"/>
                <w:b/>
                <w:bCs/>
                <w:sz w:val="24"/>
                <w:szCs w:val="24"/>
              </w:rPr>
              <w:t>序号</w:t>
            </w:r>
          </w:p>
        </w:tc>
        <w:tc>
          <w:tcPr>
            <w:tcW w:w="5831" w:type="dxa"/>
            <w:tcBorders>
              <w:tl2br w:val="nil"/>
              <w:tr2bl w:val="nil"/>
            </w:tcBorders>
            <w:vAlign w:val="center"/>
          </w:tcPr>
          <w:p w14:paraId="4E2C094D">
            <w:pPr>
              <w:ind w:firstLine="0" w:firstLineChars="0"/>
              <w:jc w:val="center"/>
              <w:rPr>
                <w:rFonts w:ascii="仿宋" w:hAnsi="仿宋" w:cs="宋体"/>
                <w:b/>
                <w:bCs/>
                <w:sz w:val="24"/>
                <w:szCs w:val="24"/>
              </w:rPr>
            </w:pPr>
            <w:r>
              <w:rPr>
                <w:rFonts w:hint="eastAsia" w:ascii="仿宋" w:hAnsi="仿宋" w:cs="宋体"/>
                <w:b/>
                <w:bCs/>
                <w:sz w:val="24"/>
                <w:szCs w:val="24"/>
              </w:rPr>
              <w:t>工作项目</w:t>
            </w:r>
          </w:p>
        </w:tc>
        <w:tc>
          <w:tcPr>
            <w:tcW w:w="1114" w:type="dxa"/>
            <w:tcBorders>
              <w:tl2br w:val="nil"/>
              <w:tr2bl w:val="nil"/>
            </w:tcBorders>
            <w:vAlign w:val="center"/>
          </w:tcPr>
          <w:p w14:paraId="0A6DAD03">
            <w:pPr>
              <w:ind w:firstLine="0" w:firstLineChars="0"/>
              <w:jc w:val="center"/>
              <w:rPr>
                <w:rFonts w:ascii="仿宋" w:hAnsi="仿宋" w:cs="宋体"/>
                <w:b/>
                <w:bCs/>
                <w:sz w:val="24"/>
                <w:szCs w:val="24"/>
              </w:rPr>
            </w:pPr>
            <w:r>
              <w:rPr>
                <w:rFonts w:hint="eastAsia" w:ascii="仿宋" w:hAnsi="仿宋" w:cs="宋体"/>
                <w:b/>
                <w:bCs/>
                <w:sz w:val="24"/>
                <w:szCs w:val="24"/>
              </w:rPr>
              <w:t>时间（天）</w:t>
            </w:r>
          </w:p>
        </w:tc>
        <w:tc>
          <w:tcPr>
            <w:tcW w:w="1237" w:type="dxa"/>
            <w:tcBorders>
              <w:tl2br w:val="nil"/>
              <w:tr2bl w:val="nil"/>
            </w:tcBorders>
            <w:vAlign w:val="center"/>
          </w:tcPr>
          <w:p w14:paraId="2C92FDFE">
            <w:pPr>
              <w:ind w:firstLine="0" w:firstLineChars="0"/>
              <w:jc w:val="center"/>
              <w:rPr>
                <w:rFonts w:ascii="仿宋" w:hAnsi="仿宋" w:cs="宋体"/>
                <w:b/>
                <w:bCs/>
                <w:sz w:val="24"/>
                <w:szCs w:val="24"/>
              </w:rPr>
            </w:pPr>
            <w:r>
              <w:rPr>
                <w:rFonts w:hint="eastAsia" w:ascii="仿宋" w:hAnsi="仿宋" w:cs="宋体"/>
                <w:b/>
                <w:bCs/>
                <w:sz w:val="24"/>
                <w:szCs w:val="24"/>
              </w:rPr>
              <w:t>备注</w:t>
            </w:r>
          </w:p>
        </w:tc>
      </w:tr>
      <w:tr w14:paraId="2F750A3D">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78" w:type="dxa"/>
            <w:tcBorders>
              <w:tl2br w:val="nil"/>
              <w:tr2bl w:val="nil"/>
            </w:tcBorders>
            <w:vAlign w:val="center"/>
          </w:tcPr>
          <w:p w14:paraId="52559304">
            <w:pPr>
              <w:ind w:firstLine="0" w:firstLineChars="0"/>
              <w:jc w:val="center"/>
              <w:rPr>
                <w:rFonts w:ascii="仿宋" w:hAnsi="仿宋" w:cs="宋体"/>
                <w:sz w:val="24"/>
                <w:szCs w:val="24"/>
              </w:rPr>
            </w:pPr>
            <w:r>
              <w:rPr>
                <w:rFonts w:ascii="仿宋" w:hAnsi="仿宋" w:cs="宋体"/>
                <w:sz w:val="24"/>
                <w:szCs w:val="24"/>
              </w:rPr>
              <w:t>1</w:t>
            </w:r>
          </w:p>
        </w:tc>
        <w:tc>
          <w:tcPr>
            <w:tcW w:w="5831" w:type="dxa"/>
            <w:tcBorders>
              <w:tl2br w:val="nil"/>
              <w:tr2bl w:val="nil"/>
            </w:tcBorders>
            <w:vAlign w:val="center"/>
          </w:tcPr>
          <w:p w14:paraId="37F5ED2D">
            <w:pPr>
              <w:ind w:firstLine="0" w:firstLineChars="0"/>
              <w:jc w:val="center"/>
              <w:rPr>
                <w:rFonts w:ascii="仿宋" w:hAnsi="仿宋" w:cs="宋体"/>
                <w:sz w:val="24"/>
                <w:szCs w:val="24"/>
              </w:rPr>
            </w:pPr>
            <w:r>
              <w:rPr>
                <w:rFonts w:hint="eastAsia" w:ascii="仿宋" w:hAnsi="仿宋" w:cs="宋体"/>
                <w:sz w:val="24"/>
                <w:szCs w:val="24"/>
              </w:rPr>
              <w:t>施工队伍进场，工具准备，现场勘查，协调</w:t>
            </w:r>
          </w:p>
        </w:tc>
        <w:tc>
          <w:tcPr>
            <w:tcW w:w="1114" w:type="dxa"/>
            <w:tcBorders>
              <w:tl2br w:val="nil"/>
              <w:tr2bl w:val="nil"/>
            </w:tcBorders>
            <w:vAlign w:val="center"/>
          </w:tcPr>
          <w:p w14:paraId="7098A053">
            <w:pPr>
              <w:ind w:firstLine="0" w:firstLineChars="0"/>
              <w:jc w:val="center"/>
              <w:rPr>
                <w:rFonts w:ascii="仿宋" w:hAnsi="仿宋" w:cs="宋体"/>
                <w:sz w:val="24"/>
                <w:szCs w:val="24"/>
              </w:rPr>
            </w:pPr>
            <w:r>
              <w:rPr>
                <w:rFonts w:ascii="仿宋" w:hAnsi="仿宋" w:cs="宋体"/>
                <w:sz w:val="24"/>
                <w:szCs w:val="24"/>
              </w:rPr>
              <w:t>1</w:t>
            </w:r>
          </w:p>
        </w:tc>
        <w:tc>
          <w:tcPr>
            <w:tcW w:w="1237" w:type="dxa"/>
            <w:tcBorders>
              <w:tl2br w:val="nil"/>
              <w:tr2bl w:val="nil"/>
            </w:tcBorders>
            <w:vAlign w:val="center"/>
          </w:tcPr>
          <w:p w14:paraId="2A4B8D36">
            <w:pPr>
              <w:ind w:firstLine="480"/>
              <w:jc w:val="center"/>
              <w:rPr>
                <w:rFonts w:ascii="仿宋" w:hAnsi="仿宋" w:cs="宋体"/>
                <w:sz w:val="24"/>
                <w:szCs w:val="24"/>
              </w:rPr>
            </w:pPr>
          </w:p>
        </w:tc>
      </w:tr>
      <w:tr w14:paraId="4CC3CD8D">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78" w:type="dxa"/>
            <w:tcBorders>
              <w:tl2br w:val="nil"/>
              <w:tr2bl w:val="nil"/>
            </w:tcBorders>
            <w:vAlign w:val="center"/>
          </w:tcPr>
          <w:p w14:paraId="381693C9">
            <w:pPr>
              <w:ind w:firstLine="0" w:firstLineChars="0"/>
              <w:jc w:val="center"/>
              <w:rPr>
                <w:rFonts w:ascii="仿宋" w:hAnsi="仿宋" w:cs="宋体"/>
                <w:sz w:val="24"/>
                <w:szCs w:val="24"/>
              </w:rPr>
            </w:pPr>
            <w:r>
              <w:rPr>
                <w:rFonts w:ascii="仿宋" w:hAnsi="仿宋" w:cs="宋体"/>
                <w:sz w:val="24"/>
                <w:szCs w:val="24"/>
              </w:rPr>
              <w:t>2</w:t>
            </w:r>
          </w:p>
        </w:tc>
        <w:tc>
          <w:tcPr>
            <w:tcW w:w="5831" w:type="dxa"/>
            <w:tcBorders>
              <w:tl2br w:val="nil"/>
              <w:tr2bl w:val="nil"/>
            </w:tcBorders>
            <w:vAlign w:val="center"/>
          </w:tcPr>
          <w:p w14:paraId="553066C0">
            <w:pPr>
              <w:ind w:firstLine="0" w:firstLineChars="0"/>
              <w:jc w:val="center"/>
              <w:rPr>
                <w:rFonts w:ascii="仿宋" w:hAnsi="仿宋" w:cs="宋体"/>
                <w:sz w:val="24"/>
                <w:szCs w:val="24"/>
              </w:rPr>
            </w:pPr>
            <w:r>
              <w:rPr>
                <w:rFonts w:hint="eastAsia" w:ascii="仿宋" w:hAnsi="仿宋" w:cs="宋体"/>
                <w:sz w:val="24"/>
                <w:szCs w:val="24"/>
              </w:rPr>
              <w:t>安装塔机1节基础节，</w:t>
            </w:r>
            <w:r>
              <w:rPr>
                <w:rFonts w:hint="eastAsia" w:ascii="仿宋" w:hAnsi="仿宋" w:cs="宋体"/>
                <w:sz w:val="24"/>
                <w:szCs w:val="24"/>
                <w:lang w:val="en-US" w:eastAsia="zh-CN"/>
              </w:rPr>
              <w:t>2</w:t>
            </w:r>
            <w:r>
              <w:rPr>
                <w:rFonts w:hint="eastAsia" w:ascii="仿宋" w:hAnsi="仿宋" w:cs="宋体"/>
                <w:sz w:val="24"/>
                <w:szCs w:val="24"/>
              </w:rPr>
              <w:t>节标准节，安装爬升架</w:t>
            </w:r>
          </w:p>
        </w:tc>
        <w:tc>
          <w:tcPr>
            <w:tcW w:w="1114" w:type="dxa"/>
            <w:tcBorders>
              <w:tl2br w:val="nil"/>
              <w:tr2bl w:val="nil"/>
            </w:tcBorders>
            <w:vAlign w:val="center"/>
          </w:tcPr>
          <w:p w14:paraId="3CE2C0B2">
            <w:pPr>
              <w:ind w:firstLine="0" w:firstLineChars="0"/>
              <w:jc w:val="center"/>
              <w:rPr>
                <w:rFonts w:ascii="仿宋" w:hAnsi="仿宋" w:cs="宋体"/>
                <w:sz w:val="24"/>
                <w:szCs w:val="24"/>
              </w:rPr>
            </w:pPr>
            <w:r>
              <w:rPr>
                <w:rFonts w:ascii="仿宋" w:hAnsi="仿宋" w:cs="宋体"/>
                <w:sz w:val="24"/>
                <w:szCs w:val="24"/>
              </w:rPr>
              <w:t>1</w:t>
            </w:r>
          </w:p>
        </w:tc>
        <w:tc>
          <w:tcPr>
            <w:tcW w:w="1237" w:type="dxa"/>
            <w:tcBorders>
              <w:tl2br w:val="nil"/>
              <w:tr2bl w:val="nil"/>
            </w:tcBorders>
            <w:vAlign w:val="center"/>
          </w:tcPr>
          <w:p w14:paraId="62074A8C">
            <w:pPr>
              <w:ind w:firstLine="480"/>
              <w:jc w:val="center"/>
              <w:rPr>
                <w:rFonts w:ascii="仿宋" w:hAnsi="仿宋" w:cs="宋体"/>
                <w:sz w:val="24"/>
                <w:szCs w:val="24"/>
              </w:rPr>
            </w:pPr>
          </w:p>
        </w:tc>
      </w:tr>
      <w:tr w14:paraId="0B374330">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78" w:type="dxa"/>
            <w:tcBorders>
              <w:tl2br w:val="nil"/>
              <w:tr2bl w:val="nil"/>
            </w:tcBorders>
            <w:vAlign w:val="center"/>
          </w:tcPr>
          <w:p w14:paraId="0EB17B42">
            <w:pPr>
              <w:ind w:firstLine="0" w:firstLineChars="0"/>
              <w:jc w:val="center"/>
              <w:rPr>
                <w:rFonts w:ascii="仿宋" w:hAnsi="仿宋" w:cs="宋体"/>
                <w:sz w:val="24"/>
                <w:szCs w:val="24"/>
              </w:rPr>
            </w:pPr>
            <w:r>
              <w:rPr>
                <w:rFonts w:ascii="仿宋" w:hAnsi="仿宋" w:cs="宋体"/>
                <w:sz w:val="24"/>
                <w:szCs w:val="24"/>
              </w:rPr>
              <w:t>3</w:t>
            </w:r>
          </w:p>
        </w:tc>
        <w:tc>
          <w:tcPr>
            <w:tcW w:w="5831" w:type="dxa"/>
            <w:tcBorders>
              <w:tl2br w:val="nil"/>
              <w:tr2bl w:val="nil"/>
            </w:tcBorders>
            <w:vAlign w:val="center"/>
          </w:tcPr>
          <w:p w14:paraId="49D24F12">
            <w:pPr>
              <w:ind w:firstLine="0" w:firstLineChars="0"/>
              <w:jc w:val="center"/>
              <w:rPr>
                <w:rFonts w:ascii="仿宋" w:hAnsi="仿宋" w:cs="宋体"/>
                <w:sz w:val="24"/>
                <w:szCs w:val="24"/>
              </w:rPr>
            </w:pPr>
            <w:r>
              <w:rPr>
                <w:rFonts w:hint="eastAsia" w:ascii="仿宋" w:hAnsi="仿宋" w:cs="宋体"/>
                <w:sz w:val="24"/>
                <w:szCs w:val="24"/>
              </w:rPr>
              <w:t>安装回转总成、</w:t>
            </w:r>
            <w:r>
              <w:rPr>
                <w:rFonts w:hint="eastAsia" w:ascii="仿宋" w:hAnsi="仿宋" w:cs="宋体"/>
                <w:sz w:val="24"/>
                <w:szCs w:val="24"/>
                <w:lang w:eastAsia="zh-CN"/>
              </w:rPr>
              <w:t>塔顶</w:t>
            </w:r>
            <w:r>
              <w:rPr>
                <w:rFonts w:hint="eastAsia" w:ascii="仿宋" w:hAnsi="仿宋" w:cs="宋体"/>
                <w:sz w:val="24"/>
                <w:szCs w:val="24"/>
              </w:rPr>
              <w:t>节、平衡臂、起重臂</w:t>
            </w:r>
          </w:p>
        </w:tc>
        <w:tc>
          <w:tcPr>
            <w:tcW w:w="1114" w:type="dxa"/>
            <w:tcBorders>
              <w:tl2br w:val="nil"/>
              <w:tr2bl w:val="nil"/>
            </w:tcBorders>
            <w:vAlign w:val="center"/>
          </w:tcPr>
          <w:p w14:paraId="243032F1">
            <w:pPr>
              <w:ind w:firstLine="0" w:firstLineChars="0"/>
              <w:jc w:val="center"/>
              <w:rPr>
                <w:rFonts w:ascii="仿宋" w:hAnsi="仿宋" w:cs="宋体"/>
                <w:sz w:val="24"/>
                <w:szCs w:val="24"/>
              </w:rPr>
            </w:pPr>
            <w:r>
              <w:rPr>
                <w:rFonts w:ascii="仿宋" w:hAnsi="仿宋" w:cs="宋体"/>
                <w:sz w:val="24"/>
                <w:szCs w:val="24"/>
              </w:rPr>
              <w:t>1</w:t>
            </w:r>
          </w:p>
        </w:tc>
        <w:tc>
          <w:tcPr>
            <w:tcW w:w="1237" w:type="dxa"/>
            <w:tcBorders>
              <w:tl2br w:val="nil"/>
              <w:tr2bl w:val="nil"/>
            </w:tcBorders>
            <w:vAlign w:val="center"/>
          </w:tcPr>
          <w:p w14:paraId="681F1360">
            <w:pPr>
              <w:ind w:firstLine="480"/>
              <w:jc w:val="center"/>
              <w:rPr>
                <w:rFonts w:ascii="仿宋" w:hAnsi="仿宋" w:cs="宋体"/>
                <w:sz w:val="24"/>
                <w:szCs w:val="24"/>
              </w:rPr>
            </w:pPr>
          </w:p>
        </w:tc>
      </w:tr>
      <w:tr w14:paraId="42CA2E21">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78" w:type="dxa"/>
            <w:tcBorders>
              <w:tl2br w:val="nil"/>
              <w:tr2bl w:val="nil"/>
            </w:tcBorders>
            <w:vAlign w:val="center"/>
          </w:tcPr>
          <w:p w14:paraId="62193ED5">
            <w:pPr>
              <w:ind w:firstLine="0" w:firstLineChars="0"/>
              <w:jc w:val="center"/>
              <w:rPr>
                <w:rFonts w:ascii="仿宋" w:hAnsi="仿宋" w:cs="宋体"/>
                <w:sz w:val="24"/>
                <w:szCs w:val="24"/>
              </w:rPr>
            </w:pPr>
            <w:r>
              <w:rPr>
                <w:rFonts w:ascii="仿宋" w:hAnsi="仿宋" w:cs="宋体"/>
                <w:sz w:val="24"/>
                <w:szCs w:val="24"/>
              </w:rPr>
              <w:t>4</w:t>
            </w:r>
          </w:p>
        </w:tc>
        <w:tc>
          <w:tcPr>
            <w:tcW w:w="5831" w:type="dxa"/>
            <w:tcBorders>
              <w:tl2br w:val="nil"/>
              <w:tr2bl w:val="nil"/>
            </w:tcBorders>
            <w:vAlign w:val="center"/>
          </w:tcPr>
          <w:p w14:paraId="7D8C6CA2">
            <w:pPr>
              <w:ind w:firstLine="0" w:firstLineChars="0"/>
              <w:jc w:val="center"/>
              <w:rPr>
                <w:rFonts w:ascii="仿宋" w:hAnsi="仿宋" w:cs="宋体"/>
                <w:sz w:val="24"/>
                <w:szCs w:val="24"/>
              </w:rPr>
            </w:pPr>
            <w:r>
              <w:rPr>
                <w:rFonts w:hint="eastAsia" w:ascii="仿宋" w:hAnsi="仿宋" w:cs="宋体"/>
                <w:sz w:val="24"/>
                <w:szCs w:val="24"/>
              </w:rPr>
              <w:t>穿钩，调试，顶升到使用高度</w:t>
            </w:r>
          </w:p>
        </w:tc>
        <w:tc>
          <w:tcPr>
            <w:tcW w:w="1114" w:type="dxa"/>
            <w:tcBorders>
              <w:tl2br w:val="nil"/>
              <w:tr2bl w:val="nil"/>
            </w:tcBorders>
            <w:vAlign w:val="center"/>
          </w:tcPr>
          <w:p w14:paraId="0F307B57">
            <w:pPr>
              <w:ind w:firstLine="0" w:firstLineChars="0"/>
              <w:jc w:val="center"/>
              <w:rPr>
                <w:rFonts w:ascii="仿宋" w:hAnsi="仿宋" w:cs="宋体"/>
                <w:sz w:val="24"/>
                <w:szCs w:val="24"/>
              </w:rPr>
            </w:pPr>
            <w:r>
              <w:rPr>
                <w:rFonts w:ascii="仿宋" w:hAnsi="仿宋" w:cs="宋体"/>
                <w:sz w:val="24"/>
                <w:szCs w:val="24"/>
              </w:rPr>
              <w:t>1</w:t>
            </w:r>
          </w:p>
        </w:tc>
        <w:tc>
          <w:tcPr>
            <w:tcW w:w="1237" w:type="dxa"/>
            <w:tcBorders>
              <w:tl2br w:val="nil"/>
              <w:tr2bl w:val="nil"/>
            </w:tcBorders>
            <w:vAlign w:val="center"/>
          </w:tcPr>
          <w:p w14:paraId="51F86F14">
            <w:pPr>
              <w:ind w:firstLine="480"/>
              <w:jc w:val="center"/>
              <w:rPr>
                <w:rFonts w:ascii="仿宋" w:hAnsi="仿宋" w:cs="宋体"/>
                <w:sz w:val="24"/>
                <w:szCs w:val="24"/>
              </w:rPr>
            </w:pPr>
          </w:p>
        </w:tc>
      </w:tr>
      <w:tr w14:paraId="230DAC7A">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78" w:type="dxa"/>
            <w:tcBorders>
              <w:tl2br w:val="nil"/>
              <w:tr2bl w:val="nil"/>
            </w:tcBorders>
            <w:vAlign w:val="center"/>
          </w:tcPr>
          <w:p w14:paraId="615875FD">
            <w:pPr>
              <w:ind w:firstLine="0" w:firstLineChars="0"/>
              <w:jc w:val="center"/>
              <w:rPr>
                <w:rFonts w:ascii="仿宋" w:hAnsi="仿宋" w:cs="宋体"/>
                <w:sz w:val="24"/>
                <w:szCs w:val="24"/>
              </w:rPr>
            </w:pPr>
            <w:r>
              <w:rPr>
                <w:rFonts w:ascii="仿宋" w:hAnsi="仿宋" w:cs="宋体"/>
                <w:sz w:val="24"/>
                <w:szCs w:val="24"/>
              </w:rPr>
              <w:t>5</w:t>
            </w:r>
          </w:p>
        </w:tc>
        <w:tc>
          <w:tcPr>
            <w:tcW w:w="5831" w:type="dxa"/>
            <w:tcBorders>
              <w:tl2br w:val="nil"/>
              <w:tr2bl w:val="nil"/>
            </w:tcBorders>
            <w:vAlign w:val="center"/>
          </w:tcPr>
          <w:p w14:paraId="19B34820">
            <w:pPr>
              <w:ind w:firstLine="0" w:firstLineChars="0"/>
              <w:jc w:val="center"/>
              <w:rPr>
                <w:rFonts w:ascii="仿宋" w:hAnsi="仿宋" w:cs="宋体"/>
                <w:sz w:val="24"/>
                <w:szCs w:val="24"/>
              </w:rPr>
            </w:pPr>
            <w:r>
              <w:rPr>
                <w:rFonts w:hint="eastAsia" w:ascii="仿宋" w:hAnsi="仿宋" w:cs="宋体"/>
                <w:sz w:val="24"/>
                <w:szCs w:val="24"/>
              </w:rPr>
              <w:t>验收，交付使用顶升到使用高度</w:t>
            </w:r>
          </w:p>
        </w:tc>
        <w:tc>
          <w:tcPr>
            <w:tcW w:w="1114" w:type="dxa"/>
            <w:tcBorders>
              <w:tl2br w:val="nil"/>
              <w:tr2bl w:val="nil"/>
            </w:tcBorders>
            <w:vAlign w:val="center"/>
          </w:tcPr>
          <w:p w14:paraId="0DE2A59B">
            <w:pPr>
              <w:ind w:firstLine="0" w:firstLineChars="0"/>
              <w:jc w:val="center"/>
              <w:rPr>
                <w:rFonts w:ascii="仿宋" w:hAnsi="仿宋" w:cs="宋体"/>
                <w:sz w:val="24"/>
                <w:szCs w:val="24"/>
              </w:rPr>
            </w:pPr>
            <w:r>
              <w:rPr>
                <w:rFonts w:hint="eastAsia" w:ascii="仿宋" w:hAnsi="仿宋" w:cs="宋体"/>
                <w:sz w:val="24"/>
                <w:szCs w:val="24"/>
              </w:rPr>
              <w:t>1</w:t>
            </w:r>
          </w:p>
        </w:tc>
        <w:tc>
          <w:tcPr>
            <w:tcW w:w="1237" w:type="dxa"/>
            <w:tcBorders>
              <w:tl2br w:val="nil"/>
              <w:tr2bl w:val="nil"/>
            </w:tcBorders>
            <w:vAlign w:val="center"/>
          </w:tcPr>
          <w:p w14:paraId="4AF7E4B4">
            <w:pPr>
              <w:ind w:firstLine="480"/>
              <w:jc w:val="center"/>
              <w:rPr>
                <w:rFonts w:ascii="仿宋" w:hAnsi="仿宋" w:cs="宋体"/>
                <w:sz w:val="24"/>
                <w:szCs w:val="24"/>
              </w:rPr>
            </w:pPr>
          </w:p>
        </w:tc>
      </w:tr>
      <w:tr w14:paraId="199D76B3">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809" w:type="dxa"/>
            <w:gridSpan w:val="2"/>
            <w:tcBorders>
              <w:tl2br w:val="nil"/>
              <w:tr2bl w:val="nil"/>
            </w:tcBorders>
            <w:vAlign w:val="center"/>
          </w:tcPr>
          <w:p w14:paraId="5E9E8B0D">
            <w:pPr>
              <w:ind w:firstLine="0" w:firstLineChars="0"/>
              <w:jc w:val="center"/>
              <w:rPr>
                <w:rFonts w:ascii="仿宋" w:hAnsi="仿宋" w:cs="宋体"/>
                <w:sz w:val="24"/>
                <w:szCs w:val="24"/>
              </w:rPr>
            </w:pPr>
            <w:r>
              <w:rPr>
                <w:rFonts w:hint="eastAsia" w:ascii="仿宋" w:hAnsi="仿宋" w:cs="宋体"/>
                <w:sz w:val="24"/>
                <w:szCs w:val="24"/>
              </w:rPr>
              <w:t>总计时间</w:t>
            </w:r>
          </w:p>
        </w:tc>
        <w:tc>
          <w:tcPr>
            <w:tcW w:w="1114" w:type="dxa"/>
            <w:tcBorders>
              <w:tl2br w:val="nil"/>
              <w:tr2bl w:val="nil"/>
            </w:tcBorders>
            <w:vAlign w:val="center"/>
          </w:tcPr>
          <w:p w14:paraId="03495D8C">
            <w:pPr>
              <w:ind w:firstLine="0" w:firstLineChars="0"/>
              <w:jc w:val="center"/>
              <w:rPr>
                <w:rFonts w:ascii="仿宋" w:hAnsi="仿宋" w:cs="宋体"/>
                <w:sz w:val="24"/>
                <w:szCs w:val="24"/>
              </w:rPr>
            </w:pPr>
            <w:r>
              <w:rPr>
                <w:rFonts w:hint="eastAsia" w:ascii="仿宋" w:hAnsi="仿宋" w:cs="宋体"/>
                <w:sz w:val="24"/>
                <w:szCs w:val="24"/>
              </w:rPr>
              <w:t>5</w:t>
            </w:r>
          </w:p>
        </w:tc>
        <w:tc>
          <w:tcPr>
            <w:tcW w:w="1237" w:type="dxa"/>
            <w:tcBorders>
              <w:tl2br w:val="nil"/>
              <w:tr2bl w:val="nil"/>
            </w:tcBorders>
            <w:vAlign w:val="center"/>
          </w:tcPr>
          <w:p w14:paraId="309685F3">
            <w:pPr>
              <w:ind w:firstLine="480"/>
              <w:jc w:val="center"/>
              <w:rPr>
                <w:rFonts w:ascii="仿宋" w:hAnsi="仿宋" w:cs="宋体"/>
                <w:sz w:val="24"/>
                <w:szCs w:val="24"/>
              </w:rPr>
            </w:pPr>
          </w:p>
        </w:tc>
      </w:tr>
      <w:bookmarkEnd w:id="189"/>
      <w:bookmarkEnd w:id="190"/>
      <w:bookmarkEnd w:id="191"/>
      <w:bookmarkEnd w:id="192"/>
      <w:bookmarkEnd w:id="193"/>
    </w:tbl>
    <w:p w14:paraId="48DF7D14">
      <w:pPr>
        <w:pStyle w:val="3"/>
        <w:rPr>
          <w:color w:val="000000"/>
        </w:rPr>
      </w:pPr>
      <w:bookmarkStart w:id="197" w:name="_Toc24122"/>
      <w:bookmarkStart w:id="198" w:name="_Toc13185"/>
      <w:bookmarkStart w:id="199" w:name="_Toc21837"/>
      <w:bookmarkStart w:id="200" w:name="_Toc21013"/>
      <w:bookmarkStart w:id="201" w:name="_Toc531896372"/>
      <w:bookmarkStart w:id="202" w:name="_Toc6821"/>
      <w:bookmarkStart w:id="203" w:name="_Toc28230"/>
      <w:bookmarkStart w:id="204" w:name="_Toc5878"/>
      <w:bookmarkStart w:id="205" w:name="_Toc10289"/>
      <w:bookmarkStart w:id="206" w:name="_Toc1868"/>
      <w:bookmarkStart w:id="207" w:name="_Toc991"/>
      <w:bookmarkStart w:id="208" w:name="_Toc28617"/>
      <w:bookmarkStart w:id="209" w:name="_Toc9594"/>
      <w:bookmarkStart w:id="210" w:name="_Toc16823"/>
      <w:bookmarkStart w:id="211" w:name="_Toc12738"/>
      <w:bookmarkStart w:id="212" w:name="_Toc15011"/>
      <w:bookmarkStart w:id="213" w:name="_Toc526402039"/>
      <w:bookmarkStart w:id="214" w:name="_Toc1393"/>
      <w:bookmarkStart w:id="215" w:name="_Toc25743"/>
      <w:bookmarkStart w:id="216" w:name="_Toc17707"/>
      <w:r>
        <w:rPr>
          <w:rFonts w:hint="eastAsia"/>
          <w:color w:val="000000"/>
        </w:rPr>
        <w:t>4.3资源配置</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40CE501E">
      <w:pPr>
        <w:pStyle w:val="8"/>
        <w:numPr>
          <w:ilvl w:val="0"/>
          <w:numId w:val="0"/>
        </w:numPr>
        <w:rPr>
          <w:rFonts w:eastAsia="宋体"/>
        </w:rPr>
      </w:pPr>
      <w:bookmarkStart w:id="217" w:name="_Toc29702"/>
      <w:bookmarkStart w:id="218" w:name="_Toc19125_WPSOffice_Level2"/>
      <w:bookmarkStart w:id="219" w:name="_Toc6657_WPSOffice_Level2"/>
      <w:bookmarkStart w:id="220" w:name="_Toc4731_WPSOffice_Level2"/>
      <w:bookmarkStart w:id="221" w:name="_Toc6157_WPSOffice_Level2"/>
      <w:bookmarkStart w:id="222" w:name="_Toc13661"/>
      <w:bookmarkStart w:id="223" w:name="_Toc2682"/>
      <w:bookmarkStart w:id="224" w:name="_Toc451992411"/>
      <w:bookmarkStart w:id="225" w:name="_Toc19293"/>
      <w:bookmarkStart w:id="226" w:name="_Toc5510"/>
      <w:bookmarkStart w:id="227" w:name="_Toc31107"/>
      <w:bookmarkStart w:id="228" w:name="_Toc526402042"/>
      <w:r>
        <w:rPr>
          <w:rStyle w:val="124"/>
          <w:rFonts w:hint="eastAsia"/>
          <w:b/>
        </w:rPr>
        <w:t xml:space="preserve">表4.3-1  </w:t>
      </w:r>
      <w:r>
        <w:rPr>
          <w:rStyle w:val="124"/>
          <w:rFonts w:hint="eastAsia" w:eastAsia="黑体"/>
          <w:b/>
          <w:lang w:eastAsia="zh-CN"/>
        </w:rPr>
        <w:t>XGT6015-8S1</w:t>
      </w:r>
      <w:r>
        <w:rPr>
          <w:rStyle w:val="124"/>
          <w:rFonts w:hint="eastAsia"/>
          <w:b/>
        </w:rPr>
        <w:t>塔机主要吊装单元划分与重量一览表</w:t>
      </w:r>
      <w:bookmarkEnd w:id="217"/>
      <w:bookmarkEnd w:id="218"/>
      <w:bookmarkEnd w:id="219"/>
      <w:bookmarkEnd w:id="220"/>
      <w:bookmarkEnd w:id="221"/>
      <w:bookmarkEnd w:id="222"/>
      <w:bookmarkEnd w:id="223"/>
    </w:p>
    <w:tbl>
      <w:tblPr>
        <w:tblStyle w:val="41"/>
        <w:tblW w:w="5000" w:type="pct"/>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41"/>
        <w:gridCol w:w="2966"/>
        <w:gridCol w:w="2316"/>
        <w:gridCol w:w="2308"/>
      </w:tblGrid>
      <w:tr w14:paraId="00E7DB8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9" w:type="pct"/>
            <w:vAlign w:val="center"/>
          </w:tcPr>
          <w:p w14:paraId="45E45F4C">
            <w:pPr>
              <w:ind w:firstLine="0" w:firstLineChars="0"/>
              <w:jc w:val="center"/>
              <w:rPr>
                <w:rFonts w:ascii="仿宋" w:hAnsi="仿宋"/>
                <w:sz w:val="24"/>
                <w:szCs w:val="24"/>
              </w:rPr>
            </w:pPr>
            <w:r>
              <w:rPr>
                <w:rFonts w:hint="eastAsia" w:ascii="仿宋" w:hAnsi="仿宋"/>
                <w:sz w:val="24"/>
                <w:szCs w:val="24"/>
              </w:rPr>
              <w:t>序 号</w:t>
            </w:r>
          </w:p>
        </w:tc>
        <w:tc>
          <w:tcPr>
            <w:tcW w:w="1606" w:type="pct"/>
            <w:vAlign w:val="center"/>
          </w:tcPr>
          <w:p w14:paraId="6528BCA0">
            <w:pPr>
              <w:ind w:firstLine="0" w:firstLineChars="0"/>
              <w:jc w:val="center"/>
              <w:rPr>
                <w:rFonts w:ascii="仿宋" w:hAnsi="仿宋"/>
                <w:sz w:val="24"/>
                <w:szCs w:val="24"/>
              </w:rPr>
            </w:pPr>
            <w:r>
              <w:rPr>
                <w:rFonts w:hint="eastAsia" w:ascii="仿宋" w:hAnsi="仿宋"/>
                <w:sz w:val="24"/>
                <w:szCs w:val="24"/>
              </w:rPr>
              <w:t>名称</w:t>
            </w:r>
          </w:p>
        </w:tc>
        <w:tc>
          <w:tcPr>
            <w:tcW w:w="1254" w:type="pct"/>
            <w:vAlign w:val="center"/>
          </w:tcPr>
          <w:p w14:paraId="66D9340B">
            <w:pPr>
              <w:ind w:firstLine="0" w:firstLineChars="0"/>
              <w:jc w:val="center"/>
              <w:rPr>
                <w:rFonts w:ascii="仿宋" w:hAnsi="仿宋"/>
                <w:sz w:val="24"/>
                <w:szCs w:val="24"/>
              </w:rPr>
            </w:pPr>
            <w:r>
              <w:rPr>
                <w:rFonts w:hint="eastAsia" w:ascii="仿宋" w:hAnsi="仿宋"/>
                <w:sz w:val="24"/>
                <w:szCs w:val="24"/>
              </w:rPr>
              <w:t>重量（t）</w:t>
            </w:r>
          </w:p>
        </w:tc>
        <w:tc>
          <w:tcPr>
            <w:tcW w:w="1250" w:type="pct"/>
            <w:vAlign w:val="center"/>
          </w:tcPr>
          <w:p w14:paraId="35AE75BE">
            <w:pPr>
              <w:ind w:firstLine="0" w:firstLineChars="0"/>
              <w:jc w:val="center"/>
              <w:rPr>
                <w:rFonts w:ascii="仿宋" w:hAnsi="仿宋"/>
                <w:sz w:val="24"/>
                <w:szCs w:val="24"/>
              </w:rPr>
            </w:pPr>
            <w:r>
              <w:rPr>
                <w:rFonts w:hint="eastAsia" w:ascii="仿宋" w:hAnsi="仿宋"/>
                <w:sz w:val="24"/>
                <w:szCs w:val="24"/>
              </w:rPr>
              <w:t>吊高 H(m)</w:t>
            </w:r>
          </w:p>
        </w:tc>
      </w:tr>
      <w:tr w14:paraId="519B565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889" w:type="pct"/>
            <w:vAlign w:val="center"/>
          </w:tcPr>
          <w:p w14:paraId="59DCC9C4">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1</w:t>
            </w:r>
          </w:p>
        </w:tc>
        <w:tc>
          <w:tcPr>
            <w:tcW w:w="1606" w:type="pct"/>
            <w:vAlign w:val="center"/>
          </w:tcPr>
          <w:p w14:paraId="06353F3F">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基础节</w:t>
            </w:r>
          </w:p>
        </w:tc>
        <w:tc>
          <w:tcPr>
            <w:tcW w:w="1254" w:type="pct"/>
            <w:vAlign w:val="center"/>
          </w:tcPr>
          <w:p w14:paraId="43C80710">
            <w:pPr>
              <w:spacing w:line="360" w:lineRule="auto"/>
              <w:ind w:firstLine="0" w:firstLineChars="0"/>
              <w:jc w:val="center"/>
              <w:rPr>
                <w:rFonts w:hint="default" w:ascii="仿宋" w:hAnsi="仿宋" w:eastAsia="仿宋"/>
                <w:color w:val="000000"/>
                <w:sz w:val="24"/>
                <w:szCs w:val="24"/>
                <w:lang w:val="en-US" w:eastAsia="zh-CN"/>
              </w:rPr>
            </w:pPr>
            <w:r>
              <w:rPr>
                <w:rFonts w:hint="eastAsia" w:ascii="仿宋" w:hAnsi="仿宋"/>
                <w:color w:val="000000"/>
                <w:sz w:val="24"/>
                <w:szCs w:val="24"/>
                <w:lang w:val="en-US" w:eastAsia="zh-CN"/>
              </w:rPr>
              <w:t>1.349</w:t>
            </w:r>
          </w:p>
        </w:tc>
        <w:tc>
          <w:tcPr>
            <w:tcW w:w="1250" w:type="pct"/>
            <w:vAlign w:val="center"/>
          </w:tcPr>
          <w:p w14:paraId="6BC3CCF9">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9</w:t>
            </w:r>
          </w:p>
        </w:tc>
      </w:tr>
      <w:tr w14:paraId="11809EDD">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889" w:type="pct"/>
            <w:vAlign w:val="center"/>
          </w:tcPr>
          <w:p w14:paraId="4F4BC7AE">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2</w:t>
            </w:r>
          </w:p>
        </w:tc>
        <w:tc>
          <w:tcPr>
            <w:tcW w:w="1606" w:type="pct"/>
            <w:vAlign w:val="center"/>
          </w:tcPr>
          <w:p w14:paraId="29383F05">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标准节</w:t>
            </w:r>
          </w:p>
        </w:tc>
        <w:tc>
          <w:tcPr>
            <w:tcW w:w="1254" w:type="pct"/>
            <w:vAlign w:val="center"/>
          </w:tcPr>
          <w:p w14:paraId="6DD6705D">
            <w:pPr>
              <w:spacing w:line="360" w:lineRule="auto"/>
              <w:ind w:firstLine="0" w:firstLineChars="0"/>
              <w:jc w:val="center"/>
              <w:rPr>
                <w:rFonts w:hint="default" w:ascii="仿宋" w:hAnsi="仿宋" w:eastAsia="仿宋"/>
                <w:color w:val="000000"/>
                <w:sz w:val="24"/>
                <w:szCs w:val="24"/>
                <w:lang w:val="en-US" w:eastAsia="zh-CN"/>
              </w:rPr>
            </w:pPr>
            <w:r>
              <w:rPr>
                <w:rFonts w:hint="eastAsia" w:ascii="仿宋" w:hAnsi="仿宋"/>
                <w:color w:val="000000"/>
                <w:sz w:val="24"/>
                <w:szCs w:val="24"/>
                <w:lang w:val="en-US" w:eastAsia="zh-CN"/>
              </w:rPr>
              <w:t>0.848</w:t>
            </w:r>
          </w:p>
        </w:tc>
        <w:tc>
          <w:tcPr>
            <w:tcW w:w="1250" w:type="pct"/>
            <w:vAlign w:val="center"/>
          </w:tcPr>
          <w:p w14:paraId="56A19FE9">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12</w:t>
            </w:r>
          </w:p>
        </w:tc>
      </w:tr>
      <w:tr w14:paraId="43C1FD9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889" w:type="pct"/>
            <w:vAlign w:val="center"/>
          </w:tcPr>
          <w:p w14:paraId="0E5B495F">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3</w:t>
            </w:r>
          </w:p>
        </w:tc>
        <w:tc>
          <w:tcPr>
            <w:tcW w:w="1606" w:type="pct"/>
            <w:vAlign w:val="center"/>
          </w:tcPr>
          <w:p w14:paraId="5F1A871E">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顶升套架</w:t>
            </w:r>
          </w:p>
        </w:tc>
        <w:tc>
          <w:tcPr>
            <w:tcW w:w="1254" w:type="pct"/>
            <w:vAlign w:val="center"/>
          </w:tcPr>
          <w:p w14:paraId="17BE804A">
            <w:pPr>
              <w:spacing w:line="360" w:lineRule="auto"/>
              <w:ind w:firstLine="0" w:firstLineChars="0"/>
              <w:jc w:val="center"/>
              <w:rPr>
                <w:rFonts w:hint="default" w:ascii="仿宋" w:hAnsi="仿宋" w:eastAsia="仿宋"/>
                <w:color w:val="000000"/>
                <w:sz w:val="24"/>
                <w:szCs w:val="24"/>
                <w:lang w:val="en-US" w:eastAsia="zh-CN"/>
              </w:rPr>
            </w:pPr>
            <w:r>
              <w:rPr>
                <w:rFonts w:hint="eastAsia" w:ascii="仿宋" w:hAnsi="仿宋"/>
                <w:color w:val="000000"/>
                <w:sz w:val="24"/>
                <w:szCs w:val="24"/>
                <w:lang w:val="en-US" w:eastAsia="zh-CN"/>
              </w:rPr>
              <w:t>1.832</w:t>
            </w:r>
          </w:p>
        </w:tc>
        <w:tc>
          <w:tcPr>
            <w:tcW w:w="1250" w:type="pct"/>
            <w:vAlign w:val="center"/>
          </w:tcPr>
          <w:p w14:paraId="024C4A10">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18.5</w:t>
            </w:r>
          </w:p>
        </w:tc>
      </w:tr>
      <w:tr w14:paraId="5BAE38D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889" w:type="pct"/>
            <w:vAlign w:val="center"/>
          </w:tcPr>
          <w:p w14:paraId="042B338D">
            <w:pPr>
              <w:spacing w:line="360" w:lineRule="auto"/>
              <w:ind w:firstLine="0" w:firstLineChars="0"/>
              <w:jc w:val="center"/>
              <w:rPr>
                <w:rFonts w:ascii="仿宋" w:hAnsi="仿宋"/>
                <w:color w:val="000000"/>
                <w:sz w:val="24"/>
                <w:szCs w:val="24"/>
              </w:rPr>
            </w:pPr>
          </w:p>
        </w:tc>
        <w:tc>
          <w:tcPr>
            <w:tcW w:w="1606" w:type="pct"/>
            <w:vAlign w:val="center"/>
          </w:tcPr>
          <w:p w14:paraId="08656598">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安装特殊节</w:t>
            </w:r>
          </w:p>
        </w:tc>
        <w:tc>
          <w:tcPr>
            <w:tcW w:w="1254" w:type="pct"/>
            <w:vAlign w:val="center"/>
          </w:tcPr>
          <w:p w14:paraId="34F722A1">
            <w:pPr>
              <w:spacing w:line="360" w:lineRule="auto"/>
              <w:ind w:firstLine="0" w:firstLineChars="0"/>
              <w:jc w:val="center"/>
              <w:rPr>
                <w:rFonts w:hint="default" w:ascii="仿宋" w:hAnsi="仿宋" w:eastAsia="仿宋"/>
                <w:color w:val="000000"/>
                <w:sz w:val="24"/>
                <w:szCs w:val="24"/>
                <w:lang w:val="en-US" w:eastAsia="zh-CN"/>
              </w:rPr>
            </w:pPr>
            <w:r>
              <w:rPr>
                <w:rFonts w:hint="eastAsia" w:ascii="仿宋" w:hAnsi="仿宋"/>
                <w:color w:val="000000"/>
                <w:sz w:val="24"/>
                <w:szCs w:val="24"/>
                <w:lang w:val="en-US" w:eastAsia="zh-CN"/>
              </w:rPr>
              <w:t>1.277</w:t>
            </w:r>
          </w:p>
        </w:tc>
        <w:tc>
          <w:tcPr>
            <w:tcW w:w="1250" w:type="pct"/>
            <w:vAlign w:val="center"/>
          </w:tcPr>
          <w:p w14:paraId="07F84CFD">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15</w:t>
            </w:r>
          </w:p>
        </w:tc>
      </w:tr>
      <w:tr w14:paraId="5949F55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889" w:type="pct"/>
            <w:vAlign w:val="center"/>
          </w:tcPr>
          <w:p w14:paraId="45C83D8B">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4</w:t>
            </w:r>
          </w:p>
        </w:tc>
        <w:tc>
          <w:tcPr>
            <w:tcW w:w="1606" w:type="pct"/>
            <w:vAlign w:val="center"/>
          </w:tcPr>
          <w:p w14:paraId="2DEDCD5F">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回转支承总成</w:t>
            </w:r>
          </w:p>
        </w:tc>
        <w:tc>
          <w:tcPr>
            <w:tcW w:w="1254" w:type="pct"/>
            <w:vAlign w:val="center"/>
          </w:tcPr>
          <w:p w14:paraId="16EC811E">
            <w:pPr>
              <w:spacing w:line="360" w:lineRule="auto"/>
              <w:ind w:firstLine="0" w:firstLineChars="0"/>
              <w:jc w:val="center"/>
              <w:rPr>
                <w:rFonts w:hint="default" w:ascii="仿宋" w:hAnsi="仿宋" w:eastAsia="仿宋"/>
                <w:color w:val="000000"/>
                <w:sz w:val="24"/>
                <w:szCs w:val="24"/>
                <w:lang w:val="en-US" w:eastAsia="zh-CN"/>
              </w:rPr>
            </w:pPr>
            <w:r>
              <w:rPr>
                <w:rFonts w:hint="eastAsia" w:ascii="仿宋" w:hAnsi="仿宋"/>
                <w:color w:val="000000"/>
                <w:sz w:val="24"/>
                <w:szCs w:val="24"/>
                <w:lang w:val="en-US" w:eastAsia="zh-CN"/>
              </w:rPr>
              <w:t>3.265</w:t>
            </w:r>
          </w:p>
        </w:tc>
        <w:tc>
          <w:tcPr>
            <w:tcW w:w="1250" w:type="pct"/>
            <w:vAlign w:val="center"/>
          </w:tcPr>
          <w:p w14:paraId="0A2219F1">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18</w:t>
            </w:r>
          </w:p>
        </w:tc>
      </w:tr>
      <w:tr w14:paraId="1CF25E67">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889" w:type="pct"/>
            <w:vAlign w:val="center"/>
          </w:tcPr>
          <w:p w14:paraId="0554D1D6">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5</w:t>
            </w:r>
          </w:p>
        </w:tc>
        <w:tc>
          <w:tcPr>
            <w:tcW w:w="1606" w:type="pct"/>
            <w:vAlign w:val="center"/>
          </w:tcPr>
          <w:p w14:paraId="2202B511">
            <w:pPr>
              <w:spacing w:line="360" w:lineRule="auto"/>
              <w:ind w:firstLine="0" w:firstLineChars="0"/>
              <w:jc w:val="center"/>
              <w:rPr>
                <w:rFonts w:hint="eastAsia" w:ascii="仿宋" w:hAnsi="仿宋" w:eastAsia="仿宋"/>
                <w:color w:val="000000"/>
                <w:sz w:val="24"/>
                <w:szCs w:val="24"/>
                <w:lang w:eastAsia="zh-CN"/>
              </w:rPr>
            </w:pPr>
            <w:r>
              <w:rPr>
                <w:rFonts w:hint="eastAsia" w:ascii="仿宋" w:hAnsi="仿宋"/>
                <w:color w:val="000000"/>
                <w:sz w:val="24"/>
                <w:szCs w:val="24"/>
                <w:lang w:eastAsia="zh-CN"/>
              </w:rPr>
              <w:t>安装塔顶节</w:t>
            </w:r>
          </w:p>
        </w:tc>
        <w:tc>
          <w:tcPr>
            <w:tcW w:w="1254" w:type="pct"/>
            <w:vAlign w:val="center"/>
          </w:tcPr>
          <w:p w14:paraId="5CE91B1A">
            <w:pPr>
              <w:spacing w:line="360" w:lineRule="auto"/>
              <w:ind w:firstLine="0" w:firstLineChars="0"/>
              <w:jc w:val="center"/>
              <w:rPr>
                <w:rFonts w:hint="default" w:ascii="仿宋" w:hAnsi="仿宋" w:eastAsia="仿宋"/>
                <w:color w:val="000000"/>
                <w:sz w:val="24"/>
                <w:szCs w:val="24"/>
                <w:lang w:val="en-US" w:eastAsia="zh-CN"/>
              </w:rPr>
            </w:pPr>
            <w:r>
              <w:rPr>
                <w:rFonts w:hint="eastAsia" w:ascii="仿宋" w:hAnsi="仿宋"/>
                <w:color w:val="000000"/>
                <w:sz w:val="24"/>
                <w:szCs w:val="24"/>
                <w:lang w:val="en-US" w:eastAsia="zh-CN"/>
              </w:rPr>
              <w:t>1.203</w:t>
            </w:r>
          </w:p>
        </w:tc>
        <w:tc>
          <w:tcPr>
            <w:tcW w:w="1250" w:type="pct"/>
            <w:vAlign w:val="center"/>
          </w:tcPr>
          <w:p w14:paraId="75C18AAF">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24.7</w:t>
            </w:r>
          </w:p>
        </w:tc>
      </w:tr>
      <w:tr w14:paraId="00A2C49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9" w:type="pct"/>
            <w:vAlign w:val="center"/>
          </w:tcPr>
          <w:p w14:paraId="191C4E97">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7</w:t>
            </w:r>
          </w:p>
        </w:tc>
        <w:tc>
          <w:tcPr>
            <w:tcW w:w="1606" w:type="pct"/>
            <w:vAlign w:val="center"/>
          </w:tcPr>
          <w:p w14:paraId="6DFFC108">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平衡臂总成</w:t>
            </w:r>
          </w:p>
        </w:tc>
        <w:tc>
          <w:tcPr>
            <w:tcW w:w="1254" w:type="pct"/>
            <w:vAlign w:val="center"/>
          </w:tcPr>
          <w:p w14:paraId="079D495E">
            <w:pPr>
              <w:spacing w:line="360" w:lineRule="auto"/>
              <w:ind w:firstLine="0" w:firstLineChars="0"/>
              <w:jc w:val="center"/>
              <w:rPr>
                <w:rFonts w:hint="default" w:ascii="仿宋" w:hAnsi="仿宋" w:eastAsia="仿宋"/>
                <w:color w:val="000000"/>
                <w:sz w:val="24"/>
                <w:szCs w:val="24"/>
                <w:lang w:val="en-US" w:eastAsia="zh-CN"/>
              </w:rPr>
            </w:pPr>
            <w:r>
              <w:rPr>
                <w:rFonts w:hint="eastAsia" w:ascii="仿宋" w:hAnsi="仿宋"/>
                <w:color w:val="000000"/>
                <w:sz w:val="24"/>
                <w:szCs w:val="24"/>
                <w:lang w:val="en-US" w:eastAsia="zh-CN"/>
              </w:rPr>
              <w:t>4.050</w:t>
            </w:r>
          </w:p>
        </w:tc>
        <w:tc>
          <w:tcPr>
            <w:tcW w:w="1250" w:type="pct"/>
            <w:vAlign w:val="center"/>
          </w:tcPr>
          <w:p w14:paraId="38145F8F">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24.7</w:t>
            </w:r>
          </w:p>
        </w:tc>
      </w:tr>
      <w:tr w14:paraId="7D7E22F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9" w:type="pct"/>
            <w:vAlign w:val="center"/>
          </w:tcPr>
          <w:p w14:paraId="7F5BE3C9">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8</w:t>
            </w:r>
          </w:p>
        </w:tc>
        <w:tc>
          <w:tcPr>
            <w:tcW w:w="1606" w:type="pct"/>
            <w:vAlign w:val="center"/>
          </w:tcPr>
          <w:p w14:paraId="033E928E">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第2块平衡重</w:t>
            </w:r>
          </w:p>
        </w:tc>
        <w:tc>
          <w:tcPr>
            <w:tcW w:w="1254" w:type="pct"/>
            <w:vAlign w:val="center"/>
          </w:tcPr>
          <w:p w14:paraId="12890C42">
            <w:pPr>
              <w:spacing w:line="360" w:lineRule="auto"/>
              <w:ind w:firstLine="0" w:firstLineChars="0"/>
              <w:jc w:val="center"/>
              <w:rPr>
                <w:rFonts w:hint="default" w:ascii="仿宋" w:hAnsi="仿宋" w:eastAsia="仿宋"/>
                <w:color w:val="000000"/>
                <w:sz w:val="24"/>
                <w:szCs w:val="24"/>
                <w:lang w:val="en-US" w:eastAsia="zh-CN"/>
              </w:rPr>
            </w:pPr>
            <w:r>
              <w:rPr>
                <w:rFonts w:hint="eastAsia" w:ascii="仿宋" w:hAnsi="仿宋"/>
                <w:color w:val="000000"/>
                <w:sz w:val="24"/>
                <w:szCs w:val="24"/>
                <w:lang w:val="en-US" w:eastAsia="zh-CN"/>
              </w:rPr>
              <w:t>2.3</w:t>
            </w:r>
          </w:p>
        </w:tc>
        <w:tc>
          <w:tcPr>
            <w:tcW w:w="1250" w:type="pct"/>
            <w:vAlign w:val="center"/>
          </w:tcPr>
          <w:p w14:paraId="2EA7FC13">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18</w:t>
            </w:r>
          </w:p>
        </w:tc>
      </w:tr>
      <w:tr w14:paraId="29D356B5">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9" w:type="pct"/>
            <w:vAlign w:val="center"/>
          </w:tcPr>
          <w:p w14:paraId="6B0F60AC">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9</w:t>
            </w:r>
          </w:p>
        </w:tc>
        <w:tc>
          <w:tcPr>
            <w:tcW w:w="1606" w:type="pct"/>
            <w:vAlign w:val="center"/>
          </w:tcPr>
          <w:p w14:paraId="47FCA0B1">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剩余起重臂总成</w:t>
            </w:r>
          </w:p>
        </w:tc>
        <w:tc>
          <w:tcPr>
            <w:tcW w:w="1254" w:type="pct"/>
            <w:vAlign w:val="center"/>
          </w:tcPr>
          <w:p w14:paraId="41AD8A08">
            <w:pPr>
              <w:spacing w:line="360" w:lineRule="auto"/>
              <w:ind w:firstLine="0" w:firstLineChars="0"/>
              <w:jc w:val="center"/>
              <w:rPr>
                <w:rFonts w:hint="default" w:ascii="仿宋" w:hAnsi="仿宋" w:eastAsia="仿宋"/>
                <w:color w:val="000000"/>
                <w:sz w:val="24"/>
                <w:szCs w:val="24"/>
                <w:lang w:val="en-US" w:eastAsia="zh-CN"/>
              </w:rPr>
            </w:pPr>
            <w:r>
              <w:rPr>
                <w:rFonts w:hint="eastAsia" w:ascii="仿宋" w:hAnsi="仿宋"/>
                <w:color w:val="000000"/>
                <w:sz w:val="24"/>
                <w:szCs w:val="24"/>
                <w:lang w:val="en-US" w:eastAsia="zh-CN"/>
              </w:rPr>
              <w:t>5.723</w:t>
            </w:r>
          </w:p>
        </w:tc>
        <w:tc>
          <w:tcPr>
            <w:tcW w:w="1250" w:type="pct"/>
            <w:vAlign w:val="center"/>
          </w:tcPr>
          <w:p w14:paraId="399525AE">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24.7</w:t>
            </w:r>
          </w:p>
        </w:tc>
      </w:tr>
      <w:tr w14:paraId="51D1B5F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9" w:type="pct"/>
            <w:vAlign w:val="center"/>
          </w:tcPr>
          <w:p w14:paraId="2BB23712">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10</w:t>
            </w:r>
          </w:p>
        </w:tc>
        <w:tc>
          <w:tcPr>
            <w:tcW w:w="1606" w:type="pct"/>
            <w:vAlign w:val="center"/>
          </w:tcPr>
          <w:p w14:paraId="6EF774CB">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剩余平衡重</w:t>
            </w:r>
          </w:p>
        </w:tc>
        <w:tc>
          <w:tcPr>
            <w:tcW w:w="1254" w:type="pct"/>
            <w:vAlign w:val="center"/>
          </w:tcPr>
          <w:p w14:paraId="264885FC">
            <w:pPr>
              <w:spacing w:line="360" w:lineRule="auto"/>
              <w:ind w:firstLine="0" w:firstLineChars="0"/>
              <w:jc w:val="center"/>
              <w:rPr>
                <w:rFonts w:ascii="仿宋" w:hAnsi="仿宋"/>
                <w:color w:val="000000"/>
                <w:sz w:val="24"/>
                <w:szCs w:val="24"/>
              </w:rPr>
            </w:pPr>
            <w:r>
              <w:rPr>
                <w:rFonts w:hint="eastAsia" w:ascii="仿宋" w:hAnsi="仿宋"/>
                <w:color w:val="000000"/>
                <w:sz w:val="24"/>
                <w:szCs w:val="24"/>
                <w:lang w:val="en-US" w:eastAsia="zh-CN"/>
              </w:rPr>
              <w:t>5</w:t>
            </w:r>
            <w:r>
              <w:rPr>
                <w:rFonts w:hint="eastAsia" w:ascii="仿宋" w:hAnsi="仿宋"/>
                <w:color w:val="000000"/>
                <w:sz w:val="24"/>
                <w:szCs w:val="24"/>
              </w:rPr>
              <w:t>*</w:t>
            </w:r>
            <w:r>
              <w:rPr>
                <w:rFonts w:hint="eastAsia" w:ascii="仿宋" w:hAnsi="仿宋"/>
                <w:color w:val="000000"/>
                <w:sz w:val="24"/>
                <w:szCs w:val="24"/>
                <w:lang w:val="en-US" w:eastAsia="zh-CN"/>
              </w:rPr>
              <w:t>2.3</w:t>
            </w:r>
            <w:r>
              <w:rPr>
                <w:rFonts w:hint="eastAsia" w:ascii="仿宋" w:hAnsi="仿宋"/>
                <w:color w:val="000000"/>
                <w:sz w:val="24"/>
                <w:szCs w:val="24"/>
              </w:rPr>
              <w:t>+</w:t>
            </w:r>
            <w:r>
              <w:rPr>
                <w:rFonts w:hint="eastAsia" w:ascii="仿宋" w:hAnsi="仿宋"/>
                <w:color w:val="000000"/>
                <w:sz w:val="24"/>
                <w:szCs w:val="24"/>
                <w:lang w:val="en-US" w:eastAsia="zh-CN"/>
              </w:rPr>
              <w:t>1.2</w:t>
            </w:r>
          </w:p>
        </w:tc>
        <w:tc>
          <w:tcPr>
            <w:tcW w:w="1250" w:type="pct"/>
            <w:vAlign w:val="center"/>
          </w:tcPr>
          <w:p w14:paraId="4748E04D">
            <w:pPr>
              <w:spacing w:line="360" w:lineRule="auto"/>
              <w:ind w:firstLine="0" w:firstLineChars="0"/>
              <w:jc w:val="center"/>
              <w:rPr>
                <w:rFonts w:hint="default" w:ascii="仿宋" w:hAnsi="仿宋" w:eastAsia="仿宋"/>
                <w:color w:val="000000"/>
                <w:sz w:val="24"/>
                <w:szCs w:val="24"/>
                <w:lang w:val="en-US" w:eastAsia="zh-CN"/>
              </w:rPr>
            </w:pPr>
            <w:r>
              <w:rPr>
                <w:rFonts w:hint="eastAsia" w:ascii="仿宋" w:hAnsi="仿宋"/>
                <w:color w:val="000000"/>
                <w:sz w:val="24"/>
                <w:szCs w:val="24"/>
                <w:lang w:val="en-US" w:eastAsia="zh-CN"/>
              </w:rPr>
              <w:t>12.7</w:t>
            </w:r>
          </w:p>
        </w:tc>
      </w:tr>
    </w:tbl>
    <w:p w14:paraId="753E0C28">
      <w:pPr>
        <w:ind w:firstLine="562"/>
        <w:rPr>
          <w:rFonts w:ascii="宋体" w:hAnsi="宋体" w:cs="宋体"/>
          <w:b/>
          <w:color w:val="000000"/>
        </w:rPr>
      </w:pPr>
      <w:r>
        <w:rPr>
          <w:rFonts w:hint="eastAsia" w:ascii="宋体" w:hAnsi="宋体" w:cs="宋体"/>
          <w:b/>
          <w:color w:val="000000"/>
        </w:rPr>
        <w:t>注：以上吊高为吊耳高度，未计入吊装钢丝绳长度。</w:t>
      </w:r>
    </w:p>
    <w:p w14:paraId="68655569">
      <w:pPr>
        <w:pStyle w:val="123"/>
        <w:rPr>
          <w:rStyle w:val="124"/>
          <w:b/>
        </w:rPr>
      </w:pPr>
      <w:r>
        <w:rPr>
          <w:rStyle w:val="124"/>
          <w:rFonts w:hint="eastAsia"/>
          <w:b/>
        </w:rPr>
        <w:t>表4.</w:t>
      </w:r>
      <w:r>
        <w:rPr>
          <w:rStyle w:val="124"/>
          <w:b/>
        </w:rPr>
        <w:t>3-</w:t>
      </w:r>
      <w:bookmarkStart w:id="229" w:name="_Toc8783"/>
      <w:bookmarkStart w:id="230" w:name="_Toc31474"/>
      <w:bookmarkStart w:id="231" w:name="_Toc525111824"/>
      <w:bookmarkStart w:id="232" w:name="_Toc8340"/>
      <w:bookmarkStart w:id="233" w:name="_Toc5216_WPSOffice_Level1"/>
      <w:bookmarkStart w:id="234" w:name="_Toc680"/>
      <w:bookmarkStart w:id="235" w:name="_Toc14238_WPSOffice_Level1"/>
      <w:bookmarkStart w:id="236" w:name="_Toc29821"/>
      <w:bookmarkStart w:id="237" w:name="_Toc27331"/>
      <w:bookmarkStart w:id="238" w:name="_Toc27213"/>
      <w:bookmarkStart w:id="239" w:name="_Toc87114061"/>
      <w:bookmarkStart w:id="240" w:name="_Toc87114060"/>
      <w:r>
        <w:rPr>
          <w:rStyle w:val="124"/>
          <w:rFonts w:hint="eastAsia"/>
          <w:b/>
        </w:rPr>
        <w:t>2吊索具与专用工具配备</w:t>
      </w:r>
      <w:bookmarkEnd w:id="229"/>
      <w:bookmarkEnd w:id="230"/>
      <w:bookmarkEnd w:id="231"/>
      <w:bookmarkEnd w:id="232"/>
      <w:bookmarkEnd w:id="233"/>
      <w:bookmarkEnd w:id="234"/>
      <w:bookmarkEnd w:id="235"/>
    </w:p>
    <w:tbl>
      <w:tblPr>
        <w:tblStyle w:val="41"/>
        <w:tblW w:w="9038"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FFFFFF" w:themeFill="background1"/>
        <w:tblLayout w:type="fixed"/>
        <w:tblCellMar>
          <w:top w:w="0" w:type="dxa"/>
          <w:left w:w="108" w:type="dxa"/>
          <w:bottom w:w="0" w:type="dxa"/>
          <w:right w:w="108" w:type="dxa"/>
        </w:tblCellMar>
      </w:tblPr>
      <w:tblGrid>
        <w:gridCol w:w="644"/>
        <w:gridCol w:w="2584"/>
        <w:gridCol w:w="2519"/>
        <w:gridCol w:w="617"/>
        <w:gridCol w:w="909"/>
        <w:gridCol w:w="1765"/>
      </w:tblGrid>
      <w:tr w14:paraId="59E7AD4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128A9927">
            <w:pPr>
              <w:widowControl/>
              <w:ind w:firstLine="0" w:firstLineChars="0"/>
              <w:jc w:val="center"/>
              <w:rPr>
                <w:rFonts w:ascii="仿宋" w:hAnsi="仿宋"/>
                <w:color w:val="1D1B11"/>
                <w:kern w:val="0"/>
                <w:sz w:val="24"/>
                <w:szCs w:val="24"/>
              </w:rPr>
            </w:pPr>
            <w:bookmarkStart w:id="241" w:name="_Toc10343"/>
            <w:bookmarkStart w:id="242" w:name="_Toc4813"/>
            <w:bookmarkStart w:id="243" w:name="_Toc7349"/>
            <w:bookmarkStart w:id="244" w:name="_Toc2820"/>
            <w:bookmarkStart w:id="245" w:name="_Toc25962"/>
            <w:r>
              <w:rPr>
                <w:rFonts w:hint="eastAsia" w:ascii="仿宋" w:hAnsi="仿宋"/>
                <w:color w:val="1D1B11"/>
                <w:kern w:val="0"/>
                <w:sz w:val="24"/>
                <w:szCs w:val="24"/>
              </w:rPr>
              <w:t>序号</w:t>
            </w:r>
          </w:p>
        </w:tc>
        <w:tc>
          <w:tcPr>
            <w:tcW w:w="2584" w:type="dxa"/>
            <w:shd w:val="clear" w:color="auto" w:fill="FFFFFF" w:themeFill="background1"/>
            <w:vAlign w:val="center"/>
          </w:tcPr>
          <w:p w14:paraId="6A22383E">
            <w:pPr>
              <w:widowControl/>
              <w:ind w:left="9" w:leftChars="-25" w:hanging="79" w:hangingChars="33"/>
              <w:jc w:val="center"/>
              <w:rPr>
                <w:rFonts w:ascii="仿宋" w:hAnsi="仿宋"/>
                <w:color w:val="1D1B11"/>
                <w:kern w:val="0"/>
                <w:sz w:val="24"/>
                <w:szCs w:val="24"/>
              </w:rPr>
            </w:pPr>
            <w:r>
              <w:rPr>
                <w:rFonts w:hint="eastAsia" w:ascii="仿宋" w:hAnsi="仿宋"/>
                <w:color w:val="1D1B11"/>
                <w:kern w:val="0"/>
                <w:sz w:val="24"/>
                <w:szCs w:val="24"/>
              </w:rPr>
              <w:t>机具名称</w:t>
            </w:r>
          </w:p>
        </w:tc>
        <w:tc>
          <w:tcPr>
            <w:tcW w:w="2519" w:type="dxa"/>
            <w:shd w:val="clear" w:color="auto" w:fill="FFFFFF" w:themeFill="background1"/>
            <w:vAlign w:val="center"/>
          </w:tcPr>
          <w:p w14:paraId="3DD4A2E0">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规格型号</w:t>
            </w:r>
          </w:p>
        </w:tc>
        <w:tc>
          <w:tcPr>
            <w:tcW w:w="617" w:type="dxa"/>
            <w:shd w:val="clear" w:color="auto" w:fill="FFFFFF" w:themeFill="background1"/>
            <w:vAlign w:val="center"/>
          </w:tcPr>
          <w:p w14:paraId="21794AFC">
            <w:pPr>
              <w:widowControl/>
              <w:ind w:firstLine="24" w:firstLineChars="10"/>
              <w:jc w:val="center"/>
              <w:rPr>
                <w:rFonts w:ascii="仿宋" w:hAnsi="仿宋"/>
                <w:color w:val="1D1B11"/>
                <w:kern w:val="0"/>
                <w:sz w:val="24"/>
                <w:szCs w:val="24"/>
              </w:rPr>
            </w:pPr>
            <w:r>
              <w:rPr>
                <w:rFonts w:hint="eastAsia" w:ascii="仿宋" w:hAnsi="仿宋"/>
                <w:color w:val="1D1B11"/>
                <w:kern w:val="0"/>
                <w:sz w:val="24"/>
                <w:szCs w:val="24"/>
              </w:rPr>
              <w:t>单位</w:t>
            </w:r>
          </w:p>
        </w:tc>
        <w:tc>
          <w:tcPr>
            <w:tcW w:w="909" w:type="dxa"/>
            <w:shd w:val="clear" w:color="auto" w:fill="FFFFFF" w:themeFill="background1"/>
            <w:vAlign w:val="center"/>
          </w:tcPr>
          <w:p w14:paraId="453E76B2">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数量</w:t>
            </w:r>
          </w:p>
        </w:tc>
        <w:tc>
          <w:tcPr>
            <w:tcW w:w="1765" w:type="dxa"/>
            <w:shd w:val="clear" w:color="auto" w:fill="FFFFFF" w:themeFill="background1"/>
            <w:vAlign w:val="center"/>
          </w:tcPr>
          <w:p w14:paraId="085C59A4">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备注</w:t>
            </w:r>
          </w:p>
        </w:tc>
      </w:tr>
      <w:tr w14:paraId="682DA8DE">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27EFB904">
            <w:pPr>
              <w:widowControl/>
              <w:ind w:firstLine="0" w:firstLineChars="0"/>
              <w:jc w:val="center"/>
              <w:rPr>
                <w:rFonts w:ascii="仿宋" w:hAnsi="仿宋"/>
                <w:color w:val="1D1B11"/>
                <w:kern w:val="0"/>
                <w:sz w:val="24"/>
                <w:szCs w:val="24"/>
              </w:rPr>
            </w:pPr>
            <w:r>
              <w:rPr>
                <w:rFonts w:ascii="仿宋" w:hAnsi="仿宋"/>
                <w:color w:val="1D1B11"/>
                <w:kern w:val="0"/>
                <w:sz w:val="24"/>
                <w:szCs w:val="24"/>
              </w:rPr>
              <w:t>1</w:t>
            </w:r>
          </w:p>
        </w:tc>
        <w:tc>
          <w:tcPr>
            <w:tcW w:w="2584" w:type="dxa"/>
            <w:shd w:val="clear" w:color="auto" w:fill="FFFFFF" w:themeFill="background1"/>
            <w:vAlign w:val="center"/>
          </w:tcPr>
          <w:p w14:paraId="32998CB8">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链条葫芦</w:t>
            </w:r>
          </w:p>
        </w:tc>
        <w:tc>
          <w:tcPr>
            <w:tcW w:w="2519" w:type="dxa"/>
            <w:shd w:val="clear" w:color="auto" w:fill="FFFFFF" w:themeFill="background1"/>
            <w:vAlign w:val="center"/>
          </w:tcPr>
          <w:p w14:paraId="47B84682">
            <w:pPr>
              <w:widowControl/>
              <w:ind w:firstLine="0" w:firstLineChars="0"/>
              <w:jc w:val="center"/>
              <w:rPr>
                <w:rFonts w:ascii="仿宋" w:hAnsi="仿宋"/>
                <w:color w:val="1D1B11"/>
                <w:kern w:val="0"/>
                <w:sz w:val="24"/>
                <w:szCs w:val="24"/>
              </w:rPr>
            </w:pPr>
            <w:r>
              <w:rPr>
                <w:rFonts w:ascii="仿宋" w:hAnsi="仿宋"/>
                <w:color w:val="1D1B11"/>
                <w:kern w:val="0"/>
                <w:sz w:val="24"/>
                <w:szCs w:val="24"/>
              </w:rPr>
              <w:t>2t</w:t>
            </w:r>
          </w:p>
        </w:tc>
        <w:tc>
          <w:tcPr>
            <w:tcW w:w="617" w:type="dxa"/>
            <w:shd w:val="clear" w:color="auto" w:fill="FFFFFF" w:themeFill="background1"/>
            <w:vAlign w:val="center"/>
          </w:tcPr>
          <w:p w14:paraId="0375D700">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副</w:t>
            </w:r>
          </w:p>
        </w:tc>
        <w:tc>
          <w:tcPr>
            <w:tcW w:w="909" w:type="dxa"/>
            <w:shd w:val="clear" w:color="auto" w:fill="FFFFFF" w:themeFill="background1"/>
            <w:vAlign w:val="center"/>
          </w:tcPr>
          <w:p w14:paraId="5AC5D272">
            <w:pPr>
              <w:widowControl/>
              <w:ind w:firstLine="0" w:firstLineChars="0"/>
              <w:jc w:val="center"/>
              <w:rPr>
                <w:rFonts w:ascii="仿宋" w:hAnsi="仿宋"/>
                <w:color w:val="1D1B11"/>
                <w:kern w:val="0"/>
                <w:sz w:val="24"/>
                <w:szCs w:val="24"/>
              </w:rPr>
            </w:pPr>
            <w:r>
              <w:rPr>
                <w:rFonts w:ascii="仿宋" w:hAnsi="仿宋"/>
                <w:color w:val="1D1B11"/>
                <w:kern w:val="0"/>
                <w:sz w:val="24"/>
                <w:szCs w:val="24"/>
              </w:rPr>
              <w:t>2</w:t>
            </w:r>
          </w:p>
        </w:tc>
        <w:tc>
          <w:tcPr>
            <w:tcW w:w="1765" w:type="dxa"/>
            <w:shd w:val="clear" w:color="auto" w:fill="FFFFFF" w:themeFill="background1"/>
            <w:vAlign w:val="center"/>
          </w:tcPr>
          <w:p w14:paraId="72274923">
            <w:pPr>
              <w:widowControl/>
              <w:ind w:firstLine="480"/>
              <w:jc w:val="center"/>
              <w:rPr>
                <w:rFonts w:ascii="仿宋" w:hAnsi="仿宋"/>
                <w:color w:val="1D1B11"/>
                <w:kern w:val="0"/>
                <w:sz w:val="24"/>
                <w:szCs w:val="24"/>
              </w:rPr>
            </w:pPr>
          </w:p>
        </w:tc>
      </w:tr>
      <w:tr w14:paraId="3AB56BC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3AB42EE1">
            <w:pPr>
              <w:widowControl/>
              <w:ind w:firstLine="0" w:firstLineChars="0"/>
              <w:jc w:val="center"/>
              <w:rPr>
                <w:rFonts w:ascii="仿宋" w:hAnsi="仿宋"/>
                <w:color w:val="1D1B11"/>
                <w:kern w:val="0"/>
                <w:sz w:val="24"/>
                <w:szCs w:val="24"/>
              </w:rPr>
            </w:pPr>
            <w:r>
              <w:rPr>
                <w:rFonts w:ascii="仿宋" w:hAnsi="仿宋"/>
                <w:color w:val="1D1B11"/>
                <w:kern w:val="0"/>
                <w:sz w:val="24"/>
                <w:szCs w:val="24"/>
              </w:rPr>
              <w:t>2</w:t>
            </w:r>
          </w:p>
        </w:tc>
        <w:tc>
          <w:tcPr>
            <w:tcW w:w="2584" w:type="dxa"/>
            <w:shd w:val="clear" w:color="auto" w:fill="FFFFFF" w:themeFill="background1"/>
            <w:vAlign w:val="center"/>
          </w:tcPr>
          <w:p w14:paraId="2D774C99">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链条葫芦</w:t>
            </w:r>
          </w:p>
        </w:tc>
        <w:tc>
          <w:tcPr>
            <w:tcW w:w="2519" w:type="dxa"/>
            <w:shd w:val="clear" w:color="auto" w:fill="FFFFFF" w:themeFill="background1"/>
            <w:vAlign w:val="center"/>
          </w:tcPr>
          <w:p w14:paraId="54C261C6">
            <w:pPr>
              <w:widowControl/>
              <w:ind w:firstLine="0" w:firstLineChars="0"/>
              <w:jc w:val="center"/>
              <w:rPr>
                <w:rFonts w:ascii="仿宋" w:hAnsi="仿宋"/>
                <w:color w:val="1D1B11"/>
                <w:kern w:val="0"/>
                <w:sz w:val="24"/>
                <w:szCs w:val="24"/>
              </w:rPr>
            </w:pPr>
            <w:r>
              <w:rPr>
                <w:rFonts w:ascii="仿宋" w:hAnsi="仿宋"/>
                <w:color w:val="1D1B11"/>
                <w:kern w:val="0"/>
                <w:sz w:val="24"/>
                <w:szCs w:val="24"/>
              </w:rPr>
              <w:t>3t</w:t>
            </w:r>
          </w:p>
        </w:tc>
        <w:tc>
          <w:tcPr>
            <w:tcW w:w="617" w:type="dxa"/>
            <w:shd w:val="clear" w:color="auto" w:fill="FFFFFF" w:themeFill="background1"/>
            <w:vAlign w:val="center"/>
          </w:tcPr>
          <w:p w14:paraId="402DBAC0">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副</w:t>
            </w:r>
          </w:p>
        </w:tc>
        <w:tc>
          <w:tcPr>
            <w:tcW w:w="909" w:type="dxa"/>
            <w:shd w:val="clear" w:color="auto" w:fill="FFFFFF" w:themeFill="background1"/>
            <w:vAlign w:val="center"/>
          </w:tcPr>
          <w:p w14:paraId="35623F14">
            <w:pPr>
              <w:widowControl/>
              <w:ind w:firstLine="0" w:firstLineChars="0"/>
              <w:jc w:val="center"/>
              <w:rPr>
                <w:rFonts w:ascii="仿宋" w:hAnsi="仿宋"/>
                <w:color w:val="1D1B11"/>
                <w:kern w:val="0"/>
                <w:sz w:val="24"/>
                <w:szCs w:val="24"/>
              </w:rPr>
            </w:pPr>
            <w:r>
              <w:rPr>
                <w:rFonts w:ascii="仿宋" w:hAnsi="仿宋"/>
                <w:color w:val="1D1B11"/>
                <w:kern w:val="0"/>
                <w:sz w:val="24"/>
                <w:szCs w:val="24"/>
              </w:rPr>
              <w:t>2</w:t>
            </w:r>
          </w:p>
        </w:tc>
        <w:tc>
          <w:tcPr>
            <w:tcW w:w="1765" w:type="dxa"/>
            <w:shd w:val="clear" w:color="auto" w:fill="FFFFFF" w:themeFill="background1"/>
            <w:vAlign w:val="center"/>
          </w:tcPr>
          <w:p w14:paraId="151AA840">
            <w:pPr>
              <w:widowControl/>
              <w:ind w:firstLine="480"/>
              <w:jc w:val="center"/>
              <w:rPr>
                <w:rFonts w:ascii="仿宋" w:hAnsi="仿宋"/>
                <w:color w:val="1D1B11"/>
                <w:kern w:val="0"/>
                <w:sz w:val="24"/>
                <w:szCs w:val="24"/>
              </w:rPr>
            </w:pPr>
          </w:p>
        </w:tc>
      </w:tr>
      <w:tr w14:paraId="34CAF8F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5CF3900C">
            <w:pPr>
              <w:widowControl/>
              <w:ind w:firstLine="0" w:firstLineChars="0"/>
              <w:jc w:val="center"/>
              <w:rPr>
                <w:rFonts w:ascii="仿宋" w:hAnsi="仿宋"/>
                <w:color w:val="1D1B11"/>
                <w:kern w:val="0"/>
                <w:sz w:val="24"/>
                <w:szCs w:val="24"/>
              </w:rPr>
            </w:pPr>
            <w:r>
              <w:rPr>
                <w:rFonts w:ascii="仿宋" w:hAnsi="仿宋"/>
                <w:color w:val="1D1B11"/>
                <w:kern w:val="0"/>
                <w:sz w:val="24"/>
                <w:szCs w:val="24"/>
              </w:rPr>
              <w:t>3</w:t>
            </w:r>
          </w:p>
        </w:tc>
        <w:tc>
          <w:tcPr>
            <w:tcW w:w="2584" w:type="dxa"/>
            <w:shd w:val="clear" w:color="auto" w:fill="FFFFFF" w:themeFill="background1"/>
            <w:vAlign w:val="center"/>
          </w:tcPr>
          <w:p w14:paraId="06E9FA66">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活动扳手</w:t>
            </w:r>
          </w:p>
        </w:tc>
        <w:tc>
          <w:tcPr>
            <w:tcW w:w="2519" w:type="dxa"/>
            <w:shd w:val="clear" w:color="auto" w:fill="FFFFFF" w:themeFill="background1"/>
            <w:vAlign w:val="center"/>
          </w:tcPr>
          <w:p w14:paraId="5937CCF5">
            <w:pPr>
              <w:widowControl/>
              <w:ind w:firstLine="0" w:firstLineChars="0"/>
              <w:jc w:val="center"/>
              <w:rPr>
                <w:rFonts w:ascii="仿宋" w:hAnsi="仿宋"/>
                <w:color w:val="1D1B11"/>
                <w:kern w:val="0"/>
                <w:sz w:val="24"/>
                <w:szCs w:val="24"/>
              </w:rPr>
            </w:pPr>
            <w:r>
              <w:rPr>
                <w:rFonts w:ascii="仿宋" w:hAnsi="仿宋"/>
                <w:color w:val="1D1B11"/>
                <w:kern w:val="0"/>
                <w:sz w:val="24"/>
                <w:szCs w:val="24"/>
              </w:rPr>
              <w:t>14</w:t>
            </w:r>
            <w:r>
              <w:rPr>
                <w:rFonts w:hint="eastAsia" w:ascii="仿宋" w:hAnsi="仿宋"/>
                <w:color w:val="1D1B11"/>
                <w:kern w:val="0"/>
                <w:sz w:val="24"/>
                <w:szCs w:val="24"/>
              </w:rPr>
              <w:t>寸</w:t>
            </w:r>
          </w:p>
        </w:tc>
        <w:tc>
          <w:tcPr>
            <w:tcW w:w="617" w:type="dxa"/>
            <w:shd w:val="clear" w:color="auto" w:fill="FFFFFF" w:themeFill="background1"/>
            <w:vAlign w:val="center"/>
          </w:tcPr>
          <w:p w14:paraId="4CBEABCB">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把</w:t>
            </w:r>
          </w:p>
        </w:tc>
        <w:tc>
          <w:tcPr>
            <w:tcW w:w="909" w:type="dxa"/>
            <w:shd w:val="clear" w:color="auto" w:fill="FFFFFF" w:themeFill="background1"/>
            <w:vAlign w:val="center"/>
          </w:tcPr>
          <w:p w14:paraId="49D16DF3">
            <w:pPr>
              <w:widowControl/>
              <w:ind w:firstLine="0" w:firstLineChars="0"/>
              <w:jc w:val="center"/>
              <w:rPr>
                <w:rFonts w:ascii="仿宋" w:hAnsi="仿宋"/>
                <w:color w:val="1D1B11"/>
                <w:kern w:val="0"/>
                <w:sz w:val="24"/>
                <w:szCs w:val="24"/>
              </w:rPr>
            </w:pPr>
            <w:r>
              <w:rPr>
                <w:rFonts w:ascii="仿宋" w:hAnsi="仿宋"/>
                <w:color w:val="1D1B11"/>
                <w:kern w:val="0"/>
                <w:sz w:val="24"/>
                <w:szCs w:val="24"/>
              </w:rPr>
              <w:t>2</w:t>
            </w:r>
          </w:p>
        </w:tc>
        <w:tc>
          <w:tcPr>
            <w:tcW w:w="1765" w:type="dxa"/>
            <w:shd w:val="clear" w:color="auto" w:fill="FFFFFF" w:themeFill="background1"/>
            <w:vAlign w:val="center"/>
          </w:tcPr>
          <w:p w14:paraId="0273F001">
            <w:pPr>
              <w:widowControl/>
              <w:ind w:firstLine="480"/>
              <w:jc w:val="center"/>
              <w:rPr>
                <w:rFonts w:ascii="仿宋" w:hAnsi="仿宋"/>
                <w:color w:val="1D1B11"/>
                <w:kern w:val="0"/>
                <w:sz w:val="24"/>
                <w:szCs w:val="24"/>
              </w:rPr>
            </w:pPr>
          </w:p>
        </w:tc>
      </w:tr>
      <w:tr w14:paraId="0AFC95B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69BE8BE0">
            <w:pPr>
              <w:widowControl/>
              <w:ind w:firstLine="0" w:firstLineChars="0"/>
              <w:jc w:val="center"/>
              <w:rPr>
                <w:rFonts w:ascii="仿宋" w:hAnsi="仿宋"/>
                <w:color w:val="1D1B11"/>
                <w:kern w:val="0"/>
                <w:sz w:val="24"/>
                <w:szCs w:val="24"/>
              </w:rPr>
            </w:pPr>
            <w:r>
              <w:rPr>
                <w:rFonts w:ascii="仿宋" w:hAnsi="仿宋"/>
                <w:color w:val="1D1B11"/>
                <w:kern w:val="0"/>
                <w:sz w:val="24"/>
                <w:szCs w:val="24"/>
              </w:rPr>
              <w:t>4</w:t>
            </w:r>
          </w:p>
        </w:tc>
        <w:tc>
          <w:tcPr>
            <w:tcW w:w="2584" w:type="dxa"/>
            <w:shd w:val="clear" w:color="auto" w:fill="FFFFFF" w:themeFill="background1"/>
            <w:vAlign w:val="center"/>
          </w:tcPr>
          <w:p w14:paraId="4E090749">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梅花扳手</w:t>
            </w:r>
          </w:p>
        </w:tc>
        <w:tc>
          <w:tcPr>
            <w:tcW w:w="2519" w:type="dxa"/>
            <w:shd w:val="clear" w:color="auto" w:fill="FFFFFF" w:themeFill="background1"/>
            <w:vAlign w:val="center"/>
          </w:tcPr>
          <w:p w14:paraId="4B695F79">
            <w:pPr>
              <w:widowControl/>
              <w:ind w:firstLine="0" w:firstLineChars="0"/>
              <w:jc w:val="center"/>
              <w:rPr>
                <w:rFonts w:ascii="仿宋" w:hAnsi="仿宋"/>
                <w:color w:val="1D1B11"/>
                <w:kern w:val="0"/>
                <w:sz w:val="24"/>
                <w:szCs w:val="24"/>
              </w:rPr>
            </w:pPr>
            <w:r>
              <w:rPr>
                <w:rFonts w:ascii="仿宋" w:hAnsi="仿宋"/>
                <w:color w:val="1D1B11"/>
                <w:kern w:val="0"/>
                <w:sz w:val="24"/>
                <w:szCs w:val="24"/>
              </w:rPr>
              <w:t>14-17</w:t>
            </w:r>
            <w:r>
              <w:rPr>
                <w:rFonts w:hint="eastAsia" w:ascii="仿宋" w:hAnsi="仿宋"/>
                <w:color w:val="1D1B11"/>
                <w:kern w:val="0"/>
                <w:sz w:val="24"/>
                <w:szCs w:val="24"/>
              </w:rPr>
              <w:t>、</w:t>
            </w:r>
            <w:r>
              <w:rPr>
                <w:rFonts w:ascii="仿宋" w:hAnsi="仿宋"/>
                <w:color w:val="1D1B11"/>
                <w:kern w:val="0"/>
                <w:sz w:val="24"/>
                <w:szCs w:val="24"/>
              </w:rPr>
              <w:t>17-19</w:t>
            </w:r>
          </w:p>
        </w:tc>
        <w:tc>
          <w:tcPr>
            <w:tcW w:w="617" w:type="dxa"/>
            <w:shd w:val="clear" w:color="auto" w:fill="FFFFFF" w:themeFill="background1"/>
            <w:vAlign w:val="center"/>
          </w:tcPr>
          <w:p w14:paraId="24808AA3">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把</w:t>
            </w:r>
          </w:p>
        </w:tc>
        <w:tc>
          <w:tcPr>
            <w:tcW w:w="909" w:type="dxa"/>
            <w:shd w:val="clear" w:color="auto" w:fill="FFFFFF" w:themeFill="background1"/>
            <w:vAlign w:val="center"/>
          </w:tcPr>
          <w:p w14:paraId="72535558">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各</w:t>
            </w:r>
            <w:r>
              <w:rPr>
                <w:rFonts w:ascii="仿宋" w:hAnsi="仿宋"/>
                <w:color w:val="1D1B11"/>
                <w:kern w:val="0"/>
                <w:sz w:val="24"/>
                <w:szCs w:val="24"/>
              </w:rPr>
              <w:t>1</w:t>
            </w:r>
          </w:p>
        </w:tc>
        <w:tc>
          <w:tcPr>
            <w:tcW w:w="1765" w:type="dxa"/>
            <w:shd w:val="clear" w:color="auto" w:fill="FFFFFF" w:themeFill="background1"/>
            <w:vAlign w:val="center"/>
          </w:tcPr>
          <w:p w14:paraId="01FE11C6">
            <w:pPr>
              <w:widowControl/>
              <w:ind w:firstLine="480"/>
              <w:jc w:val="center"/>
              <w:rPr>
                <w:rFonts w:ascii="仿宋" w:hAnsi="仿宋"/>
                <w:color w:val="1D1B11"/>
                <w:kern w:val="0"/>
                <w:sz w:val="24"/>
                <w:szCs w:val="24"/>
              </w:rPr>
            </w:pPr>
          </w:p>
        </w:tc>
      </w:tr>
      <w:tr w14:paraId="71FD1B3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1707B36C">
            <w:pPr>
              <w:widowControl/>
              <w:ind w:firstLine="0" w:firstLineChars="0"/>
              <w:jc w:val="center"/>
              <w:rPr>
                <w:rFonts w:ascii="仿宋" w:hAnsi="仿宋"/>
                <w:color w:val="1D1B11"/>
                <w:kern w:val="0"/>
                <w:sz w:val="24"/>
                <w:szCs w:val="24"/>
              </w:rPr>
            </w:pPr>
            <w:r>
              <w:rPr>
                <w:rFonts w:ascii="仿宋" w:hAnsi="仿宋"/>
                <w:color w:val="1D1B11"/>
                <w:kern w:val="0"/>
                <w:sz w:val="24"/>
                <w:szCs w:val="24"/>
              </w:rPr>
              <w:t>5</w:t>
            </w:r>
          </w:p>
        </w:tc>
        <w:tc>
          <w:tcPr>
            <w:tcW w:w="2584" w:type="dxa"/>
            <w:shd w:val="clear" w:color="auto" w:fill="FFFFFF" w:themeFill="background1"/>
            <w:vAlign w:val="center"/>
          </w:tcPr>
          <w:p w14:paraId="1D7AF3F8">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大锤</w:t>
            </w:r>
          </w:p>
        </w:tc>
        <w:tc>
          <w:tcPr>
            <w:tcW w:w="2519" w:type="dxa"/>
            <w:shd w:val="clear" w:color="auto" w:fill="FFFFFF" w:themeFill="background1"/>
            <w:vAlign w:val="center"/>
          </w:tcPr>
          <w:p w14:paraId="10EE2F1A">
            <w:pPr>
              <w:widowControl/>
              <w:ind w:firstLine="0" w:firstLineChars="0"/>
              <w:jc w:val="center"/>
              <w:rPr>
                <w:rFonts w:ascii="仿宋" w:hAnsi="仿宋"/>
                <w:color w:val="1D1B11"/>
                <w:kern w:val="0"/>
                <w:sz w:val="24"/>
                <w:szCs w:val="24"/>
              </w:rPr>
            </w:pPr>
            <w:r>
              <w:rPr>
                <w:rFonts w:ascii="仿宋" w:hAnsi="仿宋"/>
                <w:color w:val="1D1B11"/>
                <w:kern w:val="0"/>
                <w:sz w:val="24"/>
                <w:szCs w:val="24"/>
              </w:rPr>
              <w:t>16</w:t>
            </w:r>
            <w:r>
              <w:rPr>
                <w:rFonts w:hint="eastAsia" w:ascii="仿宋" w:hAnsi="仿宋"/>
                <w:color w:val="1D1B11"/>
                <w:kern w:val="0"/>
                <w:sz w:val="24"/>
                <w:szCs w:val="24"/>
              </w:rPr>
              <w:t>、</w:t>
            </w:r>
            <w:r>
              <w:rPr>
                <w:rFonts w:ascii="仿宋" w:hAnsi="仿宋"/>
                <w:color w:val="1D1B11"/>
                <w:kern w:val="0"/>
                <w:sz w:val="24"/>
                <w:szCs w:val="24"/>
              </w:rPr>
              <w:t>18</w:t>
            </w:r>
            <w:r>
              <w:rPr>
                <w:rFonts w:hint="eastAsia" w:ascii="仿宋" w:hAnsi="仿宋"/>
                <w:color w:val="1D1B11"/>
                <w:kern w:val="0"/>
                <w:sz w:val="24"/>
                <w:szCs w:val="24"/>
              </w:rPr>
              <w:t>、</w:t>
            </w:r>
            <w:r>
              <w:rPr>
                <w:rFonts w:ascii="仿宋" w:hAnsi="仿宋"/>
                <w:color w:val="1D1B11"/>
                <w:kern w:val="0"/>
                <w:sz w:val="24"/>
                <w:szCs w:val="24"/>
              </w:rPr>
              <w:t>20P</w:t>
            </w:r>
          </w:p>
        </w:tc>
        <w:tc>
          <w:tcPr>
            <w:tcW w:w="617" w:type="dxa"/>
            <w:shd w:val="clear" w:color="auto" w:fill="FFFFFF" w:themeFill="background1"/>
            <w:vAlign w:val="center"/>
          </w:tcPr>
          <w:p w14:paraId="1C91A48B">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把</w:t>
            </w:r>
          </w:p>
        </w:tc>
        <w:tc>
          <w:tcPr>
            <w:tcW w:w="909" w:type="dxa"/>
            <w:shd w:val="clear" w:color="auto" w:fill="FFFFFF" w:themeFill="background1"/>
            <w:vAlign w:val="center"/>
          </w:tcPr>
          <w:p w14:paraId="1A622B26">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各</w:t>
            </w:r>
            <w:r>
              <w:rPr>
                <w:rFonts w:ascii="仿宋" w:hAnsi="仿宋"/>
                <w:color w:val="1D1B11"/>
                <w:kern w:val="0"/>
                <w:sz w:val="24"/>
                <w:szCs w:val="24"/>
              </w:rPr>
              <w:t>1</w:t>
            </w:r>
          </w:p>
        </w:tc>
        <w:tc>
          <w:tcPr>
            <w:tcW w:w="1765" w:type="dxa"/>
            <w:shd w:val="clear" w:color="auto" w:fill="FFFFFF" w:themeFill="background1"/>
            <w:vAlign w:val="center"/>
          </w:tcPr>
          <w:p w14:paraId="431E06F1">
            <w:pPr>
              <w:widowControl/>
              <w:ind w:firstLine="480"/>
              <w:jc w:val="center"/>
              <w:rPr>
                <w:rFonts w:ascii="仿宋" w:hAnsi="仿宋"/>
                <w:color w:val="1D1B11"/>
                <w:kern w:val="0"/>
                <w:sz w:val="24"/>
                <w:szCs w:val="24"/>
              </w:rPr>
            </w:pPr>
          </w:p>
        </w:tc>
      </w:tr>
      <w:tr w14:paraId="4FE7B37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160AC07D">
            <w:pPr>
              <w:widowControl/>
              <w:ind w:firstLine="0" w:firstLineChars="0"/>
              <w:jc w:val="center"/>
              <w:rPr>
                <w:rFonts w:ascii="仿宋" w:hAnsi="仿宋"/>
                <w:color w:val="1D1B11"/>
                <w:kern w:val="0"/>
                <w:sz w:val="24"/>
                <w:szCs w:val="24"/>
              </w:rPr>
            </w:pPr>
            <w:r>
              <w:rPr>
                <w:rFonts w:ascii="仿宋" w:hAnsi="仿宋"/>
                <w:color w:val="1D1B11"/>
                <w:kern w:val="0"/>
                <w:sz w:val="24"/>
                <w:szCs w:val="24"/>
              </w:rPr>
              <w:t>6</w:t>
            </w:r>
          </w:p>
        </w:tc>
        <w:tc>
          <w:tcPr>
            <w:tcW w:w="2584" w:type="dxa"/>
            <w:shd w:val="clear" w:color="auto" w:fill="FFFFFF" w:themeFill="background1"/>
            <w:vAlign w:val="center"/>
          </w:tcPr>
          <w:p w14:paraId="35874045">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电工常用工具</w:t>
            </w:r>
          </w:p>
        </w:tc>
        <w:tc>
          <w:tcPr>
            <w:tcW w:w="2519" w:type="dxa"/>
            <w:tcBorders>
              <w:bottom w:val="single" w:color="000000" w:sz="4" w:space="0"/>
            </w:tcBorders>
            <w:shd w:val="clear" w:color="auto" w:fill="FFFFFF" w:themeFill="background1"/>
            <w:vAlign w:val="center"/>
          </w:tcPr>
          <w:p w14:paraId="20B96E23">
            <w:pPr>
              <w:widowControl/>
              <w:ind w:firstLine="480"/>
              <w:jc w:val="center"/>
              <w:rPr>
                <w:rFonts w:ascii="仿宋" w:hAnsi="仿宋"/>
                <w:color w:val="1D1B11"/>
                <w:kern w:val="0"/>
                <w:sz w:val="24"/>
                <w:szCs w:val="24"/>
              </w:rPr>
            </w:pPr>
          </w:p>
        </w:tc>
        <w:tc>
          <w:tcPr>
            <w:tcW w:w="617" w:type="dxa"/>
            <w:shd w:val="clear" w:color="auto" w:fill="FFFFFF" w:themeFill="background1"/>
            <w:vAlign w:val="center"/>
          </w:tcPr>
          <w:p w14:paraId="04C2EABE">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套</w:t>
            </w:r>
          </w:p>
        </w:tc>
        <w:tc>
          <w:tcPr>
            <w:tcW w:w="909" w:type="dxa"/>
            <w:shd w:val="clear" w:color="auto" w:fill="FFFFFF" w:themeFill="background1"/>
            <w:vAlign w:val="center"/>
          </w:tcPr>
          <w:p w14:paraId="44B42D13">
            <w:pPr>
              <w:widowControl/>
              <w:ind w:firstLine="0" w:firstLineChars="0"/>
              <w:jc w:val="center"/>
              <w:rPr>
                <w:rFonts w:ascii="仿宋" w:hAnsi="仿宋"/>
                <w:color w:val="1D1B11"/>
                <w:kern w:val="0"/>
                <w:sz w:val="24"/>
                <w:szCs w:val="24"/>
              </w:rPr>
            </w:pPr>
            <w:r>
              <w:rPr>
                <w:rFonts w:ascii="仿宋" w:hAnsi="仿宋"/>
                <w:color w:val="1D1B11"/>
                <w:kern w:val="0"/>
                <w:sz w:val="24"/>
                <w:szCs w:val="24"/>
              </w:rPr>
              <w:t>1</w:t>
            </w:r>
          </w:p>
        </w:tc>
        <w:tc>
          <w:tcPr>
            <w:tcW w:w="1765" w:type="dxa"/>
            <w:shd w:val="clear" w:color="auto" w:fill="FFFFFF" w:themeFill="background1"/>
            <w:vAlign w:val="center"/>
          </w:tcPr>
          <w:p w14:paraId="4F3218A1">
            <w:pPr>
              <w:widowControl/>
              <w:ind w:firstLine="480"/>
              <w:jc w:val="center"/>
              <w:rPr>
                <w:rFonts w:ascii="仿宋" w:hAnsi="仿宋"/>
                <w:color w:val="1D1B11"/>
                <w:kern w:val="0"/>
                <w:sz w:val="24"/>
                <w:szCs w:val="24"/>
              </w:rPr>
            </w:pPr>
          </w:p>
        </w:tc>
      </w:tr>
      <w:tr w14:paraId="6BE4DC2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06DC3040">
            <w:pPr>
              <w:widowControl/>
              <w:ind w:firstLine="0" w:firstLineChars="0"/>
              <w:jc w:val="center"/>
              <w:rPr>
                <w:rFonts w:ascii="仿宋" w:hAnsi="仿宋"/>
                <w:color w:val="1D1B11"/>
                <w:kern w:val="0"/>
                <w:sz w:val="24"/>
                <w:szCs w:val="24"/>
              </w:rPr>
            </w:pPr>
            <w:r>
              <w:rPr>
                <w:rFonts w:ascii="仿宋" w:hAnsi="仿宋"/>
                <w:color w:val="1D1B11"/>
                <w:kern w:val="0"/>
                <w:sz w:val="24"/>
                <w:szCs w:val="24"/>
              </w:rPr>
              <w:t>7</w:t>
            </w:r>
          </w:p>
        </w:tc>
        <w:tc>
          <w:tcPr>
            <w:tcW w:w="2584" w:type="dxa"/>
            <w:shd w:val="clear" w:color="auto" w:fill="FFFFFF" w:themeFill="background1"/>
            <w:vAlign w:val="center"/>
          </w:tcPr>
          <w:p w14:paraId="4833C930">
            <w:pPr>
              <w:widowControl/>
              <w:ind w:firstLine="0" w:firstLineChars="0"/>
              <w:jc w:val="center"/>
              <w:rPr>
                <w:rFonts w:ascii="仿宋" w:hAnsi="仿宋"/>
                <w:color w:val="1D1B11"/>
                <w:kern w:val="0"/>
                <w:sz w:val="24"/>
                <w:szCs w:val="24"/>
              </w:rPr>
            </w:pPr>
            <w:r>
              <w:rPr>
                <w:rFonts w:ascii="仿宋" w:hAnsi="仿宋"/>
                <w:color w:val="1D1B11"/>
                <w:kern w:val="0"/>
                <w:sz w:val="24"/>
                <w:szCs w:val="24"/>
              </w:rPr>
              <w:t>Φ</w:t>
            </w:r>
            <w:r>
              <w:rPr>
                <w:rFonts w:hint="eastAsia" w:ascii="仿宋" w:hAnsi="仿宋"/>
                <w:color w:val="1D1B11"/>
                <w:kern w:val="0"/>
                <w:sz w:val="24"/>
                <w:szCs w:val="24"/>
              </w:rPr>
              <w:t>24</w:t>
            </w:r>
            <w:r>
              <w:rPr>
                <w:rFonts w:ascii="仿宋" w:hAnsi="仿宋"/>
                <w:color w:val="1D1B11"/>
                <w:sz w:val="24"/>
                <w:szCs w:val="24"/>
              </w:rPr>
              <w:t>×</w:t>
            </w:r>
            <w:r>
              <w:rPr>
                <w:rFonts w:hint="eastAsia" w:ascii="仿宋" w:hAnsi="仿宋"/>
                <w:color w:val="1D1B11"/>
                <w:kern w:val="0"/>
                <w:sz w:val="24"/>
                <w:szCs w:val="24"/>
              </w:rPr>
              <w:t>12m吊装钢丝绳</w:t>
            </w:r>
          </w:p>
        </w:tc>
        <w:tc>
          <w:tcPr>
            <w:tcW w:w="2519" w:type="dxa"/>
            <w:tcBorders>
              <w:top w:val="single" w:color="000000" w:sz="4" w:space="0"/>
            </w:tcBorders>
            <w:shd w:val="clear" w:color="auto" w:fill="FFFFFF" w:themeFill="background1"/>
            <w:vAlign w:val="center"/>
          </w:tcPr>
          <w:p w14:paraId="05BA0A49">
            <w:pPr>
              <w:ind w:firstLine="0" w:firstLineChars="0"/>
              <w:jc w:val="center"/>
              <w:rPr>
                <w:rFonts w:ascii="仿宋" w:hAnsi="仿宋"/>
                <w:color w:val="1D1B11"/>
                <w:kern w:val="0"/>
                <w:sz w:val="24"/>
                <w:szCs w:val="24"/>
              </w:rPr>
            </w:pPr>
            <w:r>
              <w:rPr>
                <w:rFonts w:ascii="仿宋" w:hAnsi="仿宋"/>
                <w:color w:val="1D1B11"/>
                <w:kern w:val="0"/>
                <w:sz w:val="24"/>
                <w:szCs w:val="24"/>
              </w:rPr>
              <w:t>6</w:t>
            </w:r>
            <w:r>
              <w:rPr>
                <w:rFonts w:ascii="仿宋" w:hAnsi="仿宋"/>
                <w:color w:val="1D1B11"/>
                <w:sz w:val="24"/>
                <w:szCs w:val="24"/>
              </w:rPr>
              <w:t>×37</w:t>
            </w:r>
            <w:r>
              <w:rPr>
                <w:rFonts w:hint="eastAsia" w:ascii="仿宋" w:hAnsi="仿宋"/>
                <w:color w:val="1D1B11"/>
                <w:sz w:val="24"/>
                <w:szCs w:val="24"/>
              </w:rPr>
              <w:t>M形式</w:t>
            </w:r>
            <w:r>
              <w:rPr>
                <w:rFonts w:hint="eastAsia" w:ascii="仿宋" w:hAnsi="仿宋"/>
                <w:color w:val="1D1B11"/>
                <w:kern w:val="0"/>
                <w:sz w:val="24"/>
                <w:szCs w:val="24"/>
              </w:rPr>
              <w:t>，</w:t>
            </w:r>
            <w:r>
              <w:rPr>
                <w:rFonts w:ascii="仿宋" w:hAnsi="仿宋"/>
                <w:color w:val="1D1B11"/>
                <w:kern w:val="0"/>
                <w:sz w:val="24"/>
                <w:szCs w:val="24"/>
              </w:rPr>
              <w:t>1</w:t>
            </w:r>
            <w:r>
              <w:rPr>
                <w:rFonts w:hint="eastAsia" w:ascii="仿宋" w:hAnsi="仿宋"/>
                <w:color w:val="1D1B11"/>
                <w:kern w:val="0"/>
                <w:sz w:val="24"/>
                <w:szCs w:val="24"/>
              </w:rPr>
              <w:t>6</w:t>
            </w:r>
            <w:r>
              <w:rPr>
                <w:rFonts w:ascii="仿宋" w:hAnsi="仿宋"/>
                <w:color w:val="1D1B11"/>
                <w:kern w:val="0"/>
                <w:sz w:val="24"/>
                <w:szCs w:val="24"/>
              </w:rPr>
              <w:t>70</w:t>
            </w:r>
            <w:r>
              <w:rPr>
                <w:rFonts w:hint="eastAsia" w:ascii="仿宋" w:hAnsi="仿宋"/>
                <w:color w:val="1D1B11"/>
                <w:kern w:val="0"/>
                <w:sz w:val="24"/>
                <w:szCs w:val="24"/>
              </w:rPr>
              <w:t>级纤维芯两端插编环眼</w:t>
            </w:r>
          </w:p>
        </w:tc>
        <w:tc>
          <w:tcPr>
            <w:tcW w:w="617" w:type="dxa"/>
            <w:shd w:val="clear" w:color="auto" w:fill="FFFFFF" w:themeFill="background1"/>
            <w:vAlign w:val="center"/>
          </w:tcPr>
          <w:p w14:paraId="4D294FCF">
            <w:pPr>
              <w:ind w:firstLine="0" w:firstLineChars="0"/>
              <w:jc w:val="center"/>
              <w:rPr>
                <w:rFonts w:ascii="仿宋" w:hAnsi="仿宋"/>
                <w:color w:val="1D1B11"/>
                <w:kern w:val="0"/>
                <w:sz w:val="24"/>
                <w:szCs w:val="24"/>
              </w:rPr>
            </w:pPr>
            <w:r>
              <w:rPr>
                <w:rFonts w:hint="eastAsia" w:ascii="仿宋" w:hAnsi="仿宋"/>
                <w:color w:val="1D1B11"/>
                <w:kern w:val="0"/>
                <w:sz w:val="24"/>
                <w:szCs w:val="24"/>
              </w:rPr>
              <w:t>根</w:t>
            </w:r>
          </w:p>
        </w:tc>
        <w:tc>
          <w:tcPr>
            <w:tcW w:w="909" w:type="dxa"/>
            <w:shd w:val="clear" w:color="auto" w:fill="FFFFFF" w:themeFill="background1"/>
            <w:vAlign w:val="center"/>
          </w:tcPr>
          <w:p w14:paraId="44E7A85E">
            <w:pPr>
              <w:ind w:firstLine="0" w:firstLineChars="0"/>
              <w:jc w:val="center"/>
              <w:rPr>
                <w:rFonts w:ascii="仿宋" w:hAnsi="仿宋"/>
                <w:color w:val="1D1B11"/>
                <w:kern w:val="0"/>
                <w:sz w:val="24"/>
                <w:szCs w:val="24"/>
              </w:rPr>
            </w:pPr>
            <w:r>
              <w:rPr>
                <w:rFonts w:hint="eastAsia" w:ascii="仿宋" w:hAnsi="仿宋"/>
                <w:color w:val="1D1B11"/>
                <w:kern w:val="0"/>
                <w:sz w:val="24"/>
                <w:szCs w:val="24"/>
              </w:rPr>
              <w:t>2</w:t>
            </w:r>
          </w:p>
        </w:tc>
        <w:tc>
          <w:tcPr>
            <w:tcW w:w="1765" w:type="dxa"/>
            <w:shd w:val="clear" w:color="auto" w:fill="FFFFFF" w:themeFill="background1"/>
            <w:vAlign w:val="center"/>
          </w:tcPr>
          <w:p w14:paraId="0632F4C5">
            <w:pPr>
              <w:widowControl/>
              <w:ind w:firstLine="0" w:firstLineChars="0"/>
              <w:jc w:val="center"/>
              <w:rPr>
                <w:rFonts w:ascii="仿宋" w:hAnsi="仿宋"/>
                <w:color w:val="1D1B11"/>
                <w:kern w:val="0"/>
                <w:sz w:val="24"/>
                <w:szCs w:val="24"/>
              </w:rPr>
            </w:pPr>
            <w:r>
              <w:rPr>
                <w:rFonts w:ascii="仿宋" w:hAnsi="仿宋"/>
                <w:color w:val="1D1B11"/>
                <w:kern w:val="0"/>
                <w:sz w:val="24"/>
                <w:szCs w:val="24"/>
              </w:rPr>
              <w:t>起吊起重臂</w:t>
            </w:r>
          </w:p>
        </w:tc>
      </w:tr>
      <w:tr w14:paraId="2F15BF87">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45DE4238">
            <w:pPr>
              <w:widowControl/>
              <w:ind w:firstLine="0" w:firstLineChars="0"/>
              <w:jc w:val="center"/>
              <w:rPr>
                <w:rFonts w:ascii="仿宋" w:hAnsi="仿宋"/>
                <w:color w:val="1D1B11"/>
                <w:kern w:val="0"/>
                <w:sz w:val="24"/>
                <w:szCs w:val="24"/>
              </w:rPr>
            </w:pPr>
            <w:r>
              <w:rPr>
                <w:rFonts w:ascii="仿宋" w:hAnsi="仿宋"/>
                <w:color w:val="1D1B11"/>
                <w:kern w:val="0"/>
                <w:sz w:val="24"/>
                <w:szCs w:val="24"/>
              </w:rPr>
              <w:t>8</w:t>
            </w:r>
          </w:p>
        </w:tc>
        <w:tc>
          <w:tcPr>
            <w:tcW w:w="2584" w:type="dxa"/>
            <w:shd w:val="clear" w:color="auto" w:fill="FFFFFF" w:themeFill="background1"/>
            <w:vAlign w:val="center"/>
          </w:tcPr>
          <w:p w14:paraId="7A9F42F8">
            <w:pPr>
              <w:widowControl/>
              <w:ind w:firstLine="0" w:firstLineChars="0"/>
              <w:jc w:val="center"/>
              <w:rPr>
                <w:rFonts w:ascii="仿宋" w:hAnsi="仿宋"/>
                <w:color w:val="1D1B11"/>
                <w:kern w:val="0"/>
                <w:sz w:val="24"/>
                <w:szCs w:val="24"/>
              </w:rPr>
            </w:pPr>
            <w:r>
              <w:rPr>
                <w:rFonts w:ascii="仿宋" w:hAnsi="仿宋"/>
                <w:color w:val="1D1B11"/>
                <w:kern w:val="0"/>
                <w:sz w:val="24"/>
                <w:szCs w:val="24"/>
              </w:rPr>
              <w:t>Φ</w:t>
            </w:r>
            <w:r>
              <w:rPr>
                <w:rFonts w:hint="eastAsia" w:ascii="仿宋" w:hAnsi="仿宋"/>
                <w:color w:val="1D1B11"/>
                <w:kern w:val="0"/>
                <w:sz w:val="24"/>
                <w:szCs w:val="24"/>
              </w:rPr>
              <w:t>24</w:t>
            </w:r>
            <w:r>
              <w:rPr>
                <w:rFonts w:ascii="仿宋" w:hAnsi="仿宋"/>
                <w:color w:val="1D1B11"/>
                <w:sz w:val="24"/>
                <w:szCs w:val="24"/>
              </w:rPr>
              <w:t>×6</w:t>
            </w:r>
            <w:r>
              <w:rPr>
                <w:rFonts w:ascii="仿宋" w:hAnsi="仿宋"/>
                <w:color w:val="1D1B11"/>
                <w:kern w:val="0"/>
                <w:sz w:val="24"/>
                <w:szCs w:val="24"/>
              </w:rPr>
              <w:t>m</w:t>
            </w:r>
            <w:r>
              <w:rPr>
                <w:rFonts w:hint="eastAsia" w:ascii="仿宋" w:hAnsi="仿宋"/>
                <w:color w:val="1D1B11"/>
                <w:kern w:val="0"/>
                <w:sz w:val="24"/>
                <w:szCs w:val="24"/>
              </w:rPr>
              <w:t>吊装钢丝绳</w:t>
            </w:r>
          </w:p>
        </w:tc>
        <w:tc>
          <w:tcPr>
            <w:tcW w:w="2519" w:type="dxa"/>
            <w:tcBorders>
              <w:top w:val="single" w:color="000000" w:sz="4" w:space="0"/>
            </w:tcBorders>
            <w:shd w:val="clear" w:color="auto" w:fill="FFFFFF" w:themeFill="background1"/>
            <w:vAlign w:val="center"/>
          </w:tcPr>
          <w:p w14:paraId="4AD9221F">
            <w:pPr>
              <w:ind w:firstLine="0" w:firstLineChars="0"/>
              <w:jc w:val="center"/>
              <w:rPr>
                <w:rFonts w:ascii="仿宋" w:hAnsi="仿宋"/>
                <w:color w:val="1D1B11"/>
                <w:kern w:val="0"/>
                <w:sz w:val="24"/>
                <w:szCs w:val="24"/>
              </w:rPr>
            </w:pPr>
            <w:r>
              <w:rPr>
                <w:rFonts w:ascii="仿宋" w:hAnsi="仿宋"/>
                <w:color w:val="1D1B11"/>
                <w:kern w:val="0"/>
                <w:sz w:val="24"/>
                <w:szCs w:val="24"/>
              </w:rPr>
              <w:t>6</w:t>
            </w:r>
            <w:r>
              <w:rPr>
                <w:rFonts w:ascii="仿宋" w:hAnsi="仿宋"/>
                <w:color w:val="1D1B11"/>
                <w:sz w:val="24"/>
                <w:szCs w:val="24"/>
              </w:rPr>
              <w:t>×37</w:t>
            </w:r>
            <w:r>
              <w:rPr>
                <w:rFonts w:hint="eastAsia" w:ascii="仿宋" w:hAnsi="仿宋"/>
                <w:color w:val="1D1B11"/>
                <w:sz w:val="24"/>
                <w:szCs w:val="24"/>
              </w:rPr>
              <w:t>M形式</w:t>
            </w:r>
            <w:r>
              <w:rPr>
                <w:rFonts w:hint="eastAsia" w:ascii="仿宋" w:hAnsi="仿宋"/>
                <w:color w:val="1D1B11"/>
                <w:kern w:val="0"/>
                <w:sz w:val="24"/>
                <w:szCs w:val="24"/>
              </w:rPr>
              <w:t>，</w:t>
            </w:r>
            <w:r>
              <w:rPr>
                <w:rFonts w:ascii="仿宋" w:hAnsi="仿宋"/>
                <w:color w:val="1D1B11"/>
                <w:kern w:val="0"/>
                <w:sz w:val="24"/>
                <w:szCs w:val="24"/>
              </w:rPr>
              <w:t>1</w:t>
            </w:r>
            <w:r>
              <w:rPr>
                <w:rFonts w:hint="eastAsia" w:ascii="仿宋" w:hAnsi="仿宋"/>
                <w:color w:val="1D1B11"/>
                <w:kern w:val="0"/>
                <w:sz w:val="24"/>
                <w:szCs w:val="24"/>
              </w:rPr>
              <w:t>6</w:t>
            </w:r>
            <w:r>
              <w:rPr>
                <w:rFonts w:ascii="仿宋" w:hAnsi="仿宋"/>
                <w:color w:val="1D1B11"/>
                <w:kern w:val="0"/>
                <w:sz w:val="24"/>
                <w:szCs w:val="24"/>
              </w:rPr>
              <w:t>70</w:t>
            </w:r>
            <w:r>
              <w:rPr>
                <w:rFonts w:hint="eastAsia" w:ascii="仿宋" w:hAnsi="仿宋"/>
                <w:color w:val="1D1B11"/>
                <w:kern w:val="0"/>
                <w:sz w:val="24"/>
                <w:szCs w:val="24"/>
              </w:rPr>
              <w:t>级纤维芯两端插编环眼</w:t>
            </w:r>
          </w:p>
        </w:tc>
        <w:tc>
          <w:tcPr>
            <w:tcW w:w="617" w:type="dxa"/>
            <w:shd w:val="clear" w:color="auto" w:fill="FFFFFF" w:themeFill="background1"/>
            <w:vAlign w:val="center"/>
          </w:tcPr>
          <w:p w14:paraId="06FEED2F">
            <w:pPr>
              <w:ind w:firstLine="0" w:firstLineChars="0"/>
              <w:jc w:val="center"/>
              <w:rPr>
                <w:rFonts w:ascii="仿宋" w:hAnsi="仿宋"/>
                <w:color w:val="1D1B11"/>
                <w:kern w:val="0"/>
                <w:sz w:val="24"/>
                <w:szCs w:val="24"/>
              </w:rPr>
            </w:pPr>
            <w:r>
              <w:rPr>
                <w:rFonts w:hint="eastAsia" w:ascii="仿宋" w:hAnsi="仿宋"/>
                <w:color w:val="1D1B11"/>
                <w:kern w:val="0"/>
                <w:sz w:val="24"/>
                <w:szCs w:val="24"/>
              </w:rPr>
              <w:t>根</w:t>
            </w:r>
          </w:p>
        </w:tc>
        <w:tc>
          <w:tcPr>
            <w:tcW w:w="909" w:type="dxa"/>
            <w:shd w:val="clear" w:color="auto" w:fill="FFFFFF" w:themeFill="background1"/>
            <w:vAlign w:val="center"/>
          </w:tcPr>
          <w:p w14:paraId="7CDDE974">
            <w:pPr>
              <w:ind w:firstLine="0" w:firstLineChars="0"/>
              <w:jc w:val="center"/>
              <w:rPr>
                <w:rFonts w:ascii="仿宋" w:hAnsi="仿宋"/>
                <w:color w:val="1D1B11"/>
                <w:kern w:val="0"/>
                <w:sz w:val="24"/>
                <w:szCs w:val="24"/>
              </w:rPr>
            </w:pPr>
            <w:r>
              <w:rPr>
                <w:rFonts w:ascii="仿宋" w:hAnsi="仿宋"/>
                <w:color w:val="1D1B11"/>
                <w:kern w:val="0"/>
                <w:sz w:val="24"/>
                <w:szCs w:val="24"/>
              </w:rPr>
              <w:t>4</w:t>
            </w:r>
          </w:p>
        </w:tc>
        <w:tc>
          <w:tcPr>
            <w:tcW w:w="1765" w:type="dxa"/>
            <w:shd w:val="clear" w:color="auto" w:fill="FFFFFF" w:themeFill="background1"/>
            <w:vAlign w:val="center"/>
          </w:tcPr>
          <w:p w14:paraId="68520EFC">
            <w:pPr>
              <w:widowControl/>
              <w:ind w:firstLine="0" w:firstLineChars="0"/>
              <w:jc w:val="center"/>
              <w:rPr>
                <w:rFonts w:ascii="仿宋" w:hAnsi="仿宋"/>
                <w:color w:val="1D1B11"/>
                <w:kern w:val="0"/>
                <w:sz w:val="24"/>
                <w:szCs w:val="24"/>
              </w:rPr>
            </w:pPr>
            <w:r>
              <w:rPr>
                <w:rFonts w:ascii="仿宋" w:hAnsi="仿宋"/>
                <w:color w:val="1D1B11"/>
                <w:kern w:val="0"/>
                <w:sz w:val="24"/>
                <w:szCs w:val="24"/>
              </w:rPr>
              <w:t>起吊基础节回转套架塔帽等</w:t>
            </w:r>
          </w:p>
        </w:tc>
      </w:tr>
      <w:tr w14:paraId="7C1FB66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706159AF">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9</w:t>
            </w:r>
          </w:p>
        </w:tc>
        <w:tc>
          <w:tcPr>
            <w:tcW w:w="2584" w:type="dxa"/>
            <w:shd w:val="clear" w:color="auto" w:fill="FFFFFF" w:themeFill="background1"/>
            <w:vAlign w:val="center"/>
          </w:tcPr>
          <w:p w14:paraId="61BA7EE4">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麻绳（揽风绳）</w:t>
            </w:r>
          </w:p>
        </w:tc>
        <w:tc>
          <w:tcPr>
            <w:tcW w:w="2519" w:type="dxa"/>
            <w:tcBorders>
              <w:top w:val="single" w:color="000000" w:sz="4" w:space="0"/>
            </w:tcBorders>
            <w:shd w:val="clear" w:color="auto" w:fill="FFFFFF" w:themeFill="background1"/>
            <w:vAlign w:val="center"/>
          </w:tcPr>
          <w:p w14:paraId="4AA2D575">
            <w:pPr>
              <w:widowControl/>
              <w:ind w:firstLine="0" w:firstLineChars="0"/>
              <w:jc w:val="center"/>
              <w:rPr>
                <w:rFonts w:ascii="仿宋" w:hAnsi="仿宋"/>
                <w:color w:val="1D1B11"/>
                <w:kern w:val="0"/>
                <w:sz w:val="24"/>
                <w:szCs w:val="24"/>
              </w:rPr>
            </w:pPr>
            <w:r>
              <w:rPr>
                <w:rFonts w:ascii="仿宋" w:hAnsi="仿宋"/>
                <w:color w:val="1D1B11"/>
                <w:kern w:val="0"/>
                <w:sz w:val="24"/>
                <w:szCs w:val="24"/>
              </w:rPr>
              <w:t>Φ20</w:t>
            </w:r>
            <w:r>
              <w:rPr>
                <w:rFonts w:ascii="仿宋" w:hAnsi="仿宋"/>
                <w:color w:val="1D1B11"/>
                <w:sz w:val="24"/>
                <w:szCs w:val="24"/>
              </w:rPr>
              <w:t>×</w:t>
            </w:r>
            <w:r>
              <w:rPr>
                <w:rFonts w:ascii="仿宋" w:hAnsi="仿宋"/>
                <w:color w:val="1D1B11"/>
                <w:kern w:val="0"/>
                <w:sz w:val="24"/>
                <w:szCs w:val="24"/>
              </w:rPr>
              <w:t>30m</w:t>
            </w:r>
          </w:p>
        </w:tc>
        <w:tc>
          <w:tcPr>
            <w:tcW w:w="617" w:type="dxa"/>
            <w:shd w:val="clear" w:color="auto" w:fill="FFFFFF" w:themeFill="background1"/>
            <w:vAlign w:val="center"/>
          </w:tcPr>
          <w:p w14:paraId="63E3C12B">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根</w:t>
            </w:r>
          </w:p>
        </w:tc>
        <w:tc>
          <w:tcPr>
            <w:tcW w:w="909" w:type="dxa"/>
            <w:shd w:val="clear" w:color="auto" w:fill="FFFFFF" w:themeFill="background1"/>
            <w:vAlign w:val="center"/>
          </w:tcPr>
          <w:p w14:paraId="33767C64">
            <w:pPr>
              <w:widowControl/>
              <w:ind w:firstLine="0" w:firstLineChars="0"/>
              <w:jc w:val="center"/>
              <w:rPr>
                <w:rFonts w:ascii="仿宋" w:hAnsi="仿宋"/>
                <w:color w:val="1D1B11"/>
                <w:kern w:val="0"/>
                <w:sz w:val="24"/>
                <w:szCs w:val="24"/>
              </w:rPr>
            </w:pPr>
            <w:r>
              <w:rPr>
                <w:rFonts w:ascii="仿宋" w:hAnsi="仿宋"/>
                <w:color w:val="1D1B11"/>
                <w:kern w:val="0"/>
                <w:sz w:val="24"/>
                <w:szCs w:val="24"/>
              </w:rPr>
              <w:t>2</w:t>
            </w:r>
          </w:p>
        </w:tc>
        <w:tc>
          <w:tcPr>
            <w:tcW w:w="1765" w:type="dxa"/>
            <w:shd w:val="clear" w:color="auto" w:fill="FFFFFF" w:themeFill="background1"/>
            <w:vAlign w:val="center"/>
          </w:tcPr>
          <w:p w14:paraId="638EE623">
            <w:pPr>
              <w:widowControl/>
              <w:ind w:firstLine="480"/>
              <w:jc w:val="center"/>
              <w:rPr>
                <w:rFonts w:ascii="仿宋" w:hAnsi="仿宋"/>
                <w:color w:val="1D1B11"/>
                <w:kern w:val="0"/>
                <w:sz w:val="24"/>
                <w:szCs w:val="24"/>
              </w:rPr>
            </w:pPr>
          </w:p>
        </w:tc>
      </w:tr>
      <w:tr w14:paraId="0BB6629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67A6CBD7">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10</w:t>
            </w:r>
          </w:p>
        </w:tc>
        <w:tc>
          <w:tcPr>
            <w:tcW w:w="2584" w:type="dxa"/>
            <w:shd w:val="clear" w:color="auto" w:fill="FFFFFF" w:themeFill="background1"/>
            <w:vAlign w:val="center"/>
          </w:tcPr>
          <w:p w14:paraId="04E6D957">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对讲机</w:t>
            </w:r>
          </w:p>
        </w:tc>
        <w:tc>
          <w:tcPr>
            <w:tcW w:w="2519" w:type="dxa"/>
            <w:shd w:val="clear" w:color="auto" w:fill="FFFFFF" w:themeFill="background1"/>
            <w:vAlign w:val="center"/>
          </w:tcPr>
          <w:p w14:paraId="272C971A">
            <w:pPr>
              <w:widowControl/>
              <w:ind w:firstLine="480"/>
              <w:jc w:val="center"/>
              <w:rPr>
                <w:rFonts w:ascii="仿宋" w:hAnsi="仿宋"/>
                <w:color w:val="1D1B11"/>
                <w:kern w:val="0"/>
                <w:sz w:val="24"/>
                <w:szCs w:val="24"/>
              </w:rPr>
            </w:pPr>
          </w:p>
        </w:tc>
        <w:tc>
          <w:tcPr>
            <w:tcW w:w="617" w:type="dxa"/>
            <w:shd w:val="clear" w:color="auto" w:fill="FFFFFF" w:themeFill="background1"/>
            <w:vAlign w:val="center"/>
          </w:tcPr>
          <w:p w14:paraId="74AD98A2">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部</w:t>
            </w:r>
          </w:p>
        </w:tc>
        <w:tc>
          <w:tcPr>
            <w:tcW w:w="909" w:type="dxa"/>
            <w:shd w:val="clear" w:color="auto" w:fill="FFFFFF" w:themeFill="background1"/>
            <w:vAlign w:val="center"/>
          </w:tcPr>
          <w:p w14:paraId="42C57709">
            <w:pPr>
              <w:widowControl/>
              <w:ind w:firstLine="0" w:firstLineChars="0"/>
              <w:jc w:val="center"/>
              <w:rPr>
                <w:rFonts w:ascii="仿宋" w:hAnsi="仿宋"/>
                <w:color w:val="1D1B11"/>
                <w:kern w:val="0"/>
                <w:sz w:val="24"/>
                <w:szCs w:val="24"/>
              </w:rPr>
            </w:pPr>
            <w:r>
              <w:rPr>
                <w:rFonts w:ascii="仿宋" w:hAnsi="仿宋"/>
                <w:color w:val="1D1B11"/>
                <w:kern w:val="0"/>
                <w:sz w:val="24"/>
                <w:szCs w:val="24"/>
              </w:rPr>
              <w:t>3</w:t>
            </w:r>
          </w:p>
        </w:tc>
        <w:tc>
          <w:tcPr>
            <w:tcW w:w="1765" w:type="dxa"/>
            <w:shd w:val="clear" w:color="auto" w:fill="FFFFFF" w:themeFill="background1"/>
            <w:vAlign w:val="center"/>
          </w:tcPr>
          <w:p w14:paraId="2C747B99">
            <w:pPr>
              <w:widowControl/>
              <w:ind w:firstLine="480"/>
              <w:jc w:val="center"/>
              <w:rPr>
                <w:rFonts w:ascii="仿宋" w:hAnsi="仿宋"/>
                <w:color w:val="1D1B11"/>
                <w:kern w:val="0"/>
                <w:sz w:val="24"/>
                <w:szCs w:val="24"/>
              </w:rPr>
            </w:pPr>
          </w:p>
        </w:tc>
      </w:tr>
      <w:tr w14:paraId="6D3937A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6EF0212D">
            <w:pPr>
              <w:widowControl/>
              <w:ind w:firstLine="0" w:firstLineChars="0"/>
              <w:jc w:val="center"/>
              <w:rPr>
                <w:rFonts w:ascii="仿宋" w:hAnsi="仿宋"/>
                <w:color w:val="1D1B11"/>
                <w:kern w:val="0"/>
                <w:sz w:val="24"/>
                <w:szCs w:val="24"/>
              </w:rPr>
            </w:pPr>
            <w:r>
              <w:rPr>
                <w:rFonts w:ascii="仿宋" w:hAnsi="仿宋"/>
                <w:color w:val="1D1B11"/>
                <w:kern w:val="0"/>
                <w:sz w:val="24"/>
                <w:szCs w:val="24"/>
              </w:rPr>
              <w:t>1</w:t>
            </w:r>
            <w:r>
              <w:rPr>
                <w:rFonts w:hint="eastAsia" w:ascii="仿宋" w:hAnsi="仿宋"/>
                <w:color w:val="1D1B11"/>
                <w:kern w:val="0"/>
                <w:sz w:val="24"/>
                <w:szCs w:val="24"/>
              </w:rPr>
              <w:t>1</w:t>
            </w:r>
          </w:p>
        </w:tc>
        <w:tc>
          <w:tcPr>
            <w:tcW w:w="2584" w:type="dxa"/>
            <w:shd w:val="clear" w:color="auto" w:fill="FFFFFF" w:themeFill="background1"/>
            <w:vAlign w:val="center"/>
          </w:tcPr>
          <w:p w14:paraId="0D35A6A6">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橇棍</w:t>
            </w:r>
          </w:p>
        </w:tc>
        <w:tc>
          <w:tcPr>
            <w:tcW w:w="2519" w:type="dxa"/>
            <w:shd w:val="clear" w:color="auto" w:fill="FFFFFF" w:themeFill="background1"/>
            <w:vAlign w:val="center"/>
          </w:tcPr>
          <w:p w14:paraId="5E46E5FA">
            <w:pPr>
              <w:widowControl/>
              <w:ind w:firstLine="0" w:firstLineChars="0"/>
              <w:jc w:val="center"/>
              <w:rPr>
                <w:rFonts w:ascii="仿宋" w:hAnsi="仿宋"/>
                <w:color w:val="1D1B11"/>
                <w:kern w:val="0"/>
                <w:sz w:val="24"/>
                <w:szCs w:val="24"/>
              </w:rPr>
            </w:pPr>
            <w:r>
              <w:rPr>
                <w:rFonts w:ascii="仿宋" w:hAnsi="仿宋"/>
                <w:color w:val="1D1B11"/>
                <w:kern w:val="0"/>
                <w:sz w:val="24"/>
                <w:szCs w:val="24"/>
              </w:rPr>
              <w:t>1m</w:t>
            </w:r>
            <w:r>
              <w:rPr>
                <w:rFonts w:hint="eastAsia" w:ascii="仿宋" w:hAnsi="仿宋"/>
                <w:color w:val="1D1B11"/>
                <w:kern w:val="0"/>
                <w:sz w:val="24"/>
                <w:szCs w:val="24"/>
              </w:rPr>
              <w:t>、</w:t>
            </w:r>
            <w:r>
              <w:rPr>
                <w:rFonts w:ascii="仿宋" w:hAnsi="仿宋"/>
                <w:color w:val="1D1B11"/>
                <w:kern w:val="0"/>
                <w:sz w:val="24"/>
                <w:szCs w:val="24"/>
              </w:rPr>
              <w:t>1.5m</w:t>
            </w:r>
          </w:p>
        </w:tc>
        <w:tc>
          <w:tcPr>
            <w:tcW w:w="617" w:type="dxa"/>
            <w:shd w:val="clear" w:color="auto" w:fill="FFFFFF" w:themeFill="background1"/>
            <w:vAlign w:val="center"/>
          </w:tcPr>
          <w:p w14:paraId="60F18016">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根</w:t>
            </w:r>
          </w:p>
        </w:tc>
        <w:tc>
          <w:tcPr>
            <w:tcW w:w="909" w:type="dxa"/>
            <w:shd w:val="clear" w:color="auto" w:fill="FFFFFF" w:themeFill="background1"/>
            <w:vAlign w:val="center"/>
          </w:tcPr>
          <w:p w14:paraId="2BCBA4C9">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各</w:t>
            </w:r>
            <w:r>
              <w:rPr>
                <w:rFonts w:ascii="仿宋" w:hAnsi="仿宋"/>
                <w:color w:val="1D1B11"/>
                <w:kern w:val="0"/>
                <w:sz w:val="24"/>
                <w:szCs w:val="24"/>
              </w:rPr>
              <w:t>1</w:t>
            </w:r>
          </w:p>
        </w:tc>
        <w:tc>
          <w:tcPr>
            <w:tcW w:w="1765" w:type="dxa"/>
            <w:shd w:val="clear" w:color="auto" w:fill="FFFFFF" w:themeFill="background1"/>
            <w:vAlign w:val="center"/>
          </w:tcPr>
          <w:p w14:paraId="3E7D6FDD">
            <w:pPr>
              <w:widowControl/>
              <w:ind w:firstLine="480"/>
              <w:jc w:val="center"/>
              <w:rPr>
                <w:rFonts w:ascii="仿宋" w:hAnsi="仿宋"/>
                <w:color w:val="1D1B11"/>
                <w:kern w:val="0"/>
                <w:sz w:val="24"/>
                <w:szCs w:val="24"/>
              </w:rPr>
            </w:pPr>
          </w:p>
        </w:tc>
      </w:tr>
      <w:tr w14:paraId="02B31CD7">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47187DEC">
            <w:pPr>
              <w:widowControl/>
              <w:ind w:firstLine="0" w:firstLineChars="0"/>
              <w:jc w:val="center"/>
              <w:rPr>
                <w:rFonts w:ascii="仿宋" w:hAnsi="仿宋"/>
                <w:color w:val="1D1B11"/>
                <w:kern w:val="0"/>
                <w:sz w:val="24"/>
                <w:szCs w:val="24"/>
              </w:rPr>
            </w:pPr>
            <w:r>
              <w:rPr>
                <w:rFonts w:ascii="仿宋" w:hAnsi="仿宋"/>
                <w:color w:val="1D1B11"/>
                <w:kern w:val="0"/>
                <w:sz w:val="24"/>
                <w:szCs w:val="24"/>
              </w:rPr>
              <w:t>1</w:t>
            </w:r>
            <w:r>
              <w:rPr>
                <w:rFonts w:hint="eastAsia" w:ascii="仿宋" w:hAnsi="仿宋"/>
                <w:color w:val="1D1B11"/>
                <w:kern w:val="0"/>
                <w:sz w:val="24"/>
                <w:szCs w:val="24"/>
              </w:rPr>
              <w:t>2</w:t>
            </w:r>
          </w:p>
        </w:tc>
        <w:tc>
          <w:tcPr>
            <w:tcW w:w="2584" w:type="dxa"/>
            <w:shd w:val="clear" w:color="auto" w:fill="FFFFFF" w:themeFill="background1"/>
            <w:vAlign w:val="center"/>
          </w:tcPr>
          <w:p w14:paraId="11A39D94">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马蹄形卸扣</w:t>
            </w:r>
          </w:p>
        </w:tc>
        <w:tc>
          <w:tcPr>
            <w:tcW w:w="2519" w:type="dxa"/>
            <w:shd w:val="clear" w:color="auto" w:fill="FFFFFF" w:themeFill="background1"/>
            <w:vAlign w:val="center"/>
          </w:tcPr>
          <w:p w14:paraId="4CE0FE3F">
            <w:pPr>
              <w:widowControl/>
              <w:ind w:firstLine="0" w:firstLineChars="0"/>
              <w:jc w:val="center"/>
              <w:rPr>
                <w:rFonts w:ascii="仿宋" w:hAnsi="仿宋"/>
                <w:color w:val="1D1B11"/>
                <w:kern w:val="0"/>
                <w:sz w:val="24"/>
                <w:szCs w:val="24"/>
              </w:rPr>
            </w:pPr>
            <w:r>
              <w:rPr>
                <w:rFonts w:ascii="仿宋" w:hAnsi="仿宋"/>
                <w:color w:val="1D1B11"/>
                <w:kern w:val="0"/>
                <w:sz w:val="24"/>
                <w:szCs w:val="24"/>
              </w:rPr>
              <w:t>3.25t</w:t>
            </w:r>
          </w:p>
        </w:tc>
        <w:tc>
          <w:tcPr>
            <w:tcW w:w="617" w:type="dxa"/>
            <w:shd w:val="clear" w:color="auto" w:fill="FFFFFF" w:themeFill="background1"/>
            <w:vAlign w:val="center"/>
          </w:tcPr>
          <w:p w14:paraId="6E869BAA">
            <w:pPr>
              <w:widowControl/>
              <w:ind w:firstLine="0" w:firstLineChars="0"/>
              <w:jc w:val="center"/>
              <w:rPr>
                <w:rFonts w:ascii="仿宋" w:hAnsi="仿宋"/>
                <w:strike/>
                <w:color w:val="1D1B11"/>
                <w:kern w:val="0"/>
                <w:sz w:val="24"/>
                <w:szCs w:val="24"/>
              </w:rPr>
            </w:pPr>
            <w:r>
              <w:rPr>
                <w:rFonts w:hint="eastAsia" w:ascii="仿宋" w:hAnsi="仿宋"/>
                <w:color w:val="1D1B11"/>
                <w:kern w:val="0"/>
                <w:sz w:val="24"/>
                <w:szCs w:val="24"/>
              </w:rPr>
              <w:t>只</w:t>
            </w:r>
          </w:p>
        </w:tc>
        <w:tc>
          <w:tcPr>
            <w:tcW w:w="909" w:type="dxa"/>
            <w:shd w:val="clear" w:color="auto" w:fill="FFFFFF" w:themeFill="background1"/>
            <w:vAlign w:val="center"/>
          </w:tcPr>
          <w:p w14:paraId="3D0EAE5C">
            <w:pPr>
              <w:widowControl/>
              <w:ind w:firstLine="0" w:firstLineChars="0"/>
              <w:jc w:val="center"/>
              <w:rPr>
                <w:rFonts w:ascii="仿宋" w:hAnsi="仿宋"/>
                <w:color w:val="1D1B11"/>
                <w:kern w:val="0"/>
                <w:sz w:val="24"/>
                <w:szCs w:val="24"/>
              </w:rPr>
            </w:pPr>
            <w:r>
              <w:rPr>
                <w:rFonts w:ascii="仿宋" w:hAnsi="仿宋"/>
                <w:color w:val="1D1B11"/>
                <w:kern w:val="0"/>
                <w:sz w:val="24"/>
                <w:szCs w:val="24"/>
              </w:rPr>
              <w:t>4</w:t>
            </w:r>
          </w:p>
        </w:tc>
        <w:tc>
          <w:tcPr>
            <w:tcW w:w="1765" w:type="dxa"/>
            <w:shd w:val="clear" w:color="auto" w:fill="FFFFFF" w:themeFill="background1"/>
            <w:vAlign w:val="center"/>
          </w:tcPr>
          <w:p w14:paraId="7743E4F2">
            <w:pPr>
              <w:widowControl/>
              <w:ind w:firstLine="480"/>
              <w:jc w:val="center"/>
              <w:rPr>
                <w:rFonts w:ascii="仿宋" w:hAnsi="仿宋"/>
                <w:color w:val="1D1B11"/>
                <w:kern w:val="0"/>
                <w:sz w:val="24"/>
                <w:szCs w:val="24"/>
              </w:rPr>
            </w:pPr>
          </w:p>
        </w:tc>
      </w:tr>
      <w:tr w14:paraId="15FF7E5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2C662093">
            <w:pPr>
              <w:widowControl/>
              <w:ind w:firstLine="0" w:firstLineChars="0"/>
              <w:jc w:val="center"/>
              <w:rPr>
                <w:rFonts w:ascii="仿宋" w:hAnsi="仿宋"/>
                <w:color w:val="1D1B11"/>
                <w:kern w:val="0"/>
                <w:sz w:val="24"/>
                <w:szCs w:val="24"/>
              </w:rPr>
            </w:pPr>
            <w:r>
              <w:rPr>
                <w:rFonts w:ascii="仿宋" w:hAnsi="仿宋"/>
                <w:color w:val="1D1B11"/>
                <w:kern w:val="0"/>
                <w:sz w:val="24"/>
                <w:szCs w:val="24"/>
              </w:rPr>
              <w:t>1</w:t>
            </w:r>
            <w:r>
              <w:rPr>
                <w:rFonts w:hint="eastAsia" w:ascii="仿宋" w:hAnsi="仿宋"/>
                <w:color w:val="1D1B11"/>
                <w:kern w:val="0"/>
                <w:sz w:val="24"/>
                <w:szCs w:val="24"/>
              </w:rPr>
              <w:t>3</w:t>
            </w:r>
          </w:p>
        </w:tc>
        <w:tc>
          <w:tcPr>
            <w:tcW w:w="2584" w:type="dxa"/>
            <w:shd w:val="clear" w:color="auto" w:fill="FFFFFF" w:themeFill="background1"/>
            <w:vAlign w:val="center"/>
          </w:tcPr>
          <w:p w14:paraId="64FC7148">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马蹄形卸扣</w:t>
            </w:r>
          </w:p>
        </w:tc>
        <w:tc>
          <w:tcPr>
            <w:tcW w:w="2519" w:type="dxa"/>
            <w:shd w:val="clear" w:color="auto" w:fill="FFFFFF" w:themeFill="background1"/>
            <w:vAlign w:val="center"/>
          </w:tcPr>
          <w:p w14:paraId="4392CBBF">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lang w:val="en-US" w:eastAsia="zh-CN"/>
              </w:rPr>
              <w:t>5.5</w:t>
            </w:r>
            <w:r>
              <w:rPr>
                <w:rFonts w:ascii="仿宋" w:hAnsi="仿宋"/>
                <w:color w:val="1D1B11"/>
                <w:kern w:val="0"/>
                <w:sz w:val="24"/>
                <w:szCs w:val="24"/>
              </w:rPr>
              <w:t>t</w:t>
            </w:r>
          </w:p>
        </w:tc>
        <w:tc>
          <w:tcPr>
            <w:tcW w:w="617" w:type="dxa"/>
            <w:shd w:val="clear" w:color="auto" w:fill="FFFFFF" w:themeFill="background1"/>
            <w:vAlign w:val="center"/>
          </w:tcPr>
          <w:p w14:paraId="719F2A23">
            <w:pPr>
              <w:widowControl/>
              <w:ind w:firstLine="0" w:firstLineChars="0"/>
              <w:jc w:val="center"/>
              <w:rPr>
                <w:rFonts w:ascii="仿宋" w:hAnsi="仿宋"/>
                <w:strike/>
                <w:color w:val="1D1B11"/>
                <w:kern w:val="0"/>
                <w:sz w:val="24"/>
                <w:szCs w:val="24"/>
              </w:rPr>
            </w:pPr>
            <w:r>
              <w:rPr>
                <w:rFonts w:hint="eastAsia" w:ascii="仿宋" w:hAnsi="仿宋"/>
                <w:color w:val="1D1B11"/>
                <w:kern w:val="0"/>
                <w:sz w:val="24"/>
                <w:szCs w:val="24"/>
              </w:rPr>
              <w:t>只</w:t>
            </w:r>
          </w:p>
        </w:tc>
        <w:tc>
          <w:tcPr>
            <w:tcW w:w="909" w:type="dxa"/>
            <w:shd w:val="clear" w:color="auto" w:fill="FFFFFF" w:themeFill="background1"/>
            <w:vAlign w:val="center"/>
          </w:tcPr>
          <w:p w14:paraId="0220730F">
            <w:pPr>
              <w:widowControl/>
              <w:ind w:firstLine="0" w:firstLineChars="0"/>
              <w:jc w:val="center"/>
              <w:rPr>
                <w:rFonts w:ascii="仿宋" w:hAnsi="仿宋"/>
                <w:color w:val="1D1B11"/>
                <w:kern w:val="0"/>
                <w:sz w:val="24"/>
                <w:szCs w:val="24"/>
              </w:rPr>
            </w:pPr>
            <w:r>
              <w:rPr>
                <w:rFonts w:ascii="仿宋" w:hAnsi="仿宋"/>
                <w:color w:val="1D1B11"/>
                <w:kern w:val="0"/>
                <w:sz w:val="24"/>
                <w:szCs w:val="24"/>
              </w:rPr>
              <w:t>4</w:t>
            </w:r>
          </w:p>
        </w:tc>
        <w:tc>
          <w:tcPr>
            <w:tcW w:w="1765" w:type="dxa"/>
            <w:shd w:val="clear" w:color="auto" w:fill="FFFFFF" w:themeFill="background1"/>
            <w:vAlign w:val="center"/>
          </w:tcPr>
          <w:p w14:paraId="31EAC11F">
            <w:pPr>
              <w:widowControl/>
              <w:ind w:firstLine="480"/>
              <w:jc w:val="center"/>
              <w:rPr>
                <w:rFonts w:ascii="仿宋" w:hAnsi="仿宋"/>
                <w:color w:val="1D1B11"/>
                <w:kern w:val="0"/>
                <w:sz w:val="24"/>
                <w:szCs w:val="24"/>
              </w:rPr>
            </w:pPr>
          </w:p>
        </w:tc>
      </w:tr>
      <w:tr w14:paraId="60EDB06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059F4D77">
            <w:pPr>
              <w:widowControl/>
              <w:ind w:firstLine="0" w:firstLineChars="0"/>
              <w:jc w:val="center"/>
              <w:rPr>
                <w:rFonts w:ascii="仿宋" w:hAnsi="仿宋"/>
                <w:color w:val="1D1B11"/>
                <w:kern w:val="0"/>
                <w:sz w:val="24"/>
                <w:szCs w:val="24"/>
              </w:rPr>
            </w:pPr>
            <w:r>
              <w:rPr>
                <w:rFonts w:ascii="仿宋" w:hAnsi="仿宋"/>
                <w:color w:val="1D1B11"/>
                <w:kern w:val="0"/>
                <w:sz w:val="24"/>
                <w:szCs w:val="24"/>
              </w:rPr>
              <w:t>1</w:t>
            </w:r>
            <w:r>
              <w:rPr>
                <w:rFonts w:hint="eastAsia" w:ascii="仿宋" w:hAnsi="仿宋"/>
                <w:color w:val="1D1B11"/>
                <w:kern w:val="0"/>
                <w:sz w:val="24"/>
                <w:szCs w:val="24"/>
              </w:rPr>
              <w:t>4</w:t>
            </w:r>
          </w:p>
        </w:tc>
        <w:tc>
          <w:tcPr>
            <w:tcW w:w="2584" w:type="dxa"/>
            <w:shd w:val="clear" w:color="auto" w:fill="FFFFFF" w:themeFill="background1"/>
            <w:vAlign w:val="center"/>
          </w:tcPr>
          <w:p w14:paraId="4B6B90FE">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马蹄形卸扣</w:t>
            </w:r>
          </w:p>
        </w:tc>
        <w:tc>
          <w:tcPr>
            <w:tcW w:w="2519" w:type="dxa"/>
            <w:shd w:val="clear" w:color="auto" w:fill="FFFFFF" w:themeFill="background1"/>
            <w:vAlign w:val="center"/>
          </w:tcPr>
          <w:p w14:paraId="78A6340A">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lang w:val="en-US" w:eastAsia="zh-CN"/>
              </w:rPr>
              <w:t>6</w:t>
            </w:r>
            <w:r>
              <w:rPr>
                <w:rFonts w:ascii="仿宋" w:hAnsi="仿宋"/>
                <w:color w:val="1D1B11"/>
                <w:kern w:val="0"/>
                <w:sz w:val="24"/>
                <w:szCs w:val="24"/>
              </w:rPr>
              <w:t>.5t</w:t>
            </w:r>
          </w:p>
        </w:tc>
        <w:tc>
          <w:tcPr>
            <w:tcW w:w="617" w:type="dxa"/>
            <w:shd w:val="clear" w:color="auto" w:fill="FFFFFF" w:themeFill="background1"/>
            <w:vAlign w:val="center"/>
          </w:tcPr>
          <w:p w14:paraId="1B2766AF">
            <w:pPr>
              <w:widowControl/>
              <w:ind w:firstLine="0" w:firstLineChars="0"/>
              <w:jc w:val="center"/>
              <w:rPr>
                <w:rFonts w:ascii="仿宋" w:hAnsi="仿宋"/>
                <w:strike/>
                <w:color w:val="1D1B11"/>
                <w:kern w:val="0"/>
                <w:sz w:val="24"/>
                <w:szCs w:val="24"/>
              </w:rPr>
            </w:pPr>
            <w:r>
              <w:rPr>
                <w:rFonts w:hint="eastAsia" w:ascii="仿宋" w:hAnsi="仿宋"/>
                <w:color w:val="1D1B11"/>
                <w:kern w:val="0"/>
                <w:sz w:val="24"/>
                <w:szCs w:val="24"/>
              </w:rPr>
              <w:t>只</w:t>
            </w:r>
          </w:p>
        </w:tc>
        <w:tc>
          <w:tcPr>
            <w:tcW w:w="909" w:type="dxa"/>
            <w:shd w:val="clear" w:color="auto" w:fill="FFFFFF" w:themeFill="background1"/>
            <w:vAlign w:val="center"/>
          </w:tcPr>
          <w:p w14:paraId="519B1593">
            <w:pPr>
              <w:widowControl/>
              <w:ind w:firstLine="0" w:firstLineChars="0"/>
              <w:jc w:val="center"/>
              <w:rPr>
                <w:rFonts w:hint="eastAsia" w:ascii="仿宋" w:hAnsi="仿宋" w:eastAsia="仿宋"/>
                <w:color w:val="1D1B11"/>
                <w:kern w:val="0"/>
                <w:sz w:val="24"/>
                <w:szCs w:val="24"/>
                <w:lang w:eastAsia="zh-CN"/>
              </w:rPr>
            </w:pPr>
            <w:r>
              <w:rPr>
                <w:rFonts w:hint="eastAsia" w:ascii="仿宋" w:hAnsi="仿宋"/>
                <w:color w:val="1D1B11"/>
                <w:kern w:val="0"/>
                <w:sz w:val="24"/>
                <w:szCs w:val="24"/>
                <w:lang w:val="en-US" w:eastAsia="zh-CN"/>
              </w:rPr>
              <w:t>4</w:t>
            </w:r>
          </w:p>
        </w:tc>
        <w:tc>
          <w:tcPr>
            <w:tcW w:w="1765" w:type="dxa"/>
            <w:shd w:val="clear" w:color="auto" w:fill="FFFFFF" w:themeFill="background1"/>
            <w:vAlign w:val="center"/>
          </w:tcPr>
          <w:p w14:paraId="4597859D">
            <w:pPr>
              <w:widowControl/>
              <w:ind w:firstLine="480"/>
              <w:jc w:val="center"/>
              <w:rPr>
                <w:rFonts w:ascii="仿宋" w:hAnsi="仿宋"/>
                <w:color w:val="1D1B11"/>
                <w:kern w:val="0"/>
                <w:sz w:val="24"/>
                <w:szCs w:val="24"/>
              </w:rPr>
            </w:pPr>
          </w:p>
        </w:tc>
      </w:tr>
      <w:tr w14:paraId="1A1A625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199432A3">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15</w:t>
            </w:r>
          </w:p>
        </w:tc>
        <w:tc>
          <w:tcPr>
            <w:tcW w:w="2584" w:type="dxa"/>
            <w:shd w:val="clear" w:color="auto" w:fill="FFFFFF" w:themeFill="background1"/>
            <w:vAlign w:val="center"/>
          </w:tcPr>
          <w:p w14:paraId="65674FEF">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吊带</w:t>
            </w:r>
          </w:p>
        </w:tc>
        <w:tc>
          <w:tcPr>
            <w:tcW w:w="2519" w:type="dxa"/>
            <w:shd w:val="clear" w:color="auto" w:fill="FFFFFF" w:themeFill="background1"/>
            <w:vAlign w:val="center"/>
          </w:tcPr>
          <w:p w14:paraId="477270EB">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两端环眼</w:t>
            </w:r>
            <w:r>
              <w:rPr>
                <w:rFonts w:ascii="仿宋" w:hAnsi="仿宋"/>
                <w:color w:val="1D1B11"/>
                <w:kern w:val="0"/>
                <w:sz w:val="24"/>
                <w:szCs w:val="24"/>
              </w:rPr>
              <w:t>4t/6m</w:t>
            </w:r>
          </w:p>
        </w:tc>
        <w:tc>
          <w:tcPr>
            <w:tcW w:w="617" w:type="dxa"/>
            <w:shd w:val="clear" w:color="auto" w:fill="FFFFFF" w:themeFill="background1"/>
            <w:vAlign w:val="center"/>
          </w:tcPr>
          <w:p w14:paraId="0C62D332">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副</w:t>
            </w:r>
          </w:p>
        </w:tc>
        <w:tc>
          <w:tcPr>
            <w:tcW w:w="909" w:type="dxa"/>
            <w:shd w:val="clear" w:color="auto" w:fill="FFFFFF" w:themeFill="background1"/>
            <w:vAlign w:val="center"/>
          </w:tcPr>
          <w:p w14:paraId="464CE740">
            <w:pPr>
              <w:widowControl/>
              <w:ind w:firstLine="0" w:firstLineChars="0"/>
              <w:jc w:val="center"/>
              <w:rPr>
                <w:rFonts w:ascii="仿宋" w:hAnsi="仿宋"/>
                <w:color w:val="1D1B11"/>
                <w:kern w:val="0"/>
                <w:sz w:val="24"/>
                <w:szCs w:val="24"/>
              </w:rPr>
            </w:pPr>
            <w:r>
              <w:rPr>
                <w:rFonts w:ascii="仿宋" w:hAnsi="仿宋"/>
                <w:color w:val="1D1B11"/>
                <w:kern w:val="0"/>
                <w:sz w:val="24"/>
                <w:szCs w:val="24"/>
              </w:rPr>
              <w:t>2</w:t>
            </w:r>
          </w:p>
        </w:tc>
        <w:tc>
          <w:tcPr>
            <w:tcW w:w="1765" w:type="dxa"/>
            <w:shd w:val="clear" w:color="auto" w:fill="FFFFFF" w:themeFill="background1"/>
            <w:vAlign w:val="center"/>
          </w:tcPr>
          <w:p w14:paraId="0F506409">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拼标准节</w:t>
            </w:r>
          </w:p>
        </w:tc>
      </w:tr>
      <w:tr w14:paraId="27A3763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013AAE59">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16</w:t>
            </w:r>
          </w:p>
        </w:tc>
        <w:tc>
          <w:tcPr>
            <w:tcW w:w="2584" w:type="dxa"/>
            <w:shd w:val="clear" w:color="auto" w:fill="FFFFFF" w:themeFill="background1"/>
            <w:vAlign w:val="center"/>
          </w:tcPr>
          <w:p w14:paraId="433F358B">
            <w:pPr>
              <w:widowControl/>
              <w:ind w:firstLine="0" w:firstLineChars="0"/>
              <w:jc w:val="center"/>
              <w:rPr>
                <w:rFonts w:ascii="仿宋" w:hAnsi="仿宋"/>
                <w:color w:val="000000"/>
                <w:kern w:val="0"/>
                <w:sz w:val="24"/>
                <w:szCs w:val="24"/>
              </w:rPr>
            </w:pPr>
            <w:r>
              <w:rPr>
                <w:rFonts w:hint="eastAsia" w:ascii="仿宋" w:hAnsi="仿宋"/>
                <w:color w:val="000000"/>
                <w:kern w:val="0"/>
                <w:sz w:val="24"/>
                <w:szCs w:val="24"/>
              </w:rPr>
              <w:t>枕木</w:t>
            </w:r>
          </w:p>
        </w:tc>
        <w:tc>
          <w:tcPr>
            <w:tcW w:w="2519" w:type="dxa"/>
            <w:shd w:val="clear" w:color="auto" w:fill="FFFFFF" w:themeFill="background1"/>
            <w:vAlign w:val="center"/>
          </w:tcPr>
          <w:p w14:paraId="6AF5EB96">
            <w:pPr>
              <w:widowControl/>
              <w:ind w:firstLine="0" w:firstLineChars="0"/>
              <w:jc w:val="center"/>
              <w:rPr>
                <w:rFonts w:ascii="仿宋" w:hAnsi="仿宋"/>
                <w:color w:val="000000"/>
                <w:kern w:val="0"/>
                <w:sz w:val="24"/>
                <w:szCs w:val="24"/>
              </w:rPr>
            </w:pPr>
          </w:p>
        </w:tc>
        <w:tc>
          <w:tcPr>
            <w:tcW w:w="617" w:type="dxa"/>
            <w:shd w:val="clear" w:color="auto" w:fill="FFFFFF" w:themeFill="background1"/>
            <w:vAlign w:val="center"/>
          </w:tcPr>
          <w:p w14:paraId="775BD9D7">
            <w:pPr>
              <w:widowControl/>
              <w:ind w:firstLine="0" w:firstLineChars="0"/>
              <w:jc w:val="center"/>
              <w:rPr>
                <w:rFonts w:ascii="仿宋" w:hAnsi="仿宋"/>
                <w:color w:val="1D1B11"/>
                <w:kern w:val="0"/>
                <w:sz w:val="24"/>
                <w:szCs w:val="24"/>
              </w:rPr>
            </w:pPr>
          </w:p>
        </w:tc>
        <w:tc>
          <w:tcPr>
            <w:tcW w:w="909" w:type="dxa"/>
            <w:shd w:val="clear" w:color="auto" w:fill="FFFFFF" w:themeFill="background1"/>
            <w:vAlign w:val="center"/>
          </w:tcPr>
          <w:p w14:paraId="19C11328">
            <w:pPr>
              <w:widowControl/>
              <w:ind w:firstLine="0" w:firstLineChars="0"/>
              <w:jc w:val="center"/>
              <w:rPr>
                <w:rFonts w:ascii="仿宋" w:hAnsi="仿宋"/>
                <w:color w:val="1D1B11"/>
                <w:kern w:val="0"/>
                <w:sz w:val="24"/>
                <w:szCs w:val="24"/>
              </w:rPr>
            </w:pPr>
            <w:r>
              <w:rPr>
                <w:rFonts w:hint="eastAsia" w:ascii="仿宋" w:hAnsi="仿宋"/>
                <w:color w:val="000000"/>
                <w:kern w:val="0"/>
                <w:sz w:val="24"/>
                <w:szCs w:val="24"/>
              </w:rPr>
              <w:t>若干</w:t>
            </w:r>
          </w:p>
        </w:tc>
        <w:tc>
          <w:tcPr>
            <w:tcW w:w="1765" w:type="dxa"/>
            <w:shd w:val="clear" w:color="auto" w:fill="FFFFFF" w:themeFill="background1"/>
            <w:vAlign w:val="center"/>
          </w:tcPr>
          <w:p w14:paraId="1F08975C">
            <w:pPr>
              <w:widowControl/>
              <w:ind w:firstLine="0" w:firstLineChars="0"/>
              <w:jc w:val="center"/>
              <w:rPr>
                <w:rFonts w:ascii="仿宋" w:hAnsi="仿宋"/>
                <w:color w:val="1D1B11"/>
                <w:kern w:val="0"/>
                <w:sz w:val="24"/>
                <w:szCs w:val="24"/>
              </w:rPr>
            </w:pPr>
          </w:p>
        </w:tc>
      </w:tr>
      <w:tr w14:paraId="0B42EF2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44FC0FD9">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17</w:t>
            </w:r>
          </w:p>
        </w:tc>
        <w:tc>
          <w:tcPr>
            <w:tcW w:w="2584" w:type="dxa"/>
            <w:shd w:val="clear" w:color="auto" w:fill="FFFFFF" w:themeFill="background1"/>
            <w:vAlign w:val="center"/>
          </w:tcPr>
          <w:p w14:paraId="14F8E42E">
            <w:pPr>
              <w:widowControl/>
              <w:spacing w:line="240" w:lineRule="auto"/>
              <w:ind w:firstLine="0" w:firstLineChars="0"/>
              <w:jc w:val="center"/>
              <w:rPr>
                <w:rFonts w:ascii="仿宋" w:hAnsi="仿宋" w:cs="宋体"/>
                <w:color w:val="1D1B11"/>
                <w:kern w:val="0"/>
                <w:sz w:val="24"/>
                <w:szCs w:val="24"/>
              </w:rPr>
            </w:pPr>
            <w:r>
              <w:rPr>
                <w:rFonts w:hint="eastAsia" w:ascii="仿宋" w:hAnsi="仿宋" w:cs="宋体"/>
                <w:color w:val="1D1B11"/>
                <w:kern w:val="0"/>
                <w:sz w:val="24"/>
                <w:szCs w:val="24"/>
              </w:rPr>
              <w:t>全站仪</w:t>
            </w:r>
          </w:p>
        </w:tc>
        <w:tc>
          <w:tcPr>
            <w:tcW w:w="2519" w:type="dxa"/>
            <w:shd w:val="clear" w:color="auto" w:fill="FFFFFF" w:themeFill="background1"/>
            <w:vAlign w:val="center"/>
          </w:tcPr>
          <w:p w14:paraId="2B568537">
            <w:pPr>
              <w:widowControl/>
              <w:spacing w:line="240" w:lineRule="auto"/>
              <w:ind w:firstLine="0" w:firstLineChars="0"/>
              <w:jc w:val="center"/>
              <w:textAlignment w:val="center"/>
              <w:rPr>
                <w:rFonts w:ascii="仿宋" w:hAnsi="仿宋" w:cs="宋体"/>
                <w:color w:val="1D1B11"/>
                <w:kern w:val="0"/>
                <w:sz w:val="24"/>
                <w:szCs w:val="24"/>
              </w:rPr>
            </w:pPr>
            <w:r>
              <w:rPr>
                <w:rFonts w:ascii="仿宋" w:hAnsi="仿宋" w:cs="宋体"/>
                <w:color w:val="000000"/>
                <w:kern w:val="0"/>
                <w:sz w:val="24"/>
                <w:szCs w:val="24"/>
              </w:rPr>
              <w:t>TOPCN-GTS602</w:t>
            </w:r>
          </w:p>
        </w:tc>
        <w:tc>
          <w:tcPr>
            <w:tcW w:w="617" w:type="dxa"/>
            <w:shd w:val="clear" w:color="auto" w:fill="FFFFFF" w:themeFill="background1"/>
            <w:vAlign w:val="center"/>
          </w:tcPr>
          <w:p w14:paraId="314153EA">
            <w:pPr>
              <w:widowControl/>
              <w:spacing w:line="240" w:lineRule="auto"/>
              <w:ind w:firstLine="0" w:firstLineChars="0"/>
              <w:jc w:val="center"/>
              <w:rPr>
                <w:rFonts w:ascii="仿宋" w:hAnsi="仿宋" w:cs="宋体"/>
                <w:color w:val="1D1B11"/>
                <w:kern w:val="0"/>
                <w:sz w:val="24"/>
                <w:szCs w:val="24"/>
              </w:rPr>
            </w:pPr>
            <w:r>
              <w:rPr>
                <w:rFonts w:hint="eastAsia" w:ascii="仿宋" w:hAnsi="仿宋" w:cs="宋体"/>
                <w:color w:val="1D1B11"/>
                <w:kern w:val="0"/>
                <w:sz w:val="24"/>
                <w:szCs w:val="24"/>
              </w:rPr>
              <w:t>台</w:t>
            </w:r>
          </w:p>
        </w:tc>
        <w:tc>
          <w:tcPr>
            <w:tcW w:w="909" w:type="dxa"/>
            <w:shd w:val="clear" w:color="auto" w:fill="FFFFFF" w:themeFill="background1"/>
            <w:vAlign w:val="center"/>
          </w:tcPr>
          <w:p w14:paraId="323D160B">
            <w:pPr>
              <w:widowControl/>
              <w:spacing w:line="240" w:lineRule="auto"/>
              <w:ind w:firstLine="0" w:firstLineChars="0"/>
              <w:jc w:val="center"/>
              <w:rPr>
                <w:rFonts w:ascii="仿宋" w:hAnsi="仿宋" w:cs="宋体"/>
                <w:color w:val="1D1B11"/>
                <w:kern w:val="0"/>
                <w:sz w:val="24"/>
                <w:szCs w:val="24"/>
              </w:rPr>
            </w:pPr>
            <w:r>
              <w:rPr>
                <w:rFonts w:ascii="仿宋" w:hAnsi="仿宋" w:cs="宋体"/>
                <w:color w:val="1D1B11"/>
                <w:kern w:val="0"/>
                <w:sz w:val="24"/>
                <w:szCs w:val="24"/>
              </w:rPr>
              <w:t>1</w:t>
            </w:r>
          </w:p>
        </w:tc>
        <w:tc>
          <w:tcPr>
            <w:tcW w:w="1765" w:type="dxa"/>
            <w:shd w:val="clear" w:color="auto" w:fill="FFFFFF" w:themeFill="background1"/>
            <w:vAlign w:val="center"/>
          </w:tcPr>
          <w:p w14:paraId="6C837C42">
            <w:pPr>
              <w:widowControl/>
              <w:spacing w:line="240" w:lineRule="auto"/>
              <w:ind w:firstLine="0" w:firstLineChars="0"/>
              <w:jc w:val="center"/>
              <w:rPr>
                <w:rFonts w:ascii="仿宋" w:hAnsi="仿宋" w:cs="宋体"/>
                <w:color w:val="1D1B11"/>
                <w:kern w:val="0"/>
                <w:sz w:val="24"/>
                <w:szCs w:val="24"/>
              </w:rPr>
            </w:pPr>
            <w:r>
              <w:rPr>
                <w:rFonts w:hint="eastAsia" w:ascii="仿宋" w:hAnsi="仿宋" w:cs="宋体"/>
                <w:color w:val="1D1B11"/>
                <w:kern w:val="0"/>
                <w:sz w:val="24"/>
                <w:szCs w:val="24"/>
              </w:rPr>
              <w:t>垂直度测量</w:t>
            </w:r>
          </w:p>
        </w:tc>
      </w:tr>
    </w:tbl>
    <w:p w14:paraId="21DCA845">
      <w:pPr>
        <w:widowControl/>
        <w:ind w:firstLine="0" w:firstLineChars="0"/>
        <w:jc w:val="left"/>
        <w:rPr>
          <w:b/>
          <w:color w:val="171717"/>
        </w:rPr>
      </w:pPr>
      <w:bookmarkStart w:id="246" w:name="_Toc28903"/>
      <w:bookmarkStart w:id="247" w:name="_Toc28565"/>
      <w:bookmarkStart w:id="248" w:name="_Toc21504"/>
      <w:bookmarkStart w:id="249" w:name="_Toc4269"/>
      <w:bookmarkStart w:id="250" w:name="_Toc8662"/>
      <w:bookmarkStart w:id="251" w:name="_Toc15485"/>
      <w:r>
        <w:rPr>
          <w:rFonts w:hint="eastAsia"/>
          <w:b/>
          <w:color w:val="171717"/>
        </w:rPr>
        <w:t>注：对所使用的吊索、吊具进行全面的质量和安全检查，确认完好无损方可使用。</w:t>
      </w:r>
    </w:p>
    <w:p w14:paraId="29302C65">
      <w:pPr>
        <w:pStyle w:val="3"/>
      </w:pPr>
      <w:bookmarkStart w:id="252" w:name="_Toc2447"/>
      <w:r>
        <w:rPr>
          <w:rFonts w:hint="eastAsia"/>
          <w:color w:val="000000"/>
        </w:rPr>
        <w:t xml:space="preserve">4.4 </w:t>
      </w:r>
      <w:bookmarkEnd w:id="236"/>
      <w:bookmarkEnd w:id="237"/>
      <w:bookmarkEnd w:id="238"/>
      <w:bookmarkEnd w:id="239"/>
      <w:bookmarkEnd w:id="241"/>
      <w:bookmarkEnd w:id="242"/>
      <w:bookmarkEnd w:id="243"/>
      <w:bookmarkEnd w:id="244"/>
      <w:bookmarkEnd w:id="245"/>
      <w:bookmarkStart w:id="253" w:name="_Toc3726"/>
      <w:r>
        <w:rPr>
          <w:color w:val="000000"/>
        </w:rPr>
        <w:t>安装</w:t>
      </w:r>
      <w:r>
        <w:rPr>
          <w:rFonts w:hint="eastAsia"/>
          <w:color w:val="000000"/>
        </w:rPr>
        <w:t>起重机械</w:t>
      </w:r>
      <w:r>
        <w:rPr>
          <w:color w:val="000000"/>
        </w:rPr>
        <w:t>设备的型号、</w:t>
      </w:r>
      <w:bookmarkEnd w:id="253"/>
      <w:r>
        <w:rPr>
          <w:color w:val="000000"/>
        </w:rPr>
        <w:t>性能及</w:t>
      </w:r>
      <w:r>
        <w:rPr>
          <w:rFonts w:hint="eastAsia"/>
          <w:color w:val="000000"/>
        </w:rPr>
        <w:t>起吊能力验算</w:t>
      </w:r>
      <w:bookmarkEnd w:id="246"/>
      <w:bookmarkEnd w:id="247"/>
      <w:bookmarkEnd w:id="248"/>
      <w:bookmarkEnd w:id="249"/>
      <w:bookmarkEnd w:id="250"/>
      <w:bookmarkEnd w:id="251"/>
      <w:bookmarkEnd w:id="252"/>
    </w:p>
    <w:bookmarkEnd w:id="224"/>
    <w:bookmarkEnd w:id="225"/>
    <w:bookmarkEnd w:id="226"/>
    <w:bookmarkEnd w:id="227"/>
    <w:bookmarkEnd w:id="228"/>
    <w:bookmarkEnd w:id="240"/>
    <w:p w14:paraId="3823E38D">
      <w:pPr>
        <w:ind w:firstLine="560"/>
        <w:outlineLvl w:val="2"/>
        <w:rPr>
          <w:rFonts w:hint="eastAsia" w:ascii="黑体" w:hAnsi="黑体" w:eastAsia="黑体" w:cs="黑体"/>
          <w:color w:val="000000"/>
          <w:lang w:val="en-US" w:eastAsia="zh-CN"/>
        </w:rPr>
      </w:pPr>
      <w:bookmarkStart w:id="254" w:name="_Toc6386"/>
      <w:r>
        <w:rPr>
          <w:rFonts w:hint="eastAsia" w:ascii="黑体" w:hAnsi="黑体" w:eastAsia="黑体" w:cs="黑体"/>
          <w:color w:val="000000"/>
          <w:lang w:val="en-US" w:eastAsia="zh-CN"/>
        </w:rPr>
        <w:t>4.4.1 吊机型号选择</w:t>
      </w:r>
      <w:bookmarkEnd w:id="254"/>
    </w:p>
    <w:p w14:paraId="53DD6F4A">
      <w:pPr>
        <w:widowControl/>
        <w:ind w:firstLine="560"/>
        <w:jc w:val="left"/>
        <w:rPr>
          <w:bCs/>
          <w:color w:val="171717"/>
        </w:rPr>
      </w:pPr>
      <w:r>
        <w:rPr>
          <w:rFonts w:hint="eastAsia"/>
          <w:bCs/>
          <w:color w:val="171717"/>
        </w:rPr>
        <w:t>根据</w:t>
      </w:r>
      <w:r>
        <w:rPr>
          <w:rFonts w:hint="eastAsia"/>
          <w:bCs/>
          <w:color w:val="171717"/>
          <w:lang w:eastAsia="zh-CN"/>
        </w:rPr>
        <w:t>XGT6015-8S1</w:t>
      </w:r>
      <w:r>
        <w:rPr>
          <w:rFonts w:hint="eastAsia"/>
          <w:bCs/>
          <w:color w:val="171717"/>
        </w:rPr>
        <w:t>塔式起重机使用说明书可知设备的各部件重量和最大的安装起升高度，该塔式起重机安装最大起吊重量为起重臂总成，</w:t>
      </w:r>
      <w:r>
        <w:rPr>
          <w:rFonts w:hint="eastAsia"/>
          <w:bCs/>
          <w:color w:val="171717"/>
          <w:lang w:eastAsia="zh-CN"/>
        </w:rPr>
        <w:t>XGT6015-8S1</w:t>
      </w:r>
      <w:r>
        <w:rPr>
          <w:rFonts w:hint="eastAsia"/>
          <w:bCs/>
          <w:color w:val="171717"/>
        </w:rPr>
        <w:t>塔吊</w:t>
      </w:r>
      <w:r>
        <w:rPr>
          <w:rFonts w:hint="eastAsia"/>
          <w:bCs/>
          <w:color w:val="171717"/>
          <w:lang w:val="en-US" w:eastAsia="zh-CN"/>
        </w:rPr>
        <w:t>50</w:t>
      </w:r>
      <w:r>
        <w:rPr>
          <w:rFonts w:hint="eastAsia"/>
          <w:bCs/>
          <w:color w:val="171717"/>
        </w:rPr>
        <w:t>M起重臂总成重</w:t>
      </w:r>
      <w:r>
        <w:rPr>
          <w:rFonts w:hint="eastAsia"/>
          <w:bCs/>
          <w:color w:val="171717"/>
          <w:lang w:val="en-US" w:eastAsia="zh-CN"/>
        </w:rPr>
        <w:t>5.723t</w:t>
      </w:r>
      <w:r>
        <w:rPr>
          <w:rFonts w:hint="eastAsia"/>
          <w:bCs/>
          <w:color w:val="171717"/>
        </w:rPr>
        <w:t>，吊高</w:t>
      </w:r>
      <w:r>
        <w:rPr>
          <w:rFonts w:hint="eastAsia"/>
          <w:bCs/>
          <w:color w:val="171717"/>
          <w:lang w:val="en-US" w:eastAsia="zh-CN"/>
        </w:rPr>
        <w:t>24.7</w:t>
      </w:r>
      <w:r>
        <w:rPr>
          <w:rFonts w:hint="eastAsia"/>
          <w:bCs/>
          <w:color w:val="171717"/>
        </w:rPr>
        <w:t>米；最大起升高度为塔头，吊高</w:t>
      </w:r>
      <w:r>
        <w:rPr>
          <w:rFonts w:hint="eastAsia"/>
          <w:bCs/>
          <w:color w:val="171717"/>
          <w:lang w:val="en-US" w:eastAsia="zh-CN"/>
        </w:rPr>
        <w:t>24.7</w:t>
      </w:r>
      <w:r>
        <w:rPr>
          <w:rFonts w:hint="eastAsia"/>
          <w:bCs/>
          <w:color w:val="171717"/>
        </w:rPr>
        <w:t>米，起吊跨距不大于11米。选择25T汽车吊安装，其主臂长度为29.6m。</w:t>
      </w:r>
    </w:p>
    <w:p w14:paraId="71034644">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4.4.2吊机型号参数</w:t>
      </w:r>
    </w:p>
    <w:p w14:paraId="01AD384F">
      <w:pPr>
        <w:pStyle w:val="123"/>
      </w:pPr>
      <w:r>
        <w:rPr>
          <w:rStyle w:val="124"/>
          <w:rFonts w:hint="eastAsia"/>
          <w:b w:val="0"/>
        </w:rPr>
        <w:t>表4.</w:t>
      </w:r>
      <w:r>
        <w:rPr>
          <w:rStyle w:val="124"/>
          <w:b w:val="0"/>
        </w:rPr>
        <w:t>4-</w:t>
      </w:r>
      <w:r>
        <w:rPr>
          <w:rStyle w:val="124"/>
          <w:rFonts w:hint="eastAsia"/>
          <w:b w:val="0"/>
        </w:rPr>
        <w:t>1</w:t>
      </w:r>
      <w:r>
        <w:rPr>
          <w:rStyle w:val="124"/>
          <w:b w:val="0"/>
        </w:rPr>
        <w:t xml:space="preserve">  </w:t>
      </w:r>
      <w:r>
        <w:rPr>
          <w:rFonts w:hint="eastAsia"/>
          <w:lang w:val="en-US" w:eastAsia="zh-CN"/>
        </w:rPr>
        <w:t>25</w:t>
      </w:r>
      <w:r>
        <w:rPr>
          <w:rFonts w:hint="eastAsia"/>
        </w:rPr>
        <w:t>T汽车吊</w:t>
      </w:r>
      <w:r>
        <w:rPr>
          <w:rStyle w:val="124"/>
          <w:rFonts w:hint="eastAsia"/>
          <w:b w:val="0"/>
        </w:rPr>
        <w:t>起重性能表</w:t>
      </w:r>
    </w:p>
    <w:p w14:paraId="25AB9D7C">
      <w:pPr>
        <w:spacing w:line="240" w:lineRule="auto"/>
        <w:ind w:firstLine="560"/>
        <w:jc w:val="center"/>
      </w:pPr>
      <w:r>
        <mc:AlternateContent>
          <mc:Choice Requires="wps">
            <w:drawing>
              <wp:anchor distT="0" distB="0" distL="114300" distR="114300" simplePos="0" relativeHeight="251660288" behindDoc="0" locked="0" layoutInCell="1" allowOverlap="1">
                <wp:simplePos x="0" y="0"/>
                <wp:positionH relativeFrom="column">
                  <wp:posOffset>629285</wp:posOffset>
                </wp:positionH>
                <wp:positionV relativeFrom="paragraph">
                  <wp:posOffset>1409700</wp:posOffset>
                </wp:positionV>
                <wp:extent cx="4791075" cy="152400"/>
                <wp:effectExtent l="13970" t="13970" r="14605" b="24130"/>
                <wp:wrapNone/>
                <wp:docPr id="15" name="矩形 15"/>
                <wp:cNvGraphicFramePr/>
                <a:graphic xmlns:a="http://schemas.openxmlformats.org/drawingml/2006/main">
                  <a:graphicData uri="http://schemas.microsoft.com/office/word/2010/wordprocessingShape">
                    <wps:wsp>
                      <wps:cNvSpPr/>
                      <wps:spPr>
                        <a:xfrm>
                          <a:off x="1637030" y="6960870"/>
                          <a:ext cx="4791075" cy="152400"/>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55pt;margin-top:111pt;height:12pt;width:377.25pt;z-index:251660288;v-text-anchor:middle;mso-width-relative:page;mso-height-relative:page;" filled="f" stroked="t" coordsize="21600,21600" o:gfxdata="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PdKTy2QAAAAoBAAAPAAAAAAAAAAEAIAAAACIAAABkcnMvZG93bnJldi54&#10;bWxQSwECFAAUAAAACACHTuJA4iXnaWsCAADCBAAADgAAAAAAAAABACAAAAAoAQAAZHJzL2Uyb0Rv&#10;Yy54bWxQSwUGAAAAAAYABgBZAQAABQYAAAAA&#10;">
                <v:fill on="f" focussize="0,0"/>
                <v:stroke weight="2.25pt" color="#FF0000 [2404]" joinstyle="round"/>
                <v:imagedata o:title=""/>
                <o:lock v:ext="edit" aspectratio="f"/>
              </v:rect>
            </w:pict>
          </mc:Fallback>
        </mc:AlternateContent>
      </w:r>
      <w:r>
        <w:drawing>
          <wp:inline distT="0" distB="0" distL="114300" distR="114300">
            <wp:extent cx="4560570" cy="3653155"/>
            <wp:effectExtent l="0" t="0" r="0" b="4445"/>
            <wp:docPr id="10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
                    <pic:cNvPicPr>
                      <a:picLocks noChangeAspect="1"/>
                    </pic:cNvPicPr>
                  </pic:nvPicPr>
                  <pic:blipFill>
                    <a:blip r:embed="rId27"/>
                    <a:stretch>
                      <a:fillRect/>
                    </a:stretch>
                  </pic:blipFill>
                  <pic:spPr>
                    <a:xfrm>
                      <a:off x="0" y="0"/>
                      <a:ext cx="4563120" cy="3655146"/>
                    </a:xfrm>
                    <a:prstGeom prst="rect">
                      <a:avLst/>
                    </a:prstGeom>
                    <a:noFill/>
                    <a:ln>
                      <a:noFill/>
                    </a:ln>
                  </pic:spPr>
                </pic:pic>
              </a:graphicData>
            </a:graphic>
          </wp:inline>
        </w:drawing>
      </w:r>
    </w:p>
    <w:p w14:paraId="05C3BD1D">
      <w:pPr>
        <w:ind w:firstLine="560"/>
        <w:outlineLvl w:val="2"/>
        <w:rPr>
          <w:rFonts w:hint="eastAsia" w:ascii="黑体" w:hAnsi="黑体" w:eastAsia="黑体" w:cs="黑体"/>
          <w:color w:val="000000"/>
          <w:lang w:val="en-US" w:eastAsia="zh-CN"/>
        </w:rPr>
      </w:pPr>
      <w:bookmarkStart w:id="255" w:name="_Toc533610086"/>
      <w:bookmarkStart w:id="256" w:name="_Toc10253"/>
      <w:bookmarkStart w:id="257" w:name="_Toc5356"/>
      <w:r>
        <w:rPr>
          <w:rFonts w:hint="eastAsia" w:ascii="黑体" w:hAnsi="黑体" w:eastAsia="黑体" w:cs="黑体"/>
          <w:color w:val="000000"/>
          <w:lang w:val="en-US" w:eastAsia="zh-CN"/>
        </w:rPr>
        <w:t>4.4.3 起吊能力验算</w:t>
      </w:r>
      <w:bookmarkEnd w:id="255"/>
      <w:bookmarkEnd w:id="256"/>
      <w:bookmarkEnd w:id="257"/>
    </w:p>
    <w:p w14:paraId="413AA247">
      <w:pPr>
        <w:pStyle w:val="5"/>
        <w:ind w:firstLine="562"/>
      </w:pPr>
      <w:r>
        <w:rPr>
          <w:rFonts w:hint="eastAsia"/>
        </w:rPr>
        <w:t>4.4.3.1 起重量的验算</w:t>
      </w:r>
    </w:p>
    <w:p w14:paraId="058249AD">
      <w:pPr>
        <w:spacing w:line="360" w:lineRule="auto"/>
      </w:pPr>
      <w:r>
        <w:rPr>
          <w:color w:val="000000"/>
          <w:sz w:val="24"/>
        </w:rPr>
        <w:t xml:space="preserve">   </w:t>
      </w:r>
      <w:r>
        <w:rPr>
          <w:rFonts w:ascii="Times New Roman" w:hAnsi="Times New Roman"/>
          <w:color w:val="000000"/>
          <w:sz w:val="24"/>
        </w:rPr>
        <w:t xml:space="preserve">    计算依据：</w:t>
      </w:r>
    </w:p>
    <w:p w14:paraId="776C1B93">
      <w:pPr>
        <w:spacing w:line="360" w:lineRule="auto"/>
      </w:pPr>
      <w:r>
        <w:rPr>
          <w:rFonts w:ascii="Times New Roman" w:hAnsi="Times New Roman"/>
          <w:color w:val="000000"/>
          <w:sz w:val="24"/>
        </w:rPr>
        <w:t xml:space="preserve">    1、《建筑结构荷载规范》GB 50009-2012</w:t>
      </w:r>
    </w:p>
    <w:p w14:paraId="19F294D2">
      <w:pPr>
        <w:spacing w:line="360" w:lineRule="auto"/>
      </w:pPr>
      <w:r>
        <w:rPr>
          <w:rFonts w:ascii="Times New Roman" w:hAnsi="Times New Roman"/>
          <w:color w:val="000000"/>
          <w:sz w:val="24"/>
        </w:rPr>
        <w:t xml:space="preserve">    2、《建筑结构可靠性设计统一标准》GB50068-2018</w:t>
      </w:r>
    </w:p>
    <w:p w14:paraId="0C81432A">
      <w:pPr>
        <w:spacing w:line="360" w:lineRule="auto"/>
      </w:pPr>
      <w:r>
        <w:rPr>
          <w:rFonts w:ascii="Times New Roman" w:hAnsi="Times New Roman"/>
          <w:color w:val="000000"/>
          <w:sz w:val="24"/>
        </w:rPr>
        <w:t xml:space="preserve">    3、《建筑地基基础设计规范》GB50007-2011</w:t>
      </w:r>
    </w:p>
    <w:p w14:paraId="729C9C97">
      <w:pPr>
        <w:spacing w:line="360" w:lineRule="auto"/>
      </w:pPr>
      <w:r>
        <w:rPr>
          <w:rFonts w:ascii="Times New Roman" w:hAnsi="Times New Roman"/>
          <w:color w:val="000000"/>
          <w:sz w:val="24"/>
        </w:rPr>
        <w:t xml:space="preserve">    4、三一厂家STC250E5-1型号汽车起重机说明书</w:t>
      </w:r>
    </w:p>
    <w:p w14:paraId="1E7EDEF5">
      <w:pPr>
        <w:spacing w:line="360" w:lineRule="auto"/>
      </w:pPr>
      <w:r>
        <w:rPr>
          <w:rFonts w:ascii="Times New Roman" w:hAnsi="Times New Roman"/>
          <w:b/>
          <w:color w:val="000000"/>
          <w:sz w:val="28"/>
        </w:rPr>
        <w:t xml:space="preserve"> 一、吊装要求</w:t>
      </w:r>
    </w:p>
    <w:tbl>
      <w:tblPr>
        <w:tblStyle w:val="41"/>
        <w:tblW w:w="9435" w:type="dxa"/>
        <w:jc w:val="center"/>
        <w:shd w:val="clear" w:color="auto" w:fill="FFFFFF"/>
        <w:tblLayout w:type="autofit"/>
        <w:tblCellMar>
          <w:top w:w="45" w:type="dxa"/>
          <w:left w:w="45" w:type="dxa"/>
          <w:bottom w:w="45" w:type="dxa"/>
          <w:right w:w="45" w:type="dxa"/>
        </w:tblCellMar>
      </w:tblPr>
      <w:tblGrid>
        <w:gridCol w:w="3109"/>
        <w:gridCol w:w="1608"/>
        <w:gridCol w:w="3110"/>
        <w:gridCol w:w="1608"/>
      </w:tblGrid>
      <w:tr w14:paraId="70BB14EB">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0CE3518E">
            <w:pPr>
              <w:spacing w:line="360" w:lineRule="auto"/>
            </w:pPr>
            <w:r>
              <w:rPr>
                <w:rFonts w:ascii="Times New Roman" w:hAnsi="Times New Roman"/>
                <w:color w:val="000000"/>
                <w:sz w:val="18"/>
              </w:rPr>
              <w:t>吊重G</w:t>
            </w:r>
            <w:r>
              <w:rPr>
                <w:rFonts w:ascii="Times New Roman" w:hAnsi="Times New Roman"/>
                <w:color w:val="000000"/>
                <w:sz w:val="24"/>
                <w:vertAlign w:val="subscript"/>
              </w:rPr>
              <w:t>w</w:t>
            </w:r>
            <w:r>
              <w:rPr>
                <w:rFonts w:ascii="Times New Roman" w:hAnsi="Times New Roman"/>
                <w:color w:val="000000"/>
                <w:sz w:val="18"/>
              </w:rPr>
              <w:t>(吨)</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179AF5DC">
            <w:pPr>
              <w:spacing w:line="360" w:lineRule="auto"/>
            </w:pPr>
            <w:r>
              <w:rPr>
                <w:rFonts w:ascii="Times New Roman" w:hAnsi="Times New Roman"/>
                <w:color w:val="000000"/>
                <w:sz w:val="18"/>
              </w:rPr>
              <w:t>5.723</w:t>
            </w:r>
          </w:p>
        </w:tc>
        <w:tc>
          <w:tcPr>
            <w:tcW w:w="3105" w:type="dxa"/>
            <w:tcBorders>
              <w:top w:val="single" w:color="auto" w:sz="6" w:space="0"/>
              <w:left w:val="single" w:color="auto" w:sz="6" w:space="0"/>
              <w:bottom w:val="single" w:color="auto" w:sz="6" w:space="0"/>
              <w:right w:val="single" w:color="auto" w:sz="6" w:space="0"/>
            </w:tcBorders>
            <w:shd w:val="clear" w:color="auto" w:fill="FFFFFF"/>
          </w:tcPr>
          <w:p w14:paraId="570E7917">
            <w:pPr>
              <w:spacing w:line="360" w:lineRule="auto"/>
            </w:pPr>
            <w:r>
              <w:rPr>
                <w:rFonts w:ascii="Times New Roman" w:hAnsi="Times New Roman"/>
                <w:color w:val="000000"/>
                <w:sz w:val="18"/>
              </w:rPr>
              <w:t>起吊动力系数K</w:t>
            </w:r>
            <w:r>
              <w:rPr>
                <w:rFonts w:ascii="Times New Roman" w:hAnsi="Times New Roman"/>
                <w:color w:val="000000"/>
                <w:sz w:val="24"/>
                <w:vertAlign w:val="subscript"/>
              </w:rPr>
              <w:t>1</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2ED29BBF">
            <w:pPr>
              <w:spacing w:line="360" w:lineRule="auto"/>
            </w:pPr>
            <w:r>
              <w:rPr>
                <w:rFonts w:ascii="Times New Roman" w:hAnsi="Times New Roman"/>
                <w:color w:val="000000"/>
                <w:sz w:val="18"/>
              </w:rPr>
              <w:t>1.2</w:t>
            </w:r>
          </w:p>
        </w:tc>
      </w:tr>
    </w:tbl>
    <w:p w14:paraId="7B4AB9EB">
      <w:pPr>
        <w:spacing w:line="360" w:lineRule="auto"/>
      </w:pPr>
      <w:r>
        <w:rPr>
          <w:rFonts w:ascii="Times New Roman" w:hAnsi="Times New Roman"/>
          <w:b/>
          <w:color w:val="000000"/>
          <w:sz w:val="28"/>
        </w:rPr>
        <w:t xml:space="preserve"> 二、汽车式起重机支腿力计算</w:t>
      </w:r>
    </w:p>
    <w:p w14:paraId="671003E4">
      <w:pPr>
        <w:spacing w:line="360" w:lineRule="auto"/>
      </w:pPr>
      <w:r>
        <w:rPr>
          <w:rFonts w:ascii="Times New Roman" w:hAnsi="Times New Roman"/>
          <w:b/>
          <w:color w:val="000000"/>
          <w:sz w:val="24"/>
        </w:rPr>
        <w:t xml:space="preserve">  1、汽车式起重机参数</w:t>
      </w:r>
    </w:p>
    <w:tbl>
      <w:tblPr>
        <w:tblStyle w:val="41"/>
        <w:tblW w:w="9435" w:type="dxa"/>
        <w:jc w:val="center"/>
        <w:shd w:val="clear" w:color="auto" w:fill="FFFFFF"/>
        <w:tblLayout w:type="autofit"/>
        <w:tblCellMar>
          <w:top w:w="45" w:type="dxa"/>
          <w:left w:w="45" w:type="dxa"/>
          <w:bottom w:w="45" w:type="dxa"/>
          <w:right w:w="45" w:type="dxa"/>
        </w:tblCellMar>
      </w:tblPr>
      <w:tblGrid>
        <w:gridCol w:w="3109"/>
        <w:gridCol w:w="1608"/>
        <w:gridCol w:w="3110"/>
        <w:gridCol w:w="1608"/>
      </w:tblGrid>
      <w:tr w14:paraId="3568FF54">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38D6A77A">
            <w:pPr>
              <w:spacing w:line="360" w:lineRule="auto"/>
            </w:pPr>
            <w:r>
              <w:rPr>
                <w:rFonts w:ascii="Times New Roman" w:hAnsi="Times New Roman"/>
                <w:color w:val="000000"/>
                <w:sz w:val="18"/>
              </w:rPr>
              <w:t>汽车起重机厂家</w:t>
            </w:r>
          </w:p>
        </w:tc>
        <w:tc>
          <w:tcPr>
            <w:tcW w:w="1605" w:type="dxa"/>
            <w:tcBorders>
              <w:top w:val="single" w:color="auto" w:sz="6" w:space="0"/>
              <w:left w:val="single" w:color="auto" w:sz="6" w:space="0"/>
              <w:bottom w:val="single" w:color="auto" w:sz="4" w:space="0"/>
              <w:right w:val="single" w:color="auto" w:sz="6" w:space="0"/>
            </w:tcBorders>
            <w:shd w:val="clear" w:color="auto" w:fill="FFFFFF"/>
          </w:tcPr>
          <w:p w14:paraId="1E62DDCC">
            <w:pPr>
              <w:spacing w:line="360" w:lineRule="auto"/>
            </w:pPr>
            <w:r>
              <w:rPr>
                <w:rFonts w:ascii="Times New Roman" w:hAnsi="Times New Roman"/>
                <w:color w:val="000000"/>
                <w:sz w:val="18"/>
              </w:rPr>
              <w:t>三一</w:t>
            </w:r>
          </w:p>
        </w:tc>
        <w:tc>
          <w:tcPr>
            <w:tcW w:w="3105" w:type="dxa"/>
            <w:tcBorders>
              <w:top w:val="single" w:color="auto" w:sz="6" w:space="0"/>
              <w:left w:val="single" w:color="auto" w:sz="6" w:space="0"/>
              <w:bottom w:val="single" w:color="auto" w:sz="4" w:space="0"/>
              <w:right w:val="single" w:color="auto" w:sz="6" w:space="0"/>
            </w:tcBorders>
            <w:shd w:val="clear" w:color="auto" w:fill="FFFFFF"/>
          </w:tcPr>
          <w:p w14:paraId="0A8C5326">
            <w:pPr>
              <w:spacing w:line="360" w:lineRule="auto"/>
            </w:pPr>
            <w:r>
              <w:rPr>
                <w:rFonts w:ascii="Times New Roman" w:hAnsi="Times New Roman"/>
                <w:color w:val="000000"/>
                <w:sz w:val="18"/>
              </w:rPr>
              <w:t>起重机型号</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5CA79B10">
            <w:pPr>
              <w:spacing w:line="360" w:lineRule="auto"/>
            </w:pPr>
            <w:r>
              <w:rPr>
                <w:rFonts w:ascii="Times New Roman" w:hAnsi="Times New Roman"/>
                <w:color w:val="000000"/>
                <w:sz w:val="18"/>
              </w:rPr>
              <w:t>STC250E5-1</w:t>
            </w:r>
          </w:p>
        </w:tc>
      </w:tr>
      <w:tr w14:paraId="421C1A43">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4" w:space="0"/>
            </w:tcBorders>
            <w:shd w:val="clear" w:color="auto" w:fill="FFFFFF"/>
          </w:tcPr>
          <w:p w14:paraId="420514EF">
            <w:pPr>
              <w:spacing w:line="360" w:lineRule="auto"/>
            </w:pPr>
            <w:r>
              <w:rPr>
                <w:rFonts w:ascii="Times New Roman" w:hAnsi="Times New Roman"/>
                <w:color w:val="000000"/>
                <w:sz w:val="18"/>
              </w:rPr>
              <w:t>吊重G</w:t>
            </w:r>
            <w:r>
              <w:rPr>
                <w:rFonts w:ascii="Times New Roman" w:hAnsi="Times New Roman"/>
                <w:color w:val="000000"/>
                <w:sz w:val="24"/>
                <w:vertAlign w:val="subscript"/>
              </w:rPr>
              <w:t>w</w:t>
            </w:r>
            <w:r>
              <w:rPr>
                <w:rFonts w:ascii="Times New Roman" w:hAnsi="Times New Roman"/>
                <w:color w:val="000000"/>
                <w:sz w:val="18"/>
              </w:rPr>
              <w:t>(吨)</w:t>
            </w:r>
          </w:p>
        </w:tc>
        <w:tc>
          <w:tcPr>
            <w:tcW w:w="1605" w:type="dxa"/>
            <w:tcBorders>
              <w:top w:val="single" w:color="auto" w:sz="4" w:space="0"/>
              <w:left w:val="single" w:color="auto" w:sz="4" w:space="0"/>
              <w:bottom w:val="single" w:color="auto" w:sz="4" w:space="0"/>
              <w:right w:val="single" w:color="auto" w:sz="4" w:space="0"/>
            </w:tcBorders>
            <w:shd w:val="clear" w:color="auto" w:fill="FFFFFF"/>
          </w:tcPr>
          <w:p w14:paraId="683F3448">
            <w:pPr>
              <w:spacing w:line="360" w:lineRule="auto"/>
            </w:pPr>
            <w:r>
              <w:rPr>
                <w:rFonts w:ascii="Times New Roman" w:hAnsi="Times New Roman"/>
                <w:color w:val="000000"/>
                <w:sz w:val="18"/>
              </w:rPr>
              <w:t>5.723</w:t>
            </w:r>
          </w:p>
        </w:tc>
        <w:tc>
          <w:tcPr>
            <w:tcW w:w="3105" w:type="dxa"/>
            <w:tcBorders>
              <w:top w:val="single" w:color="auto" w:sz="4" w:space="0"/>
              <w:left w:val="single" w:color="auto" w:sz="4" w:space="0"/>
              <w:bottom w:val="single" w:color="auto" w:sz="4" w:space="0"/>
              <w:right w:val="single" w:color="auto" w:sz="4" w:space="0"/>
            </w:tcBorders>
            <w:shd w:val="clear" w:color="auto" w:fill="FFFFFF"/>
          </w:tcPr>
          <w:p w14:paraId="4723F0B8">
            <w:pPr>
              <w:spacing w:line="360" w:lineRule="auto"/>
            </w:pPr>
            <w:r>
              <w:rPr>
                <w:rFonts w:ascii="Times New Roman" w:hAnsi="Times New Roman"/>
                <w:color w:val="000000"/>
                <w:sz w:val="18"/>
              </w:rPr>
              <w:t>起吊动力系数K</w:t>
            </w:r>
            <w:r>
              <w:rPr>
                <w:rFonts w:ascii="Times New Roman" w:hAnsi="Times New Roman"/>
                <w:color w:val="000000"/>
                <w:sz w:val="24"/>
                <w:vertAlign w:val="subscript"/>
              </w:rPr>
              <w:t>1</w:t>
            </w:r>
          </w:p>
        </w:tc>
        <w:tc>
          <w:tcPr>
            <w:tcW w:w="1605" w:type="dxa"/>
            <w:tcBorders>
              <w:top w:val="single" w:color="auto" w:sz="6" w:space="0"/>
              <w:left w:val="single" w:color="auto" w:sz="4" w:space="0"/>
              <w:bottom w:val="single" w:color="auto" w:sz="6" w:space="0"/>
              <w:right w:val="single" w:color="auto" w:sz="6" w:space="0"/>
            </w:tcBorders>
            <w:shd w:val="clear" w:color="auto" w:fill="FFFFFF"/>
          </w:tcPr>
          <w:p w14:paraId="5B4EA425">
            <w:pPr>
              <w:spacing w:line="360" w:lineRule="auto"/>
            </w:pPr>
            <w:r>
              <w:rPr>
                <w:rFonts w:ascii="Times New Roman" w:hAnsi="Times New Roman"/>
                <w:color w:val="000000"/>
                <w:sz w:val="18"/>
              </w:rPr>
              <w:t>1.2</w:t>
            </w:r>
          </w:p>
        </w:tc>
      </w:tr>
      <w:tr w14:paraId="6118CA2B">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4" w:space="0"/>
            </w:tcBorders>
            <w:shd w:val="clear" w:color="auto" w:fill="FFFFFF"/>
          </w:tcPr>
          <w:p w14:paraId="315BF814">
            <w:pPr>
              <w:spacing w:line="360" w:lineRule="auto"/>
            </w:pPr>
            <w:r>
              <w:rPr>
                <w:rFonts w:ascii="Times New Roman" w:hAnsi="Times New Roman"/>
                <w:color w:val="000000"/>
                <w:sz w:val="18"/>
              </w:rPr>
              <w:t>工作幅度R(m)</w:t>
            </w:r>
          </w:p>
        </w:tc>
        <w:tc>
          <w:tcPr>
            <w:tcW w:w="1605" w:type="dxa"/>
            <w:tcBorders>
              <w:top w:val="single" w:color="auto" w:sz="4" w:space="0"/>
              <w:left w:val="single" w:color="auto" w:sz="4" w:space="0"/>
              <w:bottom w:val="single" w:color="auto" w:sz="4" w:space="0"/>
              <w:right w:val="single" w:color="auto" w:sz="4" w:space="0"/>
            </w:tcBorders>
            <w:shd w:val="clear" w:color="auto" w:fill="FFFFFF"/>
          </w:tcPr>
          <w:p w14:paraId="343B279A">
            <w:pPr>
              <w:spacing w:line="360" w:lineRule="auto"/>
            </w:pPr>
            <w:r>
              <w:rPr>
                <w:rFonts w:ascii="Times New Roman" w:hAnsi="Times New Roman"/>
                <w:color w:val="000000"/>
                <w:sz w:val="18"/>
              </w:rPr>
              <w:t>11</w:t>
            </w:r>
          </w:p>
        </w:tc>
        <w:tc>
          <w:tcPr>
            <w:tcW w:w="3105" w:type="dxa"/>
            <w:tcBorders>
              <w:top w:val="single" w:color="auto" w:sz="4" w:space="0"/>
              <w:left w:val="single" w:color="auto" w:sz="4" w:space="0"/>
              <w:bottom w:val="single" w:color="auto" w:sz="4" w:space="0"/>
              <w:right w:val="single" w:color="auto" w:sz="4" w:space="0"/>
            </w:tcBorders>
            <w:shd w:val="clear" w:color="auto" w:fill="FFFFFF"/>
          </w:tcPr>
          <w:p w14:paraId="728FE31A">
            <w:pPr>
              <w:spacing w:line="360" w:lineRule="auto"/>
            </w:pPr>
            <w:r>
              <w:rPr>
                <w:rFonts w:ascii="Times New Roman" w:hAnsi="Times New Roman"/>
                <w:color w:val="000000"/>
                <w:sz w:val="18"/>
              </w:rPr>
              <w:t>支腿纵向距离L(m)</w:t>
            </w:r>
          </w:p>
        </w:tc>
        <w:tc>
          <w:tcPr>
            <w:tcW w:w="1605" w:type="dxa"/>
            <w:tcBorders>
              <w:top w:val="single" w:color="auto" w:sz="6" w:space="0"/>
              <w:left w:val="single" w:color="auto" w:sz="4" w:space="0"/>
              <w:bottom w:val="single" w:color="auto" w:sz="6" w:space="0"/>
              <w:right w:val="single" w:color="auto" w:sz="6" w:space="0"/>
            </w:tcBorders>
            <w:shd w:val="clear" w:color="auto" w:fill="FFFFFF"/>
          </w:tcPr>
          <w:p w14:paraId="017DF731">
            <w:pPr>
              <w:spacing w:line="360" w:lineRule="auto"/>
            </w:pPr>
            <w:r>
              <w:rPr>
                <w:rFonts w:ascii="Times New Roman" w:hAnsi="Times New Roman"/>
                <w:color w:val="000000"/>
                <w:sz w:val="18"/>
              </w:rPr>
              <w:t>5.28</w:t>
            </w:r>
          </w:p>
        </w:tc>
      </w:tr>
      <w:tr w14:paraId="6FAB12E5">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4" w:space="0"/>
            </w:tcBorders>
            <w:shd w:val="clear" w:color="auto" w:fill="FFFFFF"/>
          </w:tcPr>
          <w:p w14:paraId="7EBA8157">
            <w:pPr>
              <w:spacing w:line="360" w:lineRule="auto"/>
            </w:pPr>
            <w:r>
              <w:rPr>
                <w:rFonts w:ascii="Times New Roman" w:hAnsi="Times New Roman"/>
                <w:color w:val="000000"/>
                <w:sz w:val="18"/>
              </w:rPr>
              <w:t>支腿横向距离B(m)</w:t>
            </w:r>
          </w:p>
        </w:tc>
        <w:tc>
          <w:tcPr>
            <w:tcW w:w="1605" w:type="dxa"/>
            <w:tcBorders>
              <w:top w:val="single" w:color="auto" w:sz="4" w:space="0"/>
              <w:left w:val="single" w:color="auto" w:sz="4" w:space="0"/>
              <w:bottom w:val="single" w:color="auto" w:sz="4" w:space="0"/>
              <w:right w:val="single" w:color="auto" w:sz="4" w:space="0"/>
            </w:tcBorders>
            <w:shd w:val="clear" w:color="auto" w:fill="FFFFFF"/>
          </w:tcPr>
          <w:p w14:paraId="49E52628">
            <w:pPr>
              <w:spacing w:line="360" w:lineRule="auto"/>
            </w:pPr>
            <w:r>
              <w:rPr>
                <w:rFonts w:ascii="Times New Roman" w:hAnsi="Times New Roman"/>
                <w:color w:val="000000"/>
                <w:sz w:val="18"/>
              </w:rPr>
              <w:t>6.4</w:t>
            </w:r>
          </w:p>
        </w:tc>
        <w:tc>
          <w:tcPr>
            <w:tcW w:w="3105" w:type="dxa"/>
            <w:tcBorders>
              <w:top w:val="single" w:color="auto" w:sz="4" w:space="0"/>
              <w:left w:val="single" w:color="auto" w:sz="4" w:space="0"/>
              <w:bottom w:val="single" w:color="auto" w:sz="4" w:space="0"/>
              <w:right w:val="single" w:color="auto" w:sz="4" w:space="0"/>
            </w:tcBorders>
            <w:shd w:val="clear" w:color="auto" w:fill="FFFFFF"/>
          </w:tcPr>
          <w:p w14:paraId="336280E0">
            <w:pPr>
              <w:spacing w:line="360" w:lineRule="auto"/>
            </w:pPr>
            <w:r>
              <w:rPr>
                <w:rFonts w:ascii="Times New Roman" w:hAnsi="Times New Roman"/>
                <w:color w:val="000000"/>
                <w:sz w:val="18"/>
              </w:rPr>
              <w:t>后支腿距最后一排车轮距离s(m)</w:t>
            </w:r>
          </w:p>
        </w:tc>
        <w:tc>
          <w:tcPr>
            <w:tcW w:w="1605" w:type="dxa"/>
            <w:tcBorders>
              <w:top w:val="single" w:color="auto" w:sz="6" w:space="0"/>
              <w:left w:val="single" w:color="auto" w:sz="4" w:space="0"/>
              <w:bottom w:val="single" w:color="auto" w:sz="6" w:space="0"/>
              <w:right w:val="single" w:color="auto" w:sz="6" w:space="0"/>
            </w:tcBorders>
            <w:shd w:val="clear" w:color="auto" w:fill="FFFFFF"/>
          </w:tcPr>
          <w:p w14:paraId="330F389E">
            <w:pPr>
              <w:spacing w:line="360" w:lineRule="auto"/>
            </w:pPr>
            <w:r>
              <w:rPr>
                <w:rFonts w:ascii="Times New Roman" w:hAnsi="Times New Roman"/>
                <w:color w:val="000000"/>
                <w:sz w:val="18"/>
              </w:rPr>
              <w:t>1.5</w:t>
            </w:r>
          </w:p>
        </w:tc>
      </w:tr>
      <w:tr w14:paraId="641B2391">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4" w:space="0"/>
            </w:tcBorders>
            <w:shd w:val="clear" w:color="auto" w:fill="FFFFFF"/>
          </w:tcPr>
          <w:p w14:paraId="08CE4716">
            <w:pPr>
              <w:spacing w:line="360" w:lineRule="auto"/>
            </w:pPr>
            <w:r>
              <w:rPr>
                <w:rFonts w:ascii="Times New Roman" w:hAnsi="Times New Roman"/>
                <w:color w:val="000000"/>
                <w:sz w:val="18"/>
              </w:rPr>
              <w:t>后支腿距旋转中心距离L</w:t>
            </w:r>
            <w:r>
              <w:rPr>
                <w:rFonts w:ascii="Times New Roman" w:hAnsi="Times New Roman"/>
                <w:color w:val="000000"/>
                <w:sz w:val="24"/>
                <w:vertAlign w:val="subscript"/>
              </w:rPr>
              <w:t>h</w:t>
            </w:r>
            <w:r>
              <w:rPr>
                <w:rFonts w:ascii="Times New Roman" w:hAnsi="Times New Roman"/>
                <w:color w:val="000000"/>
                <w:sz w:val="18"/>
              </w:rPr>
              <w:t>(m)</w:t>
            </w:r>
          </w:p>
        </w:tc>
        <w:tc>
          <w:tcPr>
            <w:tcW w:w="1605" w:type="dxa"/>
            <w:tcBorders>
              <w:top w:val="single" w:color="auto" w:sz="4" w:space="0"/>
              <w:left w:val="single" w:color="auto" w:sz="4" w:space="0"/>
              <w:bottom w:val="single" w:color="auto" w:sz="4" w:space="0"/>
              <w:right w:val="single" w:color="auto" w:sz="4" w:space="0"/>
            </w:tcBorders>
            <w:shd w:val="clear" w:color="auto" w:fill="FFFFFF"/>
          </w:tcPr>
          <w:p w14:paraId="6D928F55">
            <w:pPr>
              <w:spacing w:line="360" w:lineRule="auto"/>
            </w:pPr>
            <w:r>
              <w:rPr>
                <w:rFonts w:ascii="Times New Roman" w:hAnsi="Times New Roman"/>
                <w:color w:val="000000"/>
                <w:sz w:val="18"/>
              </w:rPr>
              <w:t>2.175</w:t>
            </w:r>
          </w:p>
        </w:tc>
        <w:tc>
          <w:tcPr>
            <w:tcW w:w="3105" w:type="dxa"/>
            <w:tcBorders>
              <w:top w:val="single" w:color="auto" w:sz="4" w:space="0"/>
              <w:left w:val="single" w:color="auto" w:sz="4" w:space="0"/>
              <w:bottom w:val="single" w:color="auto" w:sz="4" w:space="0"/>
              <w:right w:val="single" w:color="auto" w:sz="4" w:space="0"/>
            </w:tcBorders>
            <w:shd w:val="clear" w:color="auto" w:fill="FFFFFF"/>
          </w:tcPr>
          <w:p w14:paraId="17AD1AF3">
            <w:pPr>
              <w:spacing w:line="360" w:lineRule="auto"/>
            </w:pPr>
            <w:r>
              <w:rPr>
                <w:rFonts w:ascii="Times New Roman" w:hAnsi="Times New Roman"/>
                <w:color w:val="000000"/>
                <w:sz w:val="18"/>
              </w:rPr>
              <w:t>起重机自重G(吨)</w:t>
            </w:r>
          </w:p>
        </w:tc>
        <w:tc>
          <w:tcPr>
            <w:tcW w:w="1605" w:type="dxa"/>
            <w:tcBorders>
              <w:top w:val="single" w:color="auto" w:sz="6" w:space="0"/>
              <w:left w:val="single" w:color="auto" w:sz="4" w:space="0"/>
              <w:bottom w:val="single" w:color="auto" w:sz="6" w:space="0"/>
              <w:right w:val="single" w:color="auto" w:sz="6" w:space="0"/>
            </w:tcBorders>
            <w:shd w:val="clear" w:color="auto" w:fill="FFFFFF"/>
          </w:tcPr>
          <w:p w14:paraId="5A6C56D5">
            <w:pPr>
              <w:spacing w:line="360" w:lineRule="auto"/>
            </w:pPr>
            <w:r>
              <w:rPr>
                <w:rFonts w:ascii="Times New Roman" w:hAnsi="Times New Roman"/>
                <w:color w:val="000000"/>
                <w:sz w:val="18"/>
              </w:rPr>
              <w:t>32.2</w:t>
            </w:r>
          </w:p>
        </w:tc>
      </w:tr>
      <w:tr w14:paraId="34FA13B9">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4964127E">
            <w:pPr>
              <w:spacing w:line="360" w:lineRule="auto"/>
            </w:pPr>
            <w:r>
              <w:rPr>
                <w:rFonts w:ascii="Times New Roman" w:hAnsi="Times New Roman"/>
                <w:color w:val="000000"/>
                <w:sz w:val="18"/>
              </w:rPr>
              <w:t>是否有活动配重</w:t>
            </w:r>
          </w:p>
        </w:tc>
        <w:tc>
          <w:tcPr>
            <w:tcW w:w="6105" w:type="dxa"/>
            <w:gridSpan w:val="3"/>
            <w:tcBorders>
              <w:top w:val="single" w:color="auto" w:sz="6" w:space="0"/>
              <w:left w:val="single" w:color="auto" w:sz="6" w:space="0"/>
              <w:bottom w:val="single" w:color="auto" w:sz="6" w:space="0"/>
              <w:right w:val="single" w:color="auto" w:sz="6" w:space="0"/>
            </w:tcBorders>
            <w:shd w:val="clear" w:color="auto" w:fill="FFFFFF"/>
          </w:tcPr>
          <w:p w14:paraId="5D47632B">
            <w:pPr>
              <w:spacing w:line="360" w:lineRule="auto"/>
            </w:pPr>
            <w:r>
              <w:rPr>
                <w:rFonts w:ascii="Times New Roman" w:hAnsi="Times New Roman"/>
                <w:color w:val="000000"/>
                <w:sz w:val="18"/>
              </w:rPr>
              <w:t>否</w:t>
            </w:r>
          </w:p>
        </w:tc>
      </w:tr>
    </w:tbl>
    <w:p w14:paraId="50D6CBD7">
      <w:pPr>
        <w:spacing w:line="360" w:lineRule="auto"/>
      </w:pPr>
      <w:r>
        <w:rPr>
          <w:rFonts w:ascii="Times New Roman" w:hAnsi="Times New Roman"/>
          <w:b/>
          <w:color w:val="000000"/>
          <w:sz w:val="24"/>
        </w:rPr>
        <w:t xml:space="preserve">  2、汽车起重机轴距及轴荷</w:t>
      </w:r>
    </w:p>
    <w:tbl>
      <w:tblPr>
        <w:tblStyle w:val="41"/>
        <w:tblW w:w="9435" w:type="dxa"/>
        <w:jc w:val="center"/>
        <w:shd w:val="clear" w:color="auto" w:fill="FFFFFF"/>
        <w:tblLayout w:type="autofit"/>
        <w:tblCellMar>
          <w:top w:w="45" w:type="dxa"/>
          <w:left w:w="45" w:type="dxa"/>
          <w:bottom w:w="45" w:type="dxa"/>
          <w:right w:w="45" w:type="dxa"/>
        </w:tblCellMar>
      </w:tblPr>
      <w:tblGrid>
        <w:gridCol w:w="3109"/>
        <w:gridCol w:w="1608"/>
        <w:gridCol w:w="3110"/>
        <w:gridCol w:w="1608"/>
      </w:tblGrid>
      <w:tr w14:paraId="31DC0694">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6867DD5F">
            <w:pPr>
              <w:spacing w:line="360" w:lineRule="auto"/>
            </w:pPr>
            <w:r>
              <w:rPr>
                <w:rFonts w:ascii="Times New Roman" w:hAnsi="Times New Roman"/>
                <w:color w:val="000000"/>
                <w:sz w:val="18"/>
              </w:rPr>
              <w:t>汽车起重机轴数</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3D370794">
            <w:pPr>
              <w:spacing w:line="360" w:lineRule="auto"/>
            </w:pPr>
            <w:r>
              <w:rPr>
                <w:rFonts w:ascii="Times New Roman" w:hAnsi="Times New Roman"/>
                <w:color w:val="000000"/>
                <w:sz w:val="18"/>
              </w:rPr>
              <w:t>3</w:t>
            </w:r>
          </w:p>
        </w:tc>
        <w:tc>
          <w:tcPr>
            <w:tcW w:w="3105" w:type="dxa"/>
            <w:tcBorders>
              <w:top w:val="single" w:color="auto" w:sz="6" w:space="0"/>
              <w:left w:val="single" w:color="auto" w:sz="6" w:space="0"/>
              <w:bottom w:val="single" w:color="auto" w:sz="6" w:space="0"/>
              <w:right w:val="single" w:color="auto" w:sz="6" w:space="0"/>
            </w:tcBorders>
            <w:shd w:val="clear" w:color="auto" w:fill="FFFFFF"/>
          </w:tcPr>
          <w:p w14:paraId="41ED95F8">
            <w:pPr>
              <w:spacing w:line="360" w:lineRule="auto"/>
            </w:pPr>
            <w:r>
              <w:rPr>
                <w:rFonts w:ascii="Times New Roman" w:hAnsi="Times New Roman"/>
                <w:color w:val="000000"/>
                <w:sz w:val="18"/>
              </w:rPr>
              <w:t>第1排车轮荷载(吨)</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476E16C1">
            <w:pPr>
              <w:spacing w:line="360" w:lineRule="auto"/>
            </w:pPr>
            <w:r>
              <w:rPr>
                <w:rFonts w:ascii="Times New Roman" w:hAnsi="Times New Roman"/>
                <w:color w:val="000000"/>
                <w:sz w:val="18"/>
              </w:rPr>
              <w:t>6.7</w:t>
            </w:r>
          </w:p>
        </w:tc>
      </w:tr>
    </w:tbl>
    <w:p w14:paraId="2B3F62E3">
      <w:pPr>
        <w:spacing w:line="360" w:lineRule="auto"/>
      </w:pPr>
      <w:r>
        <w:rPr>
          <w:rFonts w:ascii="Times New Roman" w:hAnsi="Times New Roman"/>
          <w:color w:val="000000"/>
          <w:sz w:val="24"/>
        </w:rPr>
        <w:t xml:space="preserve">    </w:t>
      </w:r>
    </w:p>
    <w:tbl>
      <w:tblPr>
        <w:tblStyle w:val="41"/>
        <w:tblW w:w="7080" w:type="dxa"/>
        <w:jc w:val="center"/>
        <w:shd w:val="clear" w:color="auto" w:fill="FFFFFF"/>
        <w:tblLayout w:type="autofit"/>
        <w:tblCellMar>
          <w:top w:w="45" w:type="dxa"/>
          <w:left w:w="45" w:type="dxa"/>
          <w:bottom w:w="45" w:type="dxa"/>
          <w:right w:w="45" w:type="dxa"/>
        </w:tblCellMar>
      </w:tblPr>
      <w:tblGrid>
        <w:gridCol w:w="2360"/>
        <w:gridCol w:w="2360"/>
        <w:gridCol w:w="2360"/>
      </w:tblGrid>
      <w:tr w14:paraId="12FD5275">
        <w:tblPrEx>
          <w:shd w:val="clear" w:color="auto" w:fill="FFFFFF"/>
          <w:tblCellMar>
            <w:top w:w="45" w:type="dxa"/>
            <w:left w:w="45" w:type="dxa"/>
            <w:bottom w:w="45" w:type="dxa"/>
            <w:right w:w="45" w:type="dxa"/>
          </w:tblCellMar>
        </w:tblPrEx>
        <w:trPr>
          <w:trHeight w:val="75" w:hRule="atLeast"/>
          <w:jc w:val="center"/>
        </w:trPr>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18838117">
            <w:pPr>
              <w:spacing w:line="360" w:lineRule="auto"/>
            </w:pPr>
            <w:r>
              <w:rPr>
                <w:rFonts w:ascii="Times New Roman" w:hAnsi="Times New Roman"/>
                <w:color w:val="000000"/>
                <w:sz w:val="18"/>
              </w:rPr>
              <w:t>第i排车轮</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172837A6">
            <w:pPr>
              <w:spacing w:line="360" w:lineRule="auto"/>
            </w:pPr>
            <w:r>
              <w:rPr>
                <w:rFonts w:ascii="Times New Roman" w:hAnsi="Times New Roman"/>
                <w:color w:val="000000"/>
                <w:sz w:val="18"/>
              </w:rPr>
              <w:t>依次轴距(mm)</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2FE6648D">
            <w:pPr>
              <w:spacing w:line="360" w:lineRule="auto"/>
            </w:pPr>
            <w:r>
              <w:rPr>
                <w:rFonts w:ascii="Times New Roman" w:hAnsi="Times New Roman"/>
                <w:color w:val="000000"/>
                <w:sz w:val="18"/>
              </w:rPr>
              <w:t>轴荷(吨)</w:t>
            </w:r>
          </w:p>
        </w:tc>
      </w:tr>
      <w:tr w14:paraId="4B772C44">
        <w:tblPrEx>
          <w:tblCellMar>
            <w:top w:w="45" w:type="dxa"/>
            <w:left w:w="45" w:type="dxa"/>
            <w:bottom w:w="45" w:type="dxa"/>
            <w:right w:w="45" w:type="dxa"/>
          </w:tblCellMar>
        </w:tblPrEx>
        <w:trPr>
          <w:trHeight w:val="75" w:hRule="atLeast"/>
          <w:jc w:val="center"/>
        </w:trPr>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19133381">
            <w:pPr>
              <w:spacing w:line="360" w:lineRule="auto"/>
            </w:pPr>
            <w:r>
              <w:rPr>
                <w:rFonts w:ascii="Times New Roman" w:hAnsi="Times New Roman"/>
                <w:color w:val="000000"/>
                <w:sz w:val="18"/>
              </w:rPr>
              <w:t>2</w:t>
            </w:r>
          </w:p>
        </w:tc>
        <w:tc>
          <w:tcPr>
            <w:tcW w:w="2355" w:type="dxa"/>
            <w:shd w:val="clear" w:color="auto" w:fill="FFFFFF"/>
            <w:vAlign w:val="center"/>
          </w:tcPr>
          <w:p w14:paraId="42680742">
            <w:pPr>
              <w:spacing w:line="360" w:lineRule="auto"/>
            </w:pPr>
            <w:r>
              <w:rPr>
                <w:rFonts w:ascii="Times New Roman" w:hAnsi="Times New Roman"/>
                <w:color w:val="000000"/>
                <w:sz w:val="18"/>
              </w:rPr>
              <w:t>4580</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1D518995">
            <w:pPr>
              <w:spacing w:line="360" w:lineRule="auto"/>
            </w:pPr>
            <w:r>
              <w:rPr>
                <w:rFonts w:ascii="Times New Roman" w:hAnsi="Times New Roman"/>
                <w:color w:val="000000"/>
                <w:sz w:val="18"/>
              </w:rPr>
              <w:t>12.75</w:t>
            </w:r>
          </w:p>
        </w:tc>
      </w:tr>
      <w:tr w14:paraId="07115A59">
        <w:tblPrEx>
          <w:tblCellMar>
            <w:top w:w="45" w:type="dxa"/>
            <w:left w:w="45" w:type="dxa"/>
            <w:bottom w:w="45" w:type="dxa"/>
            <w:right w:w="45" w:type="dxa"/>
          </w:tblCellMar>
        </w:tblPrEx>
        <w:trPr>
          <w:trHeight w:val="75" w:hRule="atLeast"/>
          <w:jc w:val="center"/>
        </w:trPr>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35033A3A">
            <w:pPr>
              <w:spacing w:line="360" w:lineRule="auto"/>
            </w:pPr>
            <w:r>
              <w:rPr>
                <w:rFonts w:ascii="Times New Roman" w:hAnsi="Times New Roman"/>
                <w:color w:val="000000"/>
                <w:sz w:val="18"/>
              </w:rPr>
              <w:t>3</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6CA46AFC">
            <w:pPr>
              <w:spacing w:line="360" w:lineRule="auto"/>
            </w:pPr>
            <w:r>
              <w:rPr>
                <w:rFonts w:ascii="Times New Roman" w:hAnsi="Times New Roman"/>
                <w:color w:val="000000"/>
                <w:sz w:val="18"/>
              </w:rPr>
              <w:t>1350</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516FADDB">
            <w:pPr>
              <w:spacing w:line="360" w:lineRule="auto"/>
            </w:pPr>
            <w:r>
              <w:rPr>
                <w:rFonts w:ascii="Times New Roman" w:hAnsi="Times New Roman"/>
                <w:color w:val="000000"/>
                <w:sz w:val="18"/>
              </w:rPr>
              <w:t>12.75</w:t>
            </w:r>
          </w:p>
        </w:tc>
      </w:tr>
    </w:tbl>
    <w:p w14:paraId="0B0341AF">
      <w:pPr>
        <w:spacing w:line="360" w:lineRule="auto"/>
        <w:ind w:left="0" w:leftChars="0" w:firstLine="0" w:firstLineChars="0"/>
        <w:jc w:val="both"/>
      </w:pPr>
      <w:r>
        <w:drawing>
          <wp:inline distT="0" distB="0" distL="0" distR="0">
            <wp:extent cx="5812790" cy="2943225"/>
            <wp:effectExtent l="0" t="0" r="16510" b="9525"/>
            <wp:docPr id="1"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 1"/>
                    <pic:cNvPicPr>
                      <a:picLocks noChangeAspect="1"/>
                    </pic:cNvPicPr>
                  </pic:nvPicPr>
                  <pic:blipFill>
                    <a:blip r:embed="rId28" cstate="print"/>
                    <a:stretch>
                      <a:fillRect/>
                    </a:stretch>
                  </pic:blipFill>
                  <pic:spPr>
                    <a:xfrm>
                      <a:off x="0" y="0"/>
                      <a:ext cx="5812790" cy="2943225"/>
                    </a:xfrm>
                    <a:prstGeom prst="rect">
                      <a:avLst/>
                    </a:prstGeom>
                  </pic:spPr>
                </pic:pic>
              </a:graphicData>
            </a:graphic>
          </wp:inline>
        </w:drawing>
      </w:r>
    </w:p>
    <w:p w14:paraId="56780D65">
      <w:pPr>
        <w:spacing w:line="360" w:lineRule="auto"/>
        <w:jc w:val="center"/>
      </w:pPr>
      <w:r>
        <w:fldChar w:fldCharType="begin"/>
      </w:r>
      <w:r>
        <w:instrText xml:space="preserve"> HYPERLINK "file:///D:\\品茗软件\\品茗施工云安全计算软件2025版（V4.0）\\OutPut\\液压汽车起重机吊装计算_3_支腿力计算简图.dwg" \h </w:instrText>
      </w:r>
      <w:r>
        <w:fldChar w:fldCharType="separate"/>
      </w:r>
      <w:r>
        <w:rPr>
          <w:rFonts w:ascii="Times New Roman" w:hAnsi="Times New Roman"/>
          <w:color w:val="000080"/>
          <w:sz w:val="24"/>
          <w:u w:val="single"/>
        </w:rPr>
        <w:t>支腿力计算简图</w:t>
      </w:r>
      <w:r>
        <w:rPr>
          <w:rFonts w:ascii="Times New Roman" w:hAnsi="Times New Roman"/>
          <w:color w:val="000080"/>
          <w:sz w:val="24"/>
          <w:u w:val="single"/>
        </w:rPr>
        <w:fldChar w:fldCharType="end"/>
      </w:r>
    </w:p>
    <w:p w14:paraId="2F8153AD">
      <w:pPr>
        <w:spacing w:line="360" w:lineRule="auto"/>
      </w:pPr>
      <w:r>
        <w:rPr>
          <w:rFonts w:ascii="Times New Roman" w:hAnsi="Times New Roman"/>
          <w:color w:val="000000"/>
          <w:sz w:val="24"/>
        </w:rPr>
        <w:t xml:space="preserve">    在吊装过程中，支腿荷载主要有包括以下几部分荷载产生，起重机自重（通过在不同位置的各车轮轴荷代替）对各支腿产生的荷载F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b1</w:t>
      </w:r>
      <w:r>
        <w:rPr>
          <w:rFonts w:ascii="Times New Roman" w:hAnsi="Times New Roman"/>
          <w:color w:val="000000"/>
          <w:sz w:val="24"/>
        </w:rPr>
        <w:t>、F</w:t>
      </w:r>
      <w:r>
        <w:rPr>
          <w:rFonts w:ascii="Times New Roman" w:hAnsi="Times New Roman"/>
          <w:color w:val="000000"/>
          <w:sz w:val="24"/>
          <w:vertAlign w:val="subscript"/>
        </w:rPr>
        <w:t>c1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；吊重分解到X方向对各支腿产生的荷载F</w:t>
      </w:r>
      <w:r>
        <w:rPr>
          <w:rFonts w:ascii="Times New Roman" w:hAnsi="Times New Roman"/>
          <w:color w:val="000000"/>
          <w:sz w:val="24"/>
          <w:vertAlign w:val="subscript"/>
        </w:rPr>
        <w:t>ax</w:t>
      </w:r>
      <w:r>
        <w:rPr>
          <w:rFonts w:ascii="Times New Roman" w:hAnsi="Times New Roman"/>
          <w:color w:val="000000"/>
          <w:sz w:val="24"/>
        </w:rPr>
        <w:t>、F</w:t>
      </w:r>
      <w:r>
        <w:rPr>
          <w:rFonts w:ascii="Times New Roman" w:hAnsi="Times New Roman"/>
          <w:color w:val="000000"/>
          <w:sz w:val="24"/>
          <w:vertAlign w:val="subscript"/>
        </w:rPr>
        <w:t>bx</w:t>
      </w:r>
      <w:r>
        <w:rPr>
          <w:rFonts w:ascii="Times New Roman" w:hAnsi="Times New Roman"/>
          <w:color w:val="000000"/>
          <w:sz w:val="24"/>
        </w:rPr>
        <w:t>、F</w:t>
      </w:r>
      <w:r>
        <w:rPr>
          <w:rFonts w:ascii="Times New Roman" w:hAnsi="Times New Roman"/>
          <w:color w:val="000000"/>
          <w:sz w:val="24"/>
          <w:vertAlign w:val="subscript"/>
        </w:rPr>
        <w:t>cx</w:t>
      </w:r>
      <w:r>
        <w:rPr>
          <w:rFonts w:ascii="Times New Roman" w:hAnsi="Times New Roman"/>
          <w:color w:val="000000"/>
          <w:sz w:val="24"/>
        </w:rPr>
        <w:t>、F</w:t>
      </w:r>
      <w:r>
        <w:rPr>
          <w:rFonts w:ascii="Times New Roman" w:hAnsi="Times New Roman"/>
          <w:color w:val="000000"/>
          <w:sz w:val="24"/>
          <w:vertAlign w:val="subscript"/>
        </w:rPr>
        <w:t>dx</w:t>
      </w:r>
      <w:r>
        <w:rPr>
          <w:rFonts w:ascii="Times New Roman" w:hAnsi="Times New Roman"/>
          <w:color w:val="000000"/>
          <w:sz w:val="24"/>
        </w:rPr>
        <w:t>； 吊重分解到Y方向对各支腿产生的荷载F</w:t>
      </w:r>
      <w:r>
        <w:rPr>
          <w:rFonts w:ascii="Times New Roman" w:hAnsi="Times New Roman"/>
          <w:color w:val="000000"/>
          <w:sz w:val="24"/>
          <w:vertAlign w:val="subscript"/>
        </w:rPr>
        <w:t>ay</w:t>
      </w:r>
      <w:r>
        <w:rPr>
          <w:rFonts w:ascii="Times New Roman" w:hAnsi="Times New Roman"/>
          <w:color w:val="000000"/>
          <w:sz w:val="24"/>
        </w:rPr>
        <w:t>、F</w:t>
      </w:r>
      <w:r>
        <w:rPr>
          <w:rFonts w:ascii="Times New Roman" w:hAnsi="Times New Roman"/>
          <w:color w:val="000000"/>
          <w:sz w:val="24"/>
          <w:vertAlign w:val="subscript"/>
        </w:rPr>
        <w:t>by</w:t>
      </w:r>
      <w:r>
        <w:rPr>
          <w:rFonts w:ascii="Times New Roman" w:hAnsi="Times New Roman"/>
          <w:color w:val="000000"/>
          <w:sz w:val="24"/>
        </w:rPr>
        <w:t>、F</w:t>
      </w:r>
      <w:r>
        <w:rPr>
          <w:rFonts w:ascii="Times New Roman" w:hAnsi="Times New Roman"/>
          <w:color w:val="000000"/>
          <w:sz w:val="24"/>
          <w:vertAlign w:val="subscript"/>
        </w:rPr>
        <w:t>cy</w:t>
      </w:r>
      <w:r>
        <w:rPr>
          <w:rFonts w:ascii="Times New Roman" w:hAnsi="Times New Roman"/>
          <w:color w:val="000000"/>
          <w:sz w:val="24"/>
        </w:rPr>
        <w:t>、F</w:t>
      </w:r>
      <w:r>
        <w:rPr>
          <w:rFonts w:ascii="Times New Roman" w:hAnsi="Times New Roman"/>
          <w:color w:val="000000"/>
          <w:sz w:val="24"/>
          <w:vertAlign w:val="subscript"/>
        </w:rPr>
        <w:t>dy</w:t>
      </w:r>
      <w:r>
        <w:rPr>
          <w:rFonts w:ascii="Times New Roman" w:hAnsi="Times New Roman"/>
          <w:color w:val="000000"/>
          <w:sz w:val="24"/>
        </w:rPr>
        <w:t>；</w:t>
      </w:r>
    </w:p>
    <w:p w14:paraId="288BFE09">
      <w:pPr>
        <w:spacing w:line="360" w:lineRule="auto"/>
        <w:ind w:left="0" w:leftChars="0" w:firstLine="0" w:firstLineChars="0"/>
        <w:jc w:val="both"/>
      </w:pPr>
      <w:r>
        <w:drawing>
          <wp:inline distT="0" distB="0" distL="0" distR="0">
            <wp:extent cx="5695315" cy="3435985"/>
            <wp:effectExtent l="0" t="0" r="635" b="12065"/>
            <wp:docPr id="2" name="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 2"/>
                    <pic:cNvPicPr>
                      <a:picLocks noChangeAspect="1"/>
                    </pic:cNvPicPr>
                  </pic:nvPicPr>
                  <pic:blipFill>
                    <a:blip r:embed="rId29" cstate="print"/>
                    <a:stretch>
                      <a:fillRect/>
                    </a:stretch>
                  </pic:blipFill>
                  <pic:spPr>
                    <a:xfrm>
                      <a:off x="0" y="0"/>
                      <a:ext cx="5695315" cy="3435985"/>
                    </a:xfrm>
                    <a:prstGeom prst="rect">
                      <a:avLst/>
                    </a:prstGeom>
                  </pic:spPr>
                </pic:pic>
              </a:graphicData>
            </a:graphic>
          </wp:inline>
        </w:drawing>
      </w:r>
    </w:p>
    <w:p w14:paraId="2E599FA3">
      <w:pPr>
        <w:spacing w:line="360" w:lineRule="auto"/>
      </w:pPr>
      <w:r>
        <w:rPr>
          <w:rFonts w:ascii="Times New Roman" w:hAnsi="Times New Roman"/>
          <w:b/>
          <w:color w:val="000000"/>
          <w:sz w:val="24"/>
        </w:rPr>
        <w:t xml:space="preserve">   1）起重机自重各支腿产生的荷载计算</w:t>
      </w:r>
    </w:p>
    <w:p w14:paraId="60C4FD75">
      <w:pPr>
        <w:spacing w:line="360" w:lineRule="auto"/>
      </w:pPr>
      <w:r>
        <w:rPr>
          <w:rFonts w:ascii="Times New Roman" w:hAnsi="Times New Roman"/>
          <w:color w:val="000000"/>
          <w:sz w:val="24"/>
        </w:rPr>
        <w:t xml:space="preserve">    起重机自重G等于各轴荷载总和，G=32.2吨</w:t>
      </w:r>
    </w:p>
    <w:p w14:paraId="0985161A">
      <w:pPr>
        <w:spacing w:line="360" w:lineRule="auto"/>
      </w:pPr>
      <w:r>
        <w:rPr>
          <w:rFonts w:ascii="Times New Roman" w:hAnsi="Times New Roman"/>
          <w:color w:val="000000"/>
          <w:sz w:val="24"/>
        </w:rPr>
        <w:t xml:space="preserve">    第1轴：荷载为F</w:t>
      </w:r>
      <w:r>
        <w:rPr>
          <w:rFonts w:ascii="Times New Roman" w:hAnsi="Times New Roman"/>
          <w:color w:val="000000"/>
          <w:sz w:val="24"/>
          <w:vertAlign w:val="subscript"/>
        </w:rPr>
        <w:t>1</w:t>
      </w:r>
      <w:r>
        <w:rPr>
          <w:rFonts w:ascii="Times New Roman" w:hAnsi="Times New Roman"/>
          <w:color w:val="000000"/>
          <w:sz w:val="24"/>
        </w:rPr>
        <w:t>=6.7吨，距离后支腿距离L</w:t>
      </w:r>
      <w:r>
        <w:rPr>
          <w:rFonts w:ascii="Times New Roman" w:hAnsi="Times New Roman"/>
          <w:color w:val="000000"/>
          <w:sz w:val="24"/>
          <w:vertAlign w:val="subscript"/>
        </w:rPr>
        <w:t>1</w:t>
      </w:r>
      <w:r>
        <w:rPr>
          <w:rFonts w:ascii="Times New Roman" w:hAnsi="Times New Roman"/>
          <w:color w:val="000000"/>
          <w:sz w:val="24"/>
        </w:rPr>
        <w:t>=4.58+1.35+1.5=7.43m</w:t>
      </w:r>
    </w:p>
    <w:p w14:paraId="2F96A238">
      <w:pPr>
        <w:spacing w:line="360" w:lineRule="auto"/>
      </w:pPr>
      <w:r>
        <w:rPr>
          <w:rFonts w:ascii="Times New Roman" w:hAnsi="Times New Roman"/>
          <w:color w:val="000000"/>
          <w:sz w:val="24"/>
        </w:rPr>
        <w:t xml:space="preserve">    第2轴：荷载为F</w:t>
      </w:r>
      <w:r>
        <w:rPr>
          <w:rFonts w:ascii="Times New Roman" w:hAnsi="Times New Roman"/>
          <w:color w:val="000000"/>
          <w:sz w:val="24"/>
          <w:vertAlign w:val="subscript"/>
        </w:rPr>
        <w:t>2</w:t>
      </w:r>
      <w:r>
        <w:rPr>
          <w:rFonts w:ascii="Times New Roman" w:hAnsi="Times New Roman"/>
          <w:color w:val="000000"/>
          <w:sz w:val="24"/>
        </w:rPr>
        <w:t>=12.75吨，距离后支腿距离L</w:t>
      </w:r>
      <w:r>
        <w:rPr>
          <w:rFonts w:ascii="Times New Roman" w:hAnsi="Times New Roman"/>
          <w:color w:val="000000"/>
          <w:sz w:val="24"/>
          <w:vertAlign w:val="subscript"/>
        </w:rPr>
        <w:t>2</w:t>
      </w:r>
      <w:r>
        <w:rPr>
          <w:rFonts w:ascii="Times New Roman" w:hAnsi="Times New Roman"/>
          <w:color w:val="000000"/>
          <w:sz w:val="24"/>
        </w:rPr>
        <w:t>=1.35+1.5=2.85m</w:t>
      </w:r>
    </w:p>
    <w:p w14:paraId="7793345E">
      <w:pPr>
        <w:spacing w:line="360" w:lineRule="auto"/>
      </w:pPr>
      <w:r>
        <w:rPr>
          <w:rFonts w:ascii="Times New Roman" w:hAnsi="Times New Roman"/>
          <w:color w:val="000000"/>
          <w:sz w:val="24"/>
        </w:rPr>
        <w:t xml:space="preserve">    第3轴：荷载为F</w:t>
      </w:r>
      <w:r>
        <w:rPr>
          <w:rFonts w:ascii="Times New Roman" w:hAnsi="Times New Roman"/>
          <w:color w:val="000000"/>
          <w:sz w:val="24"/>
          <w:vertAlign w:val="subscript"/>
        </w:rPr>
        <w:t>3</w:t>
      </w:r>
      <w:r>
        <w:rPr>
          <w:rFonts w:ascii="Times New Roman" w:hAnsi="Times New Roman"/>
          <w:color w:val="000000"/>
          <w:sz w:val="24"/>
        </w:rPr>
        <w:t>=12.75吨，距离后支腿距离L</w:t>
      </w:r>
      <w:r>
        <w:rPr>
          <w:rFonts w:ascii="Times New Roman" w:hAnsi="Times New Roman"/>
          <w:color w:val="000000"/>
          <w:sz w:val="24"/>
          <w:vertAlign w:val="subscript"/>
        </w:rPr>
        <w:t>3</w:t>
      </w:r>
      <w:r>
        <w:rPr>
          <w:rFonts w:ascii="Times New Roman" w:hAnsi="Times New Roman"/>
          <w:color w:val="000000"/>
          <w:sz w:val="24"/>
        </w:rPr>
        <w:t>=1.5m</w:t>
      </w:r>
    </w:p>
    <w:p w14:paraId="51E1E0A6">
      <w:pPr>
        <w:spacing w:line="360" w:lineRule="auto"/>
      </w:pPr>
      <w:r>
        <w:rPr>
          <w:rFonts w:ascii="Times New Roman" w:hAnsi="Times New Roman"/>
          <w:color w:val="000000"/>
          <w:sz w:val="24"/>
        </w:rPr>
        <w:t xml:space="preserve">    通过各轴荷载F</w:t>
      </w:r>
      <w:r>
        <w:rPr>
          <w:rFonts w:ascii="Times New Roman" w:hAnsi="Times New Roman"/>
          <w:color w:val="000000"/>
          <w:sz w:val="24"/>
          <w:vertAlign w:val="subscript"/>
        </w:rPr>
        <w:t>i</w:t>
      </w:r>
      <w:r>
        <w:rPr>
          <w:rFonts w:ascii="Times New Roman" w:hAnsi="Times New Roman"/>
          <w:color w:val="000000"/>
          <w:sz w:val="24"/>
        </w:rPr>
        <w:t>以及前支腿荷载分别对后支腿取矩得到</w:t>
      </w:r>
    </w:p>
    <w:p w14:paraId="7609BCE7">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1</w:t>
      </w:r>
      <w:r>
        <w:rPr>
          <w:rFonts w:ascii="Times New Roman" w:hAnsi="Times New Roman"/>
          <w:color w:val="000000"/>
          <w:sz w:val="24"/>
        </w:rPr>
        <w:t>×L</w:t>
      </w:r>
      <w:r>
        <w:rPr>
          <w:rFonts w:ascii="Times New Roman" w:hAnsi="Times New Roman"/>
          <w:color w:val="000000"/>
          <w:sz w:val="24"/>
          <w:vertAlign w:val="subscript"/>
        </w:rPr>
        <w:t>1</w:t>
      </w:r>
      <w:r>
        <w:rPr>
          <w:rFonts w:ascii="Times New Roman" w:hAnsi="Times New Roman"/>
          <w:color w:val="000000"/>
          <w:sz w:val="24"/>
        </w:rPr>
        <w:t>+F</w:t>
      </w:r>
      <w:r>
        <w:rPr>
          <w:rFonts w:ascii="Times New Roman" w:hAnsi="Times New Roman"/>
          <w:color w:val="000000"/>
          <w:sz w:val="24"/>
          <w:vertAlign w:val="subscript"/>
        </w:rPr>
        <w:t>2</w:t>
      </w:r>
      <w:r>
        <w:rPr>
          <w:rFonts w:ascii="Times New Roman" w:hAnsi="Times New Roman"/>
          <w:color w:val="000000"/>
          <w:sz w:val="24"/>
        </w:rPr>
        <w:t>×L</w:t>
      </w:r>
      <w:r>
        <w:rPr>
          <w:rFonts w:ascii="Times New Roman" w:hAnsi="Times New Roman"/>
          <w:color w:val="000000"/>
          <w:sz w:val="24"/>
          <w:vertAlign w:val="subscript"/>
        </w:rPr>
        <w:t>2</w:t>
      </w:r>
      <w:r>
        <w:rPr>
          <w:rFonts w:ascii="Times New Roman" w:hAnsi="Times New Roman"/>
          <w:color w:val="000000"/>
          <w:sz w:val="24"/>
        </w:rPr>
        <w:t>+F</w:t>
      </w:r>
      <w:r>
        <w:rPr>
          <w:rFonts w:ascii="Times New Roman" w:hAnsi="Times New Roman"/>
          <w:color w:val="000000"/>
          <w:sz w:val="24"/>
          <w:vertAlign w:val="subscript"/>
        </w:rPr>
        <w:t>3</w:t>
      </w:r>
      <w:r>
        <w:rPr>
          <w:rFonts w:ascii="Times New Roman" w:hAnsi="Times New Roman"/>
          <w:color w:val="000000"/>
          <w:sz w:val="24"/>
        </w:rPr>
        <w:t>×L</w:t>
      </w:r>
      <w:r>
        <w:rPr>
          <w:rFonts w:ascii="Times New Roman" w:hAnsi="Times New Roman"/>
          <w:color w:val="000000"/>
          <w:sz w:val="24"/>
          <w:vertAlign w:val="subscript"/>
        </w:rPr>
        <w:t>3</w:t>
      </w:r>
      <w:r>
        <w:rPr>
          <w:rFonts w:ascii="Times New Roman" w:hAnsi="Times New Roman"/>
          <w:color w:val="000000"/>
          <w:sz w:val="24"/>
        </w:rPr>
        <w:t>-(F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)×L=0</w:t>
      </w:r>
    </w:p>
    <w:p w14:paraId="3D551807">
      <w:pPr>
        <w:spacing w:line="360" w:lineRule="auto"/>
      </w:pPr>
      <w:r>
        <w:rPr>
          <w:rFonts w:ascii="Times New Roman" w:hAnsi="Times New Roman"/>
          <w:color w:val="000000"/>
          <w:sz w:val="24"/>
        </w:rPr>
        <w:t xml:space="preserve">    6.7×7.43+12.75×2.85+12.75×1.5-(F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)×5.28=0</w:t>
      </w:r>
    </w:p>
    <w:p w14:paraId="642D48BA">
      <w:pPr>
        <w:spacing w:line="360" w:lineRule="auto"/>
      </w:pPr>
      <w:r>
        <w:rPr>
          <w:rFonts w:ascii="Times New Roman" w:hAnsi="Times New Roman"/>
          <w:color w:val="000000"/>
          <w:sz w:val="24"/>
        </w:rPr>
        <w:t xml:space="preserve">    并且F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，得到：</w:t>
      </w:r>
    </w:p>
    <w:p w14:paraId="20302FA3">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=9.966吨</w:t>
      </w:r>
    </w:p>
    <w:p w14:paraId="4C93EA18">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b1</w:t>
      </w:r>
      <w:r>
        <w:rPr>
          <w:rFonts w:ascii="Times New Roman" w:hAnsi="Times New Roman"/>
          <w:color w:val="000000"/>
          <w:sz w:val="24"/>
        </w:rPr>
        <w:t>=F</w:t>
      </w:r>
      <w:r>
        <w:rPr>
          <w:rFonts w:ascii="Times New Roman" w:hAnsi="Times New Roman"/>
          <w:color w:val="000000"/>
          <w:sz w:val="24"/>
          <w:vertAlign w:val="subscript"/>
        </w:rPr>
        <w:t>c1</w:t>
      </w:r>
      <w:r>
        <w:rPr>
          <w:rFonts w:ascii="Times New Roman" w:hAnsi="Times New Roman"/>
          <w:color w:val="000000"/>
          <w:sz w:val="24"/>
        </w:rPr>
        <w:t>=[G-(F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)]/2=[32.2-(9.966+9.966)]/2=6.134吨</w:t>
      </w:r>
    </w:p>
    <w:p w14:paraId="11359831">
      <w:pPr>
        <w:spacing w:line="360" w:lineRule="auto"/>
      </w:pPr>
      <w:r>
        <w:rPr>
          <w:rFonts w:ascii="Times New Roman" w:hAnsi="Times New Roman"/>
          <w:color w:val="000000"/>
          <w:sz w:val="24"/>
        </w:rPr>
        <w:t xml:space="preserve">    将吊重对支腿产生的影响分成吊重移动至回转中心后竖向力对支腿产生荷载+吊重幅度产生的弯矩对支腿力荷载</w:t>
      </w:r>
    </w:p>
    <w:p w14:paraId="1164AE9A">
      <w:pPr>
        <w:spacing w:line="360" w:lineRule="auto"/>
      </w:pPr>
      <w:r>
        <w:rPr>
          <w:rFonts w:ascii="Times New Roman" w:hAnsi="Times New Roman"/>
          <w:b/>
          <w:color w:val="000000"/>
          <w:sz w:val="24"/>
        </w:rPr>
        <w:t xml:space="preserve">  3、吊重移至回转中心后竖向力对支腿产生荷载计算</w:t>
      </w:r>
    </w:p>
    <w:p w14:paraId="6B9F95C5">
      <w:pPr>
        <w:spacing w:line="360" w:lineRule="auto"/>
      </w:pPr>
      <w:r>
        <w:rPr>
          <w:rFonts w:ascii="Times New Roman" w:hAnsi="Times New Roman"/>
          <w:color w:val="000000"/>
          <w:sz w:val="24"/>
        </w:rPr>
        <w:t xml:space="preserve">    k×G</w:t>
      </w:r>
      <w:r>
        <w:rPr>
          <w:rFonts w:ascii="Times New Roman" w:hAnsi="Times New Roman"/>
          <w:color w:val="000000"/>
          <w:sz w:val="24"/>
          <w:vertAlign w:val="subscript"/>
        </w:rPr>
        <w:t>w</w:t>
      </w:r>
      <w:r>
        <w:rPr>
          <w:rFonts w:ascii="Times New Roman" w:hAnsi="Times New Roman"/>
          <w:color w:val="000000"/>
          <w:sz w:val="24"/>
        </w:rPr>
        <w:t>×L</w:t>
      </w:r>
      <w:r>
        <w:rPr>
          <w:rFonts w:ascii="Times New Roman" w:hAnsi="Times New Roman"/>
          <w:color w:val="000000"/>
          <w:sz w:val="24"/>
          <w:vertAlign w:val="subscript"/>
        </w:rPr>
        <w:t>h</w:t>
      </w:r>
      <w:r>
        <w:rPr>
          <w:rFonts w:ascii="Times New Roman" w:hAnsi="Times New Roman"/>
          <w:color w:val="000000"/>
          <w:sz w:val="24"/>
        </w:rPr>
        <w:t>-(F</w:t>
      </w:r>
      <w:r>
        <w:rPr>
          <w:rFonts w:ascii="Times New Roman" w:hAnsi="Times New Roman"/>
          <w:color w:val="000000"/>
          <w:sz w:val="24"/>
          <w:vertAlign w:val="subscript"/>
        </w:rPr>
        <w:t>a2</w:t>
      </w:r>
      <w:r>
        <w:rPr>
          <w:rFonts w:ascii="Times New Roman" w:hAnsi="Times New Roman"/>
          <w:color w:val="000000"/>
          <w:sz w:val="24"/>
        </w:rPr>
        <w:t>+F</w:t>
      </w:r>
      <w:r>
        <w:rPr>
          <w:rFonts w:ascii="Times New Roman" w:hAnsi="Times New Roman"/>
          <w:color w:val="000000"/>
          <w:sz w:val="24"/>
          <w:vertAlign w:val="subscript"/>
        </w:rPr>
        <w:t>d2</w:t>
      </w:r>
      <w:r>
        <w:rPr>
          <w:rFonts w:ascii="Times New Roman" w:hAnsi="Times New Roman"/>
          <w:color w:val="000000"/>
          <w:sz w:val="24"/>
        </w:rPr>
        <w:t>)×L=0</w:t>
      </w:r>
    </w:p>
    <w:p w14:paraId="785C9E38">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a2</w:t>
      </w:r>
      <w:r>
        <w:rPr>
          <w:rFonts w:ascii="Times New Roman" w:hAnsi="Times New Roman"/>
          <w:color w:val="000000"/>
          <w:sz w:val="24"/>
        </w:rPr>
        <w:t>=F</w:t>
      </w:r>
      <w:r>
        <w:rPr>
          <w:rFonts w:ascii="Times New Roman" w:hAnsi="Times New Roman"/>
          <w:color w:val="000000"/>
          <w:sz w:val="24"/>
          <w:vertAlign w:val="subscript"/>
        </w:rPr>
        <w:t>d2</w:t>
      </w:r>
      <w:r>
        <w:rPr>
          <w:rFonts w:ascii="Times New Roman" w:hAnsi="Times New Roman"/>
          <w:color w:val="000000"/>
          <w:sz w:val="24"/>
        </w:rPr>
        <w:t>=k×G</w:t>
      </w:r>
      <w:r>
        <w:rPr>
          <w:rFonts w:ascii="Times New Roman" w:hAnsi="Times New Roman"/>
          <w:color w:val="000000"/>
          <w:sz w:val="24"/>
          <w:vertAlign w:val="subscript"/>
        </w:rPr>
        <w:t>w</w:t>
      </w:r>
      <w:r>
        <w:rPr>
          <w:rFonts w:ascii="Times New Roman" w:hAnsi="Times New Roman"/>
          <w:color w:val="000000"/>
          <w:sz w:val="24"/>
        </w:rPr>
        <w:t>×L</w:t>
      </w:r>
      <w:r>
        <w:rPr>
          <w:rFonts w:ascii="Times New Roman" w:hAnsi="Times New Roman"/>
          <w:color w:val="000000"/>
          <w:sz w:val="24"/>
          <w:vertAlign w:val="subscript"/>
        </w:rPr>
        <w:t>h</w:t>
      </w:r>
      <w:r>
        <w:rPr>
          <w:rFonts w:ascii="Times New Roman" w:hAnsi="Times New Roman"/>
          <w:color w:val="000000"/>
          <w:sz w:val="24"/>
        </w:rPr>
        <w:t>/(2L)=1.2×5.723×2.175/(2×5.28)=1.414吨</w:t>
      </w:r>
    </w:p>
    <w:p w14:paraId="1479236C">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b2</w:t>
      </w:r>
      <w:r>
        <w:rPr>
          <w:rFonts w:ascii="Times New Roman" w:hAnsi="Times New Roman"/>
          <w:color w:val="000000"/>
          <w:sz w:val="24"/>
        </w:rPr>
        <w:t>=F</w:t>
      </w:r>
      <w:r>
        <w:rPr>
          <w:rFonts w:ascii="Times New Roman" w:hAnsi="Times New Roman"/>
          <w:color w:val="000000"/>
          <w:sz w:val="24"/>
          <w:vertAlign w:val="subscript"/>
        </w:rPr>
        <w:t>c2</w:t>
      </w:r>
      <w:r>
        <w:rPr>
          <w:rFonts w:ascii="Times New Roman" w:hAnsi="Times New Roman"/>
          <w:color w:val="000000"/>
          <w:sz w:val="24"/>
        </w:rPr>
        <w:t>=k×G</w:t>
      </w:r>
      <w:r>
        <w:rPr>
          <w:rFonts w:ascii="Times New Roman" w:hAnsi="Times New Roman"/>
          <w:color w:val="000000"/>
          <w:sz w:val="24"/>
          <w:vertAlign w:val="subscript"/>
        </w:rPr>
        <w:t>w</w:t>
      </w:r>
      <w:r>
        <w:rPr>
          <w:rFonts w:ascii="Times New Roman" w:hAnsi="Times New Roman"/>
          <w:color w:val="000000"/>
          <w:sz w:val="24"/>
        </w:rPr>
        <w:t>×(L-L</w:t>
      </w:r>
      <w:r>
        <w:rPr>
          <w:rFonts w:ascii="Times New Roman" w:hAnsi="Times New Roman"/>
          <w:color w:val="000000"/>
          <w:sz w:val="24"/>
          <w:vertAlign w:val="subscript"/>
        </w:rPr>
        <w:t>h</w:t>
      </w:r>
      <w:r>
        <w:rPr>
          <w:rFonts w:ascii="Times New Roman" w:hAnsi="Times New Roman"/>
          <w:color w:val="000000"/>
          <w:sz w:val="24"/>
        </w:rPr>
        <w:t>)/(2L)=1.2×5.723×(5.28-2.175)/(2×5.28)=2.019吨</w:t>
      </w:r>
    </w:p>
    <w:p w14:paraId="75D4A8D3">
      <w:pPr>
        <w:spacing w:line="360" w:lineRule="auto"/>
      </w:pPr>
      <w:r>
        <w:rPr>
          <w:rFonts w:ascii="Times New Roman" w:hAnsi="Times New Roman"/>
          <w:b/>
          <w:color w:val="000000"/>
          <w:sz w:val="24"/>
        </w:rPr>
        <w:t xml:space="preserve">   1）吊重考虑幅度后的弯矩对各支腿产生的荷载计算</w:t>
      </w:r>
    </w:p>
    <w:p w14:paraId="7BCD738D">
      <w:pPr>
        <w:spacing w:line="360" w:lineRule="auto"/>
      </w:pPr>
      <w:r>
        <w:rPr>
          <w:rFonts w:ascii="Times New Roman" w:hAnsi="Times New Roman"/>
          <w:b/>
          <w:color w:val="000000"/>
          <w:sz w:val="24"/>
        </w:rPr>
        <w:t xml:space="preserve">     ①求X方向吊重考虑幅度后的弯矩对各支腿荷载影响计算，各支腿荷载为F</w:t>
      </w:r>
      <w:r>
        <w:rPr>
          <w:rFonts w:ascii="Times New Roman" w:hAnsi="Times New Roman"/>
          <w:color w:val="000000"/>
          <w:sz w:val="24"/>
          <w:vertAlign w:val="subscript"/>
        </w:rPr>
        <w:t>ax</w:t>
      </w:r>
      <w:r>
        <w:rPr>
          <w:rFonts w:ascii="Times New Roman" w:hAnsi="Times New Roman"/>
          <w:b/>
          <w:color w:val="000000"/>
          <w:sz w:val="24"/>
        </w:rPr>
        <w:t>=F</w:t>
      </w:r>
      <w:r>
        <w:rPr>
          <w:rFonts w:ascii="Times New Roman" w:hAnsi="Times New Roman"/>
          <w:color w:val="000000"/>
          <w:sz w:val="24"/>
          <w:vertAlign w:val="subscript"/>
        </w:rPr>
        <w:t>dx</w:t>
      </w:r>
      <w:r>
        <w:rPr>
          <w:rFonts w:ascii="Times New Roman" w:hAnsi="Times New Roman"/>
          <w:b/>
          <w:color w:val="000000"/>
          <w:sz w:val="24"/>
        </w:rPr>
        <w:t>，F</w:t>
      </w:r>
      <w:r>
        <w:rPr>
          <w:rFonts w:ascii="Times New Roman" w:hAnsi="Times New Roman"/>
          <w:color w:val="000000"/>
          <w:sz w:val="24"/>
          <w:vertAlign w:val="subscript"/>
        </w:rPr>
        <w:t>bx</w:t>
      </w:r>
      <w:r>
        <w:rPr>
          <w:rFonts w:ascii="Times New Roman" w:hAnsi="Times New Roman"/>
          <w:b/>
          <w:color w:val="000000"/>
          <w:sz w:val="24"/>
        </w:rPr>
        <w:t>=F</w:t>
      </w:r>
      <w:r>
        <w:rPr>
          <w:rFonts w:ascii="Times New Roman" w:hAnsi="Times New Roman"/>
          <w:color w:val="000000"/>
          <w:sz w:val="24"/>
          <w:vertAlign w:val="subscript"/>
        </w:rPr>
        <w:t>cx</w:t>
      </w:r>
    </w:p>
    <w:p w14:paraId="5D59B5EE">
      <w:pPr>
        <w:spacing w:line="360" w:lineRule="auto"/>
        <w:ind w:left="0" w:leftChars="0" w:firstLine="0" w:firstLineChars="0"/>
        <w:jc w:val="center"/>
      </w:pPr>
      <w:r>
        <w:drawing>
          <wp:inline distT="0" distB="0" distL="0" distR="0">
            <wp:extent cx="4152900" cy="2638425"/>
            <wp:effectExtent l="0" t="0" r="0" b="9525"/>
            <wp:docPr id="64" name="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 3"/>
                    <pic:cNvPicPr>
                      <a:picLocks noChangeAspect="1"/>
                    </pic:cNvPicPr>
                  </pic:nvPicPr>
                  <pic:blipFill>
                    <a:blip r:embed="rId30" cstate="print"/>
                    <a:stretch>
                      <a:fillRect/>
                    </a:stretch>
                  </pic:blipFill>
                  <pic:spPr>
                    <a:xfrm>
                      <a:off x="0" y="0"/>
                      <a:ext cx="4152900" cy="2638425"/>
                    </a:xfrm>
                    <a:prstGeom prst="rect">
                      <a:avLst/>
                    </a:prstGeom>
                  </pic:spPr>
                </pic:pic>
              </a:graphicData>
            </a:graphic>
          </wp:inline>
        </w:drawing>
      </w:r>
    </w:p>
    <w:p w14:paraId="1DD6DEC7">
      <w:pPr>
        <w:spacing w:line="360" w:lineRule="auto"/>
      </w:pPr>
      <w:r>
        <w:rPr>
          <w:rFonts w:ascii="Times New Roman" w:hAnsi="Times New Roman"/>
          <w:color w:val="000000"/>
          <w:sz w:val="24"/>
        </w:rPr>
        <w:t xml:space="preserve">    (k×G</w:t>
      </w:r>
      <w:r>
        <w:rPr>
          <w:rFonts w:ascii="Times New Roman" w:hAnsi="Times New Roman"/>
          <w:color w:val="000000"/>
          <w:sz w:val="24"/>
          <w:vertAlign w:val="subscript"/>
        </w:rPr>
        <w:t>w</w:t>
      </w:r>
      <w:r>
        <w:rPr>
          <w:rFonts w:ascii="Times New Roman" w:hAnsi="Times New Roman"/>
          <w:color w:val="000000"/>
          <w:sz w:val="24"/>
        </w:rPr>
        <w:t>×R)cosβ-(F</w:t>
      </w:r>
      <w:r>
        <w:rPr>
          <w:rFonts w:ascii="Times New Roman" w:hAnsi="Times New Roman"/>
          <w:color w:val="000000"/>
          <w:sz w:val="24"/>
          <w:vertAlign w:val="subscript"/>
        </w:rPr>
        <w:t>bx</w:t>
      </w:r>
      <w:r>
        <w:rPr>
          <w:rFonts w:ascii="Times New Roman" w:hAnsi="Times New Roman"/>
          <w:color w:val="000000"/>
          <w:sz w:val="24"/>
        </w:rPr>
        <w:t>+F</w:t>
      </w:r>
      <w:r>
        <w:rPr>
          <w:rFonts w:ascii="Times New Roman" w:hAnsi="Times New Roman"/>
          <w:color w:val="000000"/>
          <w:sz w:val="24"/>
          <w:vertAlign w:val="subscript"/>
        </w:rPr>
        <w:t>cx</w:t>
      </w:r>
      <w:r>
        <w:rPr>
          <w:rFonts w:ascii="Times New Roman" w:hAnsi="Times New Roman"/>
          <w:color w:val="000000"/>
          <w:sz w:val="24"/>
        </w:rPr>
        <w:t>)×L=0</w:t>
      </w:r>
    </w:p>
    <w:p w14:paraId="587257F1">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bx</w:t>
      </w:r>
      <w:r>
        <w:rPr>
          <w:rFonts w:ascii="Times New Roman" w:hAnsi="Times New Roman"/>
          <w:color w:val="000000"/>
          <w:sz w:val="24"/>
        </w:rPr>
        <w:t>=F</w:t>
      </w:r>
      <w:r>
        <w:rPr>
          <w:rFonts w:ascii="Times New Roman" w:hAnsi="Times New Roman"/>
          <w:color w:val="000000"/>
          <w:sz w:val="24"/>
          <w:vertAlign w:val="subscript"/>
        </w:rPr>
        <w:t>cx</w:t>
      </w:r>
      <w:r>
        <w:rPr>
          <w:rFonts w:ascii="Times New Roman" w:hAnsi="Times New Roman"/>
          <w:color w:val="000000"/>
          <w:sz w:val="24"/>
        </w:rPr>
        <w:t>=(k×G</w:t>
      </w:r>
      <w:r>
        <w:rPr>
          <w:rFonts w:ascii="Times New Roman" w:hAnsi="Times New Roman"/>
          <w:color w:val="000000"/>
          <w:sz w:val="24"/>
          <w:vertAlign w:val="subscript"/>
        </w:rPr>
        <w:t>w</w:t>
      </w:r>
      <w:r>
        <w:rPr>
          <w:rFonts w:ascii="Times New Roman" w:hAnsi="Times New Roman"/>
          <w:color w:val="000000"/>
          <w:sz w:val="24"/>
        </w:rPr>
        <w:t>×R)×cosβ/(2L)=(1.2×5.723×11)×cosβ/(2×5.28)=7.154cosβ</w:t>
      </w:r>
    </w:p>
    <w:p w14:paraId="7AD7D73A">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ax</w:t>
      </w:r>
      <w:r>
        <w:rPr>
          <w:rFonts w:ascii="Times New Roman" w:hAnsi="Times New Roman"/>
          <w:color w:val="000000"/>
          <w:sz w:val="24"/>
        </w:rPr>
        <w:t>=F</w:t>
      </w:r>
      <w:r>
        <w:rPr>
          <w:rFonts w:ascii="Times New Roman" w:hAnsi="Times New Roman"/>
          <w:color w:val="000000"/>
          <w:sz w:val="24"/>
          <w:vertAlign w:val="subscript"/>
        </w:rPr>
        <w:t>dx</w:t>
      </w:r>
      <w:r>
        <w:rPr>
          <w:rFonts w:ascii="Times New Roman" w:hAnsi="Times New Roman"/>
          <w:color w:val="000000"/>
          <w:sz w:val="24"/>
        </w:rPr>
        <w:t>=-7.154cosβ</w:t>
      </w:r>
    </w:p>
    <w:p w14:paraId="4689E197">
      <w:pPr>
        <w:spacing w:line="360" w:lineRule="auto"/>
      </w:pPr>
      <w:r>
        <w:rPr>
          <w:rFonts w:ascii="Times New Roman" w:hAnsi="Times New Roman"/>
          <w:b/>
          <w:color w:val="000000"/>
          <w:sz w:val="24"/>
        </w:rPr>
        <w:t xml:space="preserve">     ②求Y方向吊重考虑幅度后的弯矩对各支腿荷载影响计算，各支腿荷载为F</w:t>
      </w:r>
      <w:r>
        <w:rPr>
          <w:rFonts w:ascii="Times New Roman" w:hAnsi="Times New Roman"/>
          <w:color w:val="000000"/>
          <w:sz w:val="24"/>
          <w:vertAlign w:val="subscript"/>
        </w:rPr>
        <w:t>ay</w:t>
      </w:r>
      <w:r>
        <w:rPr>
          <w:rFonts w:ascii="Times New Roman" w:hAnsi="Times New Roman"/>
          <w:b/>
          <w:color w:val="000000"/>
          <w:sz w:val="24"/>
        </w:rPr>
        <w:t>=F</w:t>
      </w:r>
      <w:r>
        <w:rPr>
          <w:rFonts w:ascii="Times New Roman" w:hAnsi="Times New Roman"/>
          <w:color w:val="000000"/>
          <w:sz w:val="24"/>
          <w:vertAlign w:val="subscript"/>
        </w:rPr>
        <w:t>by</w:t>
      </w:r>
      <w:r>
        <w:rPr>
          <w:rFonts w:ascii="Times New Roman" w:hAnsi="Times New Roman"/>
          <w:b/>
          <w:color w:val="000000"/>
          <w:sz w:val="24"/>
        </w:rPr>
        <w:t>，F</w:t>
      </w:r>
      <w:r>
        <w:rPr>
          <w:rFonts w:ascii="Times New Roman" w:hAnsi="Times New Roman"/>
          <w:color w:val="000000"/>
          <w:sz w:val="24"/>
          <w:vertAlign w:val="subscript"/>
        </w:rPr>
        <w:t>cy</w:t>
      </w:r>
      <w:r>
        <w:rPr>
          <w:rFonts w:ascii="Times New Roman" w:hAnsi="Times New Roman"/>
          <w:b/>
          <w:color w:val="000000"/>
          <w:sz w:val="24"/>
        </w:rPr>
        <w:t>=F</w:t>
      </w:r>
      <w:r>
        <w:rPr>
          <w:rFonts w:ascii="Times New Roman" w:hAnsi="Times New Roman"/>
          <w:color w:val="000000"/>
          <w:sz w:val="24"/>
          <w:vertAlign w:val="subscript"/>
        </w:rPr>
        <w:t>dy</w:t>
      </w:r>
    </w:p>
    <w:p w14:paraId="120B334B">
      <w:pPr>
        <w:spacing w:line="360" w:lineRule="auto"/>
        <w:ind w:left="0" w:leftChars="0" w:firstLine="0" w:firstLineChars="0"/>
        <w:jc w:val="center"/>
      </w:pPr>
      <w:r>
        <w:drawing>
          <wp:inline distT="0" distB="0" distL="0" distR="0">
            <wp:extent cx="4152900" cy="2638425"/>
            <wp:effectExtent l="0" t="0" r="0" b="9525"/>
            <wp:docPr id="65"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 4"/>
                    <pic:cNvPicPr>
                      <a:picLocks noChangeAspect="1"/>
                    </pic:cNvPicPr>
                  </pic:nvPicPr>
                  <pic:blipFill>
                    <a:blip r:embed="rId31" cstate="print"/>
                    <a:stretch>
                      <a:fillRect/>
                    </a:stretch>
                  </pic:blipFill>
                  <pic:spPr>
                    <a:xfrm>
                      <a:off x="0" y="0"/>
                      <a:ext cx="4152900" cy="2638425"/>
                    </a:xfrm>
                    <a:prstGeom prst="rect">
                      <a:avLst/>
                    </a:prstGeom>
                  </pic:spPr>
                </pic:pic>
              </a:graphicData>
            </a:graphic>
          </wp:inline>
        </w:drawing>
      </w:r>
    </w:p>
    <w:p w14:paraId="09D2AFBC">
      <w:pPr>
        <w:spacing w:line="360" w:lineRule="auto"/>
      </w:pPr>
      <w:r>
        <w:rPr>
          <w:rFonts w:ascii="Times New Roman" w:hAnsi="Times New Roman"/>
          <w:color w:val="000000"/>
          <w:sz w:val="24"/>
        </w:rPr>
        <w:t xml:space="preserve">    (k×G</w:t>
      </w:r>
      <w:r>
        <w:rPr>
          <w:rFonts w:ascii="Times New Roman" w:hAnsi="Times New Roman"/>
          <w:color w:val="000000"/>
          <w:sz w:val="24"/>
          <w:vertAlign w:val="subscript"/>
        </w:rPr>
        <w:t>w</w:t>
      </w:r>
      <w:r>
        <w:rPr>
          <w:rFonts w:ascii="Times New Roman" w:hAnsi="Times New Roman"/>
          <w:color w:val="000000"/>
          <w:sz w:val="24"/>
        </w:rPr>
        <w:t>×R)sinβ-(F</w:t>
      </w:r>
      <w:r>
        <w:rPr>
          <w:rFonts w:ascii="Times New Roman" w:hAnsi="Times New Roman"/>
          <w:color w:val="000000"/>
          <w:sz w:val="24"/>
          <w:vertAlign w:val="subscript"/>
        </w:rPr>
        <w:t>ay</w:t>
      </w:r>
      <w:r>
        <w:rPr>
          <w:rFonts w:ascii="Times New Roman" w:hAnsi="Times New Roman"/>
          <w:color w:val="000000"/>
          <w:sz w:val="24"/>
        </w:rPr>
        <w:t>+F</w:t>
      </w:r>
      <w:r>
        <w:rPr>
          <w:rFonts w:ascii="Times New Roman" w:hAnsi="Times New Roman"/>
          <w:color w:val="000000"/>
          <w:sz w:val="24"/>
          <w:vertAlign w:val="subscript"/>
        </w:rPr>
        <w:t>by</w:t>
      </w:r>
      <w:r>
        <w:rPr>
          <w:rFonts w:ascii="Times New Roman" w:hAnsi="Times New Roman"/>
          <w:color w:val="000000"/>
          <w:sz w:val="24"/>
        </w:rPr>
        <w:t>)×L=0</w:t>
      </w:r>
    </w:p>
    <w:p w14:paraId="3B9C18BE">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ay</w:t>
      </w:r>
      <w:r>
        <w:rPr>
          <w:rFonts w:ascii="Times New Roman" w:hAnsi="Times New Roman"/>
          <w:color w:val="000000"/>
          <w:sz w:val="24"/>
        </w:rPr>
        <w:t>=F</w:t>
      </w:r>
      <w:r>
        <w:rPr>
          <w:rFonts w:ascii="Times New Roman" w:hAnsi="Times New Roman"/>
          <w:color w:val="000000"/>
          <w:sz w:val="24"/>
          <w:vertAlign w:val="subscript"/>
        </w:rPr>
        <w:t>by</w:t>
      </w:r>
      <w:r>
        <w:rPr>
          <w:rFonts w:ascii="Times New Roman" w:hAnsi="Times New Roman"/>
          <w:color w:val="000000"/>
          <w:sz w:val="24"/>
        </w:rPr>
        <w:t>=(k×G</w:t>
      </w:r>
      <w:r>
        <w:rPr>
          <w:rFonts w:ascii="Times New Roman" w:hAnsi="Times New Roman"/>
          <w:color w:val="000000"/>
          <w:sz w:val="24"/>
          <w:vertAlign w:val="subscript"/>
        </w:rPr>
        <w:t>w</w:t>
      </w:r>
      <w:r>
        <w:rPr>
          <w:rFonts w:ascii="Times New Roman" w:hAnsi="Times New Roman"/>
          <w:color w:val="000000"/>
          <w:sz w:val="24"/>
        </w:rPr>
        <w:t>×R)×sinβ/(2L)=(1.2×5.723×11)×sinβ/(2×5.28)=7.154sinβ</w:t>
      </w:r>
    </w:p>
    <w:p w14:paraId="70B309EE">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cy</w:t>
      </w:r>
      <w:r>
        <w:rPr>
          <w:rFonts w:ascii="Times New Roman" w:hAnsi="Times New Roman"/>
          <w:color w:val="000000"/>
          <w:sz w:val="24"/>
        </w:rPr>
        <w:t>=F</w:t>
      </w:r>
      <w:r>
        <w:rPr>
          <w:rFonts w:ascii="Times New Roman" w:hAnsi="Times New Roman"/>
          <w:color w:val="000000"/>
          <w:sz w:val="24"/>
          <w:vertAlign w:val="subscript"/>
        </w:rPr>
        <w:t>dy</w:t>
      </w:r>
      <w:r>
        <w:rPr>
          <w:rFonts w:ascii="Times New Roman" w:hAnsi="Times New Roman"/>
          <w:color w:val="000000"/>
          <w:sz w:val="24"/>
        </w:rPr>
        <w:t>=-7.154sinβ</w:t>
      </w:r>
    </w:p>
    <w:p w14:paraId="24EDE70E">
      <w:pPr>
        <w:spacing w:line="360" w:lineRule="auto"/>
      </w:pPr>
      <w:r>
        <w:rPr>
          <w:rFonts w:ascii="Times New Roman" w:hAnsi="Times New Roman"/>
          <w:b/>
          <w:color w:val="000000"/>
          <w:sz w:val="24"/>
        </w:rPr>
        <w:t xml:space="preserve">   2）考虑各因素影响后，各支腿的荷载分别为：</w:t>
      </w:r>
    </w:p>
    <w:p w14:paraId="3144AE1C">
      <w:pPr>
        <w:spacing w:line="360" w:lineRule="auto"/>
      </w:pPr>
      <w:r>
        <w:rPr>
          <w:rFonts w:ascii="Times New Roman" w:hAnsi="Times New Roman"/>
          <w:color w:val="000000"/>
          <w:sz w:val="24"/>
        </w:rPr>
        <w:t xml:space="preserve">    支腿a:F</w:t>
      </w:r>
      <w:r>
        <w:rPr>
          <w:rFonts w:ascii="Times New Roman" w:hAnsi="Times New Roman"/>
          <w:color w:val="000000"/>
          <w:sz w:val="24"/>
          <w:vertAlign w:val="subscript"/>
        </w:rPr>
        <w:t>a</w:t>
      </w:r>
      <w:r>
        <w:rPr>
          <w:rFonts w:ascii="Times New Roman" w:hAnsi="Times New Roman"/>
          <w:color w:val="000000"/>
          <w:sz w:val="24"/>
        </w:rPr>
        <w:t>=F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a2</w:t>
      </w:r>
      <w:r>
        <w:rPr>
          <w:rFonts w:ascii="Times New Roman" w:hAnsi="Times New Roman"/>
          <w:color w:val="000000"/>
          <w:sz w:val="24"/>
        </w:rPr>
        <w:t>+F</w:t>
      </w:r>
      <w:r>
        <w:rPr>
          <w:rFonts w:ascii="Times New Roman" w:hAnsi="Times New Roman"/>
          <w:color w:val="000000"/>
          <w:sz w:val="24"/>
          <w:vertAlign w:val="subscript"/>
        </w:rPr>
        <w:t>ax</w:t>
      </w:r>
      <w:r>
        <w:rPr>
          <w:rFonts w:ascii="Times New Roman" w:hAnsi="Times New Roman"/>
          <w:color w:val="000000"/>
          <w:sz w:val="24"/>
        </w:rPr>
        <w:t>+F</w:t>
      </w:r>
      <w:r>
        <w:rPr>
          <w:rFonts w:ascii="Times New Roman" w:hAnsi="Times New Roman"/>
          <w:color w:val="000000"/>
          <w:sz w:val="24"/>
          <w:vertAlign w:val="subscript"/>
        </w:rPr>
        <w:t>ay</w:t>
      </w:r>
      <w:r>
        <w:rPr>
          <w:rFonts w:ascii="Times New Roman" w:hAnsi="Times New Roman"/>
          <w:color w:val="000000"/>
          <w:sz w:val="24"/>
        </w:rPr>
        <w:t>=9.966+1.414-7.154cosβ+7.154sinβ</w:t>
      </w:r>
    </w:p>
    <w:p w14:paraId="728F0A1D">
      <w:pPr>
        <w:spacing w:line="360" w:lineRule="auto"/>
      </w:pPr>
      <w:r>
        <w:rPr>
          <w:rFonts w:ascii="Times New Roman" w:hAnsi="Times New Roman"/>
          <w:color w:val="000000"/>
          <w:sz w:val="24"/>
        </w:rPr>
        <w:t xml:space="preserve">    支腿b:F</w:t>
      </w:r>
      <w:r>
        <w:rPr>
          <w:rFonts w:ascii="Times New Roman" w:hAnsi="Times New Roman"/>
          <w:color w:val="000000"/>
          <w:sz w:val="24"/>
          <w:vertAlign w:val="subscript"/>
        </w:rPr>
        <w:t>b</w:t>
      </w:r>
      <w:r>
        <w:rPr>
          <w:rFonts w:ascii="Times New Roman" w:hAnsi="Times New Roman"/>
          <w:color w:val="000000"/>
          <w:sz w:val="24"/>
        </w:rPr>
        <w:t>=F</w:t>
      </w:r>
      <w:r>
        <w:rPr>
          <w:rFonts w:ascii="Times New Roman" w:hAnsi="Times New Roman"/>
          <w:color w:val="000000"/>
          <w:sz w:val="24"/>
          <w:vertAlign w:val="subscript"/>
        </w:rPr>
        <w:t>b1</w:t>
      </w:r>
      <w:r>
        <w:rPr>
          <w:rFonts w:ascii="Times New Roman" w:hAnsi="Times New Roman"/>
          <w:color w:val="000000"/>
          <w:sz w:val="24"/>
        </w:rPr>
        <w:t>+F</w:t>
      </w:r>
      <w:r>
        <w:rPr>
          <w:rFonts w:ascii="Times New Roman" w:hAnsi="Times New Roman"/>
          <w:color w:val="000000"/>
          <w:sz w:val="24"/>
          <w:vertAlign w:val="subscript"/>
        </w:rPr>
        <w:t>b2</w:t>
      </w:r>
      <w:r>
        <w:rPr>
          <w:rFonts w:ascii="Times New Roman" w:hAnsi="Times New Roman"/>
          <w:color w:val="000000"/>
          <w:sz w:val="24"/>
        </w:rPr>
        <w:t>+F</w:t>
      </w:r>
      <w:r>
        <w:rPr>
          <w:rFonts w:ascii="Times New Roman" w:hAnsi="Times New Roman"/>
          <w:color w:val="000000"/>
          <w:sz w:val="24"/>
          <w:vertAlign w:val="subscript"/>
        </w:rPr>
        <w:t>bx</w:t>
      </w:r>
      <w:r>
        <w:rPr>
          <w:rFonts w:ascii="Times New Roman" w:hAnsi="Times New Roman"/>
          <w:color w:val="000000"/>
          <w:sz w:val="24"/>
        </w:rPr>
        <w:t>+F</w:t>
      </w:r>
      <w:r>
        <w:rPr>
          <w:rFonts w:ascii="Times New Roman" w:hAnsi="Times New Roman"/>
          <w:color w:val="000000"/>
          <w:sz w:val="24"/>
          <w:vertAlign w:val="subscript"/>
        </w:rPr>
        <w:t>by</w:t>
      </w:r>
      <w:r>
        <w:rPr>
          <w:rFonts w:ascii="Times New Roman" w:hAnsi="Times New Roman"/>
          <w:color w:val="000000"/>
          <w:sz w:val="24"/>
        </w:rPr>
        <w:t>=6.134+2.019+7.154cosβ+7.154sinβ</w:t>
      </w:r>
    </w:p>
    <w:p w14:paraId="08DAC889">
      <w:pPr>
        <w:spacing w:line="360" w:lineRule="auto"/>
      </w:pPr>
      <w:r>
        <w:rPr>
          <w:rFonts w:ascii="Times New Roman" w:hAnsi="Times New Roman"/>
          <w:color w:val="000000"/>
          <w:sz w:val="24"/>
        </w:rPr>
        <w:t xml:space="preserve">    支腿c:F</w:t>
      </w:r>
      <w:r>
        <w:rPr>
          <w:rFonts w:ascii="Times New Roman" w:hAnsi="Times New Roman"/>
          <w:color w:val="000000"/>
          <w:sz w:val="24"/>
          <w:vertAlign w:val="subscript"/>
        </w:rPr>
        <w:t>c</w:t>
      </w:r>
      <w:r>
        <w:rPr>
          <w:rFonts w:ascii="Times New Roman" w:hAnsi="Times New Roman"/>
          <w:color w:val="000000"/>
          <w:sz w:val="24"/>
        </w:rPr>
        <w:t>=F</w:t>
      </w:r>
      <w:r>
        <w:rPr>
          <w:rFonts w:ascii="Times New Roman" w:hAnsi="Times New Roman"/>
          <w:color w:val="000000"/>
          <w:sz w:val="24"/>
          <w:vertAlign w:val="subscript"/>
        </w:rPr>
        <w:t>c1</w:t>
      </w:r>
      <w:r>
        <w:rPr>
          <w:rFonts w:ascii="Times New Roman" w:hAnsi="Times New Roman"/>
          <w:color w:val="000000"/>
          <w:sz w:val="24"/>
        </w:rPr>
        <w:t>+F</w:t>
      </w:r>
      <w:r>
        <w:rPr>
          <w:rFonts w:ascii="Times New Roman" w:hAnsi="Times New Roman"/>
          <w:color w:val="000000"/>
          <w:sz w:val="24"/>
          <w:vertAlign w:val="subscript"/>
        </w:rPr>
        <w:t>c2</w:t>
      </w:r>
      <w:r>
        <w:rPr>
          <w:rFonts w:ascii="Times New Roman" w:hAnsi="Times New Roman"/>
          <w:color w:val="000000"/>
          <w:sz w:val="24"/>
        </w:rPr>
        <w:t>+F</w:t>
      </w:r>
      <w:r>
        <w:rPr>
          <w:rFonts w:ascii="Times New Roman" w:hAnsi="Times New Roman"/>
          <w:color w:val="000000"/>
          <w:sz w:val="24"/>
          <w:vertAlign w:val="subscript"/>
        </w:rPr>
        <w:t>cx</w:t>
      </w:r>
      <w:r>
        <w:rPr>
          <w:rFonts w:ascii="Times New Roman" w:hAnsi="Times New Roman"/>
          <w:color w:val="000000"/>
          <w:sz w:val="24"/>
        </w:rPr>
        <w:t>+F</w:t>
      </w:r>
      <w:r>
        <w:rPr>
          <w:rFonts w:ascii="Times New Roman" w:hAnsi="Times New Roman"/>
          <w:color w:val="000000"/>
          <w:sz w:val="24"/>
          <w:vertAlign w:val="subscript"/>
        </w:rPr>
        <w:t>cy</w:t>
      </w:r>
      <w:r>
        <w:rPr>
          <w:rFonts w:ascii="Times New Roman" w:hAnsi="Times New Roman"/>
          <w:color w:val="000000"/>
          <w:sz w:val="24"/>
        </w:rPr>
        <w:t>=6.134+2.019+7.154cosβ-7.154sinβ</w:t>
      </w:r>
    </w:p>
    <w:p w14:paraId="274C5AD5">
      <w:pPr>
        <w:spacing w:line="360" w:lineRule="auto"/>
      </w:pPr>
      <w:r>
        <w:rPr>
          <w:rFonts w:ascii="Times New Roman" w:hAnsi="Times New Roman"/>
          <w:color w:val="000000"/>
          <w:sz w:val="24"/>
        </w:rPr>
        <w:t xml:space="preserve">    支腿d:F</w:t>
      </w:r>
      <w:r>
        <w:rPr>
          <w:rFonts w:ascii="Times New Roman" w:hAnsi="Times New Roman"/>
          <w:color w:val="000000"/>
          <w:sz w:val="24"/>
          <w:vertAlign w:val="subscript"/>
        </w:rPr>
        <w:t>d</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+F</w:t>
      </w:r>
      <w:r>
        <w:rPr>
          <w:rFonts w:ascii="Times New Roman" w:hAnsi="Times New Roman"/>
          <w:color w:val="000000"/>
          <w:sz w:val="24"/>
          <w:vertAlign w:val="subscript"/>
        </w:rPr>
        <w:t>d2</w:t>
      </w:r>
      <w:r>
        <w:rPr>
          <w:rFonts w:ascii="Times New Roman" w:hAnsi="Times New Roman"/>
          <w:color w:val="000000"/>
          <w:sz w:val="24"/>
        </w:rPr>
        <w:t>+F</w:t>
      </w:r>
      <w:r>
        <w:rPr>
          <w:rFonts w:ascii="Times New Roman" w:hAnsi="Times New Roman"/>
          <w:color w:val="000000"/>
          <w:sz w:val="24"/>
          <w:vertAlign w:val="subscript"/>
        </w:rPr>
        <w:t>dx</w:t>
      </w:r>
      <w:r>
        <w:rPr>
          <w:rFonts w:ascii="Times New Roman" w:hAnsi="Times New Roman"/>
          <w:color w:val="000000"/>
          <w:sz w:val="24"/>
        </w:rPr>
        <w:t>+F</w:t>
      </w:r>
      <w:r>
        <w:rPr>
          <w:rFonts w:ascii="Times New Roman" w:hAnsi="Times New Roman"/>
          <w:color w:val="000000"/>
          <w:sz w:val="24"/>
          <w:vertAlign w:val="subscript"/>
        </w:rPr>
        <w:t>dy</w:t>
      </w:r>
      <w:r>
        <w:rPr>
          <w:rFonts w:ascii="Times New Roman" w:hAnsi="Times New Roman"/>
          <w:color w:val="000000"/>
          <w:sz w:val="24"/>
        </w:rPr>
        <w:t>=9.966+1.414-7.154cosβ-7.154sinβ</w:t>
      </w:r>
    </w:p>
    <w:p w14:paraId="788CDBE5">
      <w:pPr>
        <w:spacing w:line="360" w:lineRule="auto"/>
      </w:pPr>
      <w:r>
        <w:rPr>
          <w:rFonts w:ascii="Times New Roman" w:hAnsi="Times New Roman"/>
          <w:b/>
          <w:color w:val="000000"/>
          <w:sz w:val="24"/>
        </w:rPr>
        <w:t xml:space="preserve">   3）各吊装工况及最不利工况支腿荷载计算</w:t>
      </w:r>
    </w:p>
    <w:p w14:paraId="7BDC76A0">
      <w:pPr>
        <w:spacing w:line="360" w:lineRule="auto"/>
      </w:pPr>
      <w:r>
        <w:rPr>
          <w:rFonts w:ascii="Times New Roman" w:hAnsi="Times New Roman"/>
          <w:b/>
          <w:color w:val="000000"/>
          <w:sz w:val="24"/>
        </w:rPr>
        <w:t xml:space="preserve">     ①当β=0°时，此时吊物在起重机后方</w:t>
      </w:r>
    </w:p>
    <w:p w14:paraId="11EE9D62">
      <w:pPr>
        <w:spacing w:line="360" w:lineRule="auto"/>
        <w:ind w:left="0" w:leftChars="0" w:firstLine="0" w:firstLineChars="0"/>
        <w:jc w:val="both"/>
      </w:pPr>
      <w:r>
        <w:drawing>
          <wp:inline distT="0" distB="0" distL="0" distR="0">
            <wp:extent cx="5744210" cy="3465195"/>
            <wp:effectExtent l="0" t="0" r="8890" b="1905"/>
            <wp:docPr id="66"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 5"/>
                    <pic:cNvPicPr>
                      <a:picLocks noChangeAspect="1"/>
                    </pic:cNvPicPr>
                  </pic:nvPicPr>
                  <pic:blipFill>
                    <a:blip r:embed="rId29" cstate="print"/>
                    <a:stretch>
                      <a:fillRect/>
                    </a:stretch>
                  </pic:blipFill>
                  <pic:spPr>
                    <a:xfrm>
                      <a:off x="0" y="0"/>
                      <a:ext cx="5744210" cy="3465195"/>
                    </a:xfrm>
                    <a:prstGeom prst="rect">
                      <a:avLst/>
                    </a:prstGeom>
                  </pic:spPr>
                </pic:pic>
              </a:graphicData>
            </a:graphic>
          </wp:inline>
        </w:drawing>
      </w:r>
    </w:p>
    <w:p w14:paraId="618BE617">
      <w:pPr>
        <w:spacing w:line="360" w:lineRule="auto"/>
      </w:pPr>
      <w:r>
        <w:rPr>
          <w:rFonts w:ascii="Times New Roman" w:hAnsi="Times New Roman"/>
          <w:color w:val="000000"/>
          <w:sz w:val="24"/>
        </w:rPr>
        <w:t xml:space="preserve">    将β=0°代入得到：</w:t>
      </w:r>
    </w:p>
    <w:p w14:paraId="08D0EB46">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w:t>
      </w:r>
      <w:r>
        <w:rPr>
          <w:rFonts w:ascii="Times New Roman" w:hAnsi="Times New Roman"/>
          <w:color w:val="000000"/>
          <w:sz w:val="24"/>
        </w:rPr>
        <w:t>=4.227吨，F</w:t>
      </w:r>
      <w:r>
        <w:rPr>
          <w:rFonts w:ascii="Times New Roman" w:hAnsi="Times New Roman"/>
          <w:color w:val="000000"/>
          <w:sz w:val="24"/>
          <w:vertAlign w:val="subscript"/>
        </w:rPr>
        <w:t>b</w:t>
      </w:r>
      <w:r>
        <w:rPr>
          <w:rFonts w:ascii="Times New Roman" w:hAnsi="Times New Roman"/>
          <w:color w:val="000000"/>
          <w:sz w:val="24"/>
        </w:rPr>
        <w:t>=15.307吨，F</w:t>
      </w:r>
      <w:r>
        <w:rPr>
          <w:rFonts w:ascii="Times New Roman" w:hAnsi="Times New Roman"/>
          <w:color w:val="000000"/>
          <w:sz w:val="24"/>
          <w:vertAlign w:val="subscript"/>
        </w:rPr>
        <w:t>c</w:t>
      </w:r>
      <w:r>
        <w:rPr>
          <w:rFonts w:ascii="Times New Roman" w:hAnsi="Times New Roman"/>
          <w:color w:val="000000"/>
          <w:sz w:val="24"/>
        </w:rPr>
        <w:t>=15.307吨，F</w:t>
      </w:r>
      <w:r>
        <w:rPr>
          <w:rFonts w:ascii="Times New Roman" w:hAnsi="Times New Roman"/>
          <w:color w:val="000000"/>
          <w:sz w:val="24"/>
          <w:vertAlign w:val="subscript"/>
        </w:rPr>
        <w:t>d</w:t>
      </w:r>
      <w:r>
        <w:rPr>
          <w:rFonts w:ascii="Times New Roman" w:hAnsi="Times New Roman"/>
          <w:color w:val="000000"/>
          <w:sz w:val="24"/>
        </w:rPr>
        <w:t>=4.227吨</w:t>
      </w:r>
    </w:p>
    <w:p w14:paraId="199BB127">
      <w:pPr>
        <w:spacing w:line="360" w:lineRule="auto"/>
      </w:pPr>
      <w:r>
        <w:rPr>
          <w:rFonts w:ascii="Times New Roman" w:hAnsi="Times New Roman"/>
          <w:color w:val="000000"/>
          <w:sz w:val="24"/>
        </w:rPr>
        <w:t xml:space="preserve">    各支腿最大荷载F</w:t>
      </w:r>
      <w:r>
        <w:rPr>
          <w:rFonts w:ascii="Times New Roman" w:hAnsi="Times New Roman"/>
          <w:color w:val="000000"/>
          <w:sz w:val="24"/>
          <w:vertAlign w:val="subscript"/>
        </w:rPr>
        <w:t>1</w:t>
      </w:r>
      <w:r>
        <w:rPr>
          <w:rFonts w:ascii="Times New Roman" w:hAnsi="Times New Roman"/>
          <w:color w:val="000000"/>
          <w:sz w:val="24"/>
        </w:rPr>
        <w:t>=max(F</w:t>
      </w:r>
      <w:r>
        <w:rPr>
          <w:rFonts w:ascii="Times New Roman" w:hAnsi="Times New Roman"/>
          <w:color w:val="000000"/>
          <w:sz w:val="24"/>
          <w:vertAlign w:val="subscript"/>
        </w:rPr>
        <w:t>a</w:t>
      </w:r>
      <w:r>
        <w:rPr>
          <w:rFonts w:ascii="Times New Roman" w:hAnsi="Times New Roman"/>
          <w:color w:val="000000"/>
          <w:sz w:val="24"/>
        </w:rPr>
        <w:t>、F</w:t>
      </w:r>
      <w:r>
        <w:rPr>
          <w:rFonts w:ascii="Times New Roman" w:hAnsi="Times New Roman"/>
          <w:color w:val="000000"/>
          <w:sz w:val="24"/>
          <w:vertAlign w:val="subscript"/>
        </w:rPr>
        <w:t>b</w:t>
      </w:r>
      <w:r>
        <w:rPr>
          <w:rFonts w:ascii="Times New Roman" w:hAnsi="Times New Roman"/>
          <w:color w:val="000000"/>
          <w:sz w:val="24"/>
        </w:rPr>
        <w:t>、F</w:t>
      </w:r>
      <w:r>
        <w:rPr>
          <w:rFonts w:ascii="Times New Roman" w:hAnsi="Times New Roman"/>
          <w:color w:val="000000"/>
          <w:sz w:val="24"/>
          <w:vertAlign w:val="subscript"/>
        </w:rPr>
        <w:t>c</w:t>
      </w:r>
      <w:r>
        <w:rPr>
          <w:rFonts w:ascii="Times New Roman" w:hAnsi="Times New Roman"/>
          <w:color w:val="000000"/>
          <w:sz w:val="24"/>
        </w:rPr>
        <w:t>、F</w:t>
      </w:r>
      <w:r>
        <w:rPr>
          <w:rFonts w:ascii="Times New Roman" w:hAnsi="Times New Roman"/>
          <w:color w:val="000000"/>
          <w:sz w:val="24"/>
          <w:vertAlign w:val="subscript"/>
        </w:rPr>
        <w:t>d</w:t>
      </w:r>
      <w:r>
        <w:rPr>
          <w:rFonts w:ascii="Times New Roman" w:hAnsi="Times New Roman"/>
          <w:color w:val="000000"/>
          <w:sz w:val="24"/>
        </w:rPr>
        <w:t>)=max(4.227、15.307、15.307、4.227)=15.307吨</w:t>
      </w:r>
    </w:p>
    <w:p w14:paraId="182B6EA2">
      <w:pPr>
        <w:spacing w:line="360" w:lineRule="auto"/>
      </w:pPr>
      <w:r>
        <w:rPr>
          <w:rFonts w:ascii="Times New Roman" w:hAnsi="Times New Roman"/>
          <w:b/>
          <w:color w:val="000000"/>
          <w:sz w:val="24"/>
        </w:rPr>
        <w:t xml:space="preserve">     ②当β=90°时，此时吊物在起重机侧方</w:t>
      </w:r>
    </w:p>
    <w:p w14:paraId="385F3F87">
      <w:pPr>
        <w:spacing w:line="360" w:lineRule="auto"/>
        <w:ind w:left="0" w:leftChars="0" w:firstLine="0" w:firstLineChars="0"/>
        <w:jc w:val="center"/>
      </w:pPr>
      <w:r>
        <w:drawing>
          <wp:inline distT="0" distB="0" distL="0" distR="0">
            <wp:extent cx="5287010" cy="3640455"/>
            <wp:effectExtent l="0" t="0" r="8890" b="17145"/>
            <wp:docPr id="6" name="P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 6"/>
                    <pic:cNvPicPr>
                      <a:picLocks noChangeAspect="1"/>
                    </pic:cNvPicPr>
                  </pic:nvPicPr>
                  <pic:blipFill>
                    <a:blip r:embed="rId32" cstate="print"/>
                    <a:stretch>
                      <a:fillRect/>
                    </a:stretch>
                  </pic:blipFill>
                  <pic:spPr>
                    <a:xfrm>
                      <a:off x="0" y="0"/>
                      <a:ext cx="5287010" cy="3640455"/>
                    </a:xfrm>
                    <a:prstGeom prst="rect">
                      <a:avLst/>
                    </a:prstGeom>
                  </pic:spPr>
                </pic:pic>
              </a:graphicData>
            </a:graphic>
          </wp:inline>
        </w:drawing>
      </w:r>
    </w:p>
    <w:p w14:paraId="255228D3">
      <w:pPr>
        <w:spacing w:line="360" w:lineRule="auto"/>
      </w:pPr>
      <w:r>
        <w:rPr>
          <w:rFonts w:ascii="Times New Roman" w:hAnsi="Times New Roman"/>
          <w:color w:val="000000"/>
          <w:sz w:val="24"/>
        </w:rPr>
        <w:t xml:space="preserve">    将β=90°代入得到：</w:t>
      </w:r>
    </w:p>
    <w:p w14:paraId="75D3A7B3">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w:t>
      </w:r>
      <w:r>
        <w:rPr>
          <w:rFonts w:ascii="Times New Roman" w:hAnsi="Times New Roman"/>
          <w:color w:val="000000"/>
          <w:sz w:val="24"/>
        </w:rPr>
        <w:t>=18.534吨，F</w:t>
      </w:r>
      <w:r>
        <w:rPr>
          <w:rFonts w:ascii="Times New Roman" w:hAnsi="Times New Roman"/>
          <w:color w:val="000000"/>
          <w:sz w:val="24"/>
          <w:vertAlign w:val="subscript"/>
        </w:rPr>
        <w:t>b</w:t>
      </w:r>
      <w:r>
        <w:rPr>
          <w:rFonts w:ascii="Times New Roman" w:hAnsi="Times New Roman"/>
          <w:color w:val="000000"/>
          <w:sz w:val="24"/>
        </w:rPr>
        <w:t>=15.307吨，F</w:t>
      </w:r>
      <w:r>
        <w:rPr>
          <w:rFonts w:ascii="Times New Roman" w:hAnsi="Times New Roman"/>
          <w:color w:val="000000"/>
          <w:sz w:val="24"/>
          <w:vertAlign w:val="subscript"/>
        </w:rPr>
        <w:t>c</w:t>
      </w:r>
      <w:r>
        <w:rPr>
          <w:rFonts w:ascii="Times New Roman" w:hAnsi="Times New Roman"/>
          <w:color w:val="000000"/>
          <w:sz w:val="24"/>
        </w:rPr>
        <w:t>=0.999吨，F</w:t>
      </w:r>
      <w:r>
        <w:rPr>
          <w:rFonts w:ascii="Times New Roman" w:hAnsi="Times New Roman"/>
          <w:color w:val="000000"/>
          <w:sz w:val="24"/>
          <w:vertAlign w:val="subscript"/>
        </w:rPr>
        <w:t>d</w:t>
      </w:r>
      <w:r>
        <w:rPr>
          <w:rFonts w:ascii="Times New Roman" w:hAnsi="Times New Roman"/>
          <w:color w:val="000000"/>
          <w:sz w:val="24"/>
        </w:rPr>
        <w:t>=4.227吨</w:t>
      </w:r>
    </w:p>
    <w:p w14:paraId="4DC4CE31">
      <w:pPr>
        <w:spacing w:line="360" w:lineRule="auto"/>
      </w:pPr>
      <w:r>
        <w:rPr>
          <w:rFonts w:ascii="Times New Roman" w:hAnsi="Times New Roman"/>
          <w:color w:val="000000"/>
          <w:sz w:val="24"/>
        </w:rPr>
        <w:t xml:space="preserve">    各支腿最大荷载F</w:t>
      </w:r>
      <w:r>
        <w:rPr>
          <w:rFonts w:ascii="Times New Roman" w:hAnsi="Times New Roman"/>
          <w:color w:val="000000"/>
          <w:sz w:val="24"/>
          <w:vertAlign w:val="subscript"/>
        </w:rPr>
        <w:t>2</w:t>
      </w:r>
      <w:r>
        <w:rPr>
          <w:rFonts w:ascii="Times New Roman" w:hAnsi="Times New Roman"/>
          <w:color w:val="000000"/>
          <w:sz w:val="24"/>
        </w:rPr>
        <w:t>=max(F</w:t>
      </w:r>
      <w:r>
        <w:rPr>
          <w:rFonts w:ascii="Times New Roman" w:hAnsi="Times New Roman"/>
          <w:color w:val="000000"/>
          <w:sz w:val="24"/>
          <w:vertAlign w:val="subscript"/>
        </w:rPr>
        <w:t>a</w:t>
      </w:r>
      <w:r>
        <w:rPr>
          <w:rFonts w:ascii="Times New Roman" w:hAnsi="Times New Roman"/>
          <w:color w:val="000000"/>
          <w:sz w:val="24"/>
        </w:rPr>
        <w:t>、F</w:t>
      </w:r>
      <w:r>
        <w:rPr>
          <w:rFonts w:ascii="Times New Roman" w:hAnsi="Times New Roman"/>
          <w:color w:val="000000"/>
          <w:sz w:val="24"/>
          <w:vertAlign w:val="subscript"/>
        </w:rPr>
        <w:t>b</w:t>
      </w:r>
      <w:r>
        <w:rPr>
          <w:rFonts w:ascii="Times New Roman" w:hAnsi="Times New Roman"/>
          <w:color w:val="000000"/>
          <w:sz w:val="24"/>
        </w:rPr>
        <w:t>、F</w:t>
      </w:r>
      <w:r>
        <w:rPr>
          <w:rFonts w:ascii="Times New Roman" w:hAnsi="Times New Roman"/>
          <w:color w:val="000000"/>
          <w:sz w:val="24"/>
          <w:vertAlign w:val="subscript"/>
        </w:rPr>
        <w:t>c</w:t>
      </w:r>
      <w:r>
        <w:rPr>
          <w:rFonts w:ascii="Times New Roman" w:hAnsi="Times New Roman"/>
          <w:color w:val="000000"/>
          <w:sz w:val="24"/>
        </w:rPr>
        <w:t>、F</w:t>
      </w:r>
      <w:r>
        <w:rPr>
          <w:rFonts w:ascii="Times New Roman" w:hAnsi="Times New Roman"/>
          <w:color w:val="000000"/>
          <w:sz w:val="24"/>
          <w:vertAlign w:val="subscript"/>
        </w:rPr>
        <w:t>d</w:t>
      </w:r>
      <w:r>
        <w:rPr>
          <w:rFonts w:ascii="Times New Roman" w:hAnsi="Times New Roman"/>
          <w:color w:val="000000"/>
          <w:sz w:val="24"/>
        </w:rPr>
        <w:t>)=max(18.534、15.307、0.999、4.227)=18.534吨</w:t>
      </w:r>
    </w:p>
    <w:p w14:paraId="682E6F25">
      <w:pPr>
        <w:spacing w:line="360" w:lineRule="auto"/>
      </w:pPr>
      <w:r>
        <w:rPr>
          <w:rFonts w:ascii="Times New Roman" w:hAnsi="Times New Roman"/>
          <w:b/>
          <w:color w:val="000000"/>
          <w:sz w:val="24"/>
        </w:rPr>
        <w:t xml:space="preserve">     ③起重臂位于支腿b方向工况</w:t>
      </w:r>
    </w:p>
    <w:p w14:paraId="393879CE">
      <w:pPr>
        <w:spacing w:line="360" w:lineRule="auto"/>
        <w:jc w:val="center"/>
      </w:pPr>
      <w:r>
        <w:drawing>
          <wp:inline distT="0" distB="0" distL="0" distR="0">
            <wp:extent cx="5344160" cy="3229610"/>
            <wp:effectExtent l="0" t="0" r="8890" b="8890"/>
            <wp:docPr id="67" name="P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 7"/>
                    <pic:cNvPicPr>
                      <a:picLocks noChangeAspect="1"/>
                    </pic:cNvPicPr>
                  </pic:nvPicPr>
                  <pic:blipFill>
                    <a:blip r:embed="rId33" cstate="print"/>
                    <a:stretch>
                      <a:fillRect/>
                    </a:stretch>
                  </pic:blipFill>
                  <pic:spPr>
                    <a:xfrm>
                      <a:off x="0" y="0"/>
                      <a:ext cx="5344160" cy="3229610"/>
                    </a:xfrm>
                    <a:prstGeom prst="rect">
                      <a:avLst/>
                    </a:prstGeom>
                  </pic:spPr>
                </pic:pic>
              </a:graphicData>
            </a:graphic>
          </wp:inline>
        </w:drawing>
      </w:r>
    </w:p>
    <w:p w14:paraId="104F9BDA">
      <w:pPr>
        <w:spacing w:line="360" w:lineRule="auto"/>
      </w:pPr>
      <w:r>
        <w:rPr>
          <w:rFonts w:ascii="Times New Roman" w:hAnsi="Times New Roman"/>
          <w:color w:val="000000"/>
          <w:sz w:val="24"/>
        </w:rPr>
        <w:t xml:space="preserve">    当β=55.797°时，起重臂在支腿b方向，此时：</w:t>
      </w:r>
    </w:p>
    <w:p w14:paraId="75D2BD32">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w:t>
      </w:r>
      <w:r>
        <w:rPr>
          <w:rFonts w:ascii="Times New Roman" w:hAnsi="Times New Roman"/>
          <w:color w:val="000000"/>
          <w:sz w:val="24"/>
        </w:rPr>
        <w:t>=13.276吨，F</w:t>
      </w:r>
      <w:r>
        <w:rPr>
          <w:rFonts w:ascii="Times New Roman" w:hAnsi="Times New Roman"/>
          <w:color w:val="000000"/>
          <w:sz w:val="24"/>
          <w:vertAlign w:val="subscript"/>
        </w:rPr>
        <w:t>b</w:t>
      </w:r>
      <w:r>
        <w:rPr>
          <w:rFonts w:ascii="Times New Roman" w:hAnsi="Times New Roman"/>
          <w:color w:val="000000"/>
          <w:sz w:val="24"/>
        </w:rPr>
        <w:t>=18.091吨，F</w:t>
      </w:r>
      <w:r>
        <w:rPr>
          <w:rFonts w:ascii="Times New Roman" w:hAnsi="Times New Roman"/>
          <w:color w:val="000000"/>
          <w:sz w:val="24"/>
          <w:vertAlign w:val="subscript"/>
        </w:rPr>
        <w:t>c</w:t>
      </w:r>
      <w:r>
        <w:rPr>
          <w:rFonts w:ascii="Times New Roman" w:hAnsi="Times New Roman"/>
          <w:color w:val="000000"/>
          <w:sz w:val="24"/>
        </w:rPr>
        <w:t>=6.258吨，F</w:t>
      </w:r>
      <w:r>
        <w:rPr>
          <w:rFonts w:ascii="Times New Roman" w:hAnsi="Times New Roman"/>
          <w:color w:val="000000"/>
          <w:sz w:val="24"/>
          <w:vertAlign w:val="subscript"/>
        </w:rPr>
        <w:t>d</w:t>
      </w:r>
      <w:r>
        <w:rPr>
          <w:rFonts w:ascii="Times New Roman" w:hAnsi="Times New Roman"/>
          <w:color w:val="000000"/>
          <w:sz w:val="24"/>
        </w:rPr>
        <w:t>=1.443吨</w:t>
      </w:r>
    </w:p>
    <w:p w14:paraId="4A2EC3C9">
      <w:pPr>
        <w:spacing w:line="360" w:lineRule="auto"/>
      </w:pPr>
      <w:r>
        <w:rPr>
          <w:rFonts w:ascii="Times New Roman" w:hAnsi="Times New Roman"/>
          <w:color w:val="000000"/>
          <w:sz w:val="24"/>
        </w:rPr>
        <w:t xml:space="preserve">    各支腿最大荷载F</w:t>
      </w:r>
      <w:r>
        <w:rPr>
          <w:rFonts w:ascii="Times New Roman" w:hAnsi="Times New Roman"/>
          <w:color w:val="000000"/>
          <w:sz w:val="24"/>
          <w:vertAlign w:val="subscript"/>
        </w:rPr>
        <w:t>3</w:t>
      </w:r>
      <w:r>
        <w:rPr>
          <w:rFonts w:ascii="Times New Roman" w:hAnsi="Times New Roman"/>
          <w:color w:val="000000"/>
          <w:sz w:val="24"/>
        </w:rPr>
        <w:t>=max(F</w:t>
      </w:r>
      <w:r>
        <w:rPr>
          <w:rFonts w:ascii="Times New Roman" w:hAnsi="Times New Roman"/>
          <w:color w:val="000000"/>
          <w:sz w:val="24"/>
          <w:vertAlign w:val="subscript"/>
        </w:rPr>
        <w:t>a</w:t>
      </w:r>
      <w:r>
        <w:rPr>
          <w:rFonts w:ascii="Times New Roman" w:hAnsi="Times New Roman"/>
          <w:color w:val="000000"/>
          <w:sz w:val="24"/>
        </w:rPr>
        <w:t>、F</w:t>
      </w:r>
      <w:r>
        <w:rPr>
          <w:rFonts w:ascii="Times New Roman" w:hAnsi="Times New Roman"/>
          <w:color w:val="000000"/>
          <w:sz w:val="24"/>
          <w:vertAlign w:val="subscript"/>
        </w:rPr>
        <w:t>b</w:t>
      </w:r>
      <w:r>
        <w:rPr>
          <w:rFonts w:ascii="Times New Roman" w:hAnsi="Times New Roman"/>
          <w:color w:val="000000"/>
          <w:sz w:val="24"/>
        </w:rPr>
        <w:t>、F</w:t>
      </w:r>
      <w:r>
        <w:rPr>
          <w:rFonts w:ascii="Times New Roman" w:hAnsi="Times New Roman"/>
          <w:color w:val="000000"/>
          <w:sz w:val="24"/>
          <w:vertAlign w:val="subscript"/>
        </w:rPr>
        <w:t>c</w:t>
      </w:r>
      <w:r>
        <w:rPr>
          <w:rFonts w:ascii="Times New Roman" w:hAnsi="Times New Roman"/>
          <w:color w:val="000000"/>
          <w:sz w:val="24"/>
        </w:rPr>
        <w:t>、F</w:t>
      </w:r>
      <w:r>
        <w:rPr>
          <w:rFonts w:ascii="Times New Roman" w:hAnsi="Times New Roman"/>
          <w:color w:val="000000"/>
          <w:sz w:val="24"/>
          <w:vertAlign w:val="subscript"/>
        </w:rPr>
        <w:t>d</w:t>
      </w:r>
      <w:r>
        <w:rPr>
          <w:rFonts w:ascii="Times New Roman" w:hAnsi="Times New Roman"/>
          <w:color w:val="000000"/>
          <w:sz w:val="24"/>
        </w:rPr>
        <w:t>)=max(13.276、18.091、6.258、1.443)=18.091吨</w:t>
      </w:r>
    </w:p>
    <w:p w14:paraId="235943D5">
      <w:pPr>
        <w:spacing w:line="360" w:lineRule="auto"/>
      </w:pPr>
      <w:r>
        <w:rPr>
          <w:rFonts w:ascii="Times New Roman" w:hAnsi="Times New Roman"/>
          <w:color w:val="000000"/>
          <w:sz w:val="24"/>
        </w:rPr>
        <w:t xml:space="preserve">    考虑各个工况按最不利原则；支腿最大受力N</w:t>
      </w:r>
      <w:r>
        <w:rPr>
          <w:rFonts w:ascii="Times New Roman" w:hAnsi="Times New Roman"/>
          <w:color w:val="000000"/>
          <w:sz w:val="24"/>
          <w:vertAlign w:val="subscript"/>
        </w:rPr>
        <w:t>k</w:t>
      </w:r>
      <w:r>
        <w:rPr>
          <w:rFonts w:ascii="Times New Roman" w:hAnsi="Times New Roman"/>
          <w:color w:val="000000"/>
          <w:sz w:val="24"/>
        </w:rPr>
        <w:t>=max(F</w:t>
      </w:r>
      <w:r>
        <w:rPr>
          <w:rFonts w:ascii="Times New Roman" w:hAnsi="Times New Roman"/>
          <w:color w:val="000000"/>
          <w:sz w:val="24"/>
          <w:vertAlign w:val="subscript"/>
        </w:rPr>
        <w:t>1</w:t>
      </w:r>
      <w:r>
        <w:rPr>
          <w:rFonts w:ascii="Times New Roman" w:hAnsi="Times New Roman"/>
          <w:color w:val="000000"/>
          <w:sz w:val="24"/>
        </w:rPr>
        <w:t>,F</w:t>
      </w:r>
      <w:r>
        <w:rPr>
          <w:rFonts w:ascii="Times New Roman" w:hAnsi="Times New Roman"/>
          <w:color w:val="000000"/>
          <w:sz w:val="24"/>
          <w:vertAlign w:val="subscript"/>
        </w:rPr>
        <w:t>2</w:t>
      </w:r>
      <w:r>
        <w:rPr>
          <w:rFonts w:ascii="Times New Roman" w:hAnsi="Times New Roman"/>
          <w:color w:val="000000"/>
          <w:sz w:val="24"/>
        </w:rPr>
        <w:t>,F</w:t>
      </w:r>
      <w:r>
        <w:rPr>
          <w:rFonts w:ascii="Times New Roman" w:hAnsi="Times New Roman"/>
          <w:color w:val="000000"/>
          <w:sz w:val="24"/>
          <w:vertAlign w:val="subscript"/>
        </w:rPr>
        <w:t>3</w:t>
      </w:r>
      <w:r>
        <w:rPr>
          <w:rFonts w:ascii="Times New Roman" w:hAnsi="Times New Roman"/>
          <w:color w:val="000000"/>
          <w:sz w:val="24"/>
        </w:rPr>
        <w:t>)=max(15.307，18.534，18.091)=18.534吨</w:t>
      </w:r>
    </w:p>
    <w:p w14:paraId="6A42ABEA">
      <w:pPr>
        <w:spacing w:line="360" w:lineRule="auto"/>
      </w:pPr>
      <w:r>
        <w:rPr>
          <w:rFonts w:ascii="Times New Roman" w:hAnsi="Times New Roman"/>
          <w:b/>
          <w:color w:val="000000"/>
          <w:sz w:val="28"/>
        </w:rPr>
        <w:t xml:space="preserve"> 三、地基基础验算</w:t>
      </w:r>
    </w:p>
    <w:p w14:paraId="185B5AD7">
      <w:pPr>
        <w:spacing w:line="360" w:lineRule="auto"/>
      </w:pPr>
      <w:r>
        <w:rPr>
          <w:rFonts w:ascii="Times New Roman" w:hAnsi="Times New Roman"/>
          <w:b/>
          <w:color w:val="000000"/>
          <w:sz w:val="24"/>
        </w:rPr>
        <w:t xml:space="preserve">  1、地基参数</w:t>
      </w:r>
    </w:p>
    <w:tbl>
      <w:tblPr>
        <w:tblStyle w:val="41"/>
        <w:tblW w:w="9435" w:type="dxa"/>
        <w:jc w:val="center"/>
        <w:shd w:val="clear" w:color="auto" w:fill="FFFFFF"/>
        <w:tblLayout w:type="autofit"/>
        <w:tblCellMar>
          <w:top w:w="45" w:type="dxa"/>
          <w:left w:w="45" w:type="dxa"/>
          <w:bottom w:w="45" w:type="dxa"/>
          <w:right w:w="45" w:type="dxa"/>
        </w:tblCellMar>
      </w:tblPr>
      <w:tblGrid>
        <w:gridCol w:w="3109"/>
        <w:gridCol w:w="1608"/>
        <w:gridCol w:w="3110"/>
        <w:gridCol w:w="1608"/>
      </w:tblGrid>
      <w:tr w14:paraId="6E05B9F9">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08D093BD">
            <w:pPr>
              <w:spacing w:line="360" w:lineRule="auto"/>
            </w:pPr>
            <w:r>
              <w:rPr>
                <w:rFonts w:ascii="Times New Roman" w:hAnsi="Times New Roman"/>
                <w:color w:val="000000"/>
                <w:sz w:val="18"/>
              </w:rPr>
              <w:t>单根支腿受力面积A</w:t>
            </w:r>
            <w:r>
              <w:rPr>
                <w:rFonts w:ascii="Times New Roman" w:hAnsi="Times New Roman"/>
                <w:color w:val="000000"/>
                <w:sz w:val="24"/>
                <w:vertAlign w:val="subscript"/>
              </w:rPr>
              <w:t>d1</w:t>
            </w:r>
            <w:r>
              <w:rPr>
                <w:rFonts w:ascii="Times New Roman" w:hAnsi="Times New Roman"/>
                <w:color w:val="000000"/>
                <w:sz w:val="18"/>
              </w:rPr>
              <w:t>(m</w:t>
            </w:r>
            <w:r>
              <w:rPr>
                <w:rFonts w:ascii="Times New Roman" w:hAnsi="Times New Roman"/>
                <w:color w:val="000000"/>
                <w:sz w:val="24"/>
                <w:vertAlign w:val="superscript"/>
              </w:rPr>
              <w:t>2</w:t>
            </w:r>
            <w:r>
              <w:rPr>
                <w:rFonts w:ascii="Times New Roman" w:hAnsi="Times New Roman"/>
                <w:color w:val="000000"/>
                <w:sz w:val="18"/>
              </w:rPr>
              <w:t>)</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76F257D0">
            <w:pPr>
              <w:spacing w:line="360" w:lineRule="auto"/>
            </w:pPr>
            <w:r>
              <w:rPr>
                <w:rFonts w:ascii="Times New Roman" w:hAnsi="Times New Roman"/>
                <w:color w:val="000000"/>
                <w:sz w:val="18"/>
              </w:rPr>
              <w:t>2.25</w:t>
            </w:r>
          </w:p>
        </w:tc>
        <w:tc>
          <w:tcPr>
            <w:tcW w:w="3105" w:type="dxa"/>
            <w:tcBorders>
              <w:top w:val="single" w:color="auto" w:sz="6" w:space="0"/>
              <w:left w:val="single" w:color="auto" w:sz="6" w:space="0"/>
              <w:bottom w:val="single" w:color="auto" w:sz="6" w:space="0"/>
              <w:right w:val="single" w:color="auto" w:sz="6" w:space="0"/>
            </w:tcBorders>
            <w:shd w:val="clear" w:color="auto" w:fill="FFFFFF"/>
          </w:tcPr>
          <w:p w14:paraId="3175C3A1">
            <w:pPr>
              <w:spacing w:line="360" w:lineRule="auto"/>
            </w:pPr>
            <w:r>
              <w:rPr>
                <w:rFonts w:ascii="Times New Roman" w:hAnsi="Times New Roman"/>
                <w:color w:val="000000"/>
                <w:sz w:val="18"/>
              </w:rPr>
              <w:t>地基土类型</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3360307E">
            <w:pPr>
              <w:spacing w:line="360" w:lineRule="auto"/>
            </w:pPr>
            <w:r>
              <w:rPr>
                <w:rFonts w:ascii="Times New Roman" w:hAnsi="Times New Roman"/>
                <w:color w:val="000000"/>
                <w:sz w:val="18"/>
              </w:rPr>
              <w:t>素填土</w:t>
            </w:r>
          </w:p>
        </w:tc>
      </w:tr>
      <w:tr w14:paraId="2CC64D1D">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10C70589">
            <w:pPr>
              <w:spacing w:line="360" w:lineRule="auto"/>
            </w:pPr>
            <w:r>
              <w:rPr>
                <w:rFonts w:ascii="Times New Roman" w:hAnsi="Times New Roman"/>
                <w:color w:val="000000"/>
                <w:sz w:val="18"/>
              </w:rPr>
              <w:t>地基承载力特征值fak(kPa)</w:t>
            </w:r>
          </w:p>
        </w:tc>
        <w:tc>
          <w:tcPr>
            <w:tcW w:w="6105" w:type="dxa"/>
            <w:gridSpan w:val="3"/>
            <w:tcBorders>
              <w:top w:val="single" w:color="auto" w:sz="6" w:space="0"/>
              <w:left w:val="single" w:color="auto" w:sz="6" w:space="0"/>
              <w:bottom w:val="single" w:color="auto" w:sz="6" w:space="0"/>
              <w:right w:val="single" w:color="auto" w:sz="6" w:space="0"/>
            </w:tcBorders>
            <w:shd w:val="clear" w:color="auto" w:fill="FFFFFF"/>
          </w:tcPr>
          <w:p w14:paraId="07F1651A">
            <w:pPr>
              <w:spacing w:line="360" w:lineRule="auto"/>
            </w:pPr>
            <w:r>
              <w:rPr>
                <w:rFonts w:ascii="Times New Roman" w:hAnsi="Times New Roman"/>
                <w:color w:val="000000"/>
                <w:sz w:val="18"/>
              </w:rPr>
              <w:t>135</w:t>
            </w:r>
          </w:p>
        </w:tc>
      </w:tr>
    </w:tbl>
    <w:p w14:paraId="2A80EED8">
      <w:pPr>
        <w:spacing w:line="360" w:lineRule="auto"/>
      </w:pPr>
      <w:r>
        <w:rPr>
          <w:rFonts w:ascii="Times New Roman" w:hAnsi="Times New Roman"/>
          <w:color w:val="000000"/>
          <w:sz w:val="24"/>
        </w:rPr>
        <w:t xml:space="preserve">    单个支腿传至基础顶面的轴向力标准值为：N'=9.8×N</w:t>
      </w:r>
      <w:r>
        <w:rPr>
          <w:rFonts w:ascii="Times New Roman" w:hAnsi="Times New Roman"/>
          <w:color w:val="000000"/>
          <w:sz w:val="24"/>
          <w:vertAlign w:val="subscript"/>
        </w:rPr>
        <w:t>k</w:t>
      </w:r>
      <w:r>
        <w:rPr>
          <w:rFonts w:ascii="Times New Roman" w:hAnsi="Times New Roman"/>
          <w:color w:val="000000"/>
          <w:sz w:val="24"/>
        </w:rPr>
        <w:t>=9.8×18.534=181.638kN</w:t>
      </w:r>
    </w:p>
    <w:p w14:paraId="0E0E4C9D">
      <w:pPr>
        <w:spacing w:line="360" w:lineRule="auto"/>
      </w:pPr>
      <w:r>
        <w:rPr>
          <w:rFonts w:ascii="Times New Roman" w:hAnsi="Times New Roman"/>
          <w:color w:val="000000"/>
          <w:sz w:val="24"/>
        </w:rPr>
        <w:t xml:space="preserve">    单个支腿垫板的底面平均压力p=N'/A</w:t>
      </w:r>
      <w:r>
        <w:rPr>
          <w:rFonts w:ascii="Times New Roman" w:hAnsi="Times New Roman"/>
          <w:color w:val="000000"/>
          <w:sz w:val="24"/>
          <w:vertAlign w:val="subscript"/>
        </w:rPr>
        <w:t>d1</w:t>
      </w:r>
      <w:r>
        <w:rPr>
          <w:rFonts w:ascii="Times New Roman" w:hAnsi="Times New Roman"/>
          <w:color w:val="000000"/>
          <w:sz w:val="24"/>
        </w:rPr>
        <w:t>=181.638/2.25=80.728kPa≤f</w:t>
      </w:r>
      <w:r>
        <w:rPr>
          <w:rFonts w:ascii="Times New Roman" w:hAnsi="Times New Roman"/>
          <w:color w:val="000000"/>
          <w:sz w:val="24"/>
          <w:vertAlign w:val="subscript"/>
        </w:rPr>
        <w:t>ak</w:t>
      </w:r>
      <w:r>
        <w:rPr>
          <w:rFonts w:ascii="Times New Roman" w:hAnsi="Times New Roman"/>
          <w:color w:val="000000"/>
          <w:sz w:val="24"/>
        </w:rPr>
        <w:t>=135kPa</w:t>
      </w:r>
    </w:p>
    <w:p w14:paraId="3177FABF">
      <w:pPr>
        <w:spacing w:line="360" w:lineRule="auto"/>
      </w:pPr>
      <w:r>
        <w:rPr>
          <w:rFonts w:ascii="Times New Roman" w:hAnsi="Times New Roman"/>
          <w:color w:val="008000"/>
          <w:sz w:val="24"/>
        </w:rPr>
        <w:t xml:space="preserve">    满足要求！</w:t>
      </w:r>
    </w:p>
    <w:p w14:paraId="33CC8153">
      <w:pPr>
        <w:spacing w:line="360" w:lineRule="auto"/>
      </w:pPr>
      <w:r>
        <w:rPr>
          <w:rFonts w:ascii="Times New Roman" w:hAnsi="Times New Roman"/>
          <w:b/>
          <w:color w:val="000000"/>
          <w:sz w:val="28"/>
        </w:rPr>
        <w:t xml:space="preserve"> 四、汽车式起重机抗倾覆计算</w:t>
      </w:r>
    </w:p>
    <w:p w14:paraId="674AC315">
      <w:pPr>
        <w:spacing w:line="360" w:lineRule="auto"/>
      </w:pPr>
      <w:r>
        <w:rPr>
          <w:rFonts w:ascii="Times New Roman" w:hAnsi="Times New Roman"/>
          <w:color w:val="000000"/>
          <w:sz w:val="24"/>
        </w:rPr>
        <w:t xml:space="preserve">    考虑抗倾覆安全系数后，如果出现支腿力为负数时，代表抗倾覆不满足要求，反之抗倾覆满足要求。考虑最不利情况，分别计算吊物在起重机后方和吊物在起重机侧方两种工况。</w:t>
      </w:r>
    </w:p>
    <w:p w14:paraId="3E4ACB11">
      <w:pPr>
        <w:spacing w:line="360" w:lineRule="auto"/>
      </w:pPr>
      <w:r>
        <w:rPr>
          <w:rFonts w:ascii="Times New Roman" w:hAnsi="Times New Roman"/>
          <w:b/>
          <w:color w:val="000000"/>
          <w:sz w:val="24"/>
        </w:rPr>
        <w:t xml:space="preserve">  1、吊物在起重机后方时</w:t>
      </w:r>
    </w:p>
    <w:p w14:paraId="29669894">
      <w:pPr>
        <w:spacing w:line="360" w:lineRule="auto"/>
      </w:pPr>
      <w:r>
        <w:rPr>
          <w:rFonts w:ascii="Times New Roman" w:hAnsi="Times New Roman"/>
          <w:color w:val="000000"/>
          <w:sz w:val="24"/>
        </w:rPr>
        <w:t xml:space="preserve">    参考起重机支腿力计算章节，吊物在起重机后方时取β=0°，同时将吊重产生的倾覆力矩乘以k</w:t>
      </w:r>
      <w:r>
        <w:rPr>
          <w:rFonts w:ascii="Times New Roman" w:hAnsi="Times New Roman"/>
          <w:color w:val="000000"/>
          <w:sz w:val="24"/>
          <w:vertAlign w:val="subscript"/>
        </w:rPr>
        <w:t>2</w:t>
      </w:r>
      <w:r>
        <w:rPr>
          <w:rFonts w:ascii="Times New Roman" w:hAnsi="Times New Roman"/>
          <w:color w:val="000000"/>
          <w:sz w:val="24"/>
        </w:rPr>
        <w:t>=1.2，此时支腿荷载分别为F</w:t>
      </w:r>
      <w:r>
        <w:rPr>
          <w:rFonts w:ascii="Times New Roman" w:hAnsi="Times New Roman"/>
          <w:color w:val="000000"/>
          <w:sz w:val="24"/>
          <w:vertAlign w:val="subscript"/>
        </w:rPr>
        <w:t>a</w:t>
      </w:r>
      <w:r>
        <w:rPr>
          <w:rFonts w:ascii="Times New Roman" w:hAnsi="Times New Roman"/>
          <w:color w:val="000000"/>
          <w:sz w:val="24"/>
        </w:rPr>
        <w:t>=3.079吨，F</w:t>
      </w:r>
      <w:r>
        <w:rPr>
          <w:rFonts w:ascii="Times New Roman" w:hAnsi="Times New Roman"/>
          <w:color w:val="000000"/>
          <w:sz w:val="24"/>
          <w:vertAlign w:val="subscript"/>
        </w:rPr>
        <w:t>b</w:t>
      </w:r>
      <w:r>
        <w:rPr>
          <w:rFonts w:ascii="Times New Roman" w:hAnsi="Times New Roman"/>
          <w:color w:val="000000"/>
          <w:sz w:val="24"/>
        </w:rPr>
        <w:t>=17.141吨，F</w:t>
      </w:r>
      <w:r>
        <w:rPr>
          <w:rFonts w:ascii="Times New Roman" w:hAnsi="Times New Roman"/>
          <w:color w:val="000000"/>
          <w:sz w:val="24"/>
          <w:vertAlign w:val="subscript"/>
        </w:rPr>
        <w:t>c</w:t>
      </w:r>
      <w:r>
        <w:rPr>
          <w:rFonts w:ascii="Times New Roman" w:hAnsi="Times New Roman"/>
          <w:color w:val="000000"/>
          <w:sz w:val="24"/>
        </w:rPr>
        <w:t>=17.141吨，F</w:t>
      </w:r>
      <w:r>
        <w:rPr>
          <w:rFonts w:ascii="Times New Roman" w:hAnsi="Times New Roman"/>
          <w:color w:val="000000"/>
          <w:sz w:val="24"/>
          <w:vertAlign w:val="subscript"/>
        </w:rPr>
        <w:t>d</w:t>
      </w:r>
      <w:r>
        <w:rPr>
          <w:rFonts w:ascii="Times New Roman" w:hAnsi="Times New Roman"/>
          <w:color w:val="000000"/>
          <w:sz w:val="24"/>
        </w:rPr>
        <w:t>=3.079吨。</w:t>
      </w:r>
    </w:p>
    <w:p w14:paraId="6D6227BE">
      <w:pPr>
        <w:spacing w:line="360" w:lineRule="auto"/>
      </w:pPr>
      <w:r>
        <w:rPr>
          <w:rFonts w:ascii="Times New Roman" w:hAnsi="Times New Roman"/>
          <w:color w:val="000000"/>
          <w:sz w:val="24"/>
        </w:rPr>
        <w:t xml:space="preserve">    没有出现支腿荷载为负数。</w:t>
      </w:r>
    </w:p>
    <w:p w14:paraId="315E2042">
      <w:pPr>
        <w:spacing w:line="360" w:lineRule="auto"/>
      </w:pPr>
      <w:r>
        <w:rPr>
          <w:rFonts w:ascii="Times New Roman" w:hAnsi="Times New Roman"/>
          <w:color w:val="008000"/>
          <w:sz w:val="24"/>
        </w:rPr>
        <w:t xml:space="preserve">    抗倾覆满足要求！</w:t>
      </w:r>
    </w:p>
    <w:p w14:paraId="094E9C6E">
      <w:pPr>
        <w:spacing w:line="360" w:lineRule="auto"/>
      </w:pPr>
      <w:r>
        <w:rPr>
          <w:rFonts w:ascii="Times New Roman" w:hAnsi="Times New Roman"/>
          <w:b/>
          <w:color w:val="000000"/>
          <w:sz w:val="24"/>
        </w:rPr>
        <w:t xml:space="preserve">  2、吊物在起重机侧方时</w:t>
      </w:r>
    </w:p>
    <w:p w14:paraId="3CF3AD2E">
      <w:pPr>
        <w:spacing w:line="360" w:lineRule="auto"/>
      </w:pPr>
      <w:r>
        <w:rPr>
          <w:rFonts w:ascii="Times New Roman" w:hAnsi="Times New Roman"/>
          <w:color w:val="000000"/>
          <w:sz w:val="24"/>
        </w:rPr>
        <w:t xml:space="preserve">    参考起重机支腿力计算章节，吊物在起重机侧方时取β=90°，同时将吊重产生的倾覆力矩乘以k</w:t>
      </w:r>
      <w:r>
        <w:rPr>
          <w:rFonts w:ascii="Times New Roman" w:hAnsi="Times New Roman"/>
          <w:color w:val="000000"/>
          <w:sz w:val="24"/>
          <w:vertAlign w:val="subscript"/>
        </w:rPr>
        <w:t>2</w:t>
      </w:r>
      <w:r>
        <w:rPr>
          <w:rFonts w:ascii="Times New Roman" w:hAnsi="Times New Roman"/>
          <w:color w:val="000000"/>
          <w:sz w:val="24"/>
        </w:rPr>
        <w:t>=1.2，此时支腿荷载分别为F</w:t>
      </w:r>
      <w:r>
        <w:rPr>
          <w:rFonts w:ascii="Times New Roman" w:hAnsi="Times New Roman"/>
          <w:color w:val="000000"/>
          <w:sz w:val="24"/>
          <w:vertAlign w:val="subscript"/>
        </w:rPr>
        <w:t>a</w:t>
      </w:r>
      <w:r>
        <w:rPr>
          <w:rFonts w:ascii="Times New Roman" w:hAnsi="Times New Roman"/>
          <w:color w:val="000000"/>
          <w:sz w:val="24"/>
        </w:rPr>
        <w:t>=17.498吨，F</w:t>
      </w:r>
      <w:r>
        <w:rPr>
          <w:rFonts w:ascii="Times New Roman" w:hAnsi="Times New Roman"/>
          <w:color w:val="000000"/>
          <w:sz w:val="24"/>
          <w:vertAlign w:val="subscript"/>
        </w:rPr>
        <w:t>b</w:t>
      </w:r>
      <w:r>
        <w:rPr>
          <w:rFonts w:ascii="Times New Roman" w:hAnsi="Times New Roman"/>
          <w:color w:val="000000"/>
          <w:sz w:val="24"/>
        </w:rPr>
        <w:t>=16.887吨，F</w:t>
      </w:r>
      <w:r>
        <w:rPr>
          <w:rFonts w:ascii="Times New Roman" w:hAnsi="Times New Roman"/>
          <w:color w:val="000000"/>
          <w:sz w:val="24"/>
          <w:vertAlign w:val="subscript"/>
        </w:rPr>
        <w:t>c</w:t>
      </w:r>
      <w:r>
        <w:rPr>
          <w:rFonts w:ascii="Times New Roman" w:hAnsi="Times New Roman"/>
          <w:color w:val="000000"/>
          <w:sz w:val="24"/>
        </w:rPr>
        <w:t>=0.227吨，F</w:t>
      </w:r>
      <w:r>
        <w:rPr>
          <w:rFonts w:ascii="Times New Roman" w:hAnsi="Times New Roman"/>
          <w:color w:val="000000"/>
          <w:sz w:val="24"/>
          <w:vertAlign w:val="subscript"/>
        </w:rPr>
        <w:t>d</w:t>
      </w:r>
      <w:r>
        <w:rPr>
          <w:rFonts w:ascii="Times New Roman" w:hAnsi="Times New Roman"/>
          <w:color w:val="000000"/>
          <w:sz w:val="24"/>
        </w:rPr>
        <w:t>=5.829吨。</w:t>
      </w:r>
    </w:p>
    <w:p w14:paraId="0C68E78C">
      <w:pPr>
        <w:spacing w:line="360" w:lineRule="auto"/>
      </w:pPr>
      <w:r>
        <w:rPr>
          <w:rFonts w:ascii="Times New Roman" w:hAnsi="Times New Roman"/>
          <w:color w:val="000000"/>
          <w:sz w:val="24"/>
        </w:rPr>
        <w:t xml:space="preserve">    没有出现支腿荷载为负数。</w:t>
      </w:r>
    </w:p>
    <w:p w14:paraId="1BDE4867">
      <w:pPr>
        <w:spacing w:line="360" w:lineRule="auto"/>
      </w:pPr>
      <w:r>
        <w:rPr>
          <w:rFonts w:ascii="Times New Roman" w:hAnsi="Times New Roman"/>
          <w:color w:val="008000"/>
          <w:sz w:val="24"/>
        </w:rPr>
        <w:t xml:space="preserve">    抗倾覆满足要求！</w:t>
      </w:r>
    </w:p>
    <w:p w14:paraId="22D8593B">
      <w:pPr>
        <w:spacing w:line="360" w:lineRule="auto"/>
      </w:pPr>
    </w:p>
    <w:p w14:paraId="5D303995">
      <w:pPr>
        <w:spacing w:line="360" w:lineRule="auto"/>
        <w:ind w:firstLine="480"/>
      </w:pPr>
    </w:p>
    <w:p w14:paraId="3DFF415D">
      <w:pPr>
        <w:spacing w:line="360" w:lineRule="auto"/>
        <w:ind w:firstLine="560"/>
      </w:pPr>
    </w:p>
    <w:p w14:paraId="047B70F8">
      <w:pPr>
        <w:ind w:firstLine="560"/>
      </w:pPr>
    </w:p>
    <w:p w14:paraId="0EA987F4">
      <w:pPr>
        <w:pStyle w:val="2"/>
        <w:ind w:right="1960"/>
        <w:rPr>
          <w:color w:val="000000"/>
        </w:rPr>
      </w:pPr>
      <w:bookmarkStart w:id="258" w:name="_Toc29110"/>
      <w:bookmarkStart w:id="259" w:name="_Toc3319"/>
      <w:bookmarkStart w:id="260" w:name="_Toc1524"/>
      <w:bookmarkStart w:id="261" w:name="_Toc9309"/>
      <w:bookmarkStart w:id="262" w:name="_Toc16506"/>
      <w:bookmarkStart w:id="263" w:name="_Toc10672"/>
      <w:bookmarkStart w:id="264" w:name="_Toc14360"/>
      <w:r>
        <w:rPr>
          <w:rFonts w:hint="eastAsia"/>
          <w:color w:val="000000"/>
        </w:rPr>
        <w:t xml:space="preserve">          </w:t>
      </w:r>
      <w:bookmarkStart w:id="265" w:name="_Toc20688"/>
      <w:r>
        <w:rPr>
          <w:rFonts w:hint="eastAsia"/>
          <w:color w:val="000000"/>
        </w:rPr>
        <w:t xml:space="preserve">第五章 </w:t>
      </w:r>
      <w:r>
        <w:rPr>
          <w:rFonts w:hint="eastAsia"/>
          <w:color w:val="000000"/>
          <w:lang w:eastAsia="zh-CN"/>
        </w:rPr>
        <w:t>XGT6015-8S1</w:t>
      </w:r>
      <w:r>
        <w:rPr>
          <w:rFonts w:hint="eastAsia"/>
          <w:color w:val="000000"/>
        </w:rPr>
        <w:t>安装施工方案</w:t>
      </w:r>
      <w:bookmarkEnd w:id="265"/>
    </w:p>
    <w:bookmarkEnd w:id="258"/>
    <w:bookmarkEnd w:id="259"/>
    <w:bookmarkEnd w:id="260"/>
    <w:bookmarkEnd w:id="261"/>
    <w:bookmarkEnd w:id="262"/>
    <w:bookmarkEnd w:id="263"/>
    <w:bookmarkEnd w:id="264"/>
    <w:p w14:paraId="18D1556A">
      <w:pPr>
        <w:pStyle w:val="3"/>
      </w:pPr>
      <w:bookmarkStart w:id="266" w:name="_Toc525111828"/>
      <w:bookmarkStart w:id="267" w:name="_Toc2298_WPSOffice_Level2"/>
      <w:bookmarkStart w:id="268" w:name="_Toc4906"/>
      <w:bookmarkStart w:id="269" w:name="_Toc8978"/>
      <w:bookmarkStart w:id="270" w:name="_Toc14104"/>
      <w:bookmarkStart w:id="271" w:name="_Toc31742"/>
      <w:bookmarkStart w:id="272" w:name="_Toc26544_WPSOffice_Level2"/>
      <w:bookmarkStart w:id="273" w:name="_Toc16757"/>
      <w:r>
        <w:rPr>
          <w:rFonts w:hint="eastAsia"/>
        </w:rPr>
        <w:t>5.1塔机安装</w:t>
      </w:r>
      <w:bookmarkEnd w:id="266"/>
      <w:r>
        <w:rPr>
          <w:rFonts w:hint="eastAsia"/>
        </w:rPr>
        <w:t>流程</w:t>
      </w:r>
      <w:bookmarkEnd w:id="267"/>
      <w:bookmarkEnd w:id="268"/>
      <w:bookmarkEnd w:id="269"/>
      <w:bookmarkEnd w:id="270"/>
      <w:bookmarkEnd w:id="271"/>
      <w:bookmarkEnd w:id="272"/>
      <w:bookmarkEnd w:id="273"/>
    </w:p>
    <w:p w14:paraId="31C678B5">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5.1.1  XGT6015-8S1塔机安装流程</w:t>
      </w:r>
    </w:p>
    <w:p w14:paraId="2611903F">
      <w:pPr>
        <w:ind w:firstLine="560"/>
      </w:pPr>
      <w:r>
        <w:rPr>
          <w:rFonts w:hint="eastAsia"/>
          <w:color w:val="000000"/>
        </w:rPr>
        <w:t>安装工艺流程:</w:t>
      </w:r>
      <w:r>
        <w:t>吊装1节基础节及</w:t>
      </w:r>
      <w:r>
        <w:rPr>
          <w:rFonts w:hint="eastAsia"/>
          <w:lang w:val="en-US" w:eastAsia="zh-CN"/>
        </w:rPr>
        <w:t>2</w:t>
      </w:r>
      <w:r>
        <w:t>节标准节→吊装爬升架→安装</w:t>
      </w:r>
      <w:r>
        <w:rPr>
          <w:rFonts w:hint="eastAsia"/>
        </w:rPr>
        <w:t>特殊节</w:t>
      </w:r>
      <w:r>
        <w:t>→</w:t>
      </w:r>
      <w:r>
        <w:rPr>
          <w:rFonts w:hint="eastAsia"/>
        </w:rPr>
        <w:t>安装回转总成→电工接线</w:t>
      </w:r>
      <w:r>
        <w:t>→安装</w:t>
      </w:r>
      <w:r>
        <w:rPr>
          <w:rFonts w:hint="eastAsia"/>
          <w:lang w:eastAsia="zh-CN"/>
        </w:rPr>
        <w:t>塔顶节</w:t>
      </w:r>
      <w:r>
        <w:t>→安装平衡臂总成→吊装</w:t>
      </w:r>
      <w:r>
        <w:rPr>
          <w:rFonts w:hint="eastAsia"/>
        </w:rPr>
        <w:t>2</w:t>
      </w:r>
      <w:r>
        <w:t>块</w:t>
      </w:r>
      <w:r>
        <w:rPr>
          <w:rFonts w:hint="eastAsia"/>
          <w:lang w:val="en-US" w:eastAsia="zh-CN"/>
        </w:rPr>
        <w:t>2.3</w:t>
      </w:r>
      <w:r>
        <w:t>t配重→安装</w:t>
      </w:r>
      <w:r>
        <w:rPr>
          <w:rFonts w:hint="eastAsia"/>
        </w:rPr>
        <w:t>剩余</w:t>
      </w:r>
      <w:r>
        <w:t>起重臂总成→配装剩余平衡重→电工接线→钢丝绳穿绕→电气安全保护装置调整→试运转空载荷和负载荷实验→顶升加节→验收→合格后投入使用</w:t>
      </w:r>
      <w:r>
        <w:rPr>
          <w:rFonts w:hint="eastAsia"/>
        </w:rPr>
        <w:t>。</w:t>
      </w:r>
    </w:p>
    <w:p w14:paraId="0AD78839">
      <w:pPr>
        <w:pStyle w:val="3"/>
      </w:pPr>
      <w:bookmarkStart w:id="274" w:name="_Toc20796"/>
      <w:r>
        <w:rPr>
          <w:rFonts w:hint="eastAsia"/>
        </w:rPr>
        <w:t>5.2安装前准备工作</w:t>
      </w:r>
      <w:bookmarkEnd w:id="16"/>
      <w:bookmarkEnd w:id="17"/>
      <w:bookmarkEnd w:id="274"/>
    </w:p>
    <w:p w14:paraId="0991A330">
      <w:pPr>
        <w:autoSpaceDE w:val="0"/>
        <w:autoSpaceDN w:val="0"/>
        <w:adjustRightInd w:val="0"/>
        <w:ind w:firstLine="560"/>
        <w:rPr>
          <w:rFonts w:ascii="宋体" w:hAnsi="宋体" w:cs="宋体"/>
          <w:color w:val="1E1C11" w:themeColor="background2" w:themeShade="1A"/>
          <w:kern w:val="0"/>
        </w:rPr>
      </w:pPr>
      <w:bookmarkStart w:id="275" w:name="_Toc23602"/>
      <w:bookmarkStart w:id="276" w:name="_Toc14060"/>
      <w:bookmarkStart w:id="277" w:name="_Toc9330"/>
      <w:bookmarkStart w:id="278" w:name="_Toc12209"/>
      <w:bookmarkStart w:id="279" w:name="_Toc27181"/>
      <w:bookmarkStart w:id="280" w:name="_Toc18971"/>
      <w:r>
        <w:rPr>
          <w:rFonts w:hint="eastAsia" w:ascii="宋体" w:hAnsi="宋体" w:cs="宋体"/>
          <w:color w:val="1E1C11" w:themeColor="background2" w:themeShade="1A"/>
          <w:kern w:val="0"/>
        </w:rPr>
        <w:t>1．由塔机使用单位对施工现场的道路进行铺设与平整，并清除障碍等。</w:t>
      </w:r>
    </w:p>
    <w:p w14:paraId="332E2FEC">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2．由塔机使用单位与塔机安装技术负责人按基础制作的技术要求共同对塔机砼基础进行验收。</w:t>
      </w:r>
    </w:p>
    <w:p w14:paraId="0DF12F27">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3．由塔机质检人员对塔机进行检查，检查内容如下：</w:t>
      </w:r>
    </w:p>
    <w:p w14:paraId="78AAAA68">
      <w:pPr>
        <w:autoSpaceDE w:val="0"/>
        <w:autoSpaceDN w:val="0"/>
        <w:adjustRightInd w:val="0"/>
        <w:ind w:firstLine="840" w:firstLineChars="300"/>
        <w:rPr>
          <w:rFonts w:ascii="宋体" w:hAnsi="宋体" w:cs="宋体"/>
          <w:color w:val="1E1C11" w:themeColor="background2" w:themeShade="1A"/>
          <w:kern w:val="0"/>
        </w:rPr>
      </w:pPr>
      <w:r>
        <w:rPr>
          <w:rFonts w:hint="eastAsia" w:ascii="宋体" w:hAnsi="宋体" w:cs="宋体"/>
          <w:color w:val="1E1C11" w:themeColor="background2" w:themeShade="1A"/>
          <w:kern w:val="0"/>
        </w:rPr>
        <w:t>A.钢结构件有无严重锈蚀变形开裂与脱焊；</w:t>
      </w:r>
    </w:p>
    <w:p w14:paraId="46583D4F">
      <w:pPr>
        <w:autoSpaceDE w:val="0"/>
        <w:autoSpaceDN w:val="0"/>
        <w:adjustRightInd w:val="0"/>
        <w:ind w:firstLine="840" w:firstLineChars="300"/>
        <w:rPr>
          <w:rFonts w:ascii="宋体" w:hAnsi="宋体" w:cs="宋体"/>
          <w:color w:val="1E1C11" w:themeColor="background2" w:themeShade="1A"/>
          <w:kern w:val="0"/>
        </w:rPr>
      </w:pPr>
      <w:r>
        <w:rPr>
          <w:rFonts w:hint="eastAsia" w:ascii="宋体" w:hAnsi="宋体" w:cs="宋体"/>
          <w:color w:val="1E1C11" w:themeColor="background2" w:themeShade="1A"/>
          <w:kern w:val="0"/>
        </w:rPr>
        <w:t>B.钢丝绳是否牢固可靠，完好状态是否符合要求，绳扎头是否可靠；</w:t>
      </w:r>
    </w:p>
    <w:p w14:paraId="4234DE55">
      <w:pPr>
        <w:autoSpaceDE w:val="0"/>
        <w:autoSpaceDN w:val="0"/>
        <w:adjustRightInd w:val="0"/>
        <w:ind w:firstLine="840" w:firstLineChars="300"/>
        <w:rPr>
          <w:rFonts w:ascii="宋体" w:hAnsi="宋体" w:cs="宋体"/>
          <w:color w:val="1E1C11" w:themeColor="background2" w:themeShade="1A"/>
          <w:kern w:val="0"/>
        </w:rPr>
      </w:pPr>
      <w:r>
        <w:rPr>
          <w:rFonts w:hint="eastAsia" w:ascii="宋体" w:hAnsi="宋体" w:cs="宋体"/>
          <w:color w:val="1E1C11" w:themeColor="background2" w:themeShade="1A"/>
          <w:kern w:val="0"/>
        </w:rPr>
        <w:t>C.各电路及电气元件是否正常；</w:t>
      </w:r>
    </w:p>
    <w:p w14:paraId="01424C88">
      <w:pPr>
        <w:autoSpaceDE w:val="0"/>
        <w:autoSpaceDN w:val="0"/>
        <w:adjustRightInd w:val="0"/>
        <w:ind w:firstLine="840" w:firstLineChars="300"/>
        <w:rPr>
          <w:rFonts w:ascii="宋体" w:hAnsi="宋体" w:cs="宋体"/>
          <w:color w:val="1E1C11" w:themeColor="background2" w:themeShade="1A"/>
          <w:kern w:val="0"/>
        </w:rPr>
      </w:pPr>
      <w:r>
        <w:rPr>
          <w:rFonts w:hint="eastAsia" w:ascii="宋体" w:hAnsi="宋体" w:cs="宋体"/>
          <w:color w:val="1E1C11" w:themeColor="background2" w:themeShade="1A"/>
          <w:kern w:val="0"/>
        </w:rPr>
        <w:t>D.爬升机构导向轮是否转动灵活，与塔机间隙是否符合要求</w:t>
      </w:r>
    </w:p>
    <w:p w14:paraId="677EB53A">
      <w:pPr>
        <w:autoSpaceDE w:val="0"/>
        <w:autoSpaceDN w:val="0"/>
        <w:adjustRightInd w:val="0"/>
        <w:ind w:firstLine="840" w:firstLineChars="300"/>
        <w:rPr>
          <w:rFonts w:ascii="宋体" w:hAnsi="宋体" w:cs="宋体"/>
          <w:color w:val="1E1C11" w:themeColor="background2" w:themeShade="1A"/>
          <w:kern w:val="0"/>
        </w:rPr>
      </w:pPr>
      <w:r>
        <w:rPr>
          <w:rFonts w:hint="eastAsia" w:ascii="宋体" w:hAnsi="宋体" w:cs="宋体"/>
          <w:color w:val="1E1C11" w:themeColor="background2" w:themeShade="1A"/>
          <w:kern w:val="0"/>
        </w:rPr>
        <w:t>E.顶升液压装置是否正常；</w:t>
      </w:r>
    </w:p>
    <w:p w14:paraId="02FB5847">
      <w:pPr>
        <w:autoSpaceDE w:val="0"/>
        <w:autoSpaceDN w:val="0"/>
        <w:adjustRightInd w:val="0"/>
        <w:ind w:firstLine="840" w:firstLineChars="300"/>
        <w:rPr>
          <w:rFonts w:ascii="宋体" w:hAnsi="宋体" w:cs="宋体"/>
          <w:color w:val="1E1C11" w:themeColor="background2" w:themeShade="1A"/>
          <w:kern w:val="0"/>
        </w:rPr>
      </w:pPr>
      <w:r>
        <w:rPr>
          <w:rFonts w:hint="eastAsia" w:ascii="宋体" w:hAnsi="宋体" w:cs="宋体"/>
          <w:color w:val="1E1C11" w:themeColor="background2" w:themeShade="1A"/>
          <w:kern w:val="0"/>
        </w:rPr>
        <w:t>F.转场塔机安装前应认真进行检修、保养，对变形件及时修复，必要时全机涂装油漆。</w:t>
      </w:r>
    </w:p>
    <w:p w14:paraId="7F765170">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4．按要求做好人员的组织工作。</w:t>
      </w:r>
    </w:p>
    <w:p w14:paraId="791F37FD">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5．要求做好常用工具、索具及材料的配备。</w:t>
      </w:r>
    </w:p>
    <w:p w14:paraId="3DB3D0E2">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6．由技术负责人对全体作业人员进行技术交底。</w:t>
      </w:r>
    </w:p>
    <w:p w14:paraId="36613E33">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7．由安全员对全体作业人员进行安全交底。</w:t>
      </w:r>
    </w:p>
    <w:p w14:paraId="4B9C0B09">
      <w:pPr>
        <w:autoSpaceDE w:val="0"/>
        <w:autoSpaceDN w:val="0"/>
        <w:adjustRightInd w:val="0"/>
        <w:ind w:firstLine="560"/>
        <w:rPr>
          <w:color w:val="000000"/>
        </w:rPr>
      </w:pPr>
      <w:r>
        <w:rPr>
          <w:rFonts w:hint="eastAsia" w:ascii="宋体" w:hAnsi="宋体" w:cs="宋体"/>
          <w:color w:val="1E1C11" w:themeColor="background2" w:themeShade="1A"/>
          <w:kern w:val="0"/>
        </w:rPr>
        <w:t>8.明确分工职责，持证上岗，作业过程中做好安全防护。</w:t>
      </w:r>
      <w:r>
        <w:rPr>
          <w:rFonts w:hint="eastAsia"/>
          <w:color w:val="000000"/>
        </w:rPr>
        <w:br w:type="page"/>
      </w:r>
    </w:p>
    <w:p w14:paraId="3C603050">
      <w:pPr>
        <w:pStyle w:val="3"/>
      </w:pPr>
      <w:bookmarkStart w:id="281" w:name="_Toc7666"/>
      <w:r>
        <w:rPr>
          <w:rFonts w:hint="eastAsia"/>
        </w:rPr>
        <w:t xml:space="preserve">5.3 </w:t>
      </w:r>
      <w:r>
        <w:rPr>
          <w:rFonts w:hint="eastAsia"/>
          <w:lang w:eastAsia="zh-CN"/>
        </w:rPr>
        <w:t>XGT6015-8S1</w:t>
      </w:r>
      <w:r>
        <w:rPr>
          <w:rFonts w:hint="eastAsia"/>
        </w:rPr>
        <w:t>塔机主机安装过程</w:t>
      </w:r>
      <w:bookmarkEnd w:id="275"/>
      <w:bookmarkEnd w:id="276"/>
      <w:bookmarkEnd w:id="277"/>
      <w:bookmarkEnd w:id="278"/>
      <w:bookmarkEnd w:id="279"/>
      <w:bookmarkEnd w:id="280"/>
      <w:bookmarkEnd w:id="281"/>
    </w:p>
    <w:p w14:paraId="512A30F2">
      <w:pPr>
        <w:autoSpaceDE w:val="0"/>
        <w:autoSpaceDN w:val="0"/>
        <w:adjustRightInd w:val="0"/>
        <w:ind w:firstLine="560"/>
        <w:rPr>
          <w:rFonts w:ascii="宋体" w:hAnsi="宋体" w:cs="宋体"/>
          <w:color w:val="1E1C11" w:themeColor="background2" w:themeShade="1A"/>
          <w:kern w:val="0"/>
        </w:rPr>
      </w:pPr>
      <w:bookmarkStart w:id="282" w:name="_Toc9554"/>
      <w:bookmarkStart w:id="283" w:name="_Toc10727"/>
      <w:bookmarkStart w:id="284" w:name="_Toc535"/>
      <w:bookmarkStart w:id="285" w:name="_Toc16577"/>
      <w:bookmarkStart w:id="286" w:name="_Toc22837"/>
      <w:bookmarkStart w:id="287" w:name="_Toc29112"/>
      <w:bookmarkStart w:id="288" w:name="_Toc27416"/>
      <w:bookmarkStart w:id="289" w:name="_Toc2085"/>
      <w:bookmarkStart w:id="290" w:name="_Toc1401"/>
      <w:bookmarkStart w:id="291" w:name="_Toc533610108"/>
      <w:bookmarkStart w:id="292" w:name="_Toc20360"/>
      <w:bookmarkStart w:id="293" w:name="_Toc326854323"/>
      <w:bookmarkStart w:id="294" w:name="_Toc31593"/>
      <w:bookmarkStart w:id="295" w:name="_Toc26064"/>
      <w:bookmarkStart w:id="296" w:name="_Toc2791"/>
      <w:r>
        <w:rPr>
          <w:rFonts w:hint="eastAsia" w:ascii="宋体" w:hAnsi="宋体" w:cs="宋体"/>
          <w:color w:val="1E1C11" w:themeColor="background2" w:themeShade="1A"/>
          <w:kern w:val="0"/>
        </w:rPr>
        <w:t>在塔机安装过程中只需要安装一节基础节、</w:t>
      </w:r>
      <w:r>
        <w:rPr>
          <w:rFonts w:hint="eastAsia" w:ascii="宋体" w:hAnsi="宋体" w:cs="宋体"/>
          <w:color w:val="1E1C11" w:themeColor="background2" w:themeShade="1A"/>
          <w:kern w:val="0"/>
          <w:lang w:val="en-US" w:eastAsia="zh-CN"/>
        </w:rPr>
        <w:t>2</w:t>
      </w:r>
      <w:r>
        <w:rPr>
          <w:rFonts w:hint="eastAsia" w:ascii="宋体" w:hAnsi="宋体" w:cs="宋体"/>
          <w:color w:val="1E1C11" w:themeColor="background2" w:themeShade="1A"/>
          <w:kern w:val="0"/>
        </w:rPr>
        <w:t>节标准节即可安装爬升架和回转总成等部件。在安装平衡臂和大臂前要先接通回转电源，以便于大臂的安装。</w:t>
      </w:r>
    </w:p>
    <w:p w14:paraId="5AA4A37B">
      <w:pPr>
        <w:ind w:firstLine="560"/>
        <w:outlineLvl w:val="2"/>
        <w:rPr>
          <w:rFonts w:hint="eastAsia" w:ascii="黑体" w:hAnsi="黑体" w:eastAsia="黑体" w:cs="黑体"/>
          <w:color w:val="000000"/>
          <w:lang w:val="en-US" w:eastAsia="zh-CN"/>
        </w:rPr>
      </w:pPr>
      <w:bookmarkStart w:id="297" w:name="_Toc22888"/>
      <w:r>
        <w:rPr>
          <w:rFonts w:hint="eastAsia" w:ascii="黑体" w:hAnsi="黑体" w:eastAsia="黑体" w:cs="黑体"/>
          <w:color w:val="000000"/>
          <w:lang w:val="en-US" w:eastAsia="zh-CN"/>
        </w:rPr>
        <w:t>5.3.1吊装一节基础节</w:t>
      </w:r>
      <w:bookmarkEnd w:id="297"/>
    </w:p>
    <w:p w14:paraId="79209147">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基础节是一个整体节，不需要进行再拼装，安装前需注意顶升方向。</w:t>
      </w:r>
    </w:p>
    <w:p w14:paraId="71724AB3">
      <w:pPr>
        <w:autoSpaceDE w:val="0"/>
        <w:autoSpaceDN w:val="0"/>
        <w:adjustRightInd w:val="0"/>
        <w:ind w:firstLine="560"/>
        <w:rPr>
          <w:rFonts w:ascii="宋体" w:hAnsi="宋体" w:cs="宋体"/>
          <w:color w:val="1E1C11" w:themeColor="background2" w:themeShade="1A"/>
          <w:kern w:val="0"/>
        </w:rPr>
      </w:pPr>
      <w:r>
        <w:rPr>
          <w:rFonts w:hint="eastAsia"/>
          <w:color w:val="000000"/>
        </w:rPr>
        <w:t>基础节重</w:t>
      </w:r>
      <w:r>
        <w:rPr>
          <w:rFonts w:hint="eastAsia"/>
          <w:color w:val="000000"/>
          <w:lang w:val="en-US" w:eastAsia="zh-CN"/>
        </w:rPr>
        <w:t>1.349</w:t>
      </w:r>
      <w:r>
        <w:rPr>
          <w:rFonts w:hint="eastAsia"/>
          <w:color w:val="000000"/>
        </w:rPr>
        <w:t>t，使用25T汽车吊，采用两根Φ24×6m钢丝绳，4个3.25t卸扣，4吊点起吊。</w:t>
      </w:r>
    </w:p>
    <w:p w14:paraId="48A8A33F">
      <w:pPr>
        <w:autoSpaceDE w:val="0"/>
        <w:autoSpaceDN w:val="0"/>
        <w:adjustRightInd w:val="0"/>
        <w:spacing w:line="240" w:lineRule="auto"/>
        <w:ind w:firstLine="0" w:firstLineChars="0"/>
        <w:jc w:val="center"/>
        <w:rPr>
          <w:rFonts w:ascii="宋体" w:hAnsi="宋体" w:cs="宋体"/>
          <w:color w:val="1E1C11" w:themeColor="background2" w:themeShade="1A"/>
          <w:kern w:val="0"/>
        </w:rPr>
      </w:pPr>
      <w:r>
        <w:rPr>
          <w:rFonts w:ascii="宋体" w:hAnsi="宋体" w:cs="宋体"/>
          <w:color w:val="1E1C11" w:themeColor="background2" w:themeShade="1A"/>
          <w:kern w:val="0"/>
        </w:rPr>
        <w:t>如下图所示，将基础节总成（1）吊起至固定支腿（2）的上方，缓缓放下，将主弦对齐，连接套孔（5、6）对准，用高强螺栓（3、4、7）将其紧固。</w:t>
      </w:r>
      <w:r>
        <w:drawing>
          <wp:inline distT="0" distB="0" distL="114300" distR="114300">
            <wp:extent cx="4110355" cy="2141855"/>
            <wp:effectExtent l="0" t="0" r="4445" b="1079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34"/>
                    <a:stretch>
                      <a:fillRect/>
                    </a:stretch>
                  </pic:blipFill>
                  <pic:spPr>
                    <a:xfrm>
                      <a:off x="0" y="0"/>
                      <a:ext cx="4110355" cy="2141855"/>
                    </a:xfrm>
                    <a:prstGeom prst="rect">
                      <a:avLst/>
                    </a:prstGeom>
                    <a:noFill/>
                    <a:ln>
                      <a:noFill/>
                    </a:ln>
                  </pic:spPr>
                </pic:pic>
              </a:graphicData>
            </a:graphic>
          </wp:inline>
        </w:drawing>
      </w:r>
      <w:r>
        <w:drawing>
          <wp:inline distT="0" distB="0" distL="114300" distR="114300">
            <wp:extent cx="1943735" cy="2880995"/>
            <wp:effectExtent l="0" t="0" r="18415" b="14605"/>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35"/>
                    <a:stretch>
                      <a:fillRect/>
                    </a:stretch>
                  </pic:blipFill>
                  <pic:spPr>
                    <a:xfrm>
                      <a:off x="0" y="0"/>
                      <a:ext cx="1943735" cy="2880995"/>
                    </a:xfrm>
                    <a:prstGeom prst="rect">
                      <a:avLst/>
                    </a:prstGeom>
                    <a:noFill/>
                    <a:ln>
                      <a:noFill/>
                    </a:ln>
                  </pic:spPr>
                </pic:pic>
              </a:graphicData>
            </a:graphic>
          </wp:inline>
        </w:drawing>
      </w:r>
      <w:r>
        <w:drawing>
          <wp:inline distT="0" distB="0" distL="114300" distR="114300">
            <wp:extent cx="2847975" cy="2847975"/>
            <wp:effectExtent l="0" t="0" r="9525" b="9525"/>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36"/>
                    <a:stretch>
                      <a:fillRect/>
                    </a:stretch>
                  </pic:blipFill>
                  <pic:spPr>
                    <a:xfrm>
                      <a:off x="0" y="0"/>
                      <a:ext cx="2847975" cy="2847975"/>
                    </a:xfrm>
                    <a:prstGeom prst="rect">
                      <a:avLst/>
                    </a:prstGeom>
                    <a:noFill/>
                    <a:ln>
                      <a:noFill/>
                    </a:ln>
                  </pic:spPr>
                </pic:pic>
              </a:graphicData>
            </a:graphic>
          </wp:inline>
        </w:drawing>
      </w:r>
    </w:p>
    <w:p w14:paraId="088B8939">
      <w:pPr>
        <w:pStyle w:val="123"/>
        <w:spacing w:before="29" w:line="360" w:lineRule="auto"/>
        <w:ind w:right="159"/>
      </w:pPr>
      <w:r>
        <w:rPr>
          <w:rFonts w:hint="eastAsia"/>
        </w:rPr>
        <w:t>图5.3-1 基础节安装示意图</w:t>
      </w:r>
    </w:p>
    <w:p w14:paraId="6C1C014F">
      <w:pPr>
        <w:ind w:firstLine="560"/>
      </w:pPr>
      <w:r>
        <w:rPr>
          <w:rFonts w:hint="eastAsia"/>
        </w:rPr>
        <w:t>注意；</w:t>
      </w:r>
    </w:p>
    <w:p w14:paraId="096B16FC">
      <w:pPr>
        <w:ind w:firstLine="560"/>
      </w:pPr>
      <w:r>
        <w:rPr>
          <w:rFonts w:hint="eastAsia"/>
        </w:rPr>
        <w:t>1）确保安装过程中的吊装安全可靠。</w:t>
      </w:r>
    </w:p>
    <w:p w14:paraId="6C5D6895">
      <w:pPr>
        <w:ind w:firstLine="560"/>
      </w:pPr>
      <w:r>
        <w:rPr>
          <w:rFonts w:hint="eastAsia"/>
        </w:rPr>
        <w:t>2）注意基础节踏步安装方向应与建筑物方向垂直，否则将会造成后期无法降塔！</w:t>
      </w:r>
    </w:p>
    <w:p w14:paraId="56820E52">
      <w:pPr>
        <w:ind w:firstLine="560"/>
      </w:pPr>
      <w:r>
        <w:rPr>
          <w:rFonts w:hint="eastAsia"/>
        </w:rPr>
        <w:t>3）此处因受安装空间的限制，高强螺栓的安装方向为从上往下穿入。</w:t>
      </w:r>
    </w:p>
    <w:p w14:paraId="566C32BC">
      <w:pPr>
        <w:ind w:firstLine="560"/>
      </w:pPr>
      <w:r>
        <w:rPr>
          <w:rFonts w:hint="eastAsia"/>
        </w:rPr>
        <w:t>4）高强螺栓安装前，须涂抹润滑脂，M30 高强螺栓的预紧力矩为 1600N·m，每根高强度螺栓均应装配两个垫圈（一个垫在螺栓头下，一个垫在螺母下，且使有倒角的一面朝向螺栓头或螺母）及两个螺母并拧紧防松，双螺母中防松螺母拧紧力矩应同样达到1600N.m。</w:t>
      </w:r>
    </w:p>
    <w:p w14:paraId="0FE33310">
      <w:pPr>
        <w:spacing w:line="240" w:lineRule="auto"/>
        <w:ind w:firstLine="0" w:firstLineChars="0"/>
        <w:jc w:val="center"/>
      </w:pPr>
      <w:r>
        <w:drawing>
          <wp:inline distT="0" distB="0" distL="114300" distR="114300">
            <wp:extent cx="2924175" cy="1847850"/>
            <wp:effectExtent l="0" t="0" r="9525" b="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37"/>
                    <a:stretch>
                      <a:fillRect/>
                    </a:stretch>
                  </pic:blipFill>
                  <pic:spPr>
                    <a:xfrm>
                      <a:off x="0" y="0"/>
                      <a:ext cx="2924175" cy="1847850"/>
                    </a:xfrm>
                    <a:prstGeom prst="rect">
                      <a:avLst/>
                    </a:prstGeom>
                    <a:noFill/>
                    <a:ln>
                      <a:noFill/>
                    </a:ln>
                  </pic:spPr>
                </pic:pic>
              </a:graphicData>
            </a:graphic>
          </wp:inline>
        </w:drawing>
      </w:r>
    </w:p>
    <w:p w14:paraId="1A2A9B58">
      <w:pPr>
        <w:pStyle w:val="123"/>
        <w:spacing w:before="29" w:line="360" w:lineRule="auto"/>
        <w:ind w:right="159"/>
      </w:pPr>
      <w:r>
        <w:rPr>
          <w:rFonts w:hint="eastAsia"/>
        </w:rPr>
        <w:t>图5.3-2基础节安装方向示意图</w:t>
      </w:r>
    </w:p>
    <w:p w14:paraId="6F965116">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5.3.2吊装2节标准节</w:t>
      </w:r>
    </w:p>
    <w:p w14:paraId="74B1BC30">
      <w:pPr>
        <w:autoSpaceDE w:val="0"/>
        <w:autoSpaceDN w:val="0"/>
        <w:adjustRightInd w:val="0"/>
        <w:ind w:firstLine="560"/>
        <w:rPr>
          <w:rFonts w:ascii="宋体" w:hAnsi="宋体" w:cs="宋体"/>
          <w:color w:val="1E1C11" w:themeColor="background2" w:themeShade="1A"/>
          <w:kern w:val="0"/>
        </w:rPr>
      </w:pPr>
      <w:r>
        <w:rPr>
          <w:rFonts w:hint="eastAsia"/>
          <w:color w:val="000000"/>
          <w:lang w:val="en-US" w:eastAsia="zh-CN"/>
        </w:rPr>
        <w:t>1节</w:t>
      </w:r>
      <w:r>
        <w:rPr>
          <w:rFonts w:hint="eastAsia"/>
          <w:color w:val="000000"/>
        </w:rPr>
        <w:t>标准节重</w:t>
      </w:r>
      <w:r>
        <w:rPr>
          <w:rFonts w:hint="eastAsia"/>
          <w:color w:val="000000"/>
          <w:lang w:val="en-US" w:eastAsia="zh-CN"/>
        </w:rPr>
        <w:t>0.848</w:t>
      </w:r>
      <w:r>
        <w:rPr>
          <w:rFonts w:hint="eastAsia"/>
          <w:color w:val="000000"/>
        </w:rPr>
        <w:t>t，使用25T汽车吊，采用两根Φ24×6m钢丝绳，4个3.25t卸扣，4吊点起吊。</w:t>
      </w:r>
    </w:p>
    <w:p w14:paraId="618D7FBC">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如下图所示，将标准节吊起至下方塔身节的上方，缓缓放下，对准将连接套（4、5），用高强螺栓以及对应垫圈、螺母（2、3、6）将其连接。</w:t>
      </w:r>
    </w:p>
    <w:p w14:paraId="0C6A4AB5">
      <w:pPr>
        <w:wordWrap w:val="0"/>
        <w:spacing w:line="360" w:lineRule="auto"/>
        <w:ind w:firstLine="0" w:firstLineChars="0"/>
        <w:jc w:val="center"/>
        <w:rPr>
          <w:rFonts w:ascii="宋体" w:hAnsi="宋体" w:eastAsia="宋体" w:cs="宋体"/>
          <w:color w:val="000000"/>
          <w:sz w:val="24"/>
          <w:szCs w:val="20"/>
        </w:rPr>
      </w:pPr>
      <w:r>
        <w:drawing>
          <wp:inline distT="0" distB="0" distL="114300" distR="114300">
            <wp:extent cx="5248910" cy="3514725"/>
            <wp:effectExtent l="0" t="0" r="8890" b="9525"/>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38"/>
                    <a:stretch>
                      <a:fillRect/>
                    </a:stretch>
                  </pic:blipFill>
                  <pic:spPr>
                    <a:xfrm>
                      <a:off x="0" y="0"/>
                      <a:ext cx="5248910" cy="3514725"/>
                    </a:xfrm>
                    <a:prstGeom prst="rect">
                      <a:avLst/>
                    </a:prstGeom>
                    <a:noFill/>
                    <a:ln>
                      <a:noFill/>
                    </a:ln>
                  </pic:spPr>
                </pic:pic>
              </a:graphicData>
            </a:graphic>
          </wp:inline>
        </w:drawing>
      </w:r>
      <w:r>
        <w:drawing>
          <wp:inline distT="0" distB="0" distL="114300" distR="114300">
            <wp:extent cx="1677035" cy="2787015"/>
            <wp:effectExtent l="0" t="0" r="18415" b="13335"/>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pic:cNvPicPr>
                  </pic:nvPicPr>
                  <pic:blipFill>
                    <a:blip r:embed="rId39"/>
                    <a:stretch>
                      <a:fillRect/>
                    </a:stretch>
                  </pic:blipFill>
                  <pic:spPr>
                    <a:xfrm>
                      <a:off x="0" y="0"/>
                      <a:ext cx="1677035" cy="2787015"/>
                    </a:xfrm>
                    <a:prstGeom prst="rect">
                      <a:avLst/>
                    </a:prstGeom>
                    <a:noFill/>
                    <a:ln>
                      <a:noFill/>
                    </a:ln>
                  </pic:spPr>
                </pic:pic>
              </a:graphicData>
            </a:graphic>
          </wp:inline>
        </w:drawing>
      </w:r>
      <w:r>
        <w:drawing>
          <wp:inline distT="0" distB="0" distL="114300" distR="114300">
            <wp:extent cx="2847975" cy="2847975"/>
            <wp:effectExtent l="0" t="0" r="9525" b="9525"/>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36"/>
                    <a:stretch>
                      <a:fillRect/>
                    </a:stretch>
                  </pic:blipFill>
                  <pic:spPr>
                    <a:xfrm>
                      <a:off x="0" y="0"/>
                      <a:ext cx="2847975" cy="2847975"/>
                    </a:xfrm>
                    <a:prstGeom prst="rect">
                      <a:avLst/>
                    </a:prstGeom>
                    <a:noFill/>
                    <a:ln>
                      <a:noFill/>
                    </a:ln>
                  </pic:spPr>
                </pic:pic>
              </a:graphicData>
            </a:graphic>
          </wp:inline>
        </w:drawing>
      </w:r>
    </w:p>
    <w:p w14:paraId="64C0BB72">
      <w:pPr>
        <w:pStyle w:val="123"/>
        <w:spacing w:before="29" w:line="360" w:lineRule="auto"/>
        <w:ind w:right="159"/>
      </w:pPr>
      <w:r>
        <w:rPr>
          <w:rFonts w:hint="eastAsia"/>
        </w:rPr>
        <w:t>图5.3-3吊装</w:t>
      </w:r>
      <w:r>
        <w:rPr>
          <w:rFonts w:hint="eastAsia"/>
          <w:lang w:val="en-US" w:eastAsia="zh-CN"/>
        </w:rPr>
        <w:t>2</w:t>
      </w:r>
      <w:r>
        <w:rPr>
          <w:rFonts w:hint="eastAsia"/>
        </w:rPr>
        <w:t>节标准节</w:t>
      </w:r>
    </w:p>
    <w:p w14:paraId="50E3FF5F">
      <w:pPr>
        <w:ind w:firstLine="560"/>
      </w:pPr>
      <w:r>
        <w:rPr>
          <w:rFonts w:hint="eastAsia"/>
        </w:rPr>
        <w:t>注意；</w:t>
      </w:r>
    </w:p>
    <w:p w14:paraId="55C8BC1F">
      <w:pPr>
        <w:ind w:firstLine="560"/>
      </w:pPr>
      <w:r>
        <w:rPr>
          <w:rFonts w:hint="eastAsia"/>
        </w:rPr>
        <w:t>1）该机型塔机的标准安装流程：安装基础节，再安装完一节标准节后，进行爬升架以及上部结构的安装，其余塔身节的安装依靠塔机自身顶升系统进行，否则将会提高安装所需吊装器械的需求。</w:t>
      </w:r>
    </w:p>
    <w:p w14:paraId="10E5DE96">
      <w:pPr>
        <w:ind w:firstLine="560"/>
      </w:pPr>
      <w:r>
        <w:rPr>
          <w:rFonts w:hint="eastAsia"/>
        </w:rPr>
        <w:t>2）注意顶升踏步的方向，确保和基础节踏步方向一致，否则会导致无法顶升。</w:t>
      </w:r>
    </w:p>
    <w:p w14:paraId="5D98D47E">
      <w:pPr>
        <w:ind w:firstLine="560"/>
      </w:pPr>
      <w:r>
        <w:rPr>
          <w:rFonts w:hint="eastAsia"/>
        </w:rPr>
        <w:t>3）注意高强螺栓的安装方向为从下往上穿入。</w:t>
      </w:r>
    </w:p>
    <w:p w14:paraId="4B1CC1DC">
      <w:pPr>
        <w:ind w:firstLine="560"/>
      </w:pPr>
      <w:r>
        <w:rPr>
          <w:rFonts w:hint="eastAsia"/>
        </w:rPr>
        <w:t>4）高强螺栓安装前，须涂抹润滑脂，M30 高强螺栓的预紧力矩为 1600N·m，每根高强度螺栓均应装配两个垫圈（一个垫在螺栓头下，一个垫在螺母下，且使有倒角的一面朝向螺栓头或螺母）及两个螺母并拧紧防松，双螺母中防松螺母拧紧力矩应同样达到1600N.m。</w:t>
      </w:r>
    </w:p>
    <w:p w14:paraId="2945F7D4">
      <w:pPr>
        <w:ind w:firstLine="560"/>
        <w:outlineLvl w:val="2"/>
        <w:rPr>
          <w:rFonts w:hint="eastAsia" w:ascii="黑体" w:hAnsi="黑体" w:eastAsia="黑体" w:cs="黑体"/>
          <w:color w:val="000000"/>
          <w:lang w:val="en-US" w:eastAsia="zh-CN"/>
        </w:rPr>
      </w:pPr>
      <w:bookmarkStart w:id="298" w:name="_Toc32208"/>
      <w:r>
        <w:rPr>
          <w:rFonts w:hint="eastAsia" w:ascii="黑体" w:hAnsi="黑体" w:eastAsia="黑体" w:cs="黑体"/>
          <w:color w:val="000000"/>
          <w:lang w:val="en-US" w:eastAsia="zh-CN"/>
        </w:rPr>
        <w:t>5.3.3吊装爬升架</w:t>
      </w:r>
      <w:bookmarkEnd w:id="298"/>
    </w:p>
    <w:p w14:paraId="7C4150DC">
      <w:pPr>
        <w:ind w:firstLine="560"/>
        <w:rPr>
          <w:color w:val="000000"/>
        </w:rPr>
      </w:pPr>
      <w:r>
        <w:rPr>
          <w:rFonts w:hint="eastAsia"/>
          <w:color w:val="000000"/>
        </w:rPr>
        <w:t>爬升架总重</w:t>
      </w:r>
      <w:r>
        <w:rPr>
          <w:rFonts w:hint="eastAsia"/>
          <w:color w:val="000000"/>
          <w:lang w:val="en-US" w:eastAsia="zh-CN"/>
        </w:rPr>
        <w:t>1.832</w:t>
      </w:r>
      <w:r>
        <w:rPr>
          <w:rFonts w:hint="eastAsia"/>
          <w:color w:val="000000"/>
        </w:rPr>
        <w:t>t，使用25T汽车吊，采用4根Φ24×6m钢丝绳，4个5.5T卸扣，4吊点起吊。</w:t>
      </w:r>
    </w:p>
    <w:p w14:paraId="70C807BF">
      <w:pPr>
        <w:ind w:firstLine="560"/>
        <w:rPr>
          <w:color w:val="000000"/>
        </w:rPr>
      </w:pPr>
      <w:r>
        <w:rPr>
          <w:color w:val="000000"/>
        </w:rPr>
        <w:t>a.</w:t>
      </w:r>
      <w:r>
        <w:rPr>
          <w:rFonts w:hint="eastAsia"/>
          <w:color w:val="000000"/>
        </w:rPr>
        <w:t xml:space="preserve">将爬升架组装完毕后，将吊具挂在爬升架上，拉紧钢丝绳吊起。切记安装顶升油缸的位置必须与塔身踏步同侧。 </w:t>
      </w:r>
    </w:p>
    <w:p w14:paraId="44DE2618">
      <w:pPr>
        <w:ind w:firstLine="560"/>
        <w:rPr>
          <w:color w:val="000000"/>
        </w:rPr>
      </w:pPr>
      <w:r>
        <w:rPr>
          <w:color w:val="000000"/>
        </w:rPr>
        <w:t>b.</w:t>
      </w:r>
      <w:r>
        <w:rPr>
          <w:rFonts w:hint="eastAsia"/>
          <w:color w:val="000000"/>
        </w:rPr>
        <w:t xml:space="preserve">将爬升架缓慢套装在塔身节外侧。 </w:t>
      </w:r>
    </w:p>
    <w:p w14:paraId="19683C5D">
      <w:pPr>
        <w:ind w:firstLine="560"/>
        <w:rPr>
          <w:color w:val="000000"/>
        </w:rPr>
      </w:pPr>
      <w:r>
        <w:rPr>
          <w:color w:val="000000"/>
        </w:rPr>
        <w:t>c.</w:t>
      </w:r>
      <w:r>
        <w:rPr>
          <w:rFonts w:hint="eastAsia"/>
          <w:color w:val="000000"/>
        </w:rPr>
        <w:t>将爬升架上的爬爪放在塔身节的第二节上部的踏步上，再调整好爬升导轮与标准节的间隙</w:t>
      </w:r>
      <w:r>
        <w:rPr>
          <w:color w:val="000000"/>
        </w:rPr>
        <w:t>(</w:t>
      </w:r>
      <w:r>
        <w:rPr>
          <w:rFonts w:hint="eastAsia"/>
          <w:color w:val="000000"/>
        </w:rPr>
        <w:t xml:space="preserve">间隙最好为 </w:t>
      </w:r>
      <w:r>
        <w:rPr>
          <w:color w:val="000000"/>
        </w:rPr>
        <w:t>2</w:t>
      </w:r>
      <w:r>
        <w:rPr>
          <w:rFonts w:hint="eastAsia"/>
          <w:color w:val="000000"/>
        </w:rPr>
        <w:t>～</w:t>
      </w:r>
      <w:r>
        <w:rPr>
          <w:color w:val="000000"/>
        </w:rPr>
        <w:t>3mm)</w:t>
      </w:r>
      <w:r>
        <w:rPr>
          <w:rFonts w:hint="eastAsia"/>
          <w:color w:val="000000"/>
        </w:rPr>
        <w:t xml:space="preserve">。 </w:t>
      </w:r>
    </w:p>
    <w:p w14:paraId="4EE086DD">
      <w:pPr>
        <w:ind w:firstLine="560"/>
        <w:rPr>
          <w:color w:val="000000"/>
        </w:rPr>
      </w:pPr>
      <w:r>
        <w:rPr>
          <w:color w:val="000000"/>
        </w:rPr>
        <w:t>d.</w:t>
      </w:r>
      <w:r>
        <w:rPr>
          <w:rFonts w:hint="eastAsia"/>
          <w:color w:val="000000"/>
        </w:rPr>
        <w:t>安装好顶升油缸，将液压泵站吊装到平台一角，接好油管，检查液压系统的运转情况，应保证油泵电机风扇叶片旋向应与外壳箭头标识一致，以避免烧坏油泵。如有错误。则应重新接好电机接线。</w:t>
      </w:r>
    </w:p>
    <w:p w14:paraId="16A2A647">
      <w:pPr>
        <w:pStyle w:val="173"/>
        <w:spacing w:line="240" w:lineRule="auto"/>
        <w:ind w:left="480" w:firstLine="0" w:firstLineChars="0"/>
        <w:jc w:val="center"/>
        <w:rPr>
          <w:kern w:val="0"/>
          <w:szCs w:val="24"/>
        </w:rPr>
      </w:pPr>
      <w:r>
        <w:drawing>
          <wp:inline distT="0" distB="0" distL="114300" distR="114300">
            <wp:extent cx="1924050" cy="3136265"/>
            <wp:effectExtent l="0" t="0" r="0" b="6985"/>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pic:cNvPicPr>
                      <a:picLocks noChangeAspect="1"/>
                    </pic:cNvPicPr>
                  </pic:nvPicPr>
                  <pic:blipFill>
                    <a:blip r:embed="rId40"/>
                    <a:stretch>
                      <a:fillRect/>
                    </a:stretch>
                  </pic:blipFill>
                  <pic:spPr>
                    <a:xfrm>
                      <a:off x="0" y="0"/>
                      <a:ext cx="1924050" cy="3136265"/>
                    </a:xfrm>
                    <a:prstGeom prst="rect">
                      <a:avLst/>
                    </a:prstGeom>
                    <a:noFill/>
                    <a:ln>
                      <a:noFill/>
                    </a:ln>
                  </pic:spPr>
                </pic:pic>
              </a:graphicData>
            </a:graphic>
          </wp:inline>
        </w:drawing>
      </w:r>
      <w:r>
        <w:drawing>
          <wp:inline distT="0" distB="0" distL="114300" distR="114300">
            <wp:extent cx="2847975" cy="2847975"/>
            <wp:effectExtent l="0" t="0" r="9525" b="9525"/>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pic:cNvPicPr>
                  </pic:nvPicPr>
                  <pic:blipFill>
                    <a:blip r:embed="rId36"/>
                    <a:stretch>
                      <a:fillRect/>
                    </a:stretch>
                  </pic:blipFill>
                  <pic:spPr>
                    <a:xfrm>
                      <a:off x="0" y="0"/>
                      <a:ext cx="2847975" cy="2847975"/>
                    </a:xfrm>
                    <a:prstGeom prst="rect">
                      <a:avLst/>
                    </a:prstGeom>
                    <a:noFill/>
                    <a:ln>
                      <a:noFill/>
                    </a:ln>
                  </pic:spPr>
                </pic:pic>
              </a:graphicData>
            </a:graphic>
          </wp:inline>
        </w:drawing>
      </w:r>
    </w:p>
    <w:p w14:paraId="78D1AB09">
      <w:pPr>
        <w:pStyle w:val="123"/>
        <w:spacing w:before="29" w:line="360" w:lineRule="auto"/>
        <w:ind w:right="159"/>
      </w:pPr>
      <w:r>
        <w:rPr>
          <w:rFonts w:hint="eastAsia"/>
        </w:rPr>
        <w:t>图5.3-4 吊装爬升架</w:t>
      </w:r>
    </w:p>
    <w:p w14:paraId="1E9B6FC8">
      <w:pPr>
        <w:ind w:firstLine="560"/>
        <w:outlineLvl w:val="2"/>
        <w:rPr>
          <w:rFonts w:hint="eastAsia" w:ascii="黑体" w:hAnsi="黑体" w:eastAsia="黑体" w:cs="黑体"/>
          <w:color w:val="000000"/>
          <w:lang w:val="en-US" w:eastAsia="zh-CN"/>
        </w:rPr>
      </w:pPr>
      <w:bookmarkStart w:id="299" w:name="_Toc14044"/>
      <w:r>
        <w:rPr>
          <w:rFonts w:hint="eastAsia" w:ascii="黑体" w:hAnsi="黑体" w:eastAsia="黑体" w:cs="黑体"/>
          <w:color w:val="000000"/>
          <w:lang w:val="en-US" w:eastAsia="zh-CN"/>
        </w:rPr>
        <w:t>5.3.4安装特殊节</w:t>
      </w:r>
    </w:p>
    <w:p w14:paraId="4C1C1AB5">
      <w:pPr>
        <w:ind w:firstLine="560"/>
        <w:rPr>
          <w:color w:val="000000"/>
        </w:rPr>
      </w:pPr>
      <w:r>
        <w:rPr>
          <w:rFonts w:hint="eastAsia"/>
          <w:color w:val="000000"/>
          <w:lang w:eastAsia="zh-CN"/>
        </w:rPr>
        <w:t>特殊节</w:t>
      </w:r>
      <w:r>
        <w:rPr>
          <w:rFonts w:hint="eastAsia"/>
          <w:color w:val="000000"/>
        </w:rPr>
        <w:t>总重</w:t>
      </w:r>
      <w:r>
        <w:rPr>
          <w:rFonts w:hint="eastAsia"/>
          <w:color w:val="000000"/>
          <w:lang w:val="en-US" w:eastAsia="zh-CN"/>
        </w:rPr>
        <w:t>1.277</w:t>
      </w:r>
      <w:r>
        <w:rPr>
          <w:rFonts w:hint="eastAsia"/>
          <w:color w:val="000000"/>
        </w:rPr>
        <w:t>t，使用25T汽车吊，采用4根Φ24×6m钢丝绳，4个3.25T卸扣，4吊点起吊。</w:t>
      </w:r>
    </w:p>
    <w:p w14:paraId="6D395D6E">
      <w:pPr>
        <w:ind w:firstLine="560"/>
      </w:pPr>
      <w:r>
        <w:rPr>
          <w:rFonts w:hint="eastAsia"/>
        </w:rPr>
        <w:t>将吊索绕入特殊节（1）四根主弦的连接套，并挂至吊钩，移动到塔身上方，确保与塔身节的爬梯一致后，缓缓落下，将特殊节支腿与与爬升架耳板孔对准后，插入销轴及开口销（7、8）；同时将特殊节与塔身节用螺栓（2、3、6）紧固。</w:t>
      </w:r>
    </w:p>
    <w:p w14:paraId="4CC23055">
      <w:pPr>
        <w:spacing w:line="240" w:lineRule="auto"/>
        <w:ind w:firstLine="0" w:firstLineChars="0"/>
        <w:jc w:val="center"/>
      </w:pPr>
      <w:r>
        <w:drawing>
          <wp:inline distT="0" distB="0" distL="114300" distR="114300">
            <wp:extent cx="4163695" cy="2874010"/>
            <wp:effectExtent l="0" t="0" r="8255" b="254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41"/>
                    <a:stretch>
                      <a:fillRect/>
                    </a:stretch>
                  </pic:blipFill>
                  <pic:spPr>
                    <a:xfrm>
                      <a:off x="0" y="0"/>
                      <a:ext cx="4163695" cy="2874010"/>
                    </a:xfrm>
                    <a:prstGeom prst="rect">
                      <a:avLst/>
                    </a:prstGeom>
                    <a:noFill/>
                    <a:ln>
                      <a:noFill/>
                    </a:ln>
                  </pic:spPr>
                </pic:pic>
              </a:graphicData>
            </a:graphic>
          </wp:inline>
        </w:drawing>
      </w:r>
      <w:r>
        <w:drawing>
          <wp:inline distT="0" distB="0" distL="114300" distR="114300">
            <wp:extent cx="1897380" cy="2952750"/>
            <wp:effectExtent l="0" t="0" r="7620" b="0"/>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
                    <pic:cNvPicPr>
                      <a:picLocks noChangeAspect="1"/>
                    </pic:cNvPicPr>
                  </pic:nvPicPr>
                  <pic:blipFill>
                    <a:blip r:embed="rId42"/>
                    <a:stretch>
                      <a:fillRect/>
                    </a:stretch>
                  </pic:blipFill>
                  <pic:spPr>
                    <a:xfrm>
                      <a:off x="0" y="0"/>
                      <a:ext cx="1897380" cy="2952750"/>
                    </a:xfrm>
                    <a:prstGeom prst="rect">
                      <a:avLst/>
                    </a:prstGeom>
                    <a:noFill/>
                    <a:ln>
                      <a:noFill/>
                    </a:ln>
                  </pic:spPr>
                </pic:pic>
              </a:graphicData>
            </a:graphic>
          </wp:inline>
        </w:drawing>
      </w:r>
      <w:r>
        <w:drawing>
          <wp:inline distT="0" distB="0" distL="114300" distR="114300">
            <wp:extent cx="2847975" cy="2847975"/>
            <wp:effectExtent l="0" t="0" r="9525" b="9525"/>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pic:cNvPicPr>
                  </pic:nvPicPr>
                  <pic:blipFill>
                    <a:blip r:embed="rId36"/>
                    <a:stretch>
                      <a:fillRect/>
                    </a:stretch>
                  </pic:blipFill>
                  <pic:spPr>
                    <a:xfrm>
                      <a:off x="0" y="0"/>
                      <a:ext cx="2847975" cy="2847975"/>
                    </a:xfrm>
                    <a:prstGeom prst="rect">
                      <a:avLst/>
                    </a:prstGeom>
                    <a:noFill/>
                    <a:ln>
                      <a:noFill/>
                    </a:ln>
                  </pic:spPr>
                </pic:pic>
              </a:graphicData>
            </a:graphic>
          </wp:inline>
        </w:drawing>
      </w:r>
    </w:p>
    <w:p w14:paraId="50C511F5">
      <w:pPr>
        <w:pStyle w:val="123"/>
        <w:spacing w:before="29" w:line="360" w:lineRule="auto"/>
        <w:ind w:right="159"/>
      </w:pPr>
      <w:r>
        <w:rPr>
          <w:rFonts w:hint="eastAsia"/>
        </w:rPr>
        <w:t>图5.3-5 吊装特殊节</w:t>
      </w:r>
    </w:p>
    <w:p w14:paraId="334EBF1E">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5.3.5安装回转支承总成</w:t>
      </w:r>
      <w:bookmarkEnd w:id="299"/>
    </w:p>
    <w:p w14:paraId="6F06B6F1">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t>在地面将下支座、回转支承、上支座、回转机构、工作平台栏杆、司机室等机构装配在一起。</w:t>
      </w:r>
    </w:p>
    <w:p w14:paraId="6FA51B9B">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t>回转总成重</w:t>
      </w:r>
      <w:r>
        <w:rPr>
          <w:rFonts w:hint="eastAsia" w:ascii="宋体" w:hAnsi="宋体" w:cs="宋体"/>
          <w:color w:val="1E1C11" w:themeColor="background2" w:themeShade="1A"/>
          <w:kern w:val="0"/>
          <w:lang w:val="en-US" w:eastAsia="zh-CN"/>
        </w:rPr>
        <w:t>3.265</w:t>
      </w:r>
      <w:r>
        <w:rPr>
          <w:rFonts w:ascii="宋体" w:hAnsi="宋体" w:cs="宋体"/>
          <w:color w:val="1E1C11" w:themeColor="background2" w:themeShade="1A"/>
          <w:kern w:val="0"/>
        </w:rPr>
        <w:t>t，使用</w:t>
      </w:r>
      <w:r>
        <w:rPr>
          <w:rFonts w:hint="eastAsia" w:ascii="宋体" w:hAnsi="宋体" w:cs="宋体"/>
          <w:color w:val="1E1C11" w:themeColor="background2" w:themeShade="1A"/>
          <w:kern w:val="0"/>
        </w:rPr>
        <w:t>25T汽车吊</w:t>
      </w:r>
      <w:r>
        <w:rPr>
          <w:rFonts w:ascii="宋体" w:hAnsi="宋体" w:cs="宋体"/>
          <w:color w:val="1E1C11" w:themeColor="background2" w:themeShade="1A"/>
          <w:kern w:val="0"/>
        </w:rPr>
        <w:t>，4根Φ</w:t>
      </w:r>
      <w:r>
        <w:rPr>
          <w:rFonts w:hint="eastAsia" w:ascii="宋体" w:hAnsi="宋体" w:cs="宋体"/>
          <w:color w:val="1E1C11" w:themeColor="background2" w:themeShade="1A"/>
          <w:kern w:val="0"/>
        </w:rPr>
        <w:t>24</w:t>
      </w:r>
      <w:r>
        <w:rPr>
          <w:rFonts w:ascii="宋体" w:hAnsi="宋体" w:cs="宋体"/>
          <w:color w:val="1E1C11" w:themeColor="background2" w:themeShade="1A"/>
          <w:kern w:val="0"/>
        </w:rPr>
        <w:t>×</w:t>
      </w:r>
      <w:r>
        <w:rPr>
          <w:rFonts w:hint="eastAsia" w:ascii="宋体" w:hAnsi="宋体" w:cs="宋体"/>
          <w:color w:val="1E1C11" w:themeColor="background2" w:themeShade="1A"/>
          <w:kern w:val="0"/>
        </w:rPr>
        <w:t>6</w:t>
      </w:r>
      <w:r>
        <w:rPr>
          <w:rFonts w:ascii="宋体" w:hAnsi="宋体" w:cs="宋体"/>
          <w:color w:val="1E1C11" w:themeColor="background2" w:themeShade="1A"/>
          <w:kern w:val="0"/>
        </w:rPr>
        <w:t>m钢丝绳，4个</w:t>
      </w:r>
      <w:r>
        <w:rPr>
          <w:rFonts w:hint="eastAsia"/>
          <w:color w:val="000000"/>
          <w:lang w:val="en-US" w:eastAsia="zh-CN"/>
        </w:rPr>
        <w:t>5.5</w:t>
      </w:r>
      <w:r>
        <w:rPr>
          <w:rFonts w:hint="eastAsia"/>
          <w:color w:val="000000"/>
        </w:rPr>
        <w:t>t</w:t>
      </w:r>
      <w:r>
        <w:rPr>
          <w:rFonts w:ascii="宋体" w:hAnsi="宋体" w:cs="宋体"/>
          <w:color w:val="1E1C11" w:themeColor="background2" w:themeShade="1A"/>
          <w:kern w:val="0"/>
        </w:rPr>
        <w:t>卸扣，4吊点起吊。</w:t>
      </w:r>
    </w:p>
    <w:p w14:paraId="2C21046B">
      <w:pPr>
        <w:widowControl/>
        <w:ind w:firstLine="560"/>
        <w:jc w:val="left"/>
        <w:rPr>
          <w:rFonts w:ascii="宋体" w:hAnsi="宋体" w:cs="宋体"/>
          <w:color w:val="1E1C11" w:themeColor="background2" w:themeShade="1A"/>
          <w:kern w:val="0"/>
        </w:rPr>
      </w:pPr>
      <w:r>
        <w:rPr>
          <w:rFonts w:ascii="宋体" w:hAnsi="宋体" w:cs="宋体"/>
          <w:color w:val="1E1C11" w:themeColor="background2" w:themeShade="1A"/>
          <w:kern w:val="0"/>
        </w:rPr>
        <w:t>将吊具挂在上支座四个支柱耳套下，将回转支承总成吊起</w:t>
      </w:r>
      <w:r>
        <w:rPr>
          <w:rFonts w:hint="eastAsia" w:ascii="宋体" w:hAnsi="宋体" w:cs="宋体"/>
          <w:color w:val="1E1C11" w:themeColor="background2" w:themeShade="1A"/>
          <w:kern w:val="0"/>
        </w:rPr>
        <w:t>。</w:t>
      </w:r>
    </w:p>
    <w:p w14:paraId="09B34122">
      <w:pPr>
        <w:widowControl/>
        <w:ind w:firstLine="560"/>
        <w:jc w:val="left"/>
        <w:rPr>
          <w:rFonts w:ascii="宋体" w:hAnsi="宋体" w:cs="宋体"/>
          <w:color w:val="1E1C11" w:themeColor="background2" w:themeShade="1A"/>
          <w:kern w:val="0"/>
        </w:rPr>
      </w:pPr>
      <w:r>
        <w:rPr>
          <w:rFonts w:ascii="宋体" w:hAnsi="宋体" w:cs="宋体"/>
          <w:color w:val="1E1C11" w:themeColor="background2" w:themeShade="1A"/>
          <w:kern w:val="0"/>
        </w:rPr>
        <w:t>吊起回转总成（1）至特殊节上方，注意下支座爬梯方向与特殊节爬梯方向保持一致，将回转总成缓慢的落下，通过 8 个销轴（2）连接，为防止销轴脱出，两个销轴之间通过立销（3）固定，立销下端穿入葫芦销固定。</w:t>
      </w:r>
    </w:p>
    <w:p w14:paraId="3CD67B09">
      <w:pPr>
        <w:widowControl/>
        <w:spacing w:line="240" w:lineRule="auto"/>
        <w:ind w:firstLine="0" w:firstLineChars="0"/>
        <w:jc w:val="center"/>
      </w:pPr>
      <w:r>
        <w:drawing>
          <wp:inline distT="0" distB="0" distL="114300" distR="114300">
            <wp:extent cx="3529965" cy="2495550"/>
            <wp:effectExtent l="0" t="0" r="13335" b="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43"/>
                    <a:stretch>
                      <a:fillRect/>
                    </a:stretch>
                  </pic:blipFill>
                  <pic:spPr>
                    <a:xfrm>
                      <a:off x="0" y="0"/>
                      <a:ext cx="3529965" cy="2495550"/>
                    </a:xfrm>
                    <a:prstGeom prst="rect">
                      <a:avLst/>
                    </a:prstGeom>
                    <a:noFill/>
                    <a:ln>
                      <a:noFill/>
                    </a:ln>
                  </pic:spPr>
                </pic:pic>
              </a:graphicData>
            </a:graphic>
          </wp:inline>
        </w:drawing>
      </w:r>
    </w:p>
    <w:p w14:paraId="0B3ADF44">
      <w:pPr>
        <w:widowControl/>
        <w:spacing w:line="240" w:lineRule="auto"/>
        <w:ind w:firstLine="0" w:firstLineChars="0"/>
        <w:jc w:val="center"/>
        <w:rPr>
          <w:rFonts w:ascii="宋体" w:hAnsi="宋体" w:eastAsia="宋体" w:cs="宋体"/>
          <w:color w:val="000000"/>
          <w:kern w:val="0"/>
          <w:sz w:val="24"/>
          <w:szCs w:val="24"/>
        </w:rPr>
      </w:pPr>
      <w:r>
        <w:drawing>
          <wp:inline distT="0" distB="0" distL="114300" distR="114300">
            <wp:extent cx="1870710" cy="2771775"/>
            <wp:effectExtent l="0" t="0" r="15240" b="9525"/>
            <wp:docPr id="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pic:cNvPicPr>
                      <a:picLocks noChangeAspect="1"/>
                    </pic:cNvPicPr>
                  </pic:nvPicPr>
                  <pic:blipFill>
                    <a:blip r:embed="rId44"/>
                    <a:stretch>
                      <a:fillRect/>
                    </a:stretch>
                  </pic:blipFill>
                  <pic:spPr>
                    <a:xfrm>
                      <a:off x="0" y="0"/>
                      <a:ext cx="1870710" cy="2771775"/>
                    </a:xfrm>
                    <a:prstGeom prst="rect">
                      <a:avLst/>
                    </a:prstGeom>
                    <a:noFill/>
                    <a:ln>
                      <a:noFill/>
                    </a:ln>
                  </pic:spPr>
                </pic:pic>
              </a:graphicData>
            </a:graphic>
          </wp:inline>
        </w:drawing>
      </w:r>
      <w:r>
        <w:drawing>
          <wp:inline distT="0" distB="0" distL="114300" distR="114300">
            <wp:extent cx="2847975" cy="2847975"/>
            <wp:effectExtent l="0" t="0" r="9525" b="9525"/>
            <wp:docPr id="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pic:cNvPicPr>
                      <a:picLocks noChangeAspect="1"/>
                    </pic:cNvPicPr>
                  </pic:nvPicPr>
                  <pic:blipFill>
                    <a:blip r:embed="rId36"/>
                    <a:stretch>
                      <a:fillRect/>
                    </a:stretch>
                  </pic:blipFill>
                  <pic:spPr>
                    <a:xfrm>
                      <a:off x="0" y="0"/>
                      <a:ext cx="2847975" cy="2847975"/>
                    </a:xfrm>
                    <a:prstGeom prst="rect">
                      <a:avLst/>
                    </a:prstGeom>
                    <a:noFill/>
                    <a:ln>
                      <a:noFill/>
                    </a:ln>
                  </pic:spPr>
                </pic:pic>
              </a:graphicData>
            </a:graphic>
          </wp:inline>
        </w:drawing>
      </w:r>
    </w:p>
    <w:p w14:paraId="6C93E2C1">
      <w:pPr>
        <w:pStyle w:val="123"/>
        <w:spacing w:before="29" w:line="360" w:lineRule="auto"/>
        <w:ind w:right="159"/>
        <w:rPr>
          <w:rFonts w:ascii="宋体" w:hAnsi="宋体" w:eastAsia="宋体" w:cs="宋体"/>
          <w:sz w:val="24"/>
          <w:szCs w:val="20"/>
        </w:rPr>
      </w:pPr>
      <w:r>
        <w:rPr>
          <w:rFonts w:hint="eastAsia"/>
        </w:rPr>
        <w:t>图5.3-6回转安装图</w:t>
      </w:r>
    </w:p>
    <w:p w14:paraId="006F0904">
      <w:pPr>
        <w:ind w:firstLine="560"/>
        <w:outlineLvl w:val="2"/>
        <w:rPr>
          <w:rFonts w:hint="eastAsia" w:ascii="黑体" w:hAnsi="黑体" w:eastAsia="黑体" w:cs="黑体"/>
          <w:color w:val="000000"/>
          <w:lang w:val="en-US" w:eastAsia="zh-CN"/>
        </w:rPr>
      </w:pPr>
      <w:bookmarkStart w:id="300" w:name="_Toc9619"/>
      <w:r>
        <w:rPr>
          <w:rFonts w:hint="eastAsia" w:ascii="黑体" w:hAnsi="黑体" w:eastAsia="黑体" w:cs="黑体"/>
          <w:color w:val="000000"/>
          <w:lang w:val="en-US" w:eastAsia="zh-CN"/>
        </w:rPr>
        <w:t>5.3.6 安装</w:t>
      </w:r>
      <w:bookmarkEnd w:id="300"/>
      <w:r>
        <w:rPr>
          <w:rFonts w:hint="eastAsia" w:ascii="黑体" w:hAnsi="黑体" w:eastAsia="黑体" w:cs="黑体"/>
          <w:color w:val="000000"/>
          <w:lang w:val="en-US" w:eastAsia="zh-CN"/>
        </w:rPr>
        <w:t>塔顶</w:t>
      </w:r>
    </w:p>
    <w:p w14:paraId="3EB99E84">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lang w:eastAsia="zh-CN"/>
        </w:rPr>
        <w:t>塔顶</w:t>
      </w:r>
      <w:r>
        <w:rPr>
          <w:rFonts w:ascii="宋体" w:hAnsi="宋体" w:cs="宋体"/>
          <w:color w:val="1E1C11" w:themeColor="background2" w:themeShade="1A"/>
          <w:kern w:val="0"/>
        </w:rPr>
        <w:t>重</w:t>
      </w:r>
      <w:r>
        <w:rPr>
          <w:rFonts w:hint="eastAsia" w:ascii="宋体" w:hAnsi="宋体" w:cs="宋体"/>
          <w:color w:val="1E1C11" w:themeColor="background2" w:themeShade="1A"/>
          <w:kern w:val="0"/>
          <w:lang w:val="en-US" w:eastAsia="zh-CN"/>
        </w:rPr>
        <w:t>1.203</w:t>
      </w:r>
      <w:r>
        <w:rPr>
          <w:rFonts w:ascii="宋体" w:hAnsi="宋体" w:cs="宋体"/>
          <w:color w:val="1E1C11" w:themeColor="background2" w:themeShade="1A"/>
          <w:kern w:val="0"/>
        </w:rPr>
        <w:t>t，使用</w:t>
      </w:r>
      <w:r>
        <w:rPr>
          <w:rFonts w:hint="eastAsia" w:ascii="宋体" w:hAnsi="宋体" w:cs="宋体"/>
          <w:color w:val="1E1C11" w:themeColor="background2" w:themeShade="1A"/>
          <w:kern w:val="0"/>
        </w:rPr>
        <w:t>25T汽车吊</w:t>
      </w:r>
      <w:r>
        <w:rPr>
          <w:rFonts w:ascii="宋体" w:hAnsi="宋体" w:cs="宋体"/>
          <w:color w:val="1E1C11" w:themeColor="background2" w:themeShade="1A"/>
          <w:kern w:val="0"/>
        </w:rPr>
        <w:t>，</w:t>
      </w:r>
      <w:r>
        <w:rPr>
          <w:rFonts w:hint="eastAsia" w:ascii="宋体" w:hAnsi="宋体" w:cs="宋体"/>
          <w:color w:val="1E1C11" w:themeColor="background2" w:themeShade="1A"/>
          <w:kern w:val="0"/>
        </w:rPr>
        <w:t>4</w:t>
      </w:r>
      <w:r>
        <w:rPr>
          <w:rFonts w:ascii="宋体" w:hAnsi="宋体" w:cs="宋体"/>
          <w:color w:val="1E1C11" w:themeColor="background2" w:themeShade="1A"/>
          <w:kern w:val="0"/>
        </w:rPr>
        <w:t>根Φ</w:t>
      </w:r>
      <w:r>
        <w:rPr>
          <w:rFonts w:hint="eastAsia" w:ascii="宋体" w:hAnsi="宋体" w:cs="宋体"/>
          <w:color w:val="1E1C11" w:themeColor="background2" w:themeShade="1A"/>
          <w:kern w:val="0"/>
        </w:rPr>
        <w:t>24</w:t>
      </w:r>
      <w:r>
        <w:rPr>
          <w:rFonts w:ascii="宋体" w:hAnsi="宋体" w:cs="宋体"/>
          <w:color w:val="1E1C11" w:themeColor="background2" w:themeShade="1A"/>
          <w:kern w:val="0"/>
        </w:rPr>
        <w:t>×</w:t>
      </w:r>
      <w:r>
        <w:rPr>
          <w:rFonts w:hint="eastAsia" w:ascii="宋体" w:hAnsi="宋体" w:cs="宋体"/>
          <w:color w:val="1E1C11" w:themeColor="background2" w:themeShade="1A"/>
          <w:kern w:val="0"/>
        </w:rPr>
        <w:t>6</w:t>
      </w:r>
      <w:r>
        <w:rPr>
          <w:rFonts w:ascii="宋体" w:hAnsi="宋体" w:cs="宋体"/>
          <w:color w:val="1E1C11" w:themeColor="background2" w:themeShade="1A"/>
          <w:kern w:val="0"/>
        </w:rPr>
        <w:t>m钢丝绳，</w:t>
      </w:r>
      <w:r>
        <w:rPr>
          <w:rFonts w:hint="eastAsia" w:ascii="宋体" w:hAnsi="宋体" w:cs="宋体"/>
          <w:color w:val="1E1C11" w:themeColor="background2" w:themeShade="1A"/>
          <w:kern w:val="0"/>
        </w:rPr>
        <w:t>4</w:t>
      </w:r>
      <w:r>
        <w:rPr>
          <w:rFonts w:ascii="宋体" w:hAnsi="宋体" w:cs="宋体"/>
          <w:color w:val="1E1C11" w:themeColor="background2" w:themeShade="1A"/>
          <w:kern w:val="0"/>
        </w:rPr>
        <w:t>个</w:t>
      </w:r>
      <w:r>
        <w:rPr>
          <w:rFonts w:hint="eastAsia" w:ascii="宋体" w:hAnsi="宋体" w:cs="宋体"/>
          <w:color w:val="1E1C11" w:themeColor="background2" w:themeShade="1A"/>
          <w:kern w:val="0"/>
        </w:rPr>
        <w:t>3.25</w:t>
      </w:r>
      <w:r>
        <w:rPr>
          <w:rFonts w:ascii="宋体" w:hAnsi="宋体" w:cs="宋体"/>
          <w:color w:val="1E1C11" w:themeColor="background2" w:themeShade="1A"/>
          <w:kern w:val="0"/>
        </w:rPr>
        <w:t>T卸扣，</w:t>
      </w:r>
      <w:r>
        <w:rPr>
          <w:rFonts w:hint="eastAsia" w:ascii="宋体" w:hAnsi="宋体" w:cs="宋体"/>
          <w:color w:val="1E1C11" w:themeColor="background2" w:themeShade="1A"/>
          <w:kern w:val="0"/>
        </w:rPr>
        <w:t>4</w:t>
      </w:r>
      <w:r>
        <w:rPr>
          <w:rFonts w:ascii="宋体" w:hAnsi="宋体" w:cs="宋体"/>
          <w:color w:val="1E1C11" w:themeColor="background2" w:themeShade="1A"/>
          <w:kern w:val="0"/>
        </w:rPr>
        <w:t>吊点起吊。</w:t>
      </w:r>
    </w:p>
    <w:p w14:paraId="72031368">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如下图所示，在吊装臂根节时，选用四根钢丝绳分别穿过吊耳，最终统一悬挂在吊</w:t>
      </w:r>
      <w:r>
        <w:rPr>
          <w:rFonts w:ascii="宋体" w:hAnsi="宋体" w:cs="宋体"/>
          <w:color w:val="1E1C11" w:themeColor="background2" w:themeShade="1A"/>
          <w:kern w:val="0"/>
        </w:rPr>
        <w:t>钩上，吊装中保证吊装平衡，实现臂根节的吊装。将臂根节（1）与上支座通过销轴装配到一起。</w:t>
      </w:r>
    </w:p>
    <w:p w14:paraId="7B0C5FD5">
      <w:pPr>
        <w:spacing w:line="240" w:lineRule="auto"/>
        <w:ind w:firstLine="0" w:firstLineChars="0"/>
        <w:jc w:val="center"/>
        <w:rPr>
          <w:rFonts w:hint="eastAsia" w:ascii="Tahoma" w:hAnsi="Tahoma" w:eastAsia="仿宋" w:cs="Tahoma"/>
          <w:szCs w:val="24"/>
          <w:lang w:eastAsia="zh-CN"/>
        </w:rPr>
      </w:pPr>
      <w:r>
        <w:drawing>
          <wp:inline distT="0" distB="0" distL="114300" distR="114300">
            <wp:extent cx="4000500" cy="2821940"/>
            <wp:effectExtent l="0" t="0" r="0" b="16510"/>
            <wp:docPr id="7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4"/>
                    <pic:cNvPicPr>
                      <a:picLocks noChangeAspect="1"/>
                    </pic:cNvPicPr>
                  </pic:nvPicPr>
                  <pic:blipFill>
                    <a:blip r:embed="rId45"/>
                    <a:stretch>
                      <a:fillRect/>
                    </a:stretch>
                  </pic:blipFill>
                  <pic:spPr>
                    <a:xfrm>
                      <a:off x="0" y="0"/>
                      <a:ext cx="4000500" cy="2821940"/>
                    </a:xfrm>
                    <a:prstGeom prst="rect">
                      <a:avLst/>
                    </a:prstGeom>
                    <a:noFill/>
                    <a:ln>
                      <a:noFill/>
                    </a:ln>
                  </pic:spPr>
                </pic:pic>
              </a:graphicData>
            </a:graphic>
          </wp:inline>
        </w:drawing>
      </w:r>
      <w:r>
        <w:drawing>
          <wp:inline distT="0" distB="0" distL="114300" distR="114300">
            <wp:extent cx="2486025" cy="3295650"/>
            <wp:effectExtent l="0" t="0" r="9525" b="0"/>
            <wp:docPr id="80" name="图片 80" descr="173459694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1734596940232"/>
                    <pic:cNvPicPr>
                      <a:picLocks noChangeAspect="1"/>
                    </pic:cNvPicPr>
                  </pic:nvPicPr>
                  <pic:blipFill>
                    <a:blip r:embed="rId46"/>
                    <a:stretch>
                      <a:fillRect/>
                    </a:stretch>
                  </pic:blipFill>
                  <pic:spPr>
                    <a:xfrm>
                      <a:off x="0" y="0"/>
                      <a:ext cx="2486025" cy="3295650"/>
                    </a:xfrm>
                    <a:prstGeom prst="rect">
                      <a:avLst/>
                    </a:prstGeom>
                  </pic:spPr>
                </pic:pic>
              </a:graphicData>
            </a:graphic>
          </wp:inline>
        </w:drawing>
      </w:r>
      <w:r>
        <w:rPr>
          <w:rFonts w:hint="eastAsia" w:ascii="Tahoma" w:hAnsi="Tahoma" w:eastAsia="仿宋" w:cs="Tahoma"/>
          <w:szCs w:val="24"/>
          <w:lang w:eastAsia="zh-CN"/>
        </w:rPr>
        <w:drawing>
          <wp:inline distT="0" distB="0" distL="114300" distR="114300">
            <wp:extent cx="3171825" cy="3257550"/>
            <wp:effectExtent l="0" t="0" r="9525" b="0"/>
            <wp:docPr id="81" name="图片 81" descr="173459711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1734597111724"/>
                    <pic:cNvPicPr>
                      <a:picLocks noChangeAspect="1"/>
                    </pic:cNvPicPr>
                  </pic:nvPicPr>
                  <pic:blipFill>
                    <a:blip r:embed="rId47"/>
                    <a:stretch>
                      <a:fillRect/>
                    </a:stretch>
                  </pic:blipFill>
                  <pic:spPr>
                    <a:xfrm>
                      <a:off x="0" y="0"/>
                      <a:ext cx="3171825" cy="3257550"/>
                    </a:xfrm>
                    <a:prstGeom prst="rect">
                      <a:avLst/>
                    </a:prstGeom>
                  </pic:spPr>
                </pic:pic>
              </a:graphicData>
            </a:graphic>
          </wp:inline>
        </w:drawing>
      </w:r>
    </w:p>
    <w:p w14:paraId="24C573AE">
      <w:pPr>
        <w:pStyle w:val="123"/>
        <w:spacing w:before="29" w:line="360" w:lineRule="auto"/>
        <w:ind w:right="159"/>
      </w:pPr>
      <w:r>
        <w:rPr>
          <w:rFonts w:hint="eastAsia"/>
        </w:rPr>
        <w:t>图5.3-7吊装</w:t>
      </w:r>
      <w:r>
        <w:rPr>
          <w:rFonts w:hint="eastAsia"/>
          <w:lang w:val="en-US" w:eastAsia="zh-CN"/>
        </w:rPr>
        <w:t>塔顶</w:t>
      </w:r>
      <w:r>
        <w:rPr>
          <w:rFonts w:hint="eastAsia"/>
        </w:rPr>
        <w:t>节</w:t>
      </w:r>
    </w:p>
    <w:p w14:paraId="45F39315">
      <w:pPr>
        <w:ind w:firstLine="560"/>
        <w:outlineLvl w:val="2"/>
        <w:rPr>
          <w:rFonts w:hint="eastAsia" w:ascii="黑体" w:hAnsi="黑体" w:eastAsia="黑体" w:cs="黑体"/>
          <w:color w:val="000000"/>
          <w:lang w:val="en-US" w:eastAsia="zh-CN"/>
        </w:rPr>
      </w:pPr>
      <w:bookmarkStart w:id="301" w:name="_Toc29482"/>
      <w:r>
        <w:rPr>
          <w:rFonts w:hint="eastAsia" w:ascii="黑体" w:hAnsi="黑体" w:eastAsia="黑体" w:cs="黑体"/>
          <w:color w:val="000000"/>
          <w:lang w:val="en-US" w:eastAsia="zh-CN"/>
        </w:rPr>
        <w:t>5.3.7安装平衡臂总成</w:t>
      </w:r>
      <w:bookmarkEnd w:id="301"/>
      <w:r>
        <w:rPr>
          <w:rFonts w:hint="eastAsia" w:ascii="黑体" w:hAnsi="黑体" w:eastAsia="黑体" w:cs="黑体"/>
          <w:color w:val="000000"/>
          <w:lang w:val="en-US" w:eastAsia="zh-CN"/>
        </w:rPr>
        <w:t>及部分平衡重</w:t>
      </w:r>
    </w:p>
    <w:p w14:paraId="2C5E614D">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在地面根据起重臂的长度组装好相应的平衡臂，将平衡臂上的栏杆、走道、工作平台、起升机构、电控柜、电阻柜、平衡臂拉杆等组装在一起并紧固好回转机构上接临时电源，将回转支承以上的部分回转到便于安装平衡臂的方位。</w:t>
      </w:r>
    </w:p>
    <w:p w14:paraId="3BC78431">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平衡臂总成</w:t>
      </w:r>
      <w:r>
        <w:rPr>
          <w:rFonts w:ascii="宋体" w:hAnsi="宋体" w:cs="宋体"/>
          <w:color w:val="1E1C11" w:themeColor="background2" w:themeShade="1A"/>
          <w:kern w:val="0"/>
        </w:rPr>
        <w:t>重</w:t>
      </w:r>
      <w:r>
        <w:rPr>
          <w:rFonts w:hint="eastAsia" w:ascii="宋体" w:hAnsi="宋体" w:cs="宋体"/>
          <w:color w:val="1E1C11" w:themeColor="background2" w:themeShade="1A"/>
          <w:kern w:val="0"/>
          <w:lang w:val="en-US" w:eastAsia="zh-CN"/>
        </w:rPr>
        <w:t>4.05</w:t>
      </w:r>
      <w:r>
        <w:rPr>
          <w:rFonts w:ascii="宋体" w:hAnsi="宋体" w:cs="宋体"/>
          <w:color w:val="1E1C11" w:themeColor="background2" w:themeShade="1A"/>
          <w:kern w:val="0"/>
        </w:rPr>
        <w:t>t，使用</w:t>
      </w:r>
      <w:r>
        <w:rPr>
          <w:rFonts w:hint="eastAsia" w:ascii="宋体" w:hAnsi="宋体" w:cs="宋体"/>
          <w:color w:val="1E1C11" w:themeColor="background2" w:themeShade="1A"/>
          <w:kern w:val="0"/>
        </w:rPr>
        <w:t>25T汽车</w:t>
      </w:r>
      <w:r>
        <w:rPr>
          <w:rFonts w:ascii="宋体" w:hAnsi="宋体" w:cs="宋体"/>
          <w:color w:val="1E1C11" w:themeColor="background2" w:themeShade="1A"/>
          <w:kern w:val="0"/>
        </w:rPr>
        <w:t>吊，</w:t>
      </w:r>
      <w:r>
        <w:rPr>
          <w:rFonts w:hint="eastAsia" w:ascii="宋体" w:hAnsi="宋体" w:cs="宋体"/>
          <w:color w:val="1E1C11" w:themeColor="background2" w:themeShade="1A"/>
          <w:kern w:val="0"/>
        </w:rPr>
        <w:t>4</w:t>
      </w:r>
      <w:r>
        <w:rPr>
          <w:rFonts w:ascii="宋体" w:hAnsi="宋体" w:cs="宋体"/>
          <w:color w:val="1E1C11" w:themeColor="background2" w:themeShade="1A"/>
          <w:kern w:val="0"/>
        </w:rPr>
        <w:t>根Φ</w:t>
      </w:r>
      <w:r>
        <w:rPr>
          <w:rFonts w:hint="eastAsia" w:ascii="宋体" w:hAnsi="宋体" w:cs="宋体"/>
          <w:color w:val="1E1C11" w:themeColor="background2" w:themeShade="1A"/>
          <w:kern w:val="0"/>
        </w:rPr>
        <w:t>24</w:t>
      </w:r>
      <w:r>
        <w:rPr>
          <w:rFonts w:ascii="宋体" w:hAnsi="宋体" w:cs="宋体"/>
          <w:color w:val="1E1C11" w:themeColor="background2" w:themeShade="1A"/>
          <w:kern w:val="0"/>
        </w:rPr>
        <w:t>×</w:t>
      </w:r>
      <w:r>
        <w:rPr>
          <w:rFonts w:hint="eastAsia" w:ascii="宋体" w:hAnsi="宋体" w:cs="宋体"/>
          <w:color w:val="1E1C11" w:themeColor="background2" w:themeShade="1A"/>
          <w:kern w:val="0"/>
        </w:rPr>
        <w:t>6</w:t>
      </w:r>
      <w:r>
        <w:rPr>
          <w:rFonts w:ascii="宋体" w:hAnsi="宋体" w:cs="宋体"/>
          <w:color w:val="1E1C11" w:themeColor="background2" w:themeShade="1A"/>
          <w:kern w:val="0"/>
        </w:rPr>
        <w:t>m钢丝绳，</w:t>
      </w:r>
      <w:r>
        <w:rPr>
          <w:rFonts w:hint="eastAsia" w:ascii="宋体" w:hAnsi="宋体" w:cs="宋体"/>
          <w:color w:val="1E1C11" w:themeColor="background2" w:themeShade="1A"/>
          <w:kern w:val="0"/>
        </w:rPr>
        <w:t>4</w:t>
      </w:r>
      <w:r>
        <w:rPr>
          <w:rFonts w:ascii="宋体" w:hAnsi="宋体" w:cs="宋体"/>
          <w:color w:val="1E1C11" w:themeColor="background2" w:themeShade="1A"/>
          <w:kern w:val="0"/>
        </w:rPr>
        <w:t>个</w:t>
      </w:r>
      <w:r>
        <w:rPr>
          <w:rFonts w:hint="eastAsia" w:ascii="宋体" w:hAnsi="宋体" w:cs="宋体"/>
          <w:color w:val="1E1C11" w:themeColor="background2" w:themeShade="1A"/>
          <w:kern w:val="0"/>
          <w:lang w:val="en-US" w:eastAsia="zh-CN"/>
        </w:rPr>
        <w:t>5.5</w:t>
      </w:r>
      <w:r>
        <w:rPr>
          <w:rFonts w:ascii="宋体" w:hAnsi="宋体" w:cs="宋体"/>
          <w:color w:val="1E1C11" w:themeColor="background2" w:themeShade="1A"/>
          <w:kern w:val="0"/>
        </w:rPr>
        <w:t>T卸扣，</w:t>
      </w:r>
      <w:r>
        <w:rPr>
          <w:rFonts w:hint="eastAsia" w:ascii="宋体" w:hAnsi="宋体" w:cs="宋体"/>
          <w:color w:val="1E1C11" w:themeColor="background2" w:themeShade="1A"/>
          <w:kern w:val="0"/>
        </w:rPr>
        <w:t>4</w:t>
      </w:r>
      <w:r>
        <w:rPr>
          <w:rFonts w:ascii="宋体" w:hAnsi="宋体" w:cs="宋体"/>
          <w:color w:val="1E1C11" w:themeColor="background2" w:themeShade="1A"/>
          <w:kern w:val="0"/>
        </w:rPr>
        <w:t>吊点起吊。</w:t>
      </w:r>
      <w:r>
        <w:rPr>
          <w:rFonts w:hint="eastAsia" w:ascii="宋体" w:hAnsi="宋体" w:cs="宋体"/>
          <w:color w:val="1E1C11" w:themeColor="background2" w:themeShade="1A"/>
          <w:kern w:val="0"/>
        </w:rPr>
        <w:t>吊起平衡臂，用定轴架和销轴将平衡臂与起重臂根节固定好。</w:t>
      </w:r>
    </w:p>
    <w:p w14:paraId="70270EA2">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再将平衡臂逐渐抬高至适当的位置，以便于平衡臂上拉杆与起重臂根节上的平衡拉杆板顺利相连，将拉杆用销轴铰接，穿好并张开开口销。</w:t>
      </w:r>
    </w:p>
    <w:p w14:paraId="25695DF4">
      <w:pPr>
        <w:spacing w:line="240" w:lineRule="auto"/>
        <w:ind w:firstLine="0" w:firstLineChars="0"/>
        <w:jc w:val="center"/>
        <w:rPr>
          <w:rFonts w:hint="eastAsia" w:ascii="Tahoma" w:hAnsi="Tahoma" w:eastAsia="仿宋" w:cs="Tahoma"/>
          <w:szCs w:val="24"/>
          <w:lang w:eastAsia="zh-CN"/>
        </w:rPr>
      </w:pPr>
      <w:r>
        <w:drawing>
          <wp:inline distT="0" distB="0" distL="114300" distR="114300">
            <wp:extent cx="4150360" cy="2182495"/>
            <wp:effectExtent l="0" t="0" r="2540" b="8255"/>
            <wp:docPr id="8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5"/>
                    <pic:cNvPicPr>
                      <a:picLocks noChangeAspect="1"/>
                    </pic:cNvPicPr>
                  </pic:nvPicPr>
                  <pic:blipFill>
                    <a:blip r:embed="rId48"/>
                    <a:stretch>
                      <a:fillRect/>
                    </a:stretch>
                  </pic:blipFill>
                  <pic:spPr>
                    <a:xfrm>
                      <a:off x="0" y="0"/>
                      <a:ext cx="4150360" cy="2182495"/>
                    </a:xfrm>
                    <a:prstGeom prst="rect">
                      <a:avLst/>
                    </a:prstGeom>
                    <a:noFill/>
                    <a:ln>
                      <a:noFill/>
                    </a:ln>
                  </pic:spPr>
                </pic:pic>
              </a:graphicData>
            </a:graphic>
          </wp:inline>
        </w:drawing>
      </w:r>
      <w:r>
        <w:drawing>
          <wp:inline distT="0" distB="0" distL="114300" distR="114300">
            <wp:extent cx="2533650" cy="2752725"/>
            <wp:effectExtent l="0" t="0" r="0" b="9525"/>
            <wp:docPr id="82" name="图片 82" descr="1734597231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1734597231350(1)"/>
                    <pic:cNvPicPr>
                      <a:picLocks noChangeAspect="1"/>
                    </pic:cNvPicPr>
                  </pic:nvPicPr>
                  <pic:blipFill>
                    <a:blip r:embed="rId49"/>
                    <a:stretch>
                      <a:fillRect/>
                    </a:stretch>
                  </pic:blipFill>
                  <pic:spPr>
                    <a:xfrm>
                      <a:off x="0" y="0"/>
                      <a:ext cx="2533650" cy="2752725"/>
                    </a:xfrm>
                    <a:prstGeom prst="rect">
                      <a:avLst/>
                    </a:prstGeom>
                  </pic:spPr>
                </pic:pic>
              </a:graphicData>
            </a:graphic>
          </wp:inline>
        </w:drawing>
      </w:r>
      <w:r>
        <w:rPr>
          <w:rFonts w:hint="eastAsia" w:ascii="Tahoma" w:hAnsi="Tahoma" w:eastAsia="仿宋" w:cs="Tahoma"/>
          <w:szCs w:val="24"/>
          <w:lang w:eastAsia="zh-CN"/>
        </w:rPr>
        <w:drawing>
          <wp:inline distT="0" distB="0" distL="114300" distR="114300">
            <wp:extent cx="2714625" cy="2781300"/>
            <wp:effectExtent l="0" t="0" r="9525" b="0"/>
            <wp:docPr id="83" name="图片 83" descr="1734597261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1734597261187(1)"/>
                    <pic:cNvPicPr>
                      <a:picLocks noChangeAspect="1"/>
                    </pic:cNvPicPr>
                  </pic:nvPicPr>
                  <pic:blipFill>
                    <a:blip r:embed="rId50"/>
                    <a:stretch>
                      <a:fillRect/>
                    </a:stretch>
                  </pic:blipFill>
                  <pic:spPr>
                    <a:xfrm>
                      <a:off x="0" y="0"/>
                      <a:ext cx="2714625" cy="2781300"/>
                    </a:xfrm>
                    <a:prstGeom prst="rect">
                      <a:avLst/>
                    </a:prstGeom>
                  </pic:spPr>
                </pic:pic>
              </a:graphicData>
            </a:graphic>
          </wp:inline>
        </w:drawing>
      </w:r>
    </w:p>
    <w:p w14:paraId="56463248">
      <w:pPr>
        <w:pStyle w:val="123"/>
        <w:spacing w:before="29" w:line="360" w:lineRule="auto"/>
        <w:ind w:right="159"/>
      </w:pPr>
      <w:r>
        <w:rPr>
          <w:rFonts w:hint="eastAsia"/>
        </w:rPr>
        <w:t>图5.3-8 吊装平衡臂图</w:t>
      </w:r>
    </w:p>
    <w:p w14:paraId="5E03C96C">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按照下图所示，将吊具绕过专用吊耳，实现平衡重的吊装。依次吊装两块平衡重，平稳放置在平衡臂上。</w:t>
      </w:r>
    </w:p>
    <w:p w14:paraId="52532932">
      <w:pPr>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平衡重的安装共分为两个阶段：</w:t>
      </w:r>
    </w:p>
    <w:p w14:paraId="5B6051C2">
      <w:pPr>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 xml:space="preserve">阶段 1：平衡臂安装完成后，安装 2 块 </w:t>
      </w:r>
      <w:r>
        <w:rPr>
          <w:rFonts w:hint="eastAsia" w:ascii="宋体" w:hAnsi="宋体" w:cs="宋体"/>
          <w:color w:val="1E1C11" w:themeColor="background2" w:themeShade="1A"/>
          <w:kern w:val="0"/>
          <w:lang w:val="en-US" w:eastAsia="zh-CN"/>
        </w:rPr>
        <w:t>23</w:t>
      </w:r>
      <w:r>
        <w:rPr>
          <w:rFonts w:hint="eastAsia" w:ascii="宋体" w:hAnsi="宋体" w:cs="宋体"/>
          <w:color w:val="1E1C11" w:themeColor="background2" w:themeShade="1A"/>
          <w:kern w:val="0"/>
        </w:rPr>
        <w:t>00kg 的平衡重，安装位置为靠近起升机构方向，然后安装起重臂；</w:t>
      </w:r>
    </w:p>
    <w:p w14:paraId="192D5D37">
      <w:pPr>
        <w:ind w:firstLine="560"/>
      </w:pPr>
      <w:r>
        <w:rPr>
          <w:rFonts w:hint="eastAsia" w:ascii="宋体" w:hAnsi="宋体" w:cs="宋体"/>
          <w:color w:val="1E1C11" w:themeColor="background2" w:themeShade="1A"/>
          <w:kern w:val="0"/>
        </w:rPr>
        <w:t>阶段 2：起重臂安装完成后按照平衡重配置完成剩余平衡重的安装。吊装完成后检查并确认相邻平衡重块的整个表面是否贴紧。</w:t>
      </w:r>
    </w:p>
    <w:p w14:paraId="7C5DC35F">
      <w:pPr>
        <w:autoSpaceDE w:val="0"/>
        <w:spacing w:after="120" w:line="360" w:lineRule="auto"/>
        <w:ind w:firstLine="0" w:firstLineChars="0"/>
        <w:jc w:val="center"/>
        <w:rPr>
          <w:rFonts w:hint="eastAsia" w:ascii="黑体" w:hAnsi="黑体" w:eastAsia="仿宋"/>
          <w:sz w:val="21"/>
          <w:lang w:eastAsia="zh-CN"/>
        </w:rPr>
      </w:pPr>
      <w:r>
        <w:drawing>
          <wp:inline distT="0" distB="0" distL="114300" distR="114300">
            <wp:extent cx="5114925" cy="2171700"/>
            <wp:effectExtent l="0" t="0" r="9525" b="0"/>
            <wp:docPr id="8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6"/>
                    <pic:cNvPicPr>
                      <a:picLocks noChangeAspect="1"/>
                    </pic:cNvPicPr>
                  </pic:nvPicPr>
                  <pic:blipFill>
                    <a:blip r:embed="rId51"/>
                    <a:stretch>
                      <a:fillRect/>
                    </a:stretch>
                  </pic:blipFill>
                  <pic:spPr>
                    <a:xfrm>
                      <a:off x="0" y="0"/>
                      <a:ext cx="5114925" cy="2171700"/>
                    </a:xfrm>
                    <a:prstGeom prst="rect">
                      <a:avLst/>
                    </a:prstGeom>
                    <a:noFill/>
                    <a:ln>
                      <a:noFill/>
                    </a:ln>
                  </pic:spPr>
                </pic:pic>
              </a:graphicData>
            </a:graphic>
          </wp:inline>
        </w:drawing>
      </w:r>
      <w:r>
        <w:rPr>
          <w:rFonts w:hint="eastAsia" w:ascii="黑体" w:hAnsi="黑体" w:eastAsia="仿宋"/>
          <w:sz w:val="21"/>
          <w:lang w:eastAsia="zh-CN"/>
        </w:rPr>
        <w:drawing>
          <wp:inline distT="0" distB="0" distL="114300" distR="114300">
            <wp:extent cx="2819400" cy="2667000"/>
            <wp:effectExtent l="0" t="0" r="0" b="0"/>
            <wp:docPr id="91" name="图片 91" descr="17345978579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1734597857982(1)"/>
                    <pic:cNvPicPr>
                      <a:picLocks noChangeAspect="1"/>
                    </pic:cNvPicPr>
                  </pic:nvPicPr>
                  <pic:blipFill>
                    <a:blip r:embed="rId52"/>
                    <a:stretch>
                      <a:fillRect/>
                    </a:stretch>
                  </pic:blipFill>
                  <pic:spPr>
                    <a:xfrm>
                      <a:off x="0" y="0"/>
                      <a:ext cx="2819400" cy="2667000"/>
                    </a:xfrm>
                    <a:prstGeom prst="rect">
                      <a:avLst/>
                    </a:prstGeom>
                  </pic:spPr>
                </pic:pic>
              </a:graphicData>
            </a:graphic>
          </wp:inline>
        </w:drawing>
      </w:r>
      <w:r>
        <w:rPr>
          <w:rFonts w:hint="eastAsia" w:ascii="黑体" w:hAnsi="黑体" w:eastAsia="仿宋"/>
          <w:sz w:val="21"/>
          <w:lang w:eastAsia="zh-CN"/>
        </w:rPr>
        <w:drawing>
          <wp:inline distT="0" distB="0" distL="114300" distR="114300">
            <wp:extent cx="2600325" cy="2657475"/>
            <wp:effectExtent l="0" t="0" r="9525" b="9525"/>
            <wp:docPr id="87" name="图片 87" descr="173459742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1734597425183"/>
                    <pic:cNvPicPr>
                      <a:picLocks noChangeAspect="1"/>
                    </pic:cNvPicPr>
                  </pic:nvPicPr>
                  <pic:blipFill>
                    <a:blip r:embed="rId53"/>
                    <a:stretch>
                      <a:fillRect/>
                    </a:stretch>
                  </pic:blipFill>
                  <pic:spPr>
                    <a:xfrm>
                      <a:off x="0" y="0"/>
                      <a:ext cx="2600325" cy="2657475"/>
                    </a:xfrm>
                    <a:prstGeom prst="rect">
                      <a:avLst/>
                    </a:prstGeom>
                  </pic:spPr>
                </pic:pic>
              </a:graphicData>
            </a:graphic>
          </wp:inline>
        </w:drawing>
      </w:r>
    </w:p>
    <w:p w14:paraId="341CFCC9">
      <w:pPr>
        <w:pStyle w:val="123"/>
        <w:spacing w:before="29" w:line="360" w:lineRule="auto"/>
        <w:ind w:right="159"/>
      </w:pPr>
      <w:r>
        <w:rPr>
          <w:rFonts w:hint="eastAsia"/>
        </w:rPr>
        <w:t>图5.3-9吊装2块3.2t配重</w:t>
      </w:r>
    </w:p>
    <w:p w14:paraId="571A8CCD">
      <w:pPr>
        <w:ind w:firstLine="560"/>
        <w:outlineLvl w:val="2"/>
        <w:rPr>
          <w:rFonts w:hint="eastAsia" w:ascii="黑体" w:hAnsi="黑体" w:eastAsia="黑体" w:cs="黑体"/>
          <w:color w:val="000000"/>
          <w:lang w:val="en-US" w:eastAsia="zh-CN"/>
        </w:rPr>
      </w:pPr>
      <w:bookmarkStart w:id="302" w:name="_Toc8955"/>
      <w:r>
        <w:rPr>
          <w:rFonts w:hint="eastAsia" w:ascii="黑体" w:hAnsi="黑体" w:eastAsia="黑体" w:cs="黑体"/>
          <w:color w:val="000000"/>
          <w:lang w:val="en-US" w:eastAsia="zh-CN"/>
        </w:rPr>
        <w:t>5.3.8安装起重臂总成</w:t>
      </w:r>
      <w:bookmarkEnd w:id="302"/>
    </w:p>
    <w:p w14:paraId="30986FE3">
      <w:pPr>
        <w:ind w:firstLine="560"/>
        <w:rPr>
          <w:kern w:val="0"/>
        </w:rPr>
      </w:pPr>
      <w:bookmarkStart w:id="303" w:name="_Toc20504"/>
      <w:r>
        <w:rPr>
          <w:rFonts w:hint="eastAsia"/>
          <w:kern w:val="0"/>
        </w:rPr>
        <w:t>(1)在离上横梁0.6m的支架或枕木上将需要的起重臂拼接好（拼接过程中先将载重小车套在起重臂下弦杆导轨上）。</w:t>
      </w:r>
    </w:p>
    <w:p w14:paraId="63092204">
      <w:pPr>
        <w:ind w:firstLine="560"/>
        <w:rPr>
          <w:kern w:val="0"/>
        </w:rPr>
      </w:pPr>
      <w:r>
        <w:rPr>
          <w:rFonts w:hint="eastAsia"/>
          <w:kern w:val="0"/>
        </w:rPr>
        <w:t xml:space="preserve">(2)将维修吊篮紧固在载重小车上，并使载重小车尽量靠近起重臂根部最小幅度处。 </w:t>
      </w:r>
    </w:p>
    <w:p w14:paraId="706AE963">
      <w:pPr>
        <w:ind w:firstLine="560"/>
        <w:rPr>
          <w:kern w:val="0"/>
        </w:rPr>
      </w:pPr>
      <w:r>
        <w:rPr>
          <w:rFonts w:hint="eastAsia"/>
          <w:kern w:val="0"/>
        </w:rPr>
        <w:t>安装好起重臂根部处的变幅机构，卷筒绕出长、短两根钢丝绳，其中短的通过臂根导向滑轮固定于载重小车后部， 另一根长的通过起重臂中间及头部导向滑轮，固定于载重小车前部。</w:t>
      </w:r>
    </w:p>
    <w:p w14:paraId="5088776C">
      <w:pPr>
        <w:ind w:firstLine="560"/>
        <w:rPr>
          <w:kern w:val="0"/>
        </w:rPr>
      </w:pPr>
      <w:r>
        <w:rPr>
          <w:rFonts w:hint="eastAsia"/>
          <w:kern w:val="0"/>
        </w:rPr>
        <w:t>(3)检查起重臂上的电路是否完善。使用回转机构的临时电源将塔机上部结构回转到便于安装起重臂的方位。</w:t>
      </w:r>
    </w:p>
    <w:p w14:paraId="1E5A38D6">
      <w:pPr>
        <w:ind w:firstLine="560"/>
        <w:rPr>
          <w:kern w:val="0"/>
        </w:rPr>
      </w:pPr>
      <w:r>
        <w:rPr>
          <w:rFonts w:hint="eastAsia"/>
          <w:kern w:val="0"/>
        </w:rPr>
        <w:t>(4)试吊是否平衡，否则可适当移动挂绳位置， 起吊起重臂总成至安装高度。用定轴架和销轴将塔头与起重臂根部联接固定。</w:t>
      </w:r>
    </w:p>
    <w:p w14:paraId="064331FA">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lang w:eastAsia="zh-CN"/>
        </w:rPr>
        <w:t>起重臂</w:t>
      </w:r>
      <w:r>
        <w:rPr>
          <w:rFonts w:hint="eastAsia" w:ascii="宋体" w:hAnsi="宋体" w:cs="宋体"/>
          <w:color w:val="1E1C11" w:themeColor="background2" w:themeShade="1A"/>
          <w:kern w:val="0"/>
        </w:rPr>
        <w:t>总成</w:t>
      </w:r>
      <w:r>
        <w:rPr>
          <w:rFonts w:ascii="宋体" w:hAnsi="宋体" w:cs="宋体"/>
          <w:color w:val="1E1C11" w:themeColor="background2" w:themeShade="1A"/>
          <w:kern w:val="0"/>
        </w:rPr>
        <w:t>重</w:t>
      </w:r>
      <w:r>
        <w:rPr>
          <w:rFonts w:hint="eastAsia" w:ascii="宋体" w:hAnsi="宋体" w:cs="宋体"/>
          <w:color w:val="1E1C11" w:themeColor="background2" w:themeShade="1A"/>
          <w:kern w:val="0"/>
          <w:lang w:val="en-US" w:eastAsia="zh-CN"/>
        </w:rPr>
        <w:t>5.723</w:t>
      </w:r>
      <w:r>
        <w:rPr>
          <w:rFonts w:ascii="宋体" w:hAnsi="宋体" w:cs="宋体"/>
          <w:color w:val="1E1C11" w:themeColor="background2" w:themeShade="1A"/>
          <w:kern w:val="0"/>
        </w:rPr>
        <w:t>t，使用</w:t>
      </w:r>
      <w:r>
        <w:rPr>
          <w:rFonts w:hint="eastAsia" w:ascii="宋体" w:hAnsi="宋体" w:cs="宋体"/>
          <w:color w:val="1E1C11" w:themeColor="background2" w:themeShade="1A"/>
          <w:kern w:val="0"/>
        </w:rPr>
        <w:t>25T汽车</w:t>
      </w:r>
      <w:r>
        <w:rPr>
          <w:rFonts w:ascii="宋体" w:hAnsi="宋体" w:cs="宋体"/>
          <w:color w:val="1E1C11" w:themeColor="background2" w:themeShade="1A"/>
          <w:kern w:val="0"/>
        </w:rPr>
        <w:t>吊，</w:t>
      </w:r>
      <w:r>
        <w:rPr>
          <w:rFonts w:hint="eastAsia" w:ascii="宋体" w:hAnsi="宋体" w:cs="宋体"/>
          <w:color w:val="1E1C11" w:themeColor="background2" w:themeShade="1A"/>
          <w:kern w:val="0"/>
        </w:rPr>
        <w:t>4</w:t>
      </w:r>
      <w:r>
        <w:rPr>
          <w:rFonts w:ascii="宋体" w:hAnsi="宋体" w:cs="宋体"/>
          <w:color w:val="1E1C11" w:themeColor="background2" w:themeShade="1A"/>
          <w:kern w:val="0"/>
        </w:rPr>
        <w:t>根Φ</w:t>
      </w:r>
      <w:r>
        <w:rPr>
          <w:rFonts w:hint="eastAsia" w:ascii="宋体" w:hAnsi="宋体" w:cs="宋体"/>
          <w:color w:val="1E1C11" w:themeColor="background2" w:themeShade="1A"/>
          <w:kern w:val="0"/>
        </w:rPr>
        <w:t>24</w:t>
      </w:r>
      <w:r>
        <w:rPr>
          <w:rFonts w:ascii="宋体" w:hAnsi="宋体" w:cs="宋体"/>
          <w:color w:val="1E1C11" w:themeColor="background2" w:themeShade="1A"/>
          <w:kern w:val="0"/>
        </w:rPr>
        <w:t>×</w:t>
      </w:r>
      <w:r>
        <w:rPr>
          <w:rFonts w:hint="eastAsia" w:ascii="宋体" w:hAnsi="宋体" w:cs="宋体"/>
          <w:color w:val="1E1C11" w:themeColor="background2" w:themeShade="1A"/>
          <w:kern w:val="0"/>
        </w:rPr>
        <w:t>6</w:t>
      </w:r>
      <w:r>
        <w:rPr>
          <w:rFonts w:ascii="宋体" w:hAnsi="宋体" w:cs="宋体"/>
          <w:color w:val="1E1C11" w:themeColor="background2" w:themeShade="1A"/>
          <w:kern w:val="0"/>
        </w:rPr>
        <w:t>m钢丝绳，</w:t>
      </w:r>
      <w:r>
        <w:rPr>
          <w:rFonts w:hint="eastAsia" w:ascii="宋体" w:hAnsi="宋体" w:cs="宋体"/>
          <w:color w:val="1E1C11" w:themeColor="background2" w:themeShade="1A"/>
          <w:kern w:val="0"/>
        </w:rPr>
        <w:t>2</w:t>
      </w:r>
      <w:r>
        <w:rPr>
          <w:rFonts w:ascii="宋体" w:hAnsi="宋体" w:cs="宋体"/>
          <w:color w:val="1E1C11" w:themeColor="background2" w:themeShade="1A"/>
          <w:kern w:val="0"/>
        </w:rPr>
        <w:t>个</w:t>
      </w:r>
      <w:r>
        <w:rPr>
          <w:rFonts w:hint="eastAsia" w:ascii="宋体" w:hAnsi="宋体" w:cs="宋体"/>
          <w:color w:val="1E1C11" w:themeColor="background2" w:themeShade="1A"/>
          <w:kern w:val="0"/>
          <w:lang w:val="en-US" w:eastAsia="zh-CN"/>
        </w:rPr>
        <w:t>6.5</w:t>
      </w:r>
      <w:r>
        <w:rPr>
          <w:rFonts w:ascii="宋体" w:hAnsi="宋体" w:cs="宋体"/>
          <w:color w:val="1E1C11" w:themeColor="background2" w:themeShade="1A"/>
          <w:kern w:val="0"/>
        </w:rPr>
        <w:t>T卸扣，</w:t>
      </w:r>
      <w:r>
        <w:rPr>
          <w:rFonts w:hint="eastAsia" w:ascii="宋体" w:hAnsi="宋体" w:cs="宋体"/>
          <w:color w:val="1E1C11" w:themeColor="background2" w:themeShade="1A"/>
          <w:kern w:val="0"/>
        </w:rPr>
        <w:t>2</w:t>
      </w:r>
      <w:r>
        <w:rPr>
          <w:rFonts w:ascii="宋体" w:hAnsi="宋体" w:cs="宋体"/>
          <w:color w:val="1E1C11" w:themeColor="background2" w:themeShade="1A"/>
          <w:kern w:val="0"/>
        </w:rPr>
        <w:t>吊点起吊。</w:t>
      </w:r>
      <w:r>
        <w:rPr>
          <w:rFonts w:hint="eastAsia" w:ascii="宋体" w:hAnsi="宋体" w:cs="宋体"/>
          <w:color w:val="1E1C11" w:themeColor="background2" w:themeShade="1A"/>
          <w:kern w:val="0"/>
        </w:rPr>
        <w:t>吊起平衡臂，用定轴架和销轴将平衡臂与起重臂根节固定好。</w:t>
      </w:r>
    </w:p>
    <w:p w14:paraId="5AE0FB31">
      <w:pPr>
        <w:spacing w:line="240" w:lineRule="auto"/>
        <w:ind w:firstLine="0" w:firstLineChars="0"/>
        <w:jc w:val="center"/>
        <w:rPr>
          <w:kern w:val="0"/>
          <w:szCs w:val="24"/>
        </w:rPr>
      </w:pPr>
      <w:r>
        <mc:AlternateContent>
          <mc:Choice Requires="wps">
            <w:drawing>
              <wp:anchor distT="0" distB="0" distL="114300" distR="114300" simplePos="0" relativeHeight="251661312" behindDoc="0" locked="0" layoutInCell="1" allowOverlap="1">
                <wp:simplePos x="0" y="0"/>
                <wp:positionH relativeFrom="column">
                  <wp:posOffset>2315210</wp:posOffset>
                </wp:positionH>
                <wp:positionV relativeFrom="paragraph">
                  <wp:posOffset>1220470</wp:posOffset>
                </wp:positionV>
                <wp:extent cx="704215" cy="1142365"/>
                <wp:effectExtent l="19050" t="19050" r="19685" b="19685"/>
                <wp:wrapNone/>
                <wp:docPr id="31" name="矩形 31"/>
                <wp:cNvGraphicFramePr/>
                <a:graphic xmlns:a="http://schemas.openxmlformats.org/drawingml/2006/main">
                  <a:graphicData uri="http://schemas.microsoft.com/office/word/2010/wordprocessingShape">
                    <wps:wsp>
                      <wps:cNvSpPr/>
                      <wps:spPr>
                        <a:xfrm>
                          <a:off x="2646680" y="901065"/>
                          <a:ext cx="704215" cy="1142365"/>
                        </a:xfrm>
                        <a:prstGeom prst="rect">
                          <a:avLst/>
                        </a:prstGeom>
                        <a:noFill/>
                        <a:ln w="381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2.3pt;margin-top:96.1pt;height:89.95pt;width:55.45pt;z-index:251661312;v-text-anchor:middle;mso-width-relative:page;mso-height-relative:page;" filled="f" stroked="t" coordsize="21600,21600" o:gfxdata="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Gwq0qfYAAAACwEAAA8AAAAAAAAAAQAgAAAAIgAAAGRycy9kb3ducmV2Lnht&#10;bFBLAQIUABQAAAAIAIdO4kAIJ8j+awIAAMEEAAAOAAAAAAAAAAEAIAAAACcBAABkcnMvZTJvRG9j&#10;LnhtbFBLBQYAAAAABgAGAFkBAAAEBgAAAAA=&#10;">
                <v:fill on="f" focussize="0,0"/>
                <v:stroke weight="3pt" color="#FF0000 [2404]" joinstyle="round"/>
                <v:imagedata o:title=""/>
                <o:lock v:ext="edit" aspectratio="f"/>
              </v:rect>
            </w:pict>
          </mc:Fallback>
        </mc:AlternateContent>
      </w:r>
      <w:r>
        <w:drawing>
          <wp:inline distT="0" distB="0" distL="114300" distR="114300">
            <wp:extent cx="4848860" cy="1176655"/>
            <wp:effectExtent l="0" t="0" r="8890" b="4445"/>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54"/>
                    <a:stretch>
                      <a:fillRect/>
                    </a:stretch>
                  </pic:blipFill>
                  <pic:spPr>
                    <a:xfrm>
                      <a:off x="0" y="0"/>
                      <a:ext cx="4848860" cy="1176655"/>
                    </a:xfrm>
                    <a:prstGeom prst="rect">
                      <a:avLst/>
                    </a:prstGeom>
                    <a:noFill/>
                    <a:ln>
                      <a:noFill/>
                    </a:ln>
                  </pic:spPr>
                </pic:pic>
              </a:graphicData>
            </a:graphic>
          </wp:inline>
        </w:drawing>
      </w:r>
      <w:r>
        <w:drawing>
          <wp:inline distT="0" distB="0" distL="114300" distR="114300">
            <wp:extent cx="4903470" cy="1117600"/>
            <wp:effectExtent l="0" t="0" r="11430" b="6350"/>
            <wp:docPr id="8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7"/>
                    <pic:cNvPicPr>
                      <a:picLocks noChangeAspect="1"/>
                    </pic:cNvPicPr>
                  </pic:nvPicPr>
                  <pic:blipFill>
                    <a:blip r:embed="rId55"/>
                    <a:stretch>
                      <a:fillRect/>
                    </a:stretch>
                  </pic:blipFill>
                  <pic:spPr>
                    <a:xfrm>
                      <a:off x="0" y="0"/>
                      <a:ext cx="4903470" cy="1117600"/>
                    </a:xfrm>
                    <a:prstGeom prst="rect">
                      <a:avLst/>
                    </a:prstGeom>
                    <a:noFill/>
                    <a:ln>
                      <a:noFill/>
                    </a:ln>
                  </pic:spPr>
                </pic:pic>
              </a:graphicData>
            </a:graphic>
          </wp:inline>
        </w:drawing>
      </w:r>
      <w:r>
        <w:rPr>
          <w:rFonts w:ascii="宋体" w:hAnsi="宋体" w:eastAsia="宋体" w:cs="宋体"/>
          <w:kern w:val="0"/>
          <w:sz w:val="24"/>
          <w:szCs w:val="24"/>
          <w:lang w:bidi="ar"/>
        </w:rPr>
        <w:drawing>
          <wp:inline distT="0" distB="0" distL="114300" distR="114300">
            <wp:extent cx="5172075" cy="918845"/>
            <wp:effectExtent l="0" t="0" r="9525" b="14605"/>
            <wp:docPr id="3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descr="IMG_256"/>
                    <pic:cNvPicPr>
                      <a:picLocks noChangeAspect="1"/>
                    </pic:cNvPicPr>
                  </pic:nvPicPr>
                  <pic:blipFill>
                    <a:blip r:embed="rId56"/>
                    <a:stretch>
                      <a:fillRect/>
                    </a:stretch>
                  </pic:blipFill>
                  <pic:spPr>
                    <a:xfrm>
                      <a:off x="0" y="0"/>
                      <a:ext cx="5172075" cy="918845"/>
                    </a:xfrm>
                    <a:prstGeom prst="rect">
                      <a:avLst/>
                    </a:prstGeom>
                    <a:noFill/>
                    <a:ln w="9525">
                      <a:noFill/>
                    </a:ln>
                  </pic:spPr>
                </pic:pic>
              </a:graphicData>
            </a:graphic>
          </wp:inline>
        </w:drawing>
      </w:r>
      <w:r>
        <w:drawing>
          <wp:inline distT="0" distB="0" distL="114300" distR="114300">
            <wp:extent cx="5361305" cy="2118360"/>
            <wp:effectExtent l="0" t="0" r="10795" b="15240"/>
            <wp:docPr id="7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2"/>
                    <pic:cNvPicPr>
                      <a:picLocks noChangeAspect="1"/>
                    </pic:cNvPicPr>
                  </pic:nvPicPr>
                  <pic:blipFill>
                    <a:blip r:embed="rId57"/>
                    <a:stretch>
                      <a:fillRect/>
                    </a:stretch>
                  </pic:blipFill>
                  <pic:spPr>
                    <a:xfrm>
                      <a:off x="0" y="0"/>
                      <a:ext cx="5361305" cy="2118360"/>
                    </a:xfrm>
                    <a:prstGeom prst="rect">
                      <a:avLst/>
                    </a:prstGeom>
                    <a:noFill/>
                    <a:ln>
                      <a:noFill/>
                    </a:ln>
                  </pic:spPr>
                </pic:pic>
              </a:graphicData>
            </a:graphic>
          </wp:inline>
        </w:drawing>
      </w:r>
      <w:r>
        <w:drawing>
          <wp:inline distT="0" distB="0" distL="114300" distR="114300">
            <wp:extent cx="4690745" cy="1536700"/>
            <wp:effectExtent l="0" t="0" r="14605" b="6350"/>
            <wp:docPr id="7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3"/>
                    <pic:cNvPicPr>
                      <a:picLocks noChangeAspect="1"/>
                    </pic:cNvPicPr>
                  </pic:nvPicPr>
                  <pic:blipFill>
                    <a:blip r:embed="rId58"/>
                    <a:stretch>
                      <a:fillRect/>
                    </a:stretch>
                  </pic:blipFill>
                  <pic:spPr>
                    <a:xfrm>
                      <a:off x="0" y="0"/>
                      <a:ext cx="4690745" cy="1536700"/>
                    </a:xfrm>
                    <a:prstGeom prst="rect">
                      <a:avLst/>
                    </a:prstGeom>
                    <a:noFill/>
                    <a:ln>
                      <a:noFill/>
                    </a:ln>
                  </pic:spPr>
                </pic:pic>
              </a:graphicData>
            </a:graphic>
          </wp:inline>
        </w:drawing>
      </w:r>
    </w:p>
    <w:p w14:paraId="0411698F">
      <w:pPr>
        <w:pStyle w:val="123"/>
        <w:spacing w:before="29" w:line="360" w:lineRule="auto"/>
        <w:ind w:right="159"/>
      </w:pPr>
      <w:r>
        <w:rPr>
          <w:rFonts w:hint="eastAsia"/>
        </w:rPr>
        <w:t>图5.3-9吊装起重臂总成示意图</w:t>
      </w:r>
    </w:p>
    <w:p w14:paraId="2B0B55DD">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5.3.9装配剩余平衡重</w:t>
      </w:r>
      <w:bookmarkEnd w:id="303"/>
    </w:p>
    <w:p w14:paraId="6CE9BAA0">
      <w:pPr>
        <w:autoSpaceDE w:val="0"/>
        <w:autoSpaceDN w:val="0"/>
        <w:adjustRightInd w:val="0"/>
        <w:ind w:firstLine="560"/>
        <w:rPr>
          <w:rFonts w:hint="eastAsia" w:ascii="宋体" w:hAnsi="宋体" w:cs="宋体"/>
          <w:color w:val="1E1C11" w:themeColor="background2" w:themeShade="1A"/>
          <w:kern w:val="0"/>
        </w:rPr>
      </w:pPr>
      <w:r>
        <w:rPr>
          <w:rFonts w:hint="eastAsia" w:ascii="宋体" w:hAnsi="宋体" w:cs="宋体"/>
          <w:color w:val="1E1C11" w:themeColor="background2" w:themeShade="1A"/>
          <w:kern w:val="0"/>
        </w:rPr>
        <w:t>根据塔基臂长装配剩余平衡重（平衡重的配置及安装位置严格按照要求安装），</w:t>
      </w:r>
      <w:r>
        <w:rPr>
          <w:rFonts w:hint="eastAsia" w:ascii="宋体" w:hAnsi="宋体" w:cs="宋体"/>
          <w:color w:val="1E1C11" w:themeColor="background2" w:themeShade="1A"/>
          <w:kern w:val="0"/>
          <w:lang w:val="en-US" w:eastAsia="zh-CN"/>
        </w:rPr>
        <w:t>50</w:t>
      </w:r>
      <w:r>
        <w:rPr>
          <w:rFonts w:hint="eastAsia" w:ascii="宋体" w:hAnsi="宋体" w:cs="宋体"/>
          <w:color w:val="1E1C11" w:themeColor="background2" w:themeShade="1A"/>
          <w:kern w:val="0"/>
        </w:rPr>
        <w:t>米起重臂时其配置要求如下图：</w:t>
      </w:r>
    </w:p>
    <w:p w14:paraId="23EA32F2">
      <w:pPr>
        <w:autoSpaceDE w:val="0"/>
        <w:autoSpaceDN w:val="0"/>
        <w:adjustRightInd w:val="0"/>
        <w:spacing w:line="240" w:lineRule="auto"/>
        <w:ind w:firstLine="0" w:firstLineChars="0"/>
        <w:jc w:val="center"/>
        <w:rPr>
          <w:rFonts w:hint="eastAsia" w:ascii="宋体" w:hAnsi="宋体" w:cs="宋体"/>
          <w:color w:val="1E1C11" w:themeColor="background2" w:themeShade="1A"/>
          <w:kern w:val="0"/>
        </w:rPr>
      </w:pPr>
      <w:r>
        <w:drawing>
          <wp:inline distT="0" distB="0" distL="114300" distR="114300">
            <wp:extent cx="3704590" cy="3305175"/>
            <wp:effectExtent l="0" t="0" r="10160" b="9525"/>
            <wp:docPr id="6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0"/>
                    <pic:cNvPicPr>
                      <a:picLocks noChangeAspect="1"/>
                    </pic:cNvPicPr>
                  </pic:nvPicPr>
                  <pic:blipFill>
                    <a:blip r:embed="rId59"/>
                    <a:stretch>
                      <a:fillRect/>
                    </a:stretch>
                  </pic:blipFill>
                  <pic:spPr>
                    <a:xfrm>
                      <a:off x="0" y="0"/>
                      <a:ext cx="3704590" cy="3305175"/>
                    </a:xfrm>
                    <a:prstGeom prst="rect">
                      <a:avLst/>
                    </a:prstGeom>
                    <a:noFill/>
                    <a:ln>
                      <a:noFill/>
                    </a:ln>
                  </pic:spPr>
                </pic:pic>
              </a:graphicData>
            </a:graphic>
          </wp:inline>
        </w:drawing>
      </w:r>
    </w:p>
    <w:p w14:paraId="5DA986EE">
      <w:pPr>
        <w:spacing w:line="240" w:lineRule="auto"/>
        <w:ind w:firstLine="0" w:firstLineChars="0"/>
        <w:jc w:val="center"/>
        <w:rPr>
          <w:rFonts w:ascii="Tahoma" w:hAnsi="Tahoma" w:eastAsia="宋体" w:cs="Tahoma"/>
          <w:szCs w:val="24"/>
        </w:rPr>
      </w:pPr>
      <w:r>
        <w:drawing>
          <wp:inline distT="0" distB="0" distL="114300" distR="114300">
            <wp:extent cx="5078095" cy="1728470"/>
            <wp:effectExtent l="0" t="0" r="8255" b="5080"/>
            <wp:docPr id="7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5"/>
                    <pic:cNvPicPr>
                      <a:picLocks noChangeAspect="1"/>
                    </pic:cNvPicPr>
                  </pic:nvPicPr>
                  <pic:blipFill>
                    <a:blip r:embed="rId60"/>
                    <a:stretch>
                      <a:fillRect/>
                    </a:stretch>
                  </pic:blipFill>
                  <pic:spPr>
                    <a:xfrm>
                      <a:off x="0" y="0"/>
                      <a:ext cx="5078095" cy="1728470"/>
                    </a:xfrm>
                    <a:prstGeom prst="rect">
                      <a:avLst/>
                    </a:prstGeom>
                    <a:noFill/>
                    <a:ln>
                      <a:noFill/>
                    </a:ln>
                  </pic:spPr>
                </pic:pic>
              </a:graphicData>
            </a:graphic>
          </wp:inline>
        </w:drawing>
      </w:r>
      <w:r>
        <w:drawing>
          <wp:inline distT="0" distB="0" distL="114300" distR="114300">
            <wp:extent cx="4947920" cy="1635760"/>
            <wp:effectExtent l="0" t="0" r="5080" b="2540"/>
            <wp:docPr id="7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4"/>
                    <pic:cNvPicPr>
                      <a:picLocks noChangeAspect="1"/>
                    </pic:cNvPicPr>
                  </pic:nvPicPr>
                  <pic:blipFill>
                    <a:blip r:embed="rId61"/>
                    <a:stretch>
                      <a:fillRect/>
                    </a:stretch>
                  </pic:blipFill>
                  <pic:spPr>
                    <a:xfrm>
                      <a:off x="0" y="0"/>
                      <a:ext cx="4947920" cy="1635760"/>
                    </a:xfrm>
                    <a:prstGeom prst="rect">
                      <a:avLst/>
                    </a:prstGeom>
                    <a:noFill/>
                    <a:ln>
                      <a:noFill/>
                    </a:ln>
                  </pic:spPr>
                </pic:pic>
              </a:graphicData>
            </a:graphic>
          </wp:inline>
        </w:drawing>
      </w:r>
    </w:p>
    <w:p w14:paraId="4BAA4D93">
      <w:pPr>
        <w:pStyle w:val="123"/>
        <w:spacing w:before="29" w:line="360" w:lineRule="auto"/>
        <w:ind w:right="159"/>
      </w:pPr>
      <w:r>
        <w:rPr>
          <w:rFonts w:hint="eastAsia"/>
        </w:rPr>
        <w:t>图5.3-11  5</w:t>
      </w:r>
      <w:r>
        <w:rPr>
          <w:rFonts w:hint="eastAsia"/>
          <w:lang w:val="en-US" w:eastAsia="zh-CN"/>
        </w:rPr>
        <w:t>0</w:t>
      </w:r>
      <w:r>
        <w:rPr>
          <w:rFonts w:hint="eastAsia"/>
        </w:rPr>
        <w:t>m起重臂时平衡重示意图</w:t>
      </w:r>
    </w:p>
    <w:p w14:paraId="5F6ED691">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5.3.10穿绕起升钢丝绳</w:t>
      </w:r>
    </w:p>
    <w:p w14:paraId="3A2A7488">
      <w:pPr>
        <w:pStyle w:val="173"/>
        <w:ind w:firstLine="560"/>
        <w:rPr>
          <w:kern w:val="0"/>
          <w:szCs w:val="24"/>
        </w:rPr>
      </w:pPr>
      <w:bookmarkStart w:id="304" w:name="_Toc28436"/>
      <w:r>
        <w:rPr>
          <w:rFonts w:hint="eastAsia"/>
          <w:kern w:val="0"/>
          <w:szCs w:val="24"/>
        </w:rPr>
        <w:t>吊装完毕后，进行起升钢丝绳穿绕。</w:t>
      </w:r>
    </w:p>
    <w:p w14:paraId="09C568EA">
      <w:pPr>
        <w:pStyle w:val="173"/>
        <w:ind w:firstLine="0" w:firstLineChars="0"/>
        <w:rPr>
          <w:kern w:val="0"/>
          <w:szCs w:val="24"/>
        </w:rPr>
      </w:pPr>
      <w:r>
        <w:rPr>
          <w:rFonts w:hint="eastAsia"/>
          <w:kern w:val="0"/>
          <w:szCs w:val="24"/>
        </w:rPr>
        <w:t xml:space="preserve">    将钢丝绳从起升机构卷筒放出，通过排绳滑轮、塔顶滑轮、称重滑轮，将钢丝绳引至于位于起重臂根部的小车上，通过小车和吊钩之间的滑轮组，最后将绳头通过绳头夹用销轴固定在起重臂头部防扭装置上。注：钢丝绳穿绕完毕后检查防扭装置是否转动自如。</w:t>
      </w:r>
    </w:p>
    <w:p w14:paraId="755694DF">
      <w:pPr>
        <w:pStyle w:val="173"/>
        <w:spacing w:line="240" w:lineRule="auto"/>
        <w:ind w:firstLine="0" w:firstLineChars="0"/>
        <w:jc w:val="center"/>
        <w:rPr>
          <w:kern w:val="0"/>
          <w:szCs w:val="24"/>
        </w:rPr>
      </w:pPr>
      <w:r>
        <w:drawing>
          <wp:inline distT="0" distB="0" distL="114300" distR="114300">
            <wp:extent cx="5718175" cy="2103755"/>
            <wp:effectExtent l="0" t="0" r="0" b="0"/>
            <wp:docPr id="4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4"/>
                    <pic:cNvPicPr>
                      <a:picLocks noChangeAspect="1"/>
                    </pic:cNvPicPr>
                  </pic:nvPicPr>
                  <pic:blipFill>
                    <a:blip r:embed="rId62"/>
                    <a:srcRect t="6067"/>
                    <a:stretch>
                      <a:fillRect/>
                    </a:stretch>
                  </pic:blipFill>
                  <pic:spPr>
                    <a:xfrm>
                      <a:off x="0" y="0"/>
                      <a:ext cx="5718175" cy="2103755"/>
                    </a:xfrm>
                    <a:prstGeom prst="rect">
                      <a:avLst/>
                    </a:prstGeom>
                    <a:noFill/>
                    <a:ln>
                      <a:noFill/>
                    </a:ln>
                  </pic:spPr>
                </pic:pic>
              </a:graphicData>
            </a:graphic>
          </wp:inline>
        </w:drawing>
      </w:r>
    </w:p>
    <w:p w14:paraId="159A343D">
      <w:pPr>
        <w:pStyle w:val="123"/>
        <w:spacing w:before="29" w:line="360" w:lineRule="auto"/>
        <w:ind w:right="159"/>
      </w:pPr>
      <w:r>
        <w:rPr>
          <w:rFonts w:hint="eastAsia"/>
        </w:rPr>
        <w:t>图5.3-12 钢丝绳穿绕图</w:t>
      </w:r>
    </w:p>
    <w:p w14:paraId="57D2BA23">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5.3.11电气安装与使用</w:t>
      </w:r>
      <w:bookmarkEnd w:id="304"/>
    </w:p>
    <w:p w14:paraId="4A3BB079">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电气安装处在塔机安装完毕后进行，参看原理图，外部接线图及控制箱连线图，连接各控制及动力电缆、制动器电缆，及安全装置，接地装置，障碍灯等；</w:t>
      </w:r>
    </w:p>
    <w:p w14:paraId="6EEDF10A">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a.电气安装</w:t>
      </w:r>
    </w:p>
    <w:p w14:paraId="3944F9BB">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t>送电之前应对所有线路进行检查，须固定的电缆应有可靠地固定，防止塔机在运行时损伤电缆，其主控制回路对地绝缘电阻不应小于0.5MΩ，塔机对地的接地电阻应不大于4Ω，电缆进入司机室时应穿入电缆保护圈后再进入司机室并留适当的长度。</w:t>
      </w:r>
    </w:p>
    <w:p w14:paraId="262D4065">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b.通电调试</w:t>
      </w:r>
    </w:p>
    <w:p w14:paraId="310C24C8">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 xml:space="preserve">   场地内的电源采用单独分配箱控制采用</w:t>
      </w:r>
      <w:r>
        <w:rPr>
          <w:rFonts w:ascii="宋体" w:hAnsi="宋体" w:cs="宋体"/>
          <w:color w:val="1E1C11" w:themeColor="background2" w:themeShade="1A"/>
          <w:kern w:val="0"/>
        </w:rPr>
        <w:t>TNS</w:t>
      </w:r>
      <w:r>
        <w:rPr>
          <w:rFonts w:hint="eastAsia" w:ascii="宋体" w:hAnsi="宋体" w:cs="宋体"/>
          <w:color w:val="1E1C11" w:themeColor="background2" w:themeShade="1A"/>
          <w:kern w:val="0"/>
        </w:rPr>
        <w:t>五线三相制接线系统。地面电源合上，送电到司机室，检查三相电源应三相平衡，电压应为380V±10%（地面电网应提供足够的容量，以保护电机正常启动和运行）。松开高度限制器，幅度限制器，配合机械安装，穿好起升，载重小车钢丝绳，然后检查各机构运转是否正常，否则应调整接至起升电机的电源相序，以符合要求。</w:t>
      </w:r>
    </w:p>
    <w:p w14:paraId="39EBC813">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c.使用应注意事项</w:t>
      </w:r>
    </w:p>
    <w:p w14:paraId="25675C51">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fldChar w:fldCharType="begin"/>
      </w:r>
      <w:r>
        <w:rPr>
          <w:rFonts w:ascii="宋体" w:hAnsi="宋体" w:cs="宋体"/>
          <w:color w:val="1E1C11" w:themeColor="background2" w:themeShade="1A"/>
          <w:kern w:val="0"/>
        </w:rPr>
        <w:instrText xml:space="preserve"> </w:instrText>
      </w:r>
      <w:r>
        <w:rPr>
          <w:rFonts w:hint="eastAsia" w:ascii="宋体" w:hAnsi="宋体" w:cs="宋体"/>
          <w:color w:val="1E1C11" w:themeColor="background2" w:themeShade="1A"/>
          <w:kern w:val="0"/>
        </w:rPr>
        <w:instrText xml:space="preserve">= 1 \* GB3</w:instrText>
      </w:r>
      <w:r>
        <w:rPr>
          <w:rFonts w:ascii="宋体" w:hAnsi="宋体" w:cs="宋体"/>
          <w:color w:val="1E1C11" w:themeColor="background2" w:themeShade="1A"/>
          <w:kern w:val="0"/>
        </w:rPr>
        <w:instrText xml:space="preserve"> </w:instrText>
      </w:r>
      <w:r>
        <w:rPr>
          <w:rFonts w:ascii="宋体" w:hAnsi="宋体" w:cs="宋体"/>
          <w:color w:val="1E1C11" w:themeColor="background2" w:themeShade="1A"/>
          <w:kern w:val="0"/>
        </w:rPr>
        <w:fldChar w:fldCharType="separate"/>
      </w:r>
      <w:r>
        <w:rPr>
          <w:rFonts w:hint="eastAsia" w:ascii="宋体" w:hAnsi="宋体" w:cs="宋体"/>
          <w:color w:val="1E1C11" w:themeColor="background2" w:themeShade="1A"/>
          <w:kern w:val="0"/>
        </w:rPr>
        <w:t>①</w:t>
      </w:r>
      <w:r>
        <w:rPr>
          <w:rFonts w:ascii="宋体" w:hAnsi="宋体" w:cs="宋体"/>
          <w:color w:val="1E1C11" w:themeColor="background2" w:themeShade="1A"/>
          <w:kern w:val="0"/>
        </w:rPr>
        <w:fldChar w:fldCharType="end"/>
      </w:r>
      <w:r>
        <w:rPr>
          <w:rFonts w:hint="eastAsia" w:ascii="宋体" w:hAnsi="宋体" w:cs="宋体"/>
          <w:color w:val="1E1C11" w:themeColor="background2" w:themeShade="1A"/>
          <w:kern w:val="0"/>
        </w:rPr>
        <w:t>电送到司机室后障碍灯和司机室照明可通过操作台上的开关送电，插座上也有电，可供插风扇之用。</w:t>
      </w:r>
    </w:p>
    <w:p w14:paraId="094D59FC">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fldChar w:fldCharType="begin"/>
      </w:r>
      <w:r>
        <w:rPr>
          <w:rFonts w:ascii="宋体" w:hAnsi="宋体" w:cs="宋体"/>
          <w:color w:val="1E1C11" w:themeColor="background2" w:themeShade="1A"/>
          <w:kern w:val="0"/>
        </w:rPr>
        <w:instrText xml:space="preserve"> </w:instrText>
      </w:r>
      <w:r>
        <w:rPr>
          <w:rFonts w:hint="eastAsia" w:ascii="宋体" w:hAnsi="宋体" w:cs="宋体"/>
          <w:color w:val="1E1C11" w:themeColor="background2" w:themeShade="1A"/>
          <w:kern w:val="0"/>
        </w:rPr>
        <w:instrText xml:space="preserve">= 2 \* GB3</w:instrText>
      </w:r>
      <w:r>
        <w:rPr>
          <w:rFonts w:ascii="宋体" w:hAnsi="宋体" w:cs="宋体"/>
          <w:color w:val="1E1C11" w:themeColor="background2" w:themeShade="1A"/>
          <w:kern w:val="0"/>
        </w:rPr>
        <w:instrText xml:space="preserve"> </w:instrText>
      </w:r>
      <w:r>
        <w:rPr>
          <w:rFonts w:ascii="宋体" w:hAnsi="宋体" w:cs="宋体"/>
          <w:color w:val="1E1C11" w:themeColor="background2" w:themeShade="1A"/>
          <w:kern w:val="0"/>
        </w:rPr>
        <w:fldChar w:fldCharType="separate"/>
      </w:r>
      <w:r>
        <w:rPr>
          <w:rFonts w:hint="eastAsia" w:ascii="宋体" w:hAnsi="宋体" w:cs="宋体"/>
          <w:color w:val="1E1C11" w:themeColor="background2" w:themeShade="1A"/>
          <w:kern w:val="0"/>
        </w:rPr>
        <w:t>②</w:t>
      </w:r>
      <w:r>
        <w:rPr>
          <w:rFonts w:ascii="宋体" w:hAnsi="宋体" w:cs="宋体"/>
          <w:color w:val="1E1C11" w:themeColor="background2" w:themeShade="1A"/>
          <w:kern w:val="0"/>
        </w:rPr>
        <w:fldChar w:fldCharType="end"/>
      </w:r>
      <w:r>
        <w:rPr>
          <w:rFonts w:hint="eastAsia" w:ascii="宋体" w:hAnsi="宋体" w:cs="宋体"/>
          <w:color w:val="1E1C11" w:themeColor="background2" w:themeShade="1A"/>
          <w:kern w:val="0"/>
        </w:rPr>
        <w:t>按启动按钮时，各操作手柄必须归零位，总接触器才可得电自保;</w:t>
      </w:r>
    </w:p>
    <w:p w14:paraId="7781C1C1">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fldChar w:fldCharType="begin"/>
      </w:r>
      <w:r>
        <w:rPr>
          <w:rFonts w:ascii="宋体" w:hAnsi="宋体" w:cs="宋体"/>
          <w:color w:val="1E1C11" w:themeColor="background2" w:themeShade="1A"/>
          <w:kern w:val="0"/>
        </w:rPr>
        <w:instrText xml:space="preserve"> </w:instrText>
      </w:r>
      <w:r>
        <w:rPr>
          <w:rFonts w:hint="eastAsia" w:ascii="宋体" w:hAnsi="宋体" w:cs="宋体"/>
          <w:color w:val="1E1C11" w:themeColor="background2" w:themeShade="1A"/>
          <w:kern w:val="0"/>
        </w:rPr>
        <w:instrText xml:space="preserve">= 3 \* GB3</w:instrText>
      </w:r>
      <w:r>
        <w:rPr>
          <w:rFonts w:ascii="宋体" w:hAnsi="宋体" w:cs="宋体"/>
          <w:color w:val="1E1C11" w:themeColor="background2" w:themeShade="1A"/>
          <w:kern w:val="0"/>
        </w:rPr>
        <w:instrText xml:space="preserve"> </w:instrText>
      </w:r>
      <w:r>
        <w:rPr>
          <w:rFonts w:ascii="宋体" w:hAnsi="宋体" w:cs="宋体"/>
          <w:color w:val="1E1C11" w:themeColor="background2" w:themeShade="1A"/>
          <w:kern w:val="0"/>
        </w:rPr>
        <w:fldChar w:fldCharType="separate"/>
      </w:r>
      <w:r>
        <w:rPr>
          <w:rFonts w:hint="eastAsia" w:ascii="宋体" w:hAnsi="宋体" w:cs="宋体"/>
          <w:color w:val="1E1C11" w:themeColor="background2" w:themeShade="1A"/>
          <w:kern w:val="0"/>
        </w:rPr>
        <w:t>③</w:t>
      </w:r>
      <w:r>
        <w:rPr>
          <w:rFonts w:ascii="宋体" w:hAnsi="宋体" w:cs="宋体"/>
          <w:color w:val="1E1C11" w:themeColor="background2" w:themeShade="1A"/>
          <w:kern w:val="0"/>
        </w:rPr>
        <w:fldChar w:fldCharType="end"/>
      </w:r>
      <w:r>
        <w:rPr>
          <w:rFonts w:hint="eastAsia" w:ascii="宋体" w:hAnsi="宋体" w:cs="宋体"/>
          <w:color w:val="1E1C11" w:themeColor="background2" w:themeShade="1A"/>
          <w:kern w:val="0"/>
        </w:rPr>
        <w:t>严禁回转机构打反车制动和紧急刹车，为防止回转打反车和紧急刹车和回转手柄归零后不能马上刹车，电气上设置延时装置须设有几秒的延时间隔。</w:t>
      </w:r>
    </w:p>
    <w:p w14:paraId="47F30592">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fldChar w:fldCharType="begin"/>
      </w:r>
      <w:r>
        <w:rPr>
          <w:rFonts w:ascii="宋体" w:hAnsi="宋体" w:cs="宋体"/>
          <w:color w:val="1E1C11" w:themeColor="background2" w:themeShade="1A"/>
          <w:kern w:val="0"/>
        </w:rPr>
        <w:instrText xml:space="preserve"> </w:instrText>
      </w:r>
      <w:r>
        <w:rPr>
          <w:rFonts w:hint="eastAsia" w:ascii="宋体" w:hAnsi="宋体" w:cs="宋体"/>
          <w:color w:val="1E1C11" w:themeColor="background2" w:themeShade="1A"/>
          <w:kern w:val="0"/>
        </w:rPr>
        <w:instrText xml:space="preserve">= 4 \* GB3</w:instrText>
      </w:r>
      <w:r>
        <w:rPr>
          <w:rFonts w:ascii="宋体" w:hAnsi="宋体" w:cs="宋体"/>
          <w:color w:val="1E1C11" w:themeColor="background2" w:themeShade="1A"/>
          <w:kern w:val="0"/>
        </w:rPr>
        <w:instrText xml:space="preserve"> </w:instrText>
      </w:r>
      <w:r>
        <w:rPr>
          <w:rFonts w:ascii="宋体" w:hAnsi="宋体" w:cs="宋体"/>
          <w:color w:val="1E1C11" w:themeColor="background2" w:themeShade="1A"/>
          <w:kern w:val="0"/>
        </w:rPr>
        <w:fldChar w:fldCharType="separate"/>
      </w:r>
      <w:r>
        <w:rPr>
          <w:rFonts w:hint="eastAsia" w:ascii="宋体" w:hAnsi="宋体" w:cs="宋体"/>
          <w:color w:val="1E1C11" w:themeColor="background2" w:themeShade="1A"/>
          <w:kern w:val="0"/>
        </w:rPr>
        <w:t>④</w:t>
      </w:r>
      <w:r>
        <w:rPr>
          <w:rFonts w:ascii="宋体" w:hAnsi="宋体" w:cs="宋体"/>
          <w:color w:val="1E1C11" w:themeColor="background2" w:themeShade="1A"/>
          <w:kern w:val="0"/>
        </w:rPr>
        <w:fldChar w:fldCharType="end"/>
      </w:r>
      <w:r>
        <w:rPr>
          <w:rFonts w:hint="eastAsia" w:ascii="宋体" w:hAnsi="宋体" w:cs="宋体"/>
          <w:color w:val="1E1C11" w:themeColor="background2" w:themeShade="1A"/>
          <w:kern w:val="0"/>
        </w:rPr>
        <w:t>小车变幅采用变频方案，工作时应根据需要选择适当的速度。</w:t>
      </w:r>
    </w:p>
    <w:p w14:paraId="512980A3">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fldChar w:fldCharType="begin"/>
      </w:r>
      <w:r>
        <w:rPr>
          <w:rFonts w:ascii="宋体" w:hAnsi="宋体" w:cs="宋体"/>
          <w:color w:val="1E1C11" w:themeColor="background2" w:themeShade="1A"/>
          <w:kern w:val="0"/>
        </w:rPr>
        <w:instrText xml:space="preserve"> </w:instrText>
      </w:r>
      <w:r>
        <w:rPr>
          <w:rFonts w:hint="eastAsia" w:ascii="宋体" w:hAnsi="宋体" w:cs="宋体"/>
          <w:color w:val="1E1C11" w:themeColor="background2" w:themeShade="1A"/>
          <w:kern w:val="0"/>
        </w:rPr>
        <w:instrText xml:space="preserve">= 5 \* GB3</w:instrText>
      </w:r>
      <w:r>
        <w:rPr>
          <w:rFonts w:ascii="宋体" w:hAnsi="宋体" w:cs="宋体"/>
          <w:color w:val="1E1C11" w:themeColor="background2" w:themeShade="1A"/>
          <w:kern w:val="0"/>
        </w:rPr>
        <w:instrText xml:space="preserve"> </w:instrText>
      </w:r>
      <w:r>
        <w:rPr>
          <w:rFonts w:ascii="宋体" w:hAnsi="宋体" w:cs="宋体"/>
          <w:color w:val="1E1C11" w:themeColor="background2" w:themeShade="1A"/>
          <w:kern w:val="0"/>
        </w:rPr>
        <w:fldChar w:fldCharType="separate"/>
      </w:r>
      <w:r>
        <w:rPr>
          <w:rFonts w:hint="eastAsia" w:ascii="宋体" w:hAnsi="宋体" w:cs="宋体"/>
          <w:color w:val="1E1C11" w:themeColor="background2" w:themeShade="1A"/>
          <w:kern w:val="0"/>
        </w:rPr>
        <w:t>⑤</w:t>
      </w:r>
      <w:r>
        <w:rPr>
          <w:rFonts w:ascii="宋体" w:hAnsi="宋体" w:cs="宋体"/>
          <w:color w:val="1E1C11" w:themeColor="background2" w:themeShade="1A"/>
          <w:kern w:val="0"/>
        </w:rPr>
        <w:fldChar w:fldCharType="end"/>
      </w:r>
      <w:r>
        <w:rPr>
          <w:rFonts w:hint="eastAsia" w:ascii="宋体" w:hAnsi="宋体" w:cs="宋体"/>
          <w:color w:val="1E1C11" w:themeColor="background2" w:themeShade="1A"/>
          <w:kern w:val="0"/>
        </w:rPr>
        <w:t>控制柜已调好的延时继电器不能随便调整，如更换元件应按电气系统说明书调整正确。</w:t>
      </w:r>
    </w:p>
    <w:p w14:paraId="4038DBCF">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fldChar w:fldCharType="begin"/>
      </w:r>
      <w:r>
        <w:rPr>
          <w:rFonts w:ascii="宋体" w:hAnsi="宋体" w:cs="宋体"/>
          <w:color w:val="1E1C11" w:themeColor="background2" w:themeShade="1A"/>
          <w:kern w:val="0"/>
        </w:rPr>
        <w:instrText xml:space="preserve"> </w:instrText>
      </w:r>
      <w:r>
        <w:rPr>
          <w:rFonts w:hint="eastAsia" w:ascii="宋体" w:hAnsi="宋体" w:cs="宋体"/>
          <w:color w:val="1E1C11" w:themeColor="background2" w:themeShade="1A"/>
          <w:kern w:val="0"/>
        </w:rPr>
        <w:instrText xml:space="preserve">= 6 \* GB3</w:instrText>
      </w:r>
      <w:r>
        <w:rPr>
          <w:rFonts w:ascii="宋体" w:hAnsi="宋体" w:cs="宋体"/>
          <w:color w:val="1E1C11" w:themeColor="background2" w:themeShade="1A"/>
          <w:kern w:val="0"/>
        </w:rPr>
        <w:instrText xml:space="preserve"> </w:instrText>
      </w:r>
      <w:r>
        <w:rPr>
          <w:rFonts w:ascii="宋体" w:hAnsi="宋体" w:cs="宋体"/>
          <w:color w:val="1E1C11" w:themeColor="background2" w:themeShade="1A"/>
          <w:kern w:val="0"/>
        </w:rPr>
        <w:fldChar w:fldCharType="separate"/>
      </w:r>
      <w:r>
        <w:rPr>
          <w:rFonts w:hint="eastAsia" w:ascii="宋体" w:hAnsi="宋体" w:cs="宋体"/>
          <w:color w:val="1E1C11" w:themeColor="background2" w:themeShade="1A"/>
          <w:kern w:val="0"/>
        </w:rPr>
        <w:t>⑥</w:t>
      </w:r>
      <w:r>
        <w:rPr>
          <w:rFonts w:ascii="宋体" w:hAnsi="宋体" w:cs="宋体"/>
          <w:color w:val="1E1C11" w:themeColor="background2" w:themeShade="1A"/>
          <w:kern w:val="0"/>
        </w:rPr>
        <w:fldChar w:fldCharType="end"/>
      </w:r>
      <w:r>
        <w:rPr>
          <w:rFonts w:hint="eastAsia" w:ascii="宋体" w:hAnsi="宋体" w:cs="宋体"/>
          <w:color w:val="1E1C11" w:themeColor="background2" w:themeShade="1A"/>
          <w:kern w:val="0"/>
        </w:rPr>
        <w:t>顶升前要检查泵站电机转向是否与要求一致，否则应将转向调整正确方向进行顶升，顶升时严禁回转变幅和起升，防止发生安全事故和绞断电缆。</w:t>
      </w:r>
    </w:p>
    <w:p w14:paraId="605571EF">
      <w:pPr>
        <w:autoSpaceDE w:val="0"/>
        <w:autoSpaceDN w:val="0"/>
        <w:adjustRightInd w:val="0"/>
        <w:ind w:firstLine="562"/>
        <w:rPr>
          <w:rFonts w:ascii="宋体" w:hAnsi="宋体" w:cs="宋体"/>
          <w:b/>
          <w:bCs/>
          <w:color w:val="1E1C11" w:themeColor="background2" w:themeShade="1A"/>
          <w:kern w:val="0"/>
        </w:rPr>
      </w:pPr>
      <w:r>
        <w:rPr>
          <w:rFonts w:hint="eastAsia" w:ascii="宋体" w:hAnsi="宋体" w:cs="宋体"/>
          <w:b/>
          <w:bCs/>
          <w:color w:val="1E1C11" w:themeColor="background2" w:themeShade="1A"/>
          <w:kern w:val="0"/>
        </w:rPr>
        <w:t>注：塔机接地保护应使用横截面积不小于16mm²的绝缘铜电缆或横截面30mm×35mm表面经电镀的金属条，接地件至少入地面以下1.5米。</w:t>
      </w:r>
      <w:bookmarkStart w:id="305" w:name="_Toc448152260"/>
    </w:p>
    <w:p w14:paraId="4900C094">
      <w:pPr>
        <w:autoSpaceDE w:val="0"/>
        <w:autoSpaceDN w:val="0"/>
        <w:adjustRightInd w:val="0"/>
        <w:ind w:firstLine="562"/>
        <w:rPr>
          <w:rFonts w:ascii="宋体" w:hAnsi="宋体" w:cs="宋体"/>
          <w:b/>
          <w:bCs/>
          <w:color w:val="1E1C11" w:themeColor="background2" w:themeShade="1A"/>
          <w:kern w:val="0"/>
        </w:rPr>
      </w:pPr>
    </w:p>
    <w:bookmarkEnd w:id="305"/>
    <w:p w14:paraId="3CE8D70A">
      <w:pPr>
        <w:ind w:firstLine="560"/>
        <w:outlineLvl w:val="2"/>
        <w:rPr>
          <w:rFonts w:hint="eastAsia" w:ascii="黑体" w:hAnsi="黑体" w:eastAsia="黑体" w:cs="黑体"/>
          <w:color w:val="000000"/>
          <w:lang w:val="en-US" w:eastAsia="zh-CN"/>
        </w:rPr>
      </w:pPr>
      <w:bookmarkStart w:id="306" w:name="_Toc1148_WPSOffice_Level2"/>
      <w:bookmarkStart w:id="307" w:name="_Toc29436"/>
      <w:bookmarkStart w:id="308" w:name="_Toc23403_WPSOffice_Level2"/>
      <w:bookmarkStart w:id="309" w:name="_Toc525111831"/>
      <w:bookmarkStart w:id="310" w:name="_Toc3826"/>
      <w:bookmarkStart w:id="311" w:name="_Toc26444"/>
      <w:bookmarkStart w:id="312" w:name="_Toc20532"/>
      <w:bookmarkStart w:id="313" w:name="_Toc32716"/>
      <w:bookmarkStart w:id="314" w:name="_Toc9940"/>
      <w:bookmarkStart w:id="315" w:name="_Toc4417"/>
      <w:bookmarkStart w:id="316" w:name="_Toc1251"/>
      <w:bookmarkStart w:id="317" w:name="_Toc7059"/>
      <w:bookmarkStart w:id="318" w:name="_Toc19782_WPSOffice_Level2"/>
      <w:bookmarkStart w:id="319" w:name="_Toc13112"/>
      <w:bookmarkStart w:id="320" w:name="_Toc448152262"/>
      <w:r>
        <w:rPr>
          <w:rFonts w:hint="eastAsia" w:ascii="黑体" w:hAnsi="黑体" w:eastAsia="黑体" w:cs="黑体"/>
          <w:color w:val="000000"/>
          <w:lang w:val="en-US" w:eastAsia="zh-CN"/>
        </w:rPr>
        <w:t>5.3.12调试前的检查工作</w:t>
      </w:r>
      <w:bookmarkEnd w:id="306"/>
      <w:bookmarkEnd w:id="307"/>
      <w:bookmarkEnd w:id="308"/>
      <w:bookmarkEnd w:id="309"/>
      <w:bookmarkEnd w:id="310"/>
    </w:p>
    <w:p w14:paraId="4B8E7C57">
      <w:pPr>
        <w:autoSpaceDE w:val="0"/>
        <w:autoSpaceDN w:val="0"/>
        <w:adjustRightInd w:val="0"/>
        <w:ind w:firstLine="560"/>
        <w:rPr>
          <w:rFonts w:ascii="宋体" w:hAnsi="宋体" w:cs="宋体"/>
          <w:color w:val="1E1C11" w:themeColor="background2" w:themeShade="1A"/>
          <w:kern w:val="0"/>
        </w:rPr>
      </w:pPr>
      <w:bookmarkStart w:id="321" w:name="_Toc525111832"/>
      <w:r>
        <w:rPr>
          <w:rFonts w:hint="eastAsia" w:ascii="宋体" w:hAnsi="宋体" w:cs="宋体"/>
          <w:color w:val="1E1C11" w:themeColor="background2" w:themeShade="1A"/>
          <w:kern w:val="0"/>
        </w:rPr>
        <w:t>1、检查塔机上的所有连接螺栓是否拧紧。</w:t>
      </w:r>
    </w:p>
    <w:p w14:paraId="3444EA0D">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2、检查支腿与基础节连接销轴是否安装到位并锁紧。</w:t>
      </w:r>
    </w:p>
    <w:p w14:paraId="52D3C366">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3、检查塔机与相邻塔机或建筑物的安全距离是否符合要求。</w:t>
      </w:r>
    </w:p>
    <w:p w14:paraId="20FBEF42">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4、检查的连接情况是否良好，是否有破损，与塔机接触的位置是否有保护措施。</w:t>
      </w:r>
    </w:p>
    <w:p w14:paraId="7C166A39">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5、检查各标准节的连接销轴是否安装到位并销紧。</w:t>
      </w:r>
    </w:p>
    <w:p w14:paraId="02F61634">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6、检查塔机的各扶梯、平台、栏杆安装是否牢固可靠。</w:t>
      </w:r>
    </w:p>
    <w:p w14:paraId="35BE885B">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7、检查塔机行走小车与起重臂之间的间隙是否符合要求。</w:t>
      </w:r>
    </w:p>
    <w:p w14:paraId="6981DF21">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8、检查钢丝绳的穿绕及卷筒上的缠绕是否正确，检查钢丝绳头是否松</w:t>
      </w:r>
      <w:r>
        <w:rPr>
          <w:rFonts w:hint="eastAsia"/>
        </w:rPr>
        <w:t>动</w:t>
      </w:r>
      <w:r>
        <w:rPr>
          <w:rFonts w:hint="eastAsia" w:ascii="宋体" w:hAnsi="宋体" w:cs="宋体"/>
          <w:color w:val="1E1C11" w:themeColor="background2" w:themeShade="1A"/>
          <w:kern w:val="0"/>
        </w:rPr>
        <w:t>。</w:t>
      </w:r>
    </w:p>
    <w:p w14:paraId="3659DE30">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9、检查塔机各润滑面和润滑点的润滑情况是否符合要求。</w:t>
      </w:r>
    </w:p>
    <w:p w14:paraId="30ADB22D">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10、检查塔机的相序是否正确。</w:t>
      </w:r>
    </w:p>
    <w:p w14:paraId="129940EA">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11、检查平衡臂配重是否固定牢靠。</w:t>
      </w:r>
    </w:p>
    <w:p w14:paraId="1C5C1F4F">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12、检查各操作平台上是否有杂物，防止塔机运行时坠物伤人。</w:t>
      </w:r>
    </w:p>
    <w:p w14:paraId="1529EC6C">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13、对塔机的接地电阻进行测试，确认其小于4Ω。</w:t>
      </w:r>
    </w:p>
    <w:p w14:paraId="045FB318">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14、对塔机进行垂直度检查,确认其垂直度在4/1000范围之内。</w:t>
      </w:r>
    </w:p>
    <w:p w14:paraId="66665A9C">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15、在塔机顶部，平衡臂尾部和起重臂端部安装风速仪。</w:t>
      </w:r>
      <w:bookmarkEnd w:id="321"/>
    </w:p>
    <w:p w14:paraId="7FAF0A07">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5.3.13调试与试运转</w:t>
      </w:r>
    </w:p>
    <w:bookmarkEnd w:id="311"/>
    <w:bookmarkEnd w:id="312"/>
    <w:bookmarkEnd w:id="313"/>
    <w:bookmarkEnd w:id="314"/>
    <w:bookmarkEnd w:id="315"/>
    <w:bookmarkEnd w:id="316"/>
    <w:p w14:paraId="7920BC4E">
      <w:pPr>
        <w:ind w:firstLine="0" w:firstLineChars="0"/>
      </w:pPr>
      <w:r>
        <w:t>试</w:t>
      </w:r>
      <w:r>
        <w:rPr>
          <w:rFonts w:hint="eastAsia" w:ascii="黑体" w:hAnsi="黑体" w:cs="黑体"/>
          <w:color w:val="000000"/>
        </w:rPr>
        <w:t>运转</w:t>
      </w:r>
      <w:r>
        <w:t>目的</w:t>
      </w:r>
    </w:p>
    <w:p w14:paraId="77E4EFA6">
      <w:pPr>
        <w:ind w:firstLine="560"/>
      </w:pPr>
      <w:r>
        <w:t>（1）验证塔式起重机的承载能力，保证塔式起重机正常使用。</w:t>
      </w:r>
    </w:p>
    <w:p w14:paraId="24CAA220">
      <w:pPr>
        <w:ind w:firstLine="560"/>
      </w:pPr>
      <w:r>
        <w:t>（2）通过加载试验，在塔式起重机正式使用前，消除其结构的非弹性变形。</w:t>
      </w:r>
    </w:p>
    <w:p w14:paraId="0CBA71FB">
      <w:pPr>
        <w:ind w:firstLine="560"/>
      </w:pPr>
      <w:r>
        <w:rPr>
          <w:rFonts w:hint="eastAsia"/>
        </w:rPr>
        <w:t>（3）</w:t>
      </w:r>
      <w:r>
        <w:t>试吊载荷</w:t>
      </w:r>
    </w:p>
    <w:p w14:paraId="67B3612E">
      <w:pPr>
        <w:adjustRightInd w:val="0"/>
        <w:snapToGrid w:val="0"/>
        <w:ind w:firstLine="560"/>
      </w:pPr>
      <w:r>
        <w:t>根据工程实际工程概况使用四倍率进行载荷试验，确定如下试吊载荷</w:t>
      </w:r>
    </w:p>
    <w:p w14:paraId="67A407FC">
      <w:pPr>
        <w:adjustRightInd w:val="0"/>
        <w:snapToGrid w:val="0"/>
        <w:ind w:firstLine="560"/>
      </w:pPr>
      <w:r>
        <w:rPr>
          <w:rFonts w:hint="eastAsia"/>
          <w:lang w:eastAsia="zh-CN"/>
        </w:rPr>
        <w:t>XGT6015-8S1</w:t>
      </w:r>
      <w:r>
        <w:rPr>
          <w:rFonts w:hint="eastAsia"/>
        </w:rPr>
        <w:t>塔机</w:t>
      </w:r>
      <w:r>
        <w:t>最大试验载荷：</w:t>
      </w:r>
      <w:r>
        <w:rPr>
          <w:rFonts w:hint="eastAsia"/>
        </w:rPr>
        <w:t>8</w:t>
      </w:r>
      <w:r>
        <w:t>t （1.1倍载荷试验）</w:t>
      </w:r>
    </w:p>
    <w:p w14:paraId="1AD34C6E">
      <w:pPr>
        <w:adjustRightInd w:val="0"/>
        <w:snapToGrid w:val="0"/>
        <w:ind w:firstLine="560"/>
      </w:pPr>
      <w:r>
        <w:t>力矩调试试验载荷： (</w:t>
      </w:r>
      <w:r>
        <w:rPr>
          <w:rFonts w:hint="eastAsia"/>
        </w:rPr>
        <w:t>1</w:t>
      </w:r>
      <w:r>
        <w:t xml:space="preserve">) </w:t>
      </w:r>
      <w:r>
        <w:rPr>
          <w:rFonts w:hint="eastAsia"/>
        </w:rPr>
        <w:t>8.8</w:t>
      </w:r>
      <w:r>
        <w:t>t(</w:t>
      </w:r>
      <w:r>
        <w:rPr>
          <w:rFonts w:hint="eastAsia"/>
        </w:rPr>
        <w:t>15</w:t>
      </w:r>
      <w:r>
        <w:t xml:space="preserve">m)       (2)  </w:t>
      </w:r>
      <w:r>
        <w:rPr>
          <w:rFonts w:hint="eastAsia"/>
          <w:lang w:val="en-US" w:eastAsia="zh-CN"/>
        </w:rPr>
        <w:t>2.387</w:t>
      </w:r>
      <w:r>
        <w:t>(</w:t>
      </w:r>
      <w:r>
        <w:rPr>
          <w:rFonts w:hint="eastAsia"/>
          <w:lang w:val="en-US" w:eastAsia="zh-CN"/>
        </w:rPr>
        <w:t>50</w:t>
      </w:r>
      <w:r>
        <w:rPr>
          <w:rFonts w:hint="eastAsia"/>
        </w:rPr>
        <w:t>m</w:t>
      </w:r>
      <w:r>
        <w:t xml:space="preserve">)    </w:t>
      </w:r>
    </w:p>
    <w:p w14:paraId="3727D16F">
      <w:pPr>
        <w:ind w:firstLine="562"/>
        <w:rPr>
          <w:b/>
          <w:bCs/>
        </w:rPr>
      </w:pPr>
      <w:bookmarkStart w:id="322" w:name="_Toc15536"/>
      <w:r>
        <w:rPr>
          <w:b/>
          <w:bCs/>
        </w:rPr>
        <w:t>塔式起重机加载试验工序</w:t>
      </w:r>
      <w:bookmarkEnd w:id="322"/>
    </w:p>
    <w:p w14:paraId="0D9A4F04">
      <w:pPr>
        <w:ind w:firstLine="0" w:firstLineChars="0"/>
        <w:rPr>
          <w:b/>
          <w:bCs/>
        </w:rPr>
      </w:pPr>
      <w:r>
        <w:rPr>
          <w:b/>
          <w:bCs/>
        </w:rPr>
        <w:t>试验前检查</w:t>
      </w:r>
    </w:p>
    <w:p w14:paraId="73D60F10">
      <w:pPr>
        <w:ind w:firstLine="560"/>
      </w:pPr>
      <w:r>
        <w:t>试吊前按人员分工进行全面检查：</w:t>
      </w:r>
    </w:p>
    <w:p w14:paraId="760CC502">
      <w:pPr>
        <w:numPr>
          <w:ilvl w:val="0"/>
          <w:numId w:val="5"/>
        </w:numPr>
        <w:ind w:firstLine="560"/>
      </w:pPr>
      <w:r>
        <w:t>对塔机基础和主体结构焊缝质量、油漆质量等外观质量进行目测检查；</w:t>
      </w:r>
    </w:p>
    <w:p w14:paraId="62EEC2A7">
      <w:pPr>
        <w:numPr>
          <w:ilvl w:val="0"/>
          <w:numId w:val="5"/>
        </w:numPr>
        <w:ind w:firstLine="560"/>
      </w:pPr>
      <w:r>
        <w:t>对电气系统、操作室进行检查；</w:t>
      </w:r>
    </w:p>
    <w:p w14:paraId="7CAE7447">
      <w:pPr>
        <w:numPr>
          <w:ilvl w:val="0"/>
          <w:numId w:val="5"/>
        </w:numPr>
        <w:ind w:firstLine="560"/>
      </w:pPr>
      <w:r>
        <w:t>对起升、回转、变幅等机构进行检查；</w:t>
      </w:r>
    </w:p>
    <w:p w14:paraId="4BAFD269">
      <w:pPr>
        <w:numPr>
          <w:ilvl w:val="0"/>
          <w:numId w:val="5"/>
        </w:numPr>
        <w:ind w:firstLine="560"/>
      </w:pPr>
      <w:r>
        <w:t>对吊索、吊具、试吊物进行全面检查；</w:t>
      </w:r>
    </w:p>
    <w:p w14:paraId="3327E17C">
      <w:pPr>
        <w:numPr>
          <w:ilvl w:val="0"/>
          <w:numId w:val="5"/>
        </w:numPr>
        <w:ind w:firstLine="560"/>
      </w:pPr>
      <w:r>
        <w:t>测量组顺着起重臂方向测量塔身垂直度，需东西向与南北向测量两次</w:t>
      </w:r>
      <w:r>
        <w:rPr>
          <w:rFonts w:hint="eastAsia"/>
        </w:rPr>
        <w:t>.</w:t>
      </w:r>
    </w:p>
    <w:p w14:paraId="1C0215A2">
      <w:pPr>
        <w:pStyle w:val="12"/>
        <w:ind w:firstLine="0" w:firstLineChars="0"/>
        <w:rPr>
          <w:rFonts w:hint="default"/>
          <w:b/>
          <w:bCs/>
        </w:rPr>
      </w:pPr>
      <w:r>
        <w:rPr>
          <w:b/>
          <w:bCs/>
        </w:rPr>
        <w:t>绝缘试验</w:t>
      </w:r>
    </w:p>
    <w:p w14:paraId="1704BB8D">
      <w:pPr>
        <w:ind w:firstLine="560"/>
      </w:pPr>
      <w:r>
        <w:rPr>
          <w:rFonts w:hint="eastAsia"/>
        </w:rPr>
        <w:t>利用接地电阻仪，对附近土壤和预埋接地体进行阻值测试，利用兆欧表对塔身的接地测试是否良好</w:t>
      </w:r>
    </w:p>
    <w:p w14:paraId="2B9BBF94">
      <w:pPr>
        <w:ind w:firstLine="0" w:firstLineChars="0"/>
        <w:rPr>
          <w:b/>
          <w:bCs/>
        </w:rPr>
      </w:pPr>
      <w:r>
        <w:rPr>
          <w:b/>
          <w:bCs/>
        </w:rPr>
        <w:t>空载试验</w:t>
      </w:r>
    </w:p>
    <w:p w14:paraId="111162D1">
      <w:pPr>
        <w:ind w:firstLine="560"/>
      </w:pPr>
      <w:r>
        <w:t>塔机空载状态下，起升、回转、变幅等各动作的操作试验。检查：</w:t>
      </w:r>
    </w:p>
    <w:p w14:paraId="63089B6E">
      <w:pPr>
        <w:ind w:firstLine="560"/>
      </w:pPr>
      <w:r>
        <w:t>（1）操作系统、控制系统、联锁装置动作准确性和灵活性；</w:t>
      </w:r>
    </w:p>
    <w:p w14:paraId="5C3FAAF1">
      <w:pPr>
        <w:ind w:firstLine="560"/>
      </w:pPr>
      <w:r>
        <w:t>（2）各行程限位器的动作准确性和可靠性，（本次试验测试高度限位器与幅度限位器）；</w:t>
      </w:r>
    </w:p>
    <w:p w14:paraId="118DD38B">
      <w:pPr>
        <w:ind w:firstLine="560"/>
      </w:pPr>
      <w:r>
        <w:t>（3）各机构中无相对运动部位是否有漏油现象，有相对运动部位的渗漏情况，各机构运动的平稳性，是否有爬行、振颤、冲击、过热、异常噪声等现象。</w:t>
      </w:r>
    </w:p>
    <w:p w14:paraId="08F935DE">
      <w:pPr>
        <w:ind w:firstLine="0" w:firstLineChars="0"/>
        <w:rPr>
          <w:b/>
          <w:bCs/>
        </w:rPr>
      </w:pPr>
      <w:r>
        <w:rPr>
          <w:b/>
          <w:bCs/>
        </w:rPr>
        <w:t>额定荷载试验</w:t>
      </w:r>
    </w:p>
    <w:p w14:paraId="5B944C3B">
      <w:pPr>
        <w:ind w:firstLine="560"/>
      </w:pPr>
      <w:r>
        <w:t>根据设计的额定载荷，按照GB/T5031规定的工况、试验方法和要求，进行起升、变幅、回转试验，每一工况的试验次数不得少于3次。还应当检查以下内容是否符合要求：</w:t>
      </w:r>
    </w:p>
    <w:p w14:paraId="633D5151">
      <w:pPr>
        <w:ind w:firstLine="560"/>
      </w:pPr>
      <w:r>
        <w:t>（1）起升、回转、变幅的额定速度在允差范围内。</w:t>
      </w:r>
    </w:p>
    <w:p w14:paraId="4265811E">
      <w:pPr>
        <w:ind w:firstLine="560"/>
        <w:rPr>
          <w:b/>
          <w:sz w:val="21"/>
        </w:rPr>
      </w:pPr>
      <w:r>
        <w:t>（2）起重量限制器、起重力矩限制器信号显示、报警精度在允许范围内。</w:t>
      </w:r>
    </w:p>
    <w:p w14:paraId="4B173CEE">
      <w:pPr>
        <w:ind w:firstLine="422"/>
        <w:jc w:val="center"/>
        <w:rPr>
          <w:rFonts w:ascii="宋体" w:hAnsi="宋体" w:eastAsia="宋体" w:cs="宋体"/>
          <w:b/>
          <w:bCs/>
          <w:color w:val="171717"/>
          <w:sz w:val="21"/>
        </w:rPr>
      </w:pPr>
      <w:r>
        <w:rPr>
          <w:rFonts w:hint="eastAsia" w:ascii="宋体" w:hAnsi="宋体" w:eastAsia="宋体" w:cs="宋体"/>
          <w:b/>
          <w:bCs/>
          <w:color w:val="171717"/>
          <w:sz w:val="21"/>
        </w:rPr>
        <w:t>表5.4.2</w:t>
      </w:r>
      <w:r>
        <w:rPr>
          <w:rFonts w:hint="eastAsia" w:ascii="宋体" w:hAnsi="宋体" w:cs="宋体"/>
          <w:b/>
          <w:bCs/>
          <w:color w:val="171717"/>
          <w:sz w:val="21"/>
        </w:rPr>
        <w:t>-</w:t>
      </w:r>
      <w:r>
        <w:rPr>
          <w:rFonts w:hint="eastAsia" w:ascii="宋体" w:hAnsi="宋体" w:eastAsia="宋体" w:cs="宋体"/>
          <w:b/>
          <w:bCs/>
          <w:color w:val="171717"/>
          <w:sz w:val="21"/>
        </w:rPr>
        <w:t>1 额定载荷试验</w:t>
      </w:r>
    </w:p>
    <w:tbl>
      <w:tblPr>
        <w:tblStyle w:val="41"/>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27"/>
        <w:gridCol w:w="1806"/>
        <w:gridCol w:w="1808"/>
        <w:gridCol w:w="1813"/>
        <w:gridCol w:w="1791"/>
      </w:tblGrid>
      <w:tr w14:paraId="0F56FC6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462" w:hRule="atLeast"/>
        </w:trPr>
        <w:tc>
          <w:tcPr>
            <w:tcW w:w="1010" w:type="pct"/>
            <w:vMerge w:val="restart"/>
            <w:vAlign w:val="center"/>
          </w:tcPr>
          <w:p w14:paraId="558958EA">
            <w:pPr>
              <w:adjustRightInd w:val="0"/>
              <w:snapToGrid w:val="0"/>
              <w:spacing w:line="240" w:lineRule="auto"/>
              <w:ind w:firstLine="0" w:firstLineChars="0"/>
              <w:jc w:val="center"/>
              <w:rPr>
                <w:sz w:val="21"/>
              </w:rPr>
            </w:pPr>
            <w:r>
              <w:rPr>
                <w:sz w:val="21"/>
              </w:rPr>
              <w:t>工况</w:t>
            </w:r>
          </w:p>
        </w:tc>
        <w:tc>
          <w:tcPr>
            <w:tcW w:w="2999" w:type="pct"/>
            <w:gridSpan w:val="3"/>
            <w:vAlign w:val="center"/>
          </w:tcPr>
          <w:p w14:paraId="1124FCC6">
            <w:pPr>
              <w:adjustRightInd w:val="0"/>
              <w:snapToGrid w:val="0"/>
              <w:spacing w:line="240" w:lineRule="auto"/>
              <w:ind w:firstLine="0" w:firstLineChars="0"/>
              <w:jc w:val="center"/>
              <w:rPr>
                <w:sz w:val="21"/>
              </w:rPr>
            </w:pPr>
            <w:r>
              <w:rPr>
                <w:sz w:val="21"/>
              </w:rPr>
              <w:t>试验方法</w:t>
            </w:r>
          </w:p>
        </w:tc>
        <w:tc>
          <w:tcPr>
            <w:tcW w:w="990" w:type="pct"/>
            <w:vMerge w:val="restart"/>
            <w:vAlign w:val="center"/>
          </w:tcPr>
          <w:p w14:paraId="530203C2">
            <w:pPr>
              <w:adjustRightInd w:val="0"/>
              <w:snapToGrid w:val="0"/>
              <w:spacing w:line="240" w:lineRule="auto"/>
              <w:ind w:firstLine="0" w:firstLineChars="0"/>
              <w:jc w:val="center"/>
              <w:rPr>
                <w:sz w:val="21"/>
              </w:rPr>
            </w:pPr>
            <w:r>
              <w:rPr>
                <w:sz w:val="21"/>
              </w:rPr>
              <w:t>试验目的</w:t>
            </w:r>
          </w:p>
        </w:tc>
      </w:tr>
      <w:tr w14:paraId="67A6FCE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1010" w:type="pct"/>
            <w:vMerge w:val="continue"/>
            <w:vAlign w:val="center"/>
          </w:tcPr>
          <w:p w14:paraId="171E9800">
            <w:pPr>
              <w:adjustRightInd w:val="0"/>
              <w:snapToGrid w:val="0"/>
              <w:spacing w:line="240" w:lineRule="auto"/>
              <w:ind w:firstLine="0" w:firstLineChars="0"/>
              <w:jc w:val="center"/>
              <w:rPr>
                <w:sz w:val="21"/>
              </w:rPr>
            </w:pPr>
          </w:p>
        </w:tc>
        <w:tc>
          <w:tcPr>
            <w:tcW w:w="998" w:type="pct"/>
            <w:vAlign w:val="center"/>
          </w:tcPr>
          <w:p w14:paraId="0BB9E689">
            <w:pPr>
              <w:adjustRightInd w:val="0"/>
              <w:snapToGrid w:val="0"/>
              <w:spacing w:line="240" w:lineRule="auto"/>
              <w:ind w:firstLine="0" w:firstLineChars="0"/>
              <w:jc w:val="center"/>
              <w:rPr>
                <w:sz w:val="21"/>
              </w:rPr>
            </w:pPr>
            <w:r>
              <w:rPr>
                <w:sz w:val="21"/>
              </w:rPr>
              <w:t>起升</w:t>
            </w:r>
          </w:p>
        </w:tc>
        <w:tc>
          <w:tcPr>
            <w:tcW w:w="999" w:type="pct"/>
            <w:vAlign w:val="center"/>
          </w:tcPr>
          <w:p w14:paraId="75CDC186">
            <w:pPr>
              <w:adjustRightInd w:val="0"/>
              <w:snapToGrid w:val="0"/>
              <w:spacing w:line="240" w:lineRule="auto"/>
              <w:ind w:firstLine="0" w:firstLineChars="0"/>
              <w:jc w:val="center"/>
              <w:rPr>
                <w:sz w:val="21"/>
              </w:rPr>
            </w:pPr>
            <w:r>
              <w:rPr>
                <w:sz w:val="21"/>
              </w:rPr>
              <w:t>变幅</w:t>
            </w:r>
          </w:p>
        </w:tc>
        <w:tc>
          <w:tcPr>
            <w:tcW w:w="1002" w:type="pct"/>
            <w:vAlign w:val="center"/>
          </w:tcPr>
          <w:p w14:paraId="718634E0">
            <w:pPr>
              <w:adjustRightInd w:val="0"/>
              <w:snapToGrid w:val="0"/>
              <w:spacing w:line="240" w:lineRule="auto"/>
              <w:ind w:firstLine="0" w:firstLineChars="0"/>
              <w:jc w:val="center"/>
              <w:rPr>
                <w:sz w:val="21"/>
              </w:rPr>
            </w:pPr>
            <w:r>
              <w:rPr>
                <w:sz w:val="21"/>
              </w:rPr>
              <w:t>回转</w:t>
            </w:r>
          </w:p>
        </w:tc>
        <w:tc>
          <w:tcPr>
            <w:tcW w:w="990" w:type="pct"/>
            <w:vMerge w:val="continue"/>
            <w:vAlign w:val="center"/>
          </w:tcPr>
          <w:p w14:paraId="44A777AD">
            <w:pPr>
              <w:adjustRightInd w:val="0"/>
              <w:snapToGrid w:val="0"/>
              <w:spacing w:line="240" w:lineRule="auto"/>
              <w:ind w:firstLine="0" w:firstLineChars="0"/>
              <w:jc w:val="center"/>
              <w:rPr>
                <w:sz w:val="21"/>
              </w:rPr>
            </w:pPr>
          </w:p>
        </w:tc>
      </w:tr>
      <w:tr w14:paraId="57C1288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258" w:hRule="atLeast"/>
        </w:trPr>
        <w:tc>
          <w:tcPr>
            <w:tcW w:w="1010" w:type="pct"/>
            <w:vAlign w:val="center"/>
          </w:tcPr>
          <w:p w14:paraId="0C4096E4">
            <w:pPr>
              <w:adjustRightInd w:val="0"/>
              <w:snapToGrid w:val="0"/>
              <w:spacing w:line="240" w:lineRule="auto"/>
              <w:ind w:firstLine="0" w:firstLineChars="0"/>
              <w:jc w:val="center"/>
              <w:rPr>
                <w:sz w:val="21"/>
              </w:rPr>
            </w:pPr>
            <w:r>
              <w:rPr>
                <w:sz w:val="21"/>
              </w:rPr>
              <w:t>最大幅度相应的额定起重量</w:t>
            </w:r>
          </w:p>
        </w:tc>
        <w:tc>
          <w:tcPr>
            <w:tcW w:w="998" w:type="pct"/>
            <w:vMerge w:val="restart"/>
            <w:vAlign w:val="center"/>
          </w:tcPr>
          <w:p w14:paraId="24E95710">
            <w:pPr>
              <w:adjustRightInd w:val="0"/>
              <w:snapToGrid w:val="0"/>
              <w:spacing w:line="240" w:lineRule="auto"/>
              <w:ind w:firstLine="0" w:firstLineChars="0"/>
              <w:jc w:val="center"/>
              <w:rPr>
                <w:sz w:val="21"/>
              </w:rPr>
            </w:pPr>
            <w:r>
              <w:rPr>
                <w:sz w:val="21"/>
              </w:rPr>
              <w:t>在起升全程范围内以额定速度进行起升、下降，在每一起升、下降过程中进行不少于三次的正常制动</w:t>
            </w:r>
          </w:p>
        </w:tc>
        <w:tc>
          <w:tcPr>
            <w:tcW w:w="999" w:type="pct"/>
            <w:vAlign w:val="center"/>
          </w:tcPr>
          <w:p w14:paraId="26BDB710">
            <w:pPr>
              <w:adjustRightInd w:val="0"/>
              <w:snapToGrid w:val="0"/>
              <w:spacing w:line="240" w:lineRule="auto"/>
              <w:ind w:firstLine="0" w:firstLineChars="0"/>
              <w:jc w:val="center"/>
              <w:rPr>
                <w:sz w:val="21"/>
              </w:rPr>
            </w:pPr>
            <w:r>
              <w:rPr>
                <w:sz w:val="21"/>
              </w:rPr>
              <w:t>在最大幅度和最小幅度间，小车以额定速度进行两个方向变幅</w:t>
            </w:r>
          </w:p>
        </w:tc>
        <w:tc>
          <w:tcPr>
            <w:tcW w:w="1002" w:type="pct"/>
            <w:vMerge w:val="restart"/>
            <w:vAlign w:val="center"/>
          </w:tcPr>
          <w:p w14:paraId="5724A7C5">
            <w:pPr>
              <w:adjustRightInd w:val="0"/>
              <w:snapToGrid w:val="0"/>
              <w:spacing w:line="240" w:lineRule="auto"/>
              <w:ind w:firstLine="0" w:firstLineChars="0"/>
              <w:jc w:val="center"/>
              <w:rPr>
                <w:sz w:val="21"/>
              </w:rPr>
            </w:pPr>
            <w:r>
              <w:rPr>
                <w:sz w:val="21"/>
              </w:rPr>
              <w:t>以额定速度进行左右回转。</w:t>
            </w:r>
          </w:p>
        </w:tc>
        <w:tc>
          <w:tcPr>
            <w:tcW w:w="990" w:type="pct"/>
            <w:vMerge w:val="restart"/>
            <w:vAlign w:val="center"/>
          </w:tcPr>
          <w:p w14:paraId="34450AEE">
            <w:pPr>
              <w:adjustRightInd w:val="0"/>
              <w:snapToGrid w:val="0"/>
              <w:spacing w:line="240" w:lineRule="auto"/>
              <w:ind w:firstLine="0" w:firstLineChars="0"/>
              <w:jc w:val="center"/>
              <w:rPr>
                <w:sz w:val="21"/>
              </w:rPr>
            </w:pPr>
            <w:r>
              <w:rPr>
                <w:sz w:val="21"/>
              </w:rPr>
              <w:t>测量各机构的运动速度；机构及司机室噪声；力矩限制器、起重量限制器精度</w:t>
            </w:r>
          </w:p>
        </w:tc>
      </w:tr>
      <w:tr w14:paraId="5B3DF16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756" w:hRule="atLeast"/>
        </w:trPr>
        <w:tc>
          <w:tcPr>
            <w:tcW w:w="1010" w:type="pct"/>
            <w:vAlign w:val="center"/>
          </w:tcPr>
          <w:p w14:paraId="283D65C4">
            <w:pPr>
              <w:adjustRightInd w:val="0"/>
              <w:snapToGrid w:val="0"/>
              <w:spacing w:line="240" w:lineRule="auto"/>
              <w:ind w:firstLine="0" w:firstLineChars="0"/>
              <w:jc w:val="center"/>
              <w:rPr>
                <w:sz w:val="21"/>
              </w:rPr>
            </w:pPr>
            <w:r>
              <w:rPr>
                <w:sz w:val="21"/>
              </w:rPr>
              <w:t>最大额定起重量相应的最大幅度</w:t>
            </w:r>
          </w:p>
        </w:tc>
        <w:tc>
          <w:tcPr>
            <w:tcW w:w="998" w:type="pct"/>
            <w:vMerge w:val="continue"/>
            <w:vAlign w:val="center"/>
          </w:tcPr>
          <w:p w14:paraId="5675E10D">
            <w:pPr>
              <w:adjustRightInd w:val="0"/>
              <w:snapToGrid w:val="0"/>
              <w:spacing w:line="240" w:lineRule="auto"/>
              <w:ind w:firstLine="0" w:firstLineChars="0"/>
              <w:jc w:val="center"/>
              <w:rPr>
                <w:sz w:val="21"/>
              </w:rPr>
            </w:pPr>
          </w:p>
        </w:tc>
        <w:tc>
          <w:tcPr>
            <w:tcW w:w="999" w:type="pct"/>
            <w:vAlign w:val="center"/>
          </w:tcPr>
          <w:p w14:paraId="03478931">
            <w:pPr>
              <w:adjustRightInd w:val="0"/>
              <w:snapToGrid w:val="0"/>
              <w:spacing w:line="240" w:lineRule="auto"/>
              <w:ind w:firstLine="0" w:firstLineChars="0"/>
              <w:jc w:val="center"/>
              <w:rPr>
                <w:sz w:val="21"/>
              </w:rPr>
            </w:pPr>
            <w:r>
              <w:rPr>
                <w:sz w:val="21"/>
              </w:rPr>
              <w:t>在最小幅度和对应该起重量允许的最大幅度间，小车以额定速度进行两个方向变幅</w:t>
            </w:r>
          </w:p>
        </w:tc>
        <w:tc>
          <w:tcPr>
            <w:tcW w:w="1002" w:type="pct"/>
            <w:vMerge w:val="continue"/>
            <w:vAlign w:val="center"/>
          </w:tcPr>
          <w:p w14:paraId="6A66CBA1">
            <w:pPr>
              <w:adjustRightInd w:val="0"/>
              <w:snapToGrid w:val="0"/>
              <w:spacing w:line="240" w:lineRule="auto"/>
              <w:ind w:firstLine="0" w:firstLineChars="0"/>
              <w:jc w:val="center"/>
              <w:rPr>
                <w:sz w:val="21"/>
              </w:rPr>
            </w:pPr>
          </w:p>
        </w:tc>
        <w:tc>
          <w:tcPr>
            <w:tcW w:w="990" w:type="pct"/>
            <w:vMerge w:val="continue"/>
            <w:vAlign w:val="center"/>
          </w:tcPr>
          <w:p w14:paraId="049ECD7D">
            <w:pPr>
              <w:adjustRightInd w:val="0"/>
              <w:snapToGrid w:val="0"/>
              <w:spacing w:line="240" w:lineRule="auto"/>
              <w:ind w:firstLine="0" w:firstLineChars="0"/>
              <w:jc w:val="center"/>
              <w:rPr>
                <w:sz w:val="21"/>
              </w:rPr>
            </w:pPr>
          </w:p>
        </w:tc>
      </w:tr>
    </w:tbl>
    <w:p w14:paraId="7262D0B6">
      <w:pPr>
        <w:ind w:firstLine="560"/>
      </w:pPr>
      <w:r>
        <w:t>具体过程如下：</w:t>
      </w:r>
      <w:r>
        <w:br w:type="textWrapping"/>
      </w:r>
      <w:r>
        <w:rPr>
          <w:rFonts w:hint="eastAsia"/>
          <w:lang w:eastAsia="zh-CN"/>
        </w:rPr>
        <w:t>XGT6015-8S1</w:t>
      </w:r>
      <w:r>
        <w:rPr>
          <w:rFonts w:hint="eastAsia"/>
        </w:rPr>
        <w:t>塔机：</w:t>
      </w:r>
    </w:p>
    <w:p w14:paraId="53EDBD38">
      <w:pPr>
        <w:ind w:firstLine="480" w:firstLineChars="0"/>
      </w:pPr>
      <w:r>
        <w:t>1.起重力矩定码变幅调整（4倍率）</w:t>
      </w:r>
    </w:p>
    <w:p w14:paraId="6280E4C9">
      <w:pPr>
        <w:ind w:firstLine="480" w:firstLineChars="0"/>
      </w:pPr>
      <w:r>
        <w:t>吊重</w:t>
      </w:r>
      <w:r>
        <w:rPr>
          <w:rFonts w:hint="eastAsia"/>
        </w:rPr>
        <w:t>8</w:t>
      </w:r>
      <w:r>
        <w:t>t，载重小车以慢速由</w:t>
      </w:r>
      <w:r>
        <w:rPr>
          <w:rFonts w:hint="eastAsia"/>
        </w:rPr>
        <w:t>15.8</w:t>
      </w:r>
      <w:r>
        <w:t>m幅度开始向内变幅，使小车在</w:t>
      </w:r>
      <w:r>
        <w:rPr>
          <w:rFonts w:hint="eastAsia"/>
        </w:rPr>
        <w:t>14</w:t>
      </w:r>
      <w:r>
        <w:t>m-</w:t>
      </w:r>
      <w:r>
        <w:rPr>
          <w:rFonts w:hint="eastAsia"/>
        </w:rPr>
        <w:t>15.8</w:t>
      </w:r>
      <w:r>
        <w:t>m处，90%起重力矩开关发挥作用，司机室内预报警灯亮。</w:t>
      </w:r>
    </w:p>
    <w:p w14:paraId="05D5CBE3">
      <w:pPr>
        <w:ind w:firstLine="480" w:firstLineChars="0"/>
      </w:pPr>
      <w:r>
        <w:t>调整定码变幅螺杆，使小车</w:t>
      </w:r>
      <w:r>
        <w:rPr>
          <w:rFonts w:hint="eastAsia"/>
        </w:rPr>
        <w:t>15.8</w:t>
      </w:r>
      <w:r>
        <w:t>m-</w:t>
      </w:r>
      <w:r>
        <w:rPr>
          <w:rFonts w:hint="eastAsia"/>
        </w:rPr>
        <w:t>16</w:t>
      </w:r>
      <w:r>
        <w:t>m处，起升向上、变幅向外断电，同时发出超载警报。</w:t>
      </w:r>
    </w:p>
    <w:p w14:paraId="75FB8746">
      <w:pPr>
        <w:ind w:firstLine="480" w:firstLineChars="0"/>
      </w:pPr>
      <w:r>
        <w:t>2.起重力矩定幅变码调整（4倍率）</w:t>
      </w:r>
    </w:p>
    <w:p w14:paraId="4D817107">
      <w:pPr>
        <w:ind w:firstLine="480" w:firstLineChars="0"/>
      </w:pPr>
      <w:r>
        <w:t>在</w:t>
      </w:r>
      <w:r>
        <w:rPr>
          <w:rFonts w:hint="eastAsia"/>
          <w:lang w:val="en-US" w:eastAsia="zh-CN"/>
        </w:rPr>
        <w:t>5</w:t>
      </w:r>
      <w:r>
        <w:rPr>
          <w:rFonts w:hint="eastAsia"/>
        </w:rPr>
        <w:t>0</w:t>
      </w:r>
      <w:r>
        <w:t>m处吊重</w:t>
      </w:r>
      <w:r>
        <w:rPr>
          <w:rFonts w:hint="eastAsia"/>
          <w:lang w:val="en-US" w:eastAsia="zh-CN"/>
        </w:rPr>
        <w:t>2.17</w:t>
      </w:r>
      <w:r>
        <w:t>t，起升机构应能向上起升，之后再加载</w:t>
      </w:r>
      <w:r>
        <w:rPr>
          <w:rFonts w:hint="eastAsia"/>
        </w:rPr>
        <w:t>25</w:t>
      </w:r>
      <w:r>
        <w:t>0kg，调节定幅变码螺杆，使起升不能向上，同时发出超载警报。</w:t>
      </w:r>
    </w:p>
    <w:p w14:paraId="79DA0942">
      <w:pPr>
        <w:ind w:firstLine="480" w:firstLineChars="0"/>
      </w:pPr>
      <w:r>
        <w:t>3.上述动作重复三次，保持功能稳定。</w:t>
      </w:r>
    </w:p>
    <w:p w14:paraId="3CA22283">
      <w:pPr>
        <w:ind w:firstLine="0" w:firstLineChars="0"/>
        <w:rPr>
          <w:b/>
          <w:bCs/>
        </w:rPr>
      </w:pPr>
      <w:r>
        <w:rPr>
          <w:b/>
          <w:bCs/>
        </w:rPr>
        <w:t>110 ％额定载荷动载试验</w:t>
      </w:r>
    </w:p>
    <w:p w14:paraId="3312C70B">
      <w:pPr>
        <w:ind w:firstLine="560"/>
        <w:rPr>
          <w:rFonts w:ascii="宋体" w:hAnsi="宋体" w:eastAsia="宋体" w:cs="宋体"/>
          <w:b/>
          <w:bCs/>
          <w:color w:val="171717"/>
          <w:sz w:val="21"/>
        </w:rPr>
      </w:pPr>
      <w:r>
        <w:t>110 ％额定载荷动载试验按表2进行。每一工况试验不少于3次。每一次的动作停稳后再进行下一次启动。</w:t>
      </w:r>
    </w:p>
    <w:p w14:paraId="726AC776">
      <w:pPr>
        <w:ind w:firstLine="422"/>
        <w:jc w:val="center"/>
        <w:rPr>
          <w:rFonts w:ascii="宋体" w:hAnsi="宋体" w:eastAsia="宋体" w:cs="宋体"/>
          <w:b/>
          <w:bCs/>
          <w:color w:val="171717"/>
          <w:sz w:val="21"/>
        </w:rPr>
      </w:pPr>
      <w:r>
        <w:rPr>
          <w:rFonts w:hint="eastAsia" w:ascii="宋体" w:hAnsi="宋体" w:eastAsia="宋体" w:cs="宋体"/>
          <w:b/>
          <w:bCs/>
          <w:color w:val="171717"/>
          <w:sz w:val="21"/>
        </w:rPr>
        <w:t>表5.4.2</w:t>
      </w:r>
      <w:r>
        <w:rPr>
          <w:rFonts w:hint="eastAsia" w:ascii="宋体" w:hAnsi="宋体" w:cs="宋体"/>
          <w:b/>
          <w:bCs/>
          <w:color w:val="171717"/>
          <w:sz w:val="21"/>
        </w:rPr>
        <w:t>-2</w:t>
      </w:r>
      <w:r>
        <w:rPr>
          <w:rFonts w:hint="eastAsia" w:ascii="宋体" w:hAnsi="宋体" w:eastAsia="宋体" w:cs="宋体"/>
          <w:b/>
          <w:bCs/>
          <w:color w:val="171717"/>
          <w:sz w:val="21"/>
        </w:rPr>
        <w:t xml:space="preserve">  110 ％额定载荷动载试验</w:t>
      </w:r>
    </w:p>
    <w:tbl>
      <w:tblPr>
        <w:tblStyle w:val="41"/>
        <w:tblW w:w="865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69"/>
        <w:gridCol w:w="1202"/>
        <w:gridCol w:w="2001"/>
        <w:gridCol w:w="1462"/>
        <w:gridCol w:w="1716"/>
      </w:tblGrid>
      <w:tr w14:paraId="1AE08FB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2269" w:type="dxa"/>
            <w:vMerge w:val="restart"/>
            <w:vAlign w:val="center"/>
          </w:tcPr>
          <w:p w14:paraId="0572EB3D">
            <w:pPr>
              <w:adjustRightInd w:val="0"/>
              <w:snapToGrid w:val="0"/>
              <w:spacing w:line="240" w:lineRule="auto"/>
              <w:ind w:firstLine="0" w:firstLineChars="0"/>
              <w:jc w:val="center"/>
              <w:rPr>
                <w:sz w:val="21"/>
              </w:rPr>
            </w:pPr>
            <w:r>
              <w:rPr>
                <w:sz w:val="21"/>
              </w:rPr>
              <w:t>工况</w:t>
            </w:r>
          </w:p>
        </w:tc>
        <w:tc>
          <w:tcPr>
            <w:tcW w:w="4665" w:type="dxa"/>
            <w:gridSpan w:val="3"/>
            <w:vAlign w:val="center"/>
          </w:tcPr>
          <w:p w14:paraId="24B72FE5">
            <w:pPr>
              <w:adjustRightInd w:val="0"/>
              <w:snapToGrid w:val="0"/>
              <w:spacing w:line="240" w:lineRule="auto"/>
              <w:ind w:firstLine="0" w:firstLineChars="0"/>
              <w:jc w:val="center"/>
              <w:rPr>
                <w:sz w:val="21"/>
              </w:rPr>
            </w:pPr>
            <w:r>
              <w:rPr>
                <w:sz w:val="21"/>
              </w:rPr>
              <w:t>试验方法</w:t>
            </w:r>
          </w:p>
        </w:tc>
        <w:tc>
          <w:tcPr>
            <w:tcW w:w="1716" w:type="dxa"/>
            <w:vMerge w:val="restart"/>
            <w:vAlign w:val="center"/>
          </w:tcPr>
          <w:p w14:paraId="22B52887">
            <w:pPr>
              <w:adjustRightInd w:val="0"/>
              <w:snapToGrid w:val="0"/>
              <w:spacing w:line="240" w:lineRule="auto"/>
              <w:ind w:firstLine="0" w:firstLineChars="0"/>
              <w:jc w:val="center"/>
              <w:rPr>
                <w:sz w:val="21"/>
              </w:rPr>
            </w:pPr>
            <w:r>
              <w:rPr>
                <w:sz w:val="21"/>
              </w:rPr>
              <w:t>试验目的</w:t>
            </w:r>
          </w:p>
        </w:tc>
      </w:tr>
      <w:tr w14:paraId="4662BF0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477" w:hRule="atLeast"/>
          <w:jc w:val="center"/>
        </w:trPr>
        <w:tc>
          <w:tcPr>
            <w:tcW w:w="2269" w:type="dxa"/>
            <w:vMerge w:val="continue"/>
            <w:vAlign w:val="center"/>
          </w:tcPr>
          <w:p w14:paraId="33F57289">
            <w:pPr>
              <w:adjustRightInd w:val="0"/>
              <w:snapToGrid w:val="0"/>
              <w:spacing w:line="240" w:lineRule="auto"/>
              <w:ind w:firstLine="0" w:firstLineChars="0"/>
              <w:jc w:val="center"/>
              <w:rPr>
                <w:sz w:val="21"/>
              </w:rPr>
            </w:pPr>
          </w:p>
        </w:tc>
        <w:tc>
          <w:tcPr>
            <w:tcW w:w="1202" w:type="dxa"/>
            <w:vAlign w:val="center"/>
          </w:tcPr>
          <w:p w14:paraId="6A37C78F">
            <w:pPr>
              <w:autoSpaceDE w:val="0"/>
              <w:autoSpaceDN w:val="0"/>
              <w:adjustRightInd w:val="0"/>
              <w:snapToGrid w:val="0"/>
              <w:ind w:firstLine="0" w:firstLineChars="0"/>
              <w:jc w:val="center"/>
              <w:rPr>
                <w:sz w:val="21"/>
              </w:rPr>
            </w:pPr>
            <w:r>
              <w:rPr>
                <w:sz w:val="21"/>
              </w:rPr>
              <w:t>起升</w:t>
            </w:r>
          </w:p>
        </w:tc>
        <w:tc>
          <w:tcPr>
            <w:tcW w:w="2001" w:type="dxa"/>
            <w:vAlign w:val="center"/>
          </w:tcPr>
          <w:p w14:paraId="78EFB853">
            <w:pPr>
              <w:autoSpaceDE w:val="0"/>
              <w:autoSpaceDN w:val="0"/>
              <w:adjustRightInd w:val="0"/>
              <w:snapToGrid w:val="0"/>
              <w:ind w:firstLine="0" w:firstLineChars="0"/>
              <w:jc w:val="center"/>
              <w:rPr>
                <w:sz w:val="21"/>
              </w:rPr>
            </w:pPr>
            <w:r>
              <w:rPr>
                <w:sz w:val="21"/>
              </w:rPr>
              <w:t>小车变幅</w:t>
            </w:r>
          </w:p>
        </w:tc>
        <w:tc>
          <w:tcPr>
            <w:tcW w:w="1462" w:type="dxa"/>
            <w:vAlign w:val="center"/>
          </w:tcPr>
          <w:p w14:paraId="1F7F4044">
            <w:pPr>
              <w:autoSpaceDE w:val="0"/>
              <w:autoSpaceDN w:val="0"/>
              <w:adjustRightInd w:val="0"/>
              <w:snapToGrid w:val="0"/>
              <w:ind w:firstLine="0" w:firstLineChars="0"/>
              <w:jc w:val="center"/>
              <w:rPr>
                <w:sz w:val="21"/>
              </w:rPr>
            </w:pPr>
            <w:r>
              <w:rPr>
                <w:sz w:val="21"/>
              </w:rPr>
              <w:t>回转</w:t>
            </w:r>
          </w:p>
        </w:tc>
        <w:tc>
          <w:tcPr>
            <w:tcW w:w="1716" w:type="dxa"/>
            <w:vMerge w:val="continue"/>
            <w:vAlign w:val="center"/>
          </w:tcPr>
          <w:p w14:paraId="6FD12AC5">
            <w:pPr>
              <w:adjustRightInd w:val="0"/>
              <w:snapToGrid w:val="0"/>
              <w:spacing w:line="240" w:lineRule="auto"/>
              <w:ind w:firstLine="0" w:firstLineChars="0"/>
              <w:jc w:val="center"/>
              <w:rPr>
                <w:sz w:val="21"/>
              </w:rPr>
            </w:pPr>
          </w:p>
        </w:tc>
      </w:tr>
      <w:tr w14:paraId="63724E3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2269" w:type="dxa"/>
            <w:vAlign w:val="center"/>
          </w:tcPr>
          <w:p w14:paraId="55465185">
            <w:pPr>
              <w:adjustRightInd w:val="0"/>
              <w:snapToGrid w:val="0"/>
              <w:spacing w:line="240" w:lineRule="auto"/>
              <w:ind w:firstLine="0" w:firstLineChars="0"/>
              <w:jc w:val="center"/>
              <w:rPr>
                <w:sz w:val="21"/>
              </w:rPr>
            </w:pPr>
            <w:r>
              <w:rPr>
                <w:sz w:val="21"/>
              </w:rPr>
              <w:t>最大幅度相应额定起重量的110%</w:t>
            </w:r>
          </w:p>
        </w:tc>
        <w:tc>
          <w:tcPr>
            <w:tcW w:w="1202" w:type="dxa"/>
            <w:vMerge w:val="restart"/>
            <w:vAlign w:val="center"/>
          </w:tcPr>
          <w:p w14:paraId="05B23216">
            <w:pPr>
              <w:adjustRightInd w:val="0"/>
              <w:snapToGrid w:val="0"/>
              <w:spacing w:line="240" w:lineRule="auto"/>
              <w:ind w:firstLine="0" w:firstLineChars="0"/>
              <w:jc w:val="center"/>
              <w:rPr>
                <w:sz w:val="21"/>
              </w:rPr>
            </w:pPr>
            <w:r>
              <w:rPr>
                <w:sz w:val="21"/>
              </w:rPr>
              <w:t>在起升全程范围内以额定速度进行起升、下降</w:t>
            </w:r>
          </w:p>
        </w:tc>
        <w:tc>
          <w:tcPr>
            <w:tcW w:w="2001" w:type="dxa"/>
            <w:vAlign w:val="center"/>
          </w:tcPr>
          <w:p w14:paraId="20383682">
            <w:pPr>
              <w:adjustRightInd w:val="0"/>
              <w:snapToGrid w:val="0"/>
              <w:spacing w:line="240" w:lineRule="auto"/>
              <w:ind w:firstLine="0" w:firstLineChars="0"/>
              <w:jc w:val="center"/>
              <w:rPr>
                <w:sz w:val="21"/>
              </w:rPr>
            </w:pPr>
            <w:r>
              <w:rPr>
                <w:sz w:val="21"/>
              </w:rPr>
              <w:t>在最大幅度和最小幅度间，小车以额定速度进行两个方向变幅</w:t>
            </w:r>
          </w:p>
        </w:tc>
        <w:tc>
          <w:tcPr>
            <w:tcW w:w="1462" w:type="dxa"/>
            <w:vMerge w:val="restart"/>
            <w:vAlign w:val="center"/>
          </w:tcPr>
          <w:p w14:paraId="278FDBC4">
            <w:pPr>
              <w:adjustRightInd w:val="0"/>
              <w:snapToGrid w:val="0"/>
              <w:spacing w:line="240" w:lineRule="auto"/>
              <w:ind w:firstLine="0" w:firstLineChars="0"/>
              <w:jc w:val="center"/>
              <w:rPr>
                <w:sz w:val="21"/>
              </w:rPr>
            </w:pPr>
            <w:r>
              <w:rPr>
                <w:sz w:val="21"/>
              </w:rPr>
              <w:t>以额定速度进行左右回转。对不能全回转的塔机，应超过最大回转角</w:t>
            </w:r>
          </w:p>
        </w:tc>
        <w:tc>
          <w:tcPr>
            <w:tcW w:w="1716" w:type="dxa"/>
            <w:vMerge w:val="restart"/>
            <w:vAlign w:val="center"/>
          </w:tcPr>
          <w:p w14:paraId="54EEAD11">
            <w:pPr>
              <w:adjustRightInd w:val="0"/>
              <w:snapToGrid w:val="0"/>
              <w:spacing w:line="240" w:lineRule="auto"/>
              <w:ind w:firstLine="0" w:firstLineChars="0"/>
              <w:jc w:val="center"/>
              <w:rPr>
                <w:sz w:val="21"/>
              </w:rPr>
            </w:pPr>
            <w:r>
              <w:rPr>
                <w:sz w:val="21"/>
              </w:rPr>
              <w:t>根据设计要求进行组合动作试验，并目测检查各机构运转的灵活性和制动器的可靠性。卸载后检查机构及结构各部件有无松动和破坏等异常现象</w:t>
            </w:r>
          </w:p>
        </w:tc>
      </w:tr>
      <w:tr w14:paraId="3BB6CEF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945" w:hRule="atLeast"/>
          <w:jc w:val="center"/>
        </w:trPr>
        <w:tc>
          <w:tcPr>
            <w:tcW w:w="2269" w:type="dxa"/>
            <w:vAlign w:val="center"/>
          </w:tcPr>
          <w:p w14:paraId="332FD3DF">
            <w:pPr>
              <w:adjustRightInd w:val="0"/>
              <w:snapToGrid w:val="0"/>
              <w:spacing w:line="240" w:lineRule="auto"/>
              <w:ind w:firstLine="0" w:firstLineChars="0"/>
              <w:jc w:val="center"/>
              <w:rPr>
                <w:sz w:val="21"/>
              </w:rPr>
            </w:pPr>
            <w:r>
              <w:rPr>
                <w:sz w:val="21"/>
              </w:rPr>
              <w:t>起吊最大额定起重量的110%，在该吊重相应的最大幅度时</w:t>
            </w:r>
          </w:p>
        </w:tc>
        <w:tc>
          <w:tcPr>
            <w:tcW w:w="1202" w:type="dxa"/>
            <w:vMerge w:val="continue"/>
            <w:vAlign w:val="center"/>
          </w:tcPr>
          <w:p w14:paraId="4CDFF2D2">
            <w:pPr>
              <w:adjustRightInd w:val="0"/>
              <w:snapToGrid w:val="0"/>
              <w:spacing w:line="240" w:lineRule="auto"/>
              <w:ind w:firstLine="0" w:firstLineChars="0"/>
              <w:jc w:val="center"/>
              <w:rPr>
                <w:sz w:val="21"/>
              </w:rPr>
            </w:pPr>
          </w:p>
        </w:tc>
        <w:tc>
          <w:tcPr>
            <w:tcW w:w="2001" w:type="dxa"/>
            <w:vMerge w:val="restart"/>
            <w:vAlign w:val="center"/>
          </w:tcPr>
          <w:p w14:paraId="46732FD7">
            <w:pPr>
              <w:adjustRightInd w:val="0"/>
              <w:snapToGrid w:val="0"/>
              <w:spacing w:line="240" w:lineRule="auto"/>
              <w:ind w:firstLine="0" w:firstLineChars="0"/>
              <w:jc w:val="center"/>
              <w:rPr>
                <w:sz w:val="21"/>
              </w:rPr>
            </w:pPr>
            <w:r>
              <w:rPr>
                <w:sz w:val="21"/>
              </w:rPr>
              <w:t>在最小幅度和对应该起重量允许的最大幅度间，小车以额定速度进行两个方向变幅</w:t>
            </w:r>
          </w:p>
        </w:tc>
        <w:tc>
          <w:tcPr>
            <w:tcW w:w="1462" w:type="dxa"/>
            <w:vMerge w:val="continue"/>
            <w:vAlign w:val="center"/>
          </w:tcPr>
          <w:p w14:paraId="4BFF24DF">
            <w:pPr>
              <w:adjustRightInd w:val="0"/>
              <w:snapToGrid w:val="0"/>
              <w:spacing w:line="240" w:lineRule="auto"/>
              <w:ind w:firstLine="0" w:firstLineChars="0"/>
              <w:jc w:val="center"/>
              <w:rPr>
                <w:sz w:val="21"/>
              </w:rPr>
            </w:pPr>
          </w:p>
        </w:tc>
        <w:tc>
          <w:tcPr>
            <w:tcW w:w="1716" w:type="dxa"/>
            <w:vMerge w:val="continue"/>
            <w:vAlign w:val="center"/>
          </w:tcPr>
          <w:p w14:paraId="163649B8">
            <w:pPr>
              <w:adjustRightInd w:val="0"/>
              <w:snapToGrid w:val="0"/>
              <w:spacing w:line="240" w:lineRule="auto"/>
              <w:ind w:firstLine="0" w:firstLineChars="0"/>
              <w:jc w:val="center"/>
              <w:rPr>
                <w:sz w:val="21"/>
              </w:rPr>
            </w:pPr>
          </w:p>
        </w:tc>
      </w:tr>
      <w:tr w14:paraId="150AEB4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074" w:hRule="atLeast"/>
          <w:jc w:val="center"/>
        </w:trPr>
        <w:tc>
          <w:tcPr>
            <w:tcW w:w="2269" w:type="dxa"/>
            <w:vAlign w:val="center"/>
          </w:tcPr>
          <w:p w14:paraId="6F2FB41F">
            <w:pPr>
              <w:adjustRightInd w:val="0"/>
              <w:snapToGrid w:val="0"/>
              <w:spacing w:line="240" w:lineRule="auto"/>
              <w:ind w:firstLine="0" w:firstLineChars="0"/>
              <w:jc w:val="center"/>
              <w:rPr>
                <w:sz w:val="21"/>
              </w:rPr>
            </w:pPr>
            <w:r>
              <w:rPr>
                <w:sz w:val="21"/>
              </w:rPr>
              <w:t>在上两个幅度的中间幅度处，相应额定起重量的110%</w:t>
            </w:r>
          </w:p>
        </w:tc>
        <w:tc>
          <w:tcPr>
            <w:tcW w:w="1202" w:type="dxa"/>
            <w:vMerge w:val="continue"/>
            <w:vAlign w:val="center"/>
          </w:tcPr>
          <w:p w14:paraId="141DFEE7">
            <w:pPr>
              <w:adjustRightInd w:val="0"/>
              <w:snapToGrid w:val="0"/>
              <w:spacing w:line="240" w:lineRule="auto"/>
              <w:ind w:firstLine="0" w:firstLineChars="0"/>
              <w:jc w:val="center"/>
              <w:rPr>
                <w:sz w:val="21"/>
              </w:rPr>
            </w:pPr>
          </w:p>
        </w:tc>
        <w:tc>
          <w:tcPr>
            <w:tcW w:w="2001" w:type="dxa"/>
            <w:vMerge w:val="continue"/>
            <w:vAlign w:val="center"/>
          </w:tcPr>
          <w:p w14:paraId="5DC89E49">
            <w:pPr>
              <w:adjustRightInd w:val="0"/>
              <w:snapToGrid w:val="0"/>
              <w:spacing w:line="240" w:lineRule="auto"/>
              <w:ind w:firstLine="0" w:firstLineChars="0"/>
              <w:jc w:val="center"/>
              <w:rPr>
                <w:sz w:val="21"/>
              </w:rPr>
            </w:pPr>
          </w:p>
        </w:tc>
        <w:tc>
          <w:tcPr>
            <w:tcW w:w="1462" w:type="dxa"/>
            <w:vMerge w:val="continue"/>
            <w:vAlign w:val="center"/>
          </w:tcPr>
          <w:p w14:paraId="746D4376">
            <w:pPr>
              <w:adjustRightInd w:val="0"/>
              <w:snapToGrid w:val="0"/>
              <w:spacing w:line="240" w:lineRule="auto"/>
              <w:ind w:firstLine="0" w:firstLineChars="0"/>
              <w:jc w:val="center"/>
              <w:rPr>
                <w:sz w:val="21"/>
              </w:rPr>
            </w:pPr>
          </w:p>
        </w:tc>
        <w:tc>
          <w:tcPr>
            <w:tcW w:w="1716" w:type="dxa"/>
            <w:vMerge w:val="continue"/>
            <w:vAlign w:val="center"/>
          </w:tcPr>
          <w:p w14:paraId="1EC20A1E">
            <w:pPr>
              <w:adjustRightInd w:val="0"/>
              <w:snapToGrid w:val="0"/>
              <w:spacing w:line="240" w:lineRule="auto"/>
              <w:ind w:firstLine="0" w:firstLineChars="0"/>
              <w:jc w:val="center"/>
              <w:rPr>
                <w:sz w:val="21"/>
              </w:rPr>
            </w:pPr>
          </w:p>
        </w:tc>
      </w:tr>
    </w:tbl>
    <w:p w14:paraId="5EF1D0F9">
      <w:pPr>
        <w:ind w:firstLine="560"/>
      </w:pPr>
      <w:r>
        <w:t>具体过程如下：</w:t>
      </w:r>
    </w:p>
    <w:p w14:paraId="7DEABECA">
      <w:pPr>
        <w:ind w:firstLine="0" w:firstLineChars="0"/>
      </w:pPr>
      <w:r>
        <w:rPr>
          <w:rFonts w:hint="eastAsia"/>
          <w:lang w:eastAsia="zh-CN"/>
        </w:rPr>
        <w:t>XGT6015-8S1</w:t>
      </w:r>
      <w:r>
        <w:rPr>
          <w:rFonts w:hint="eastAsia"/>
        </w:rPr>
        <w:t>塔机：</w:t>
      </w:r>
    </w:p>
    <w:p w14:paraId="31A63F86">
      <w:pPr>
        <w:ind w:firstLine="560"/>
      </w:pPr>
      <w:r>
        <w:t>工况1：最大幅度相应额定起重量的110%（4倍率）</w:t>
      </w:r>
    </w:p>
    <w:p w14:paraId="51DFC022">
      <w:pPr>
        <w:ind w:firstLine="560"/>
      </w:pPr>
      <w:r>
        <w:t>起重量为G</w:t>
      </w:r>
      <w:r>
        <w:rPr>
          <w:rFonts w:hint="eastAsia"/>
        </w:rPr>
        <w:t>=</w:t>
      </w:r>
      <w:r>
        <w:rPr>
          <w:rFonts w:hint="eastAsia"/>
          <w:lang w:val="en-US" w:eastAsia="zh-CN"/>
        </w:rPr>
        <w:t>2.387</w:t>
      </w:r>
      <w:r>
        <w:t>；</w:t>
      </w:r>
    </w:p>
    <w:p w14:paraId="0FDACAFF">
      <w:pPr>
        <w:ind w:firstLine="560"/>
      </w:pPr>
      <w:r>
        <w:t>将100%重量限制、100%力矩限制继电器临时短接屏蔽，缓慢起钩，离地20cm,检查各构件，确保无误后从</w:t>
      </w:r>
      <w:r>
        <w:rPr>
          <w:rFonts w:hint="eastAsia"/>
          <w:lang w:val="en-US" w:eastAsia="zh-CN"/>
        </w:rPr>
        <w:t>50</w:t>
      </w:r>
      <w:r>
        <w:t>m幅度起向内至</w:t>
      </w:r>
      <w:r>
        <w:rPr>
          <w:rFonts w:hint="eastAsia"/>
        </w:rPr>
        <w:t>3</w:t>
      </w:r>
      <w:r>
        <w:t>m幅度进行来回起落钩、变幅、回转动作；卸载后检查各机构及结构有无松动和破坏等异常现象，测量组测量臂根铰点最大位移量并监测能否恢复原先位置；</w:t>
      </w:r>
    </w:p>
    <w:p w14:paraId="57AA48AA">
      <w:pPr>
        <w:ind w:firstLine="560"/>
      </w:pPr>
      <w:r>
        <w:t>试验完毕恢复起重量限制器与力矩限制器。</w:t>
      </w:r>
    </w:p>
    <w:p w14:paraId="3AB28C28">
      <w:pPr>
        <w:ind w:firstLine="560"/>
      </w:pPr>
      <w:r>
        <w:t>工况2：起吊最大额定起重量的110%，在该吊重相应的最大幅度时（4倍率）</w:t>
      </w:r>
    </w:p>
    <w:p w14:paraId="6EB7B1AC">
      <w:pPr>
        <w:ind w:firstLine="560"/>
      </w:pPr>
      <w:r>
        <w:t>起重量为G=</w:t>
      </w:r>
      <w:r>
        <w:rPr>
          <w:rFonts w:hint="eastAsia"/>
        </w:rPr>
        <w:t>8.8</w:t>
      </w:r>
      <w:r>
        <w:t>t</w:t>
      </w:r>
    </w:p>
    <w:p w14:paraId="1827F6D8">
      <w:pPr>
        <w:ind w:firstLine="560"/>
      </w:pPr>
      <w:r>
        <w:t>将100%重量限制、100%力矩限制继电器临时短接屏蔽，缓慢起钩，离地</w:t>
      </w:r>
      <w:r>
        <w:rPr>
          <w:rFonts w:hint="eastAsia"/>
        </w:rPr>
        <w:t>15.8</w:t>
      </w:r>
      <w:r>
        <w:t>cm,检查各构件，确保无误后在从</w:t>
      </w:r>
      <w:r>
        <w:rPr>
          <w:rFonts w:hint="eastAsia"/>
        </w:rPr>
        <w:t>20</w:t>
      </w:r>
      <w:r>
        <w:t>m幅度起向内至</w:t>
      </w:r>
      <w:r>
        <w:rPr>
          <w:rFonts w:hint="eastAsia"/>
        </w:rPr>
        <w:t>3</w:t>
      </w:r>
      <w:r>
        <w:t>m幅度内进行来回起落钩、变幅、回转动作；卸载后检查各机构及结构有无松动和破坏等异常现象，测量组测量臂根铰点最大位移量并监测能否恢复原先位置；</w:t>
      </w:r>
    </w:p>
    <w:p w14:paraId="50356A8D">
      <w:pPr>
        <w:ind w:firstLine="560"/>
      </w:pPr>
      <w:r>
        <w:t>试验完毕恢复起重量限制器与力矩限制器。</w:t>
      </w:r>
    </w:p>
    <w:p w14:paraId="2C4571E6">
      <w:pPr>
        <w:ind w:firstLine="560"/>
      </w:pPr>
      <w:r>
        <w:t>工况3：在上两个幅度的中间幅度处，相应额定起重量的110%，这里取</w:t>
      </w:r>
      <w:r>
        <w:rPr>
          <w:rFonts w:hint="eastAsia"/>
        </w:rPr>
        <w:t>25</w:t>
      </w:r>
      <w:r>
        <w:t>米幅度（4倍率额定起重量</w:t>
      </w:r>
      <w:r>
        <w:rPr>
          <w:rFonts w:hint="eastAsia"/>
          <w:lang w:val="en-US" w:eastAsia="zh-CN"/>
        </w:rPr>
        <w:t>5.192</w:t>
      </w:r>
      <w:r>
        <w:t>t）起重量为G=</w:t>
      </w:r>
      <w:r>
        <w:rPr>
          <w:rFonts w:hint="eastAsia"/>
          <w:lang w:val="en-US" w:eastAsia="zh-CN"/>
        </w:rPr>
        <w:t>5.7112</w:t>
      </w:r>
      <w:r>
        <w:t>t；</w:t>
      </w:r>
    </w:p>
    <w:p w14:paraId="7F2F53C0">
      <w:pPr>
        <w:spacing w:before="29" w:line="360" w:lineRule="auto"/>
        <w:ind w:right="159" w:firstLine="280" w:firstLineChars="100"/>
      </w:pPr>
      <w:r>
        <w:t>将100%重量限制、100%力矩限制继电器临时短接屏蔽，缓慢起钩，离地20cm,检查各构件，确保无误后从</w:t>
      </w:r>
      <w:r>
        <w:rPr>
          <w:rFonts w:hint="eastAsia"/>
        </w:rPr>
        <w:t>25</w:t>
      </w:r>
      <w:r>
        <w:t>m幅度起向内至</w:t>
      </w:r>
      <w:r>
        <w:rPr>
          <w:rFonts w:hint="eastAsia"/>
        </w:rPr>
        <w:t>3</w:t>
      </w:r>
      <w:r>
        <w:t>m内进行来回起落钩、变幅、回转动作；卸载后检查各机构及结构有无松动和破坏等异常现象，测量组测量臂根铰点最大位移量并监测能否恢复原先位置。</w:t>
      </w:r>
    </w:p>
    <w:p w14:paraId="55ACECBA">
      <w:pPr>
        <w:ind w:firstLine="0" w:firstLineChars="0"/>
        <w:rPr>
          <w:b/>
          <w:bCs/>
        </w:rPr>
      </w:pPr>
      <w:bookmarkStart w:id="323" w:name="_Toc25574"/>
      <w:bookmarkStart w:id="324" w:name="_Toc20814"/>
      <w:r>
        <w:rPr>
          <w:b/>
          <w:bCs/>
        </w:rPr>
        <w:t>125%额定载荷静载试验</w:t>
      </w:r>
      <w:bookmarkEnd w:id="323"/>
      <w:bookmarkEnd w:id="324"/>
    </w:p>
    <w:p w14:paraId="66027EB3">
      <w:pPr>
        <w:ind w:firstLine="560"/>
      </w:pPr>
      <w:r>
        <w:t>125%额定载荷静载试验按照下表进行，试验时臂架分别位于与塔身成0°和45°两个方位</w:t>
      </w:r>
    </w:p>
    <w:tbl>
      <w:tblPr>
        <w:tblStyle w:val="41"/>
        <w:tblW w:w="939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6"/>
        <w:gridCol w:w="2751"/>
        <w:gridCol w:w="3252"/>
      </w:tblGrid>
      <w:tr w14:paraId="551BBA2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396" w:type="dxa"/>
            <w:noWrap/>
            <w:vAlign w:val="center"/>
          </w:tcPr>
          <w:p w14:paraId="08C37EC9">
            <w:pPr>
              <w:ind w:firstLine="0" w:firstLineChars="0"/>
              <w:jc w:val="center"/>
              <w:rPr>
                <w:sz w:val="24"/>
                <w:szCs w:val="24"/>
              </w:rPr>
            </w:pPr>
            <w:r>
              <w:rPr>
                <w:sz w:val="24"/>
                <w:szCs w:val="24"/>
              </w:rPr>
              <w:t>工况</w:t>
            </w:r>
          </w:p>
        </w:tc>
        <w:tc>
          <w:tcPr>
            <w:tcW w:w="2751" w:type="dxa"/>
            <w:noWrap/>
            <w:vAlign w:val="center"/>
          </w:tcPr>
          <w:p w14:paraId="4EE38BC2">
            <w:pPr>
              <w:ind w:firstLine="0" w:firstLineChars="0"/>
              <w:jc w:val="center"/>
              <w:rPr>
                <w:sz w:val="24"/>
                <w:szCs w:val="24"/>
              </w:rPr>
            </w:pPr>
            <w:r>
              <w:rPr>
                <w:sz w:val="24"/>
                <w:szCs w:val="24"/>
              </w:rPr>
              <w:t>试验方法</w:t>
            </w:r>
          </w:p>
        </w:tc>
        <w:tc>
          <w:tcPr>
            <w:tcW w:w="3252" w:type="dxa"/>
            <w:noWrap/>
            <w:vAlign w:val="center"/>
          </w:tcPr>
          <w:p w14:paraId="0A7567CC">
            <w:pPr>
              <w:ind w:firstLine="0" w:firstLineChars="0"/>
              <w:jc w:val="center"/>
              <w:rPr>
                <w:sz w:val="24"/>
                <w:szCs w:val="24"/>
              </w:rPr>
            </w:pPr>
            <w:r>
              <w:rPr>
                <w:sz w:val="24"/>
                <w:szCs w:val="24"/>
              </w:rPr>
              <w:t>试验目的</w:t>
            </w:r>
          </w:p>
        </w:tc>
      </w:tr>
      <w:tr w14:paraId="7E27826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396" w:type="dxa"/>
            <w:noWrap/>
            <w:vAlign w:val="center"/>
          </w:tcPr>
          <w:p w14:paraId="23C22B9D">
            <w:pPr>
              <w:ind w:firstLine="0" w:firstLineChars="0"/>
              <w:jc w:val="center"/>
              <w:rPr>
                <w:sz w:val="24"/>
                <w:szCs w:val="24"/>
              </w:rPr>
            </w:pPr>
            <w:r>
              <w:rPr>
                <w:sz w:val="24"/>
                <w:szCs w:val="24"/>
              </w:rPr>
              <w:t>吊重</w:t>
            </w:r>
            <w:r>
              <w:rPr>
                <w:rFonts w:hint="eastAsia"/>
                <w:sz w:val="24"/>
                <w:szCs w:val="24"/>
                <w:lang w:val="en-US" w:eastAsia="zh-CN"/>
              </w:rPr>
              <w:t>2.17</w:t>
            </w:r>
            <w:r>
              <w:rPr>
                <w:sz w:val="24"/>
                <w:szCs w:val="24"/>
              </w:rPr>
              <w:t>t×125%=</w:t>
            </w:r>
            <w:r>
              <w:rPr>
                <w:rFonts w:hint="eastAsia"/>
                <w:sz w:val="24"/>
                <w:szCs w:val="24"/>
                <w:lang w:val="en-US" w:eastAsia="zh-CN"/>
              </w:rPr>
              <w:t>2.7125</w:t>
            </w:r>
            <w:r>
              <w:rPr>
                <w:sz w:val="24"/>
                <w:szCs w:val="24"/>
              </w:rPr>
              <w:t>t，工作幅度</w:t>
            </w:r>
            <w:r>
              <w:rPr>
                <w:rFonts w:hint="eastAsia"/>
                <w:sz w:val="24"/>
                <w:szCs w:val="24"/>
              </w:rPr>
              <w:t>5</w:t>
            </w:r>
            <w:r>
              <w:rPr>
                <w:rFonts w:hint="eastAsia"/>
                <w:sz w:val="24"/>
                <w:szCs w:val="24"/>
                <w:lang w:val="en-US" w:eastAsia="zh-CN"/>
              </w:rPr>
              <w:t>0</w:t>
            </w:r>
            <w:r>
              <w:rPr>
                <w:sz w:val="24"/>
                <w:szCs w:val="24"/>
              </w:rPr>
              <w:t>m</w:t>
            </w:r>
          </w:p>
        </w:tc>
        <w:tc>
          <w:tcPr>
            <w:tcW w:w="2751" w:type="dxa"/>
            <w:vMerge w:val="restart"/>
            <w:noWrap/>
            <w:vAlign w:val="center"/>
          </w:tcPr>
          <w:p w14:paraId="6B0FE2A6">
            <w:pPr>
              <w:ind w:firstLine="0" w:firstLineChars="0"/>
              <w:jc w:val="center"/>
              <w:rPr>
                <w:sz w:val="24"/>
                <w:szCs w:val="24"/>
              </w:rPr>
            </w:pPr>
            <w:r>
              <w:rPr>
                <w:sz w:val="24"/>
                <w:szCs w:val="24"/>
              </w:rPr>
              <w:t>起升额定载荷，离地100mm～200mm，停稳后，逐次加载至125%，测量载荷离地高度，停留10min后同一位置测量并进行比较。</w:t>
            </w:r>
          </w:p>
        </w:tc>
        <w:tc>
          <w:tcPr>
            <w:tcW w:w="3252" w:type="dxa"/>
            <w:vMerge w:val="restart"/>
            <w:noWrap/>
            <w:vAlign w:val="center"/>
          </w:tcPr>
          <w:p w14:paraId="5B76F87C">
            <w:pPr>
              <w:ind w:firstLine="0" w:firstLineChars="0"/>
              <w:jc w:val="center"/>
              <w:rPr>
                <w:sz w:val="24"/>
                <w:szCs w:val="24"/>
              </w:rPr>
            </w:pPr>
            <w:r>
              <w:rPr>
                <w:sz w:val="24"/>
                <w:szCs w:val="24"/>
              </w:rPr>
              <w:t>检查制动器可靠性，并在卸载后目测检查塔机是否出现可见裂纹、永久变形、油漆剥落、连接松动及其他可能对塔机性能和安全有影响的隐患。</w:t>
            </w:r>
          </w:p>
        </w:tc>
      </w:tr>
      <w:tr w14:paraId="6A991CA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jc w:val="center"/>
        </w:trPr>
        <w:tc>
          <w:tcPr>
            <w:tcW w:w="3396" w:type="dxa"/>
            <w:noWrap/>
            <w:vAlign w:val="center"/>
          </w:tcPr>
          <w:p w14:paraId="4CC20BE5">
            <w:pPr>
              <w:ind w:firstLine="0" w:firstLineChars="0"/>
              <w:jc w:val="center"/>
              <w:rPr>
                <w:sz w:val="24"/>
                <w:szCs w:val="24"/>
              </w:rPr>
            </w:pPr>
            <w:r>
              <w:rPr>
                <w:sz w:val="24"/>
                <w:szCs w:val="24"/>
              </w:rPr>
              <w:t>吊重</w:t>
            </w:r>
            <w:r>
              <w:rPr>
                <w:rFonts w:hint="eastAsia"/>
                <w:sz w:val="24"/>
                <w:szCs w:val="24"/>
              </w:rPr>
              <w:t>8</w:t>
            </w:r>
            <w:r>
              <w:rPr>
                <w:sz w:val="24"/>
                <w:szCs w:val="24"/>
              </w:rPr>
              <w:t>t×125%=</w:t>
            </w:r>
            <w:r>
              <w:rPr>
                <w:rFonts w:hint="eastAsia"/>
                <w:sz w:val="24"/>
                <w:szCs w:val="24"/>
              </w:rPr>
              <w:t>10</w:t>
            </w:r>
            <w:r>
              <w:rPr>
                <w:sz w:val="24"/>
                <w:szCs w:val="24"/>
              </w:rPr>
              <w:t>t，工作幅度</w:t>
            </w:r>
            <w:r>
              <w:rPr>
                <w:rFonts w:hint="eastAsia"/>
                <w:sz w:val="24"/>
                <w:szCs w:val="24"/>
              </w:rPr>
              <w:t>15</w:t>
            </w:r>
            <w:r>
              <w:rPr>
                <w:sz w:val="24"/>
                <w:szCs w:val="24"/>
              </w:rPr>
              <w:t>m</w:t>
            </w:r>
          </w:p>
        </w:tc>
        <w:tc>
          <w:tcPr>
            <w:tcW w:w="2751" w:type="dxa"/>
            <w:vMerge w:val="continue"/>
            <w:noWrap/>
            <w:vAlign w:val="center"/>
          </w:tcPr>
          <w:p w14:paraId="4B4F3AD0">
            <w:pPr>
              <w:ind w:firstLine="0" w:firstLineChars="0"/>
              <w:jc w:val="center"/>
              <w:rPr>
                <w:sz w:val="24"/>
                <w:szCs w:val="24"/>
              </w:rPr>
            </w:pPr>
          </w:p>
        </w:tc>
        <w:tc>
          <w:tcPr>
            <w:tcW w:w="3252" w:type="dxa"/>
            <w:vMerge w:val="continue"/>
            <w:noWrap/>
            <w:vAlign w:val="center"/>
          </w:tcPr>
          <w:p w14:paraId="3990299C">
            <w:pPr>
              <w:ind w:firstLine="0" w:firstLineChars="0"/>
              <w:jc w:val="center"/>
              <w:rPr>
                <w:sz w:val="24"/>
                <w:szCs w:val="24"/>
              </w:rPr>
            </w:pPr>
          </w:p>
        </w:tc>
      </w:tr>
      <w:tr w14:paraId="4104C5A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3396" w:type="dxa"/>
            <w:noWrap/>
            <w:vAlign w:val="center"/>
          </w:tcPr>
          <w:p w14:paraId="0EED7B2E">
            <w:pPr>
              <w:ind w:firstLine="0" w:firstLineChars="0"/>
              <w:jc w:val="center"/>
              <w:rPr>
                <w:sz w:val="24"/>
                <w:szCs w:val="24"/>
              </w:rPr>
            </w:pPr>
            <w:r>
              <w:rPr>
                <w:sz w:val="24"/>
                <w:szCs w:val="24"/>
              </w:rPr>
              <w:t>吊重</w:t>
            </w:r>
            <w:r>
              <w:rPr>
                <w:rFonts w:hint="eastAsia"/>
                <w:sz w:val="24"/>
                <w:szCs w:val="24"/>
                <w:lang w:val="en-US" w:eastAsia="zh-CN"/>
              </w:rPr>
              <w:t>5.192</w:t>
            </w:r>
            <w:r>
              <w:rPr>
                <w:sz w:val="24"/>
                <w:szCs w:val="24"/>
              </w:rPr>
              <w:t>t×125%=</w:t>
            </w:r>
            <w:r>
              <w:rPr>
                <w:rFonts w:hint="eastAsia"/>
                <w:sz w:val="24"/>
                <w:szCs w:val="24"/>
                <w:lang w:val="en-US" w:eastAsia="zh-CN"/>
              </w:rPr>
              <w:t>6.49</w:t>
            </w:r>
            <w:r>
              <w:rPr>
                <w:sz w:val="24"/>
                <w:szCs w:val="24"/>
              </w:rPr>
              <w:t>，</w:t>
            </w:r>
            <w:r>
              <w:rPr>
                <w:rFonts w:hint="eastAsia"/>
                <w:sz w:val="24"/>
                <w:szCs w:val="24"/>
              </w:rPr>
              <w:t>最大</w:t>
            </w:r>
            <w:r>
              <w:rPr>
                <w:sz w:val="24"/>
                <w:szCs w:val="24"/>
              </w:rPr>
              <w:t>工作幅度</w:t>
            </w:r>
            <w:r>
              <w:rPr>
                <w:rFonts w:hint="eastAsia"/>
                <w:sz w:val="24"/>
                <w:szCs w:val="24"/>
              </w:rPr>
              <w:t>25</w:t>
            </w:r>
            <w:r>
              <w:rPr>
                <w:sz w:val="24"/>
                <w:szCs w:val="24"/>
              </w:rPr>
              <w:t>m</w:t>
            </w:r>
          </w:p>
        </w:tc>
        <w:tc>
          <w:tcPr>
            <w:tcW w:w="2751" w:type="dxa"/>
            <w:vMerge w:val="continue"/>
            <w:noWrap/>
            <w:vAlign w:val="center"/>
          </w:tcPr>
          <w:p w14:paraId="479B49E2">
            <w:pPr>
              <w:ind w:firstLine="0" w:firstLineChars="0"/>
              <w:jc w:val="center"/>
              <w:rPr>
                <w:sz w:val="24"/>
                <w:szCs w:val="24"/>
              </w:rPr>
            </w:pPr>
          </w:p>
        </w:tc>
        <w:tc>
          <w:tcPr>
            <w:tcW w:w="3252" w:type="dxa"/>
            <w:vMerge w:val="continue"/>
            <w:noWrap/>
            <w:vAlign w:val="center"/>
          </w:tcPr>
          <w:p w14:paraId="2B6E4975">
            <w:pPr>
              <w:ind w:firstLine="0" w:firstLineChars="0"/>
              <w:jc w:val="center"/>
              <w:rPr>
                <w:sz w:val="24"/>
                <w:szCs w:val="24"/>
              </w:rPr>
            </w:pPr>
          </w:p>
        </w:tc>
      </w:tr>
    </w:tbl>
    <w:p w14:paraId="6F1E66D6">
      <w:pPr>
        <w:pStyle w:val="3"/>
      </w:pPr>
      <w:bookmarkStart w:id="325" w:name="_Toc8219"/>
      <w:r>
        <w:rPr>
          <w:rFonts w:hint="eastAsia"/>
        </w:rPr>
        <w:t>5.4 顶升加节</w:t>
      </w:r>
      <w:bookmarkEnd w:id="317"/>
      <w:bookmarkEnd w:id="318"/>
      <w:bookmarkEnd w:id="319"/>
      <w:bookmarkEnd w:id="320"/>
      <w:bookmarkEnd w:id="325"/>
    </w:p>
    <w:p w14:paraId="7C5C062A">
      <w:pPr>
        <w:ind w:firstLine="560"/>
      </w:pPr>
      <w:r>
        <w:rPr>
          <w:rFonts w:hint="eastAsia"/>
        </w:rPr>
        <w:t>顶升前准备：</w:t>
      </w:r>
    </w:p>
    <w:p w14:paraId="71658525">
      <w:pPr>
        <w:autoSpaceDE w:val="0"/>
        <w:autoSpaceDN w:val="0"/>
        <w:adjustRightInd w:val="0"/>
        <w:ind w:firstLine="560"/>
        <w:rPr>
          <w:rFonts w:ascii="宋体" w:hAnsi="宋体" w:cs="宋体"/>
          <w:bCs/>
          <w:kern w:val="0"/>
        </w:rPr>
      </w:pPr>
      <w:r>
        <w:rPr>
          <w:rFonts w:hint="eastAsia" w:ascii="宋体" w:hAnsi="宋体" w:cs="宋体"/>
          <w:bCs/>
          <w:kern w:val="0"/>
        </w:rPr>
        <w:t>液压泵站要求给其油箱加油，同时清理好各个塔身节，做好顶升前各项准备工作，准备连接标准节的销轴。</w:t>
      </w:r>
    </w:p>
    <w:p w14:paraId="5EB1E170">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5.4.1顶升配平</w:t>
      </w:r>
    </w:p>
    <w:p w14:paraId="69226F69">
      <w:pPr>
        <w:autoSpaceDE w:val="0"/>
        <w:autoSpaceDN w:val="0"/>
        <w:adjustRightInd w:val="0"/>
        <w:ind w:firstLine="560"/>
        <w:rPr>
          <w:rFonts w:ascii="宋体" w:hAnsi="宋体" w:cs="宋体"/>
          <w:bCs/>
          <w:kern w:val="0"/>
        </w:rPr>
      </w:pPr>
      <w:r>
        <w:rPr>
          <w:rFonts w:hint="eastAsia" w:ascii="宋体" w:hAnsi="宋体" w:cs="宋体"/>
          <w:bCs/>
          <w:kern w:val="0"/>
        </w:rPr>
        <w:t xml:space="preserve">（1）将标准节悬挂在引进梁上。 </w:t>
      </w:r>
    </w:p>
    <w:p w14:paraId="6918F44C">
      <w:pPr>
        <w:autoSpaceDE w:val="0"/>
        <w:autoSpaceDN w:val="0"/>
        <w:adjustRightInd w:val="0"/>
        <w:ind w:firstLine="560"/>
        <w:rPr>
          <w:rFonts w:ascii="宋体" w:hAnsi="宋体" w:cs="宋体"/>
          <w:bCs/>
          <w:kern w:val="0"/>
        </w:rPr>
      </w:pPr>
      <w:r>
        <w:rPr>
          <w:rFonts w:hint="eastAsia" w:ascii="宋体" w:hAnsi="宋体" w:cs="宋体"/>
          <w:bCs/>
          <w:kern w:val="0"/>
        </w:rPr>
        <w:t>配平位置如图：</w:t>
      </w:r>
    </w:p>
    <w:p w14:paraId="7D60E9B0">
      <w:pPr>
        <w:autoSpaceDE w:val="0"/>
        <w:autoSpaceDN w:val="0"/>
        <w:adjustRightInd w:val="0"/>
        <w:spacing w:line="240" w:lineRule="auto"/>
        <w:ind w:firstLine="0" w:firstLineChars="0"/>
        <w:jc w:val="center"/>
        <w:rPr>
          <w:rFonts w:ascii="宋体" w:hAnsi="宋体" w:cs="宋体"/>
          <w:bCs/>
          <w:kern w:val="0"/>
        </w:rPr>
      </w:pPr>
      <w:r>
        <w:drawing>
          <wp:inline distT="0" distB="0" distL="114300" distR="114300">
            <wp:extent cx="5429250" cy="1543050"/>
            <wp:effectExtent l="0" t="0" r="0" b="0"/>
            <wp:docPr id="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9"/>
                    <pic:cNvPicPr>
                      <a:picLocks noChangeAspect="1"/>
                    </pic:cNvPicPr>
                  </pic:nvPicPr>
                  <pic:blipFill>
                    <a:blip r:embed="rId63"/>
                    <a:stretch>
                      <a:fillRect/>
                    </a:stretch>
                  </pic:blipFill>
                  <pic:spPr>
                    <a:xfrm>
                      <a:off x="0" y="0"/>
                      <a:ext cx="5429250" cy="1543050"/>
                    </a:xfrm>
                    <a:prstGeom prst="rect">
                      <a:avLst/>
                    </a:prstGeom>
                    <a:noFill/>
                    <a:ln>
                      <a:noFill/>
                    </a:ln>
                  </pic:spPr>
                </pic:pic>
              </a:graphicData>
            </a:graphic>
          </wp:inline>
        </w:drawing>
      </w:r>
      <w:r>
        <mc:AlternateContent>
          <mc:Choice Requires="wps">
            <w:drawing>
              <wp:anchor distT="0" distB="0" distL="114300" distR="114300" simplePos="0" relativeHeight="251662336" behindDoc="0" locked="0" layoutInCell="1" allowOverlap="1">
                <wp:simplePos x="0" y="0"/>
                <wp:positionH relativeFrom="column">
                  <wp:posOffset>635</wp:posOffset>
                </wp:positionH>
                <wp:positionV relativeFrom="paragraph">
                  <wp:posOffset>1531620</wp:posOffset>
                </wp:positionV>
                <wp:extent cx="5753100" cy="323850"/>
                <wp:effectExtent l="19050" t="19050" r="19050" b="19050"/>
                <wp:wrapNone/>
                <wp:docPr id="36" name="矩形 36"/>
                <wp:cNvGraphicFramePr/>
                <a:graphic xmlns:a="http://schemas.openxmlformats.org/drawingml/2006/main">
                  <a:graphicData uri="http://schemas.microsoft.com/office/word/2010/wordprocessingShape">
                    <wps:wsp>
                      <wps:cNvSpPr/>
                      <wps:spPr>
                        <a:xfrm>
                          <a:off x="1084580" y="5034915"/>
                          <a:ext cx="5753100" cy="323850"/>
                        </a:xfrm>
                        <a:prstGeom prst="rect">
                          <a:avLst/>
                        </a:prstGeom>
                        <a:noFill/>
                        <a:ln w="381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05pt;margin-top:120.6pt;height:25.5pt;width:453pt;z-index:251662336;v-text-anchor:middle;mso-width-relative:page;mso-height-relative:page;" filled="f" stroked="t" coordsize="21600,21600" o:gfxdata="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eUkcK9QAAAAIAQAADwAAAAAAAAABACAAAAAiAAAAZHJzL2Rvd25yZXYueG1sUEsB&#10;AhQAFAAAAAgAh07iQMU5pgJrAgAAwgQAAA4AAAAAAAAAAQAgAAAAIwEAAGRycy9lMm9Eb2MueG1s&#10;UEsFBgAAAAAGAAYAWQEAAAAGAAAAAA==&#10;">
                <v:fill on="f" focussize="0,0"/>
                <v:stroke weight="3pt" color="#FF0000 [2404]" joinstyle="round"/>
                <v:imagedata o:title=""/>
                <o:lock v:ext="edit" aspectratio="f"/>
              </v:rect>
            </w:pict>
          </mc:Fallback>
        </mc:AlternateContent>
      </w:r>
      <w:r>
        <w:drawing>
          <wp:inline distT="0" distB="0" distL="114300" distR="114300">
            <wp:extent cx="5724525" cy="2305050"/>
            <wp:effectExtent l="0" t="0" r="9525" b="0"/>
            <wp:docPr id="9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9"/>
                    <pic:cNvPicPr>
                      <a:picLocks noChangeAspect="1"/>
                    </pic:cNvPicPr>
                  </pic:nvPicPr>
                  <pic:blipFill>
                    <a:blip r:embed="rId64"/>
                    <a:stretch>
                      <a:fillRect/>
                    </a:stretch>
                  </pic:blipFill>
                  <pic:spPr>
                    <a:xfrm>
                      <a:off x="0" y="0"/>
                      <a:ext cx="5724525" cy="2305050"/>
                    </a:xfrm>
                    <a:prstGeom prst="rect">
                      <a:avLst/>
                    </a:prstGeom>
                    <a:noFill/>
                    <a:ln>
                      <a:noFill/>
                    </a:ln>
                  </pic:spPr>
                </pic:pic>
              </a:graphicData>
            </a:graphic>
          </wp:inline>
        </w:drawing>
      </w:r>
    </w:p>
    <w:p w14:paraId="09F1FC3A">
      <w:pPr>
        <w:pStyle w:val="123"/>
        <w:spacing w:before="29" w:line="360" w:lineRule="auto"/>
        <w:ind w:right="159"/>
      </w:pPr>
      <w:r>
        <w:rPr>
          <w:rFonts w:hint="eastAsia"/>
        </w:rPr>
        <w:t xml:space="preserve">图5.4-1 </w:t>
      </w:r>
      <w:r>
        <w:rPr>
          <w:rFonts w:hint="eastAsia"/>
          <w:lang w:eastAsia="zh-CN"/>
        </w:rPr>
        <w:t>XGT6015-8S1</w:t>
      </w:r>
      <w:r>
        <w:rPr>
          <w:rFonts w:hint="eastAsia"/>
        </w:rPr>
        <w:t>塔机顶升配平图</w:t>
      </w:r>
    </w:p>
    <w:p w14:paraId="2365F724">
      <w:pPr>
        <w:autoSpaceDE w:val="0"/>
        <w:autoSpaceDN w:val="0"/>
        <w:adjustRightInd w:val="0"/>
        <w:ind w:firstLine="560"/>
        <w:rPr>
          <w:rFonts w:ascii="宋体" w:hAnsi="宋体" w:cs="宋体"/>
          <w:bCs/>
          <w:kern w:val="0"/>
        </w:rPr>
      </w:pPr>
      <w:r>
        <w:rPr>
          <w:rFonts w:hint="eastAsia" w:ascii="宋体" w:hAnsi="宋体" w:cs="宋体"/>
          <w:bCs/>
          <w:kern w:val="0"/>
        </w:rPr>
        <w:t>为了保证顶升安全，塔机在顶升之前必须进行配平，配平的主要方法为：在一定幅度上悬吊一重物，通过小车的位置移动最终实现塔机的配平。配平时通过检验下支座支腿与塔身主弦杆是否在一条垂直线上，并观察爬升架导轮与塔身主弦杆间隙是否基本相同来检查塔机是否平衡。略微调整载重小车的配平位置，直至平衡。记录实际配平位置，以后顶升或降节时使用。</w:t>
      </w:r>
    </w:p>
    <w:p w14:paraId="19C6F127">
      <w:pPr>
        <w:autoSpaceDE w:val="0"/>
        <w:autoSpaceDN w:val="0"/>
        <w:adjustRightInd w:val="0"/>
        <w:ind w:firstLine="560"/>
        <w:rPr>
          <w:rFonts w:ascii="宋体" w:hAnsi="宋体" w:cs="宋体"/>
          <w:bCs/>
          <w:kern w:val="0"/>
        </w:rPr>
      </w:pPr>
      <w:r>
        <w:rPr>
          <w:rFonts w:hint="eastAsia" w:ascii="宋体" w:hAnsi="宋体" w:cs="宋体"/>
          <w:bCs/>
          <w:kern w:val="0"/>
        </w:rPr>
        <w:t>注意：上表中的数据为理论配平尺寸，实际配平时以观察下支座支腿与塔身主弦杆在一条垂直线上，并观察爬升架 8 个导轮与塔身主弦杆间隙基本相同为准，否则可能造成配平错误，导致顶升倾覆安全事故。</w:t>
      </w:r>
    </w:p>
    <w:p w14:paraId="001E2D2E">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5.4.2顶升操作程序</w:t>
      </w:r>
    </w:p>
    <w:p w14:paraId="20B7E02E">
      <w:pPr>
        <w:autoSpaceDE w:val="0"/>
        <w:autoSpaceDN w:val="0"/>
        <w:adjustRightInd w:val="0"/>
        <w:ind w:firstLine="560"/>
        <w:rPr>
          <w:rFonts w:ascii="宋体" w:hAnsi="宋体" w:cs="宋体"/>
          <w:bCs/>
          <w:kern w:val="0"/>
        </w:rPr>
      </w:pPr>
      <w:r>
        <w:rPr>
          <w:rFonts w:hint="eastAsia" w:ascii="宋体" w:hAnsi="宋体" w:cs="宋体"/>
          <w:bCs/>
          <w:kern w:val="0"/>
        </w:rPr>
        <w:t>1）顶升作业顺序</w:t>
      </w:r>
    </w:p>
    <w:p w14:paraId="49200D78">
      <w:pPr>
        <w:autoSpaceDE w:val="0"/>
        <w:autoSpaceDN w:val="0"/>
        <w:adjustRightInd w:val="0"/>
        <w:ind w:firstLine="560"/>
        <w:rPr>
          <w:rFonts w:ascii="宋体" w:hAnsi="宋体" w:cs="宋体"/>
          <w:bCs/>
          <w:kern w:val="0"/>
        </w:rPr>
      </w:pPr>
      <w:r>
        <w:rPr>
          <w:rFonts w:hint="eastAsia" w:ascii="宋体" w:hAnsi="宋体" w:cs="宋体"/>
          <w:bCs/>
          <w:kern w:val="0"/>
        </w:rPr>
        <w:t xml:space="preserve">顶升作业顺序包括了一连串将重复数次的操作：在地面将四个引进轮安装固定在待吊标节下部横腹杆的四个角上（引进轮的安装位置参考下图），然后吊起标节并安放在引进平台上；再吊一节标准节，将载重小车开至顶升平衡位置。 </w:t>
      </w:r>
    </w:p>
    <w:p w14:paraId="6DB184C4">
      <w:pPr>
        <w:widowControl/>
        <w:spacing w:line="240" w:lineRule="auto"/>
        <w:ind w:firstLine="0" w:firstLineChars="0"/>
        <w:jc w:val="center"/>
      </w:pPr>
      <w:r>
        <w:drawing>
          <wp:inline distT="0" distB="0" distL="114300" distR="114300">
            <wp:extent cx="5266690" cy="1518920"/>
            <wp:effectExtent l="0" t="0" r="10160" b="508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65"/>
                    <a:stretch>
                      <a:fillRect/>
                    </a:stretch>
                  </pic:blipFill>
                  <pic:spPr>
                    <a:xfrm>
                      <a:off x="0" y="0"/>
                      <a:ext cx="5266690" cy="1518920"/>
                    </a:xfrm>
                    <a:prstGeom prst="rect">
                      <a:avLst/>
                    </a:prstGeom>
                    <a:noFill/>
                    <a:ln>
                      <a:noFill/>
                    </a:ln>
                  </pic:spPr>
                </pic:pic>
              </a:graphicData>
            </a:graphic>
          </wp:inline>
        </w:drawing>
      </w:r>
    </w:p>
    <w:p w14:paraId="4E3F3AAE">
      <w:pPr>
        <w:widowControl/>
        <w:ind w:firstLine="0" w:firstLineChars="0"/>
        <w:jc w:val="center"/>
      </w:pPr>
      <w:r>
        <w:rPr>
          <w:rFonts w:hint="eastAsia" w:ascii="宋体" w:hAnsi="宋体" w:cs="宋体"/>
          <w:b/>
          <w:bCs/>
          <w:sz w:val="21"/>
        </w:rPr>
        <w:t>图5.4-2</w:t>
      </w:r>
      <w:r>
        <w:rPr>
          <w:rFonts w:hint="eastAsia" w:ascii="宋体" w:hAnsi="宋体" w:cs="宋体"/>
          <w:b/>
          <w:bCs/>
          <w:color w:val="000000"/>
          <w:kern w:val="0"/>
          <w:sz w:val="21"/>
          <w:lang w:bidi="ar"/>
        </w:rPr>
        <w:t>塔机配平调整</w:t>
      </w:r>
      <w:r>
        <w:rPr>
          <w:rFonts w:hint="eastAsia" w:ascii="宋体" w:hAnsi="宋体" w:cs="宋体"/>
          <w:b/>
          <w:bCs/>
          <w:sz w:val="21"/>
        </w:rPr>
        <w:t>示意图</w:t>
      </w:r>
    </w:p>
    <w:p w14:paraId="6ABAF934">
      <w:pPr>
        <w:widowControl/>
        <w:ind w:firstLine="560"/>
        <w:jc w:val="left"/>
      </w:pPr>
      <w:r>
        <w:rPr>
          <w:rFonts w:hint="eastAsia" w:ascii="宋体" w:hAnsi="宋体" w:cs="宋体"/>
          <w:color w:val="000000"/>
          <w:kern w:val="0"/>
          <w:szCs w:val="24"/>
          <w:lang w:bidi="ar"/>
        </w:rPr>
        <w:t xml:space="preserve">使用回转装置上的回转制动器，将塔机上部装置处于制动状态，卸下塔身顶部与特殊节连接的 </w:t>
      </w:r>
      <w:r>
        <w:rPr>
          <w:rFonts w:ascii="Calibri" w:hAnsi="Calibri" w:cs="Calibri"/>
          <w:color w:val="000000"/>
          <w:kern w:val="0"/>
          <w:szCs w:val="24"/>
          <w:lang w:bidi="ar"/>
        </w:rPr>
        <w:t xml:space="preserve">8 </w:t>
      </w:r>
      <w:r>
        <w:rPr>
          <w:rFonts w:hint="eastAsia" w:ascii="宋体" w:hAnsi="宋体" w:cs="宋体"/>
          <w:color w:val="000000"/>
          <w:kern w:val="0"/>
          <w:szCs w:val="24"/>
          <w:lang w:bidi="ar"/>
        </w:rPr>
        <w:t xml:space="preserve">个高强度螺栓。 </w:t>
      </w:r>
    </w:p>
    <w:p w14:paraId="21F7317C">
      <w:pPr>
        <w:widowControl/>
        <w:ind w:firstLine="560"/>
        <w:jc w:val="left"/>
      </w:pPr>
      <w:r>
        <w:rPr>
          <w:rFonts w:hint="eastAsia" w:ascii="宋体" w:hAnsi="宋体" w:cs="宋体"/>
          <w:color w:val="000000"/>
          <w:kern w:val="0"/>
          <w:szCs w:val="24"/>
          <w:lang w:bidi="ar"/>
        </w:rPr>
        <w:t xml:space="preserve">开动液压顶升系统，使油缸活塞杆伸出，将顶升横梁两端的销轴落入距顶升横梁最近的塔身节踏步的圆弧槽内，插入防脱销（要设专人负责观察顶升横梁两端销轴都必须落入踏步圆弧槽内），确认无误后继续顶升， 将爬升架及以上部分顶起 </w:t>
      </w:r>
      <w:r>
        <w:rPr>
          <w:rFonts w:ascii="Calibri" w:hAnsi="Calibri" w:cs="Calibri"/>
          <w:color w:val="000000"/>
          <w:kern w:val="0"/>
          <w:szCs w:val="24"/>
          <w:lang w:bidi="ar"/>
        </w:rPr>
        <w:t>10</w:t>
      </w:r>
      <w:r>
        <w:rPr>
          <w:rFonts w:hint="eastAsia" w:ascii="宋体" w:hAnsi="宋体" w:cs="宋体"/>
          <w:color w:val="000000"/>
          <w:kern w:val="0"/>
          <w:szCs w:val="24"/>
          <w:lang w:bidi="ar"/>
        </w:rPr>
        <w:t>～</w:t>
      </w:r>
      <w:r>
        <w:rPr>
          <w:rFonts w:ascii="Calibri" w:hAnsi="Calibri" w:cs="Calibri"/>
          <w:color w:val="000000"/>
          <w:kern w:val="0"/>
          <w:szCs w:val="24"/>
          <w:lang w:bidi="ar"/>
        </w:rPr>
        <w:t xml:space="preserve">50mm </w:t>
      </w:r>
      <w:r>
        <w:rPr>
          <w:rFonts w:hint="eastAsia" w:ascii="宋体" w:hAnsi="宋体" w:cs="宋体"/>
          <w:color w:val="000000"/>
          <w:kern w:val="0"/>
          <w:szCs w:val="24"/>
          <w:lang w:bidi="ar"/>
        </w:rPr>
        <w:t>时停止，检查顶升横梁等爬升架传力部件是否有异响、变形，油缸活塞杆是否有自动回缩等异常现象，确认正常后，继续顶升。</w:t>
      </w:r>
    </w:p>
    <w:p w14:paraId="2332239C">
      <w:pPr>
        <w:widowControl/>
        <w:ind w:firstLine="560"/>
        <w:jc w:val="left"/>
      </w:pPr>
      <w:r>
        <w:rPr>
          <w:rFonts w:hint="eastAsia" w:ascii="宋体" w:hAnsi="宋体" w:cs="宋体"/>
          <w:color w:val="000000"/>
          <w:kern w:val="0"/>
          <w:szCs w:val="24"/>
          <w:lang w:bidi="ar"/>
        </w:rPr>
        <w:t xml:space="preserve">顶升略超过半个塔身节高度并使爬升架上的活动爬爪滑过一对踏步并自动复位后， 停止顶升，并回缩油缸；确认两个活动爬爪全部准确地压在踏步顶端的平面上并承受住爬升架及其以上部分的重量，且无局部变形、异响等异常情况。 </w:t>
      </w:r>
    </w:p>
    <w:p w14:paraId="558CEF0A">
      <w:pPr>
        <w:widowControl/>
        <w:spacing w:line="240" w:lineRule="auto"/>
        <w:ind w:firstLine="0" w:firstLineChars="0"/>
        <w:jc w:val="center"/>
      </w:pPr>
      <w:r>
        <w:rPr>
          <w:rFonts w:ascii="宋体" w:hAnsi="宋体" w:cs="宋体"/>
          <w:kern w:val="0"/>
          <w:szCs w:val="24"/>
          <w:lang w:bidi="ar"/>
        </w:rPr>
        <w:fldChar w:fldCharType="begin"/>
      </w:r>
      <w:r>
        <w:rPr>
          <w:rFonts w:ascii="宋体" w:hAnsi="宋体" w:cs="宋体"/>
          <w:kern w:val="0"/>
          <w:szCs w:val="24"/>
          <w:lang w:bidi="ar"/>
        </w:rPr>
        <w:instrText xml:space="preserve">INCLUDEPICTURE \d "C:\\Users\\Administrator\\AppData\\Roaming\\Tencent\\Users\\406205469\\QQ\\WinTemp\\RichOle\\8D`_M@(Y3E9WE7][NEH4CXS.png" \* MERGEFORMATINET </w:instrText>
      </w:r>
      <w:r>
        <w:rPr>
          <w:rFonts w:ascii="宋体" w:hAnsi="宋体" w:cs="宋体"/>
          <w:kern w:val="0"/>
          <w:szCs w:val="24"/>
          <w:lang w:bidi="ar"/>
        </w:rPr>
        <w:fldChar w:fldCharType="separate"/>
      </w:r>
      <w:r>
        <w:rPr>
          <w:rFonts w:ascii="宋体" w:hAnsi="宋体" w:cs="宋体"/>
          <w:kern w:val="0"/>
          <w:szCs w:val="24"/>
          <w:lang w:bidi="ar"/>
        </w:rPr>
        <w:drawing>
          <wp:inline distT="0" distB="0" distL="114300" distR="114300">
            <wp:extent cx="4040505" cy="2000885"/>
            <wp:effectExtent l="0" t="0" r="17145" b="18415"/>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66"/>
                    <a:stretch>
                      <a:fillRect/>
                    </a:stretch>
                  </pic:blipFill>
                  <pic:spPr>
                    <a:xfrm>
                      <a:off x="0" y="0"/>
                      <a:ext cx="4040505" cy="2000885"/>
                    </a:xfrm>
                    <a:prstGeom prst="rect">
                      <a:avLst/>
                    </a:prstGeom>
                    <a:noFill/>
                    <a:ln>
                      <a:noFill/>
                    </a:ln>
                  </pic:spPr>
                </pic:pic>
              </a:graphicData>
            </a:graphic>
          </wp:inline>
        </w:drawing>
      </w:r>
      <w:r>
        <w:rPr>
          <w:rFonts w:ascii="宋体" w:hAnsi="宋体" w:cs="宋体"/>
          <w:kern w:val="0"/>
          <w:szCs w:val="24"/>
          <w:lang w:bidi="ar"/>
        </w:rPr>
        <w:fldChar w:fldCharType="end"/>
      </w:r>
    </w:p>
    <w:p w14:paraId="1ABB2488">
      <w:pPr>
        <w:widowControl/>
        <w:ind w:firstLine="0" w:firstLineChars="0"/>
        <w:jc w:val="center"/>
      </w:pPr>
      <w:r>
        <w:rPr>
          <w:rFonts w:hint="eastAsia" w:ascii="宋体" w:hAnsi="宋体" w:cs="宋体"/>
          <w:b/>
          <w:bCs/>
          <w:sz w:val="21"/>
        </w:rPr>
        <w:t>图5.4-3</w:t>
      </w:r>
      <w:r>
        <w:rPr>
          <w:rFonts w:hint="eastAsia" w:ascii="宋体" w:hAnsi="宋体" w:cs="宋体"/>
          <w:b/>
          <w:bCs/>
          <w:color w:val="000000"/>
          <w:kern w:val="0"/>
          <w:sz w:val="21"/>
          <w:lang w:bidi="ar"/>
        </w:rPr>
        <w:t>塔机顶升示</w:t>
      </w:r>
      <w:r>
        <w:rPr>
          <w:rFonts w:hint="eastAsia" w:ascii="宋体" w:hAnsi="宋体" w:cs="宋体"/>
          <w:b/>
          <w:bCs/>
          <w:sz w:val="21"/>
        </w:rPr>
        <w:t>意图一</w:t>
      </w:r>
    </w:p>
    <w:p w14:paraId="18753D57">
      <w:pPr>
        <w:ind w:firstLine="560"/>
        <w:rPr>
          <w:lang w:bidi="ar"/>
        </w:rPr>
      </w:pPr>
      <w:r>
        <w:rPr>
          <w:rFonts w:hint="eastAsia"/>
          <w:lang w:bidi="ar"/>
        </w:rPr>
        <w:t xml:space="preserve">将顶升横梁防脱销收回，将油缸活塞全部缩回，提起顶升横梁，重新使顶升横梁顶在向上一对踏步的圆弧槽内，防脱销插入，再次伸出油缸，将塔机上部结构再顶起略超过半个塔身节高度，此时塔身上方恰好又能装入一个塔身节的空间，将爬升架引进平台上的标准节拉进至塔身正上方，稍微缩回油缸，将新引进的标准节落在塔身顶部并对正，拆下引进轮。用 </w:t>
      </w:r>
      <w:r>
        <w:rPr>
          <w:rFonts w:ascii="Calibri" w:hAnsi="Calibri" w:cs="Calibri"/>
          <w:lang w:bidi="ar"/>
        </w:rPr>
        <w:t xml:space="preserve">8 </w:t>
      </w:r>
      <w:r>
        <w:rPr>
          <w:rFonts w:hint="eastAsia"/>
          <w:lang w:bidi="ar"/>
        </w:rPr>
        <w:t xml:space="preserve">件高强度螺栓（每根高强度螺栓必须有两个螺母）将上、下标准节连接牢靠（预紧力矩 </w:t>
      </w:r>
      <w:r>
        <w:rPr>
          <w:rFonts w:ascii="Calibri" w:hAnsi="Calibri" w:cs="Calibri"/>
          <w:lang w:bidi="ar"/>
        </w:rPr>
        <w:t>1600N·m</w:t>
      </w:r>
      <w:r>
        <w:rPr>
          <w:rFonts w:hint="eastAsia"/>
          <w:lang w:bidi="ar"/>
        </w:rPr>
        <w:t>）。</w:t>
      </w:r>
    </w:p>
    <w:p w14:paraId="64BEF477">
      <w:pPr>
        <w:widowControl/>
        <w:spacing w:line="240" w:lineRule="auto"/>
        <w:ind w:firstLine="0" w:firstLineChars="0"/>
        <w:jc w:val="center"/>
      </w:pPr>
      <w:r>
        <w:rPr>
          <w:rFonts w:ascii="宋体" w:hAnsi="宋体" w:cs="宋体"/>
          <w:kern w:val="0"/>
          <w:szCs w:val="24"/>
          <w:lang w:bidi="ar"/>
        </w:rPr>
        <w:fldChar w:fldCharType="begin"/>
      </w:r>
      <w:r>
        <w:rPr>
          <w:rFonts w:ascii="宋体" w:hAnsi="宋体" w:cs="宋体"/>
          <w:kern w:val="0"/>
          <w:szCs w:val="24"/>
          <w:lang w:bidi="ar"/>
        </w:rPr>
        <w:instrText xml:space="preserve">INCLUDEPICTURE \d "C:\\Users\\Administrator\\AppData\\Roaming\\Tencent\\Users\\406205469\\QQ\\WinTemp\\RichOle\\5@(3)~DFIMTW)19QNNGU)FX.png" \* MERGEFORMATINET </w:instrText>
      </w:r>
      <w:r>
        <w:rPr>
          <w:rFonts w:ascii="宋体" w:hAnsi="宋体" w:cs="宋体"/>
          <w:kern w:val="0"/>
          <w:szCs w:val="24"/>
          <w:lang w:bidi="ar"/>
        </w:rPr>
        <w:fldChar w:fldCharType="separate"/>
      </w:r>
      <w:r>
        <w:rPr>
          <w:rFonts w:ascii="宋体" w:hAnsi="宋体" w:cs="宋体"/>
          <w:kern w:val="0"/>
          <w:szCs w:val="24"/>
          <w:lang w:bidi="ar"/>
        </w:rPr>
        <w:drawing>
          <wp:inline distT="0" distB="0" distL="114300" distR="114300">
            <wp:extent cx="1884680" cy="2339340"/>
            <wp:effectExtent l="0" t="0" r="1270" b="3810"/>
            <wp:docPr id="1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6"/>
                    <pic:cNvPicPr>
                      <a:picLocks noChangeAspect="1"/>
                    </pic:cNvPicPr>
                  </pic:nvPicPr>
                  <pic:blipFill>
                    <a:blip r:embed="rId67"/>
                    <a:stretch>
                      <a:fillRect/>
                    </a:stretch>
                  </pic:blipFill>
                  <pic:spPr>
                    <a:xfrm>
                      <a:off x="0" y="0"/>
                      <a:ext cx="1884680" cy="2339340"/>
                    </a:xfrm>
                    <a:prstGeom prst="rect">
                      <a:avLst/>
                    </a:prstGeom>
                    <a:noFill/>
                    <a:ln>
                      <a:noFill/>
                    </a:ln>
                  </pic:spPr>
                </pic:pic>
              </a:graphicData>
            </a:graphic>
          </wp:inline>
        </w:drawing>
      </w:r>
      <w:r>
        <w:rPr>
          <w:rFonts w:ascii="宋体" w:hAnsi="宋体" w:cs="宋体"/>
          <w:kern w:val="0"/>
          <w:szCs w:val="24"/>
          <w:lang w:bidi="ar"/>
        </w:rPr>
        <w:fldChar w:fldCharType="end"/>
      </w:r>
    </w:p>
    <w:p w14:paraId="0CB56C79">
      <w:pPr>
        <w:widowControl/>
        <w:ind w:firstLine="0" w:firstLineChars="0"/>
        <w:jc w:val="center"/>
      </w:pPr>
      <w:r>
        <w:rPr>
          <w:rFonts w:hint="eastAsia" w:ascii="宋体" w:hAnsi="宋体" w:cs="宋体"/>
          <w:b/>
          <w:bCs/>
          <w:sz w:val="21"/>
        </w:rPr>
        <w:t>图5.4-4</w:t>
      </w:r>
      <w:r>
        <w:rPr>
          <w:rFonts w:hint="eastAsia" w:ascii="宋体" w:hAnsi="宋体" w:cs="宋体"/>
          <w:b/>
          <w:bCs/>
          <w:color w:val="000000"/>
          <w:kern w:val="0"/>
          <w:sz w:val="21"/>
          <w:lang w:bidi="ar"/>
        </w:rPr>
        <w:t>塔机顶升示</w:t>
      </w:r>
      <w:r>
        <w:rPr>
          <w:rFonts w:hint="eastAsia" w:ascii="宋体" w:hAnsi="宋体" w:cs="宋体"/>
          <w:b/>
          <w:bCs/>
          <w:sz w:val="21"/>
        </w:rPr>
        <w:t>意图二</w:t>
      </w:r>
    </w:p>
    <w:p w14:paraId="270F1F5F">
      <w:pPr>
        <w:widowControl/>
        <w:ind w:firstLine="560"/>
        <w:jc w:val="left"/>
      </w:pPr>
      <w:r>
        <w:rPr>
          <w:rFonts w:hint="eastAsia" w:ascii="宋体" w:hAnsi="宋体" w:cs="宋体"/>
          <w:color w:val="000000"/>
          <w:kern w:val="0"/>
          <w:szCs w:val="24"/>
          <w:lang w:bidi="ar"/>
        </w:rPr>
        <w:t>销轴及防脱销收回后，继续缩回油缸，将特殊节落在新的塔身顶部上，并对正，用</w:t>
      </w:r>
      <w:r>
        <w:rPr>
          <w:rFonts w:ascii="Calibri" w:hAnsi="Calibri" w:cs="Calibri"/>
          <w:color w:val="000000"/>
          <w:kern w:val="0"/>
          <w:szCs w:val="24"/>
          <w:lang w:bidi="ar"/>
        </w:rPr>
        <w:t>8</w:t>
      </w:r>
      <w:r>
        <w:rPr>
          <w:rFonts w:hint="eastAsia" w:ascii="宋体" w:hAnsi="宋体" w:cs="宋体"/>
          <w:color w:val="000000"/>
          <w:kern w:val="0"/>
          <w:szCs w:val="24"/>
          <w:lang w:bidi="ar"/>
        </w:rPr>
        <w:t xml:space="preserve">件高强度螺栓将下支座与塔身连接牢靠（每根高强度螺栓必须有两个螺母），即完成一节标准节的加节工作。 </w:t>
      </w:r>
    </w:p>
    <w:p w14:paraId="0A3348F2">
      <w:pPr>
        <w:widowControl/>
        <w:ind w:firstLine="560"/>
        <w:jc w:val="left"/>
        <w:rPr>
          <w:rFonts w:ascii="宋体" w:hAnsi="宋体" w:cs="宋体"/>
        </w:rPr>
      </w:pPr>
      <w:r>
        <w:rPr>
          <w:rFonts w:hint="eastAsia" w:ascii="宋体" w:hAnsi="宋体" w:cs="宋体"/>
        </w:rPr>
        <w:t>（7）</w:t>
      </w:r>
      <w:r>
        <w:rPr>
          <w:rFonts w:hint="eastAsia" w:ascii="宋体" w:hAnsi="宋体" w:cs="宋体"/>
          <w:color w:val="000000"/>
          <w:kern w:val="0"/>
          <w:szCs w:val="24"/>
          <w:lang w:bidi="ar"/>
        </w:rPr>
        <w:t>顶升作业注意事项</w:t>
      </w:r>
    </w:p>
    <w:p w14:paraId="6C821FB0">
      <w:pPr>
        <w:ind w:firstLine="560"/>
      </w:pPr>
      <w:r>
        <w:rPr>
          <w:rFonts w:hint="eastAsia"/>
          <w:lang w:bidi="ar"/>
        </w:rPr>
        <w:t>塔机最高处风速大于</w:t>
      </w:r>
      <w:r>
        <w:rPr>
          <w:rFonts w:ascii="Calibri" w:hAnsi="Calibri" w:cs="Calibri"/>
          <w:lang w:bidi="ar"/>
        </w:rPr>
        <w:t>12m/s</w:t>
      </w:r>
      <w:r>
        <w:rPr>
          <w:rFonts w:hint="eastAsia"/>
          <w:lang w:bidi="ar"/>
        </w:rPr>
        <w:t xml:space="preserve">时，不得进行顶升作业。 </w:t>
      </w:r>
    </w:p>
    <w:p w14:paraId="5706907B">
      <w:pPr>
        <w:ind w:firstLine="560"/>
      </w:pPr>
      <w:r>
        <w:rPr>
          <w:rFonts w:hint="eastAsia"/>
          <w:lang w:bidi="ar"/>
        </w:rPr>
        <w:t xml:space="preserve">塔机的爬升机构，其爬升作业时应确保爬升架上支承在塔身上的受力部位与塔身顶升支承部位应可靠定位和结合。并应及时查看顶升支承部位焊缝情况，若有异常情况应排除后才能继续进行爬升作业。 </w:t>
      </w:r>
    </w:p>
    <w:p w14:paraId="31E1AE1A">
      <w:pPr>
        <w:ind w:firstLine="560"/>
      </w:pPr>
      <w:r>
        <w:rPr>
          <w:rFonts w:hint="eastAsia"/>
          <w:lang w:bidi="ar"/>
        </w:rPr>
        <w:t xml:space="preserve">顶升过程中必须保证起重臂与引入标准节方向一致，并利用回转机构制动器将起重臂制动住，载重小车必须停靠在顶升配平位置。 </w:t>
      </w:r>
    </w:p>
    <w:p w14:paraId="39E0F91B">
      <w:pPr>
        <w:ind w:firstLine="560"/>
      </w:pPr>
      <w:r>
        <w:rPr>
          <w:rFonts w:hint="eastAsia"/>
          <w:lang w:bidi="ar"/>
        </w:rPr>
        <w:t>若要连续加高几节标准节，则每加完一节后，用塔机自身起吊下一节标准节前，塔身</w:t>
      </w:r>
      <w:r>
        <w:rPr>
          <w:rFonts w:ascii="Calibri" w:hAnsi="Calibri" w:cs="Calibri"/>
          <w:lang w:bidi="ar"/>
        </w:rPr>
        <w:t>4</w:t>
      </w:r>
      <w:r>
        <w:rPr>
          <w:rFonts w:hint="eastAsia"/>
          <w:lang w:bidi="ar"/>
        </w:rPr>
        <w:t>个主弦杆和特殊节必须有</w:t>
      </w:r>
      <w:r>
        <w:rPr>
          <w:rFonts w:ascii="Calibri" w:hAnsi="Calibri" w:cs="Calibri"/>
          <w:lang w:bidi="ar"/>
        </w:rPr>
        <w:t>12</w:t>
      </w:r>
      <w:r>
        <w:rPr>
          <w:rFonts w:hint="eastAsia"/>
          <w:lang w:bidi="ar"/>
        </w:rPr>
        <w:t>个的螺栓连接，唯有在这种情况下，允许这</w:t>
      </w:r>
      <w:r>
        <w:rPr>
          <w:rFonts w:ascii="Calibri" w:hAnsi="Calibri" w:cs="Calibri"/>
          <w:lang w:bidi="ar"/>
        </w:rPr>
        <w:t>12</w:t>
      </w:r>
      <w:r>
        <w:rPr>
          <w:rFonts w:hint="eastAsia"/>
          <w:lang w:bidi="ar"/>
        </w:rPr>
        <w:t xml:space="preserve">根螺栓每根只用一个螺母。 </w:t>
      </w:r>
    </w:p>
    <w:p w14:paraId="06C15C99">
      <w:pPr>
        <w:ind w:firstLine="560"/>
      </w:pPr>
      <w:r>
        <w:rPr>
          <w:rFonts w:hint="eastAsia"/>
          <w:lang w:bidi="ar"/>
        </w:rPr>
        <w:t xml:space="preserve">所加标准节上的踏步，必须与已有塔身节对正。 </w:t>
      </w:r>
    </w:p>
    <w:p w14:paraId="430A209D">
      <w:pPr>
        <w:ind w:firstLine="560"/>
      </w:pPr>
      <w:r>
        <w:rPr>
          <w:rFonts w:hint="eastAsia"/>
          <w:lang w:bidi="ar"/>
        </w:rPr>
        <w:t xml:space="preserve">在特殊节与塔身没有用螺栓连接好之前，严禁起重臂回转、载重小车变幅和吊装作业。 </w:t>
      </w:r>
    </w:p>
    <w:p w14:paraId="7692085D">
      <w:pPr>
        <w:ind w:firstLine="560"/>
      </w:pPr>
      <w:r>
        <w:rPr>
          <w:rFonts w:hint="eastAsia"/>
          <w:lang w:bidi="ar"/>
        </w:rPr>
        <w:t>在顶升过程中，若液压顶升系统出现异常，应立即停止顶升，收回油缸，将下支座落在塔身顶部，并用</w:t>
      </w:r>
      <w:r>
        <w:rPr>
          <w:rFonts w:ascii="Calibri" w:hAnsi="Calibri" w:cs="Calibri"/>
          <w:lang w:bidi="ar"/>
        </w:rPr>
        <w:t>12</w:t>
      </w:r>
      <w:r>
        <w:rPr>
          <w:rFonts w:hint="eastAsia"/>
          <w:lang w:bidi="ar"/>
        </w:rPr>
        <w:t xml:space="preserve">件高强度螺栓将特殊节与塔身连接牢靠后，再排除液压系统的故障。 </w:t>
      </w:r>
    </w:p>
    <w:p w14:paraId="5B57D61D">
      <w:pPr>
        <w:ind w:firstLine="560"/>
      </w:pPr>
      <w:r>
        <w:rPr>
          <w:rFonts w:hint="eastAsia"/>
          <w:lang w:bidi="ar"/>
        </w:rPr>
        <w:t>塔机加节达到所需工作高度（但不超过独立高度）后，应旋转起重臂至不同的角度，检查塔身各接头处、基础支脚处螺栓的拧紧问题（哪一根主弦杆位于平衡臂正下方时就把这根主弦杆从下到上的所有螺母拧紧，上述连接处均为双螺母防松）。</w:t>
      </w:r>
    </w:p>
    <w:p w14:paraId="53BDF9F7">
      <w:pPr>
        <w:ind w:firstLine="560"/>
      </w:pPr>
      <w:r>
        <w:rPr>
          <w:rFonts w:hint="eastAsia"/>
        </w:rPr>
        <w:t>（8）</w:t>
      </w:r>
      <w:r>
        <w:rPr>
          <w:rFonts w:hint="eastAsia"/>
          <w:lang w:bidi="ar"/>
        </w:rPr>
        <w:t>防脱销装置的使用方法</w:t>
      </w:r>
    </w:p>
    <w:p w14:paraId="3A2B53FE">
      <w:pPr>
        <w:ind w:firstLine="560"/>
      </w:pPr>
      <w:r>
        <w:rPr>
          <w:rFonts w:hint="eastAsia"/>
          <w:lang w:bidi="ar"/>
        </w:rPr>
        <w:t xml:space="preserve">防脱装置由两部分组成，一是顶升横梁上的插销，二是标准节踏步的防脱插销孔，其使用方法如下： </w:t>
      </w:r>
    </w:p>
    <w:p w14:paraId="2B421A41">
      <w:pPr>
        <w:ind w:firstLine="560"/>
      </w:pPr>
      <w:r>
        <w:rPr>
          <w:rFonts w:ascii="Calibri" w:hAnsi="Calibri" w:cs="Calibri"/>
          <w:lang w:bidi="ar"/>
        </w:rPr>
        <w:t>1</w:t>
      </w:r>
      <w:r>
        <w:rPr>
          <w:rFonts w:hint="eastAsia"/>
          <w:lang w:bidi="ar"/>
        </w:rPr>
        <w:t xml:space="preserve">）塔机开始顶升加节或降塔减节时，顶升横梁的销轴搁置在标准节的圆弧槽内，须将顶升横梁的防脱销插入标准节的防脱销孔内，且固定在前槽内。 </w:t>
      </w:r>
    </w:p>
    <w:p w14:paraId="21F6076E">
      <w:pPr>
        <w:ind w:firstLine="560"/>
      </w:pPr>
      <w:r>
        <w:rPr>
          <w:rFonts w:ascii="Calibri" w:hAnsi="Calibri" w:cs="Calibri"/>
          <w:lang w:bidi="ar"/>
        </w:rPr>
        <w:t>2</w:t>
      </w:r>
      <w:r>
        <w:rPr>
          <w:rFonts w:hint="eastAsia"/>
          <w:lang w:bidi="ar"/>
        </w:rPr>
        <w:t>）在完成一个顶升步骤、顶升横梁要脱离标准节踏步时，须先将防脱销轴退出标准节防脱销孔，固定在后槽内。</w:t>
      </w:r>
    </w:p>
    <w:p w14:paraId="7687DC4D">
      <w:pPr>
        <w:ind w:firstLine="560"/>
      </w:pPr>
      <w:r>
        <w:rPr>
          <w:rFonts w:hint="eastAsia"/>
        </w:rPr>
        <w:t>注意：</w:t>
      </w:r>
      <w:r>
        <w:rPr>
          <w:rFonts w:hint="eastAsia"/>
          <w:lang w:bidi="ar"/>
        </w:rPr>
        <w:t xml:space="preserve">防脱销轴未退出标准节防脱销孔，启动顶升装置强行使顶升横梁脱离标准节踏步会损坏防脱销轴。 </w:t>
      </w:r>
    </w:p>
    <w:p w14:paraId="551B71E7">
      <w:pPr>
        <w:widowControl/>
        <w:spacing w:line="240" w:lineRule="auto"/>
        <w:ind w:firstLine="0" w:firstLineChars="0"/>
        <w:jc w:val="center"/>
      </w:pPr>
      <w:r>
        <w:rPr>
          <w:rFonts w:ascii="宋体" w:hAnsi="宋体" w:cs="宋体"/>
          <w:kern w:val="0"/>
          <w:szCs w:val="24"/>
          <w:lang w:bidi="ar"/>
        </w:rPr>
        <w:fldChar w:fldCharType="begin"/>
      </w:r>
      <w:r>
        <w:rPr>
          <w:rFonts w:ascii="宋体" w:hAnsi="宋体" w:cs="宋体"/>
          <w:kern w:val="0"/>
          <w:szCs w:val="24"/>
          <w:lang w:bidi="ar"/>
        </w:rPr>
        <w:instrText xml:space="preserve">INCLUDEPICTURE \d "C:\\Users\\Administrator\\AppData\\Roaming\\Tencent\\Users\\406205469\\QQ\\WinTemp\\RichOle\\2[0FSEPH}@I2T60`BY1ILG2.png" \* MERGEFORMATINET </w:instrText>
      </w:r>
      <w:r>
        <w:rPr>
          <w:rFonts w:ascii="宋体" w:hAnsi="宋体" w:cs="宋体"/>
          <w:kern w:val="0"/>
          <w:szCs w:val="24"/>
          <w:lang w:bidi="ar"/>
        </w:rPr>
        <w:fldChar w:fldCharType="separate"/>
      </w:r>
      <w:r>
        <w:rPr>
          <w:rFonts w:ascii="宋体" w:hAnsi="宋体" w:cs="宋体"/>
          <w:kern w:val="0"/>
          <w:szCs w:val="24"/>
          <w:lang w:bidi="ar"/>
        </w:rPr>
        <w:drawing>
          <wp:inline distT="0" distB="0" distL="114300" distR="114300">
            <wp:extent cx="2449195" cy="1910715"/>
            <wp:effectExtent l="0" t="0" r="8255" b="13335"/>
            <wp:docPr id="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56"/>
                    <pic:cNvPicPr>
                      <a:picLocks noChangeAspect="1"/>
                    </pic:cNvPicPr>
                  </pic:nvPicPr>
                  <pic:blipFill>
                    <a:blip r:embed="rId68"/>
                    <a:stretch>
                      <a:fillRect/>
                    </a:stretch>
                  </pic:blipFill>
                  <pic:spPr>
                    <a:xfrm>
                      <a:off x="0" y="0"/>
                      <a:ext cx="2449195" cy="1910715"/>
                    </a:xfrm>
                    <a:prstGeom prst="rect">
                      <a:avLst/>
                    </a:prstGeom>
                    <a:noFill/>
                    <a:ln>
                      <a:noFill/>
                    </a:ln>
                  </pic:spPr>
                </pic:pic>
              </a:graphicData>
            </a:graphic>
          </wp:inline>
        </w:drawing>
      </w:r>
      <w:r>
        <w:rPr>
          <w:rFonts w:ascii="宋体" w:hAnsi="宋体" w:cs="宋体"/>
          <w:kern w:val="0"/>
          <w:szCs w:val="24"/>
          <w:lang w:bidi="ar"/>
        </w:rPr>
        <w:fldChar w:fldCharType="end"/>
      </w:r>
    </w:p>
    <w:p w14:paraId="18ED958B">
      <w:pPr>
        <w:widowControl/>
        <w:ind w:firstLine="0" w:firstLineChars="0"/>
        <w:jc w:val="center"/>
        <w:rPr>
          <w:rFonts w:ascii="宋体" w:hAnsi="宋体" w:cs="宋体"/>
          <w:b/>
          <w:bCs/>
          <w:sz w:val="21"/>
        </w:rPr>
      </w:pPr>
      <w:r>
        <w:rPr>
          <w:rFonts w:hint="eastAsia" w:ascii="宋体" w:hAnsi="宋体" w:cs="宋体"/>
          <w:b/>
          <w:bCs/>
          <w:sz w:val="21"/>
        </w:rPr>
        <w:t>图5.4-5</w:t>
      </w:r>
      <w:r>
        <w:rPr>
          <w:rFonts w:hint="eastAsia" w:ascii="宋体" w:hAnsi="宋体" w:cs="宋体"/>
          <w:b/>
          <w:bCs/>
          <w:color w:val="000000"/>
          <w:kern w:val="0"/>
          <w:sz w:val="21"/>
          <w:lang w:bidi="ar"/>
        </w:rPr>
        <w:t>塔机顶升防脱示</w:t>
      </w:r>
      <w:r>
        <w:rPr>
          <w:rFonts w:hint="eastAsia" w:ascii="宋体" w:hAnsi="宋体" w:cs="宋体"/>
          <w:b/>
          <w:bCs/>
          <w:sz w:val="21"/>
        </w:rPr>
        <w:t>意图</w:t>
      </w:r>
    </w:p>
    <w:p w14:paraId="6D8EBB2D">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5.4.3顶升后的收尾工作</w:t>
      </w:r>
    </w:p>
    <w:p w14:paraId="17AFAAB5">
      <w:pPr>
        <w:ind w:firstLine="560"/>
      </w:pPr>
      <w:r>
        <w:rPr>
          <w:rFonts w:hint="eastAsia"/>
        </w:rPr>
        <w:t>1）顶升结束后利用套架制动块将顶升套架支承在塔身上，收回压缩升油缸。</w:t>
      </w:r>
    </w:p>
    <w:p w14:paraId="493490E2">
      <w:pPr>
        <w:ind w:firstLine="560"/>
      </w:pPr>
      <w:r>
        <w:rPr>
          <w:rFonts w:hint="eastAsia"/>
        </w:rPr>
        <w:t>2）顶升工作全面完成后可以半顶升套架下降到标准节底部或拆除顶升套架，以降低整个塔机的重心和减小迎风面积，沿海及其他风压较大的地区必须将顶升套架下降至塔机底部或拆除顶升套架。</w:t>
      </w:r>
    </w:p>
    <w:p w14:paraId="00A7119C">
      <w:pPr>
        <w:ind w:firstLine="560"/>
      </w:pPr>
      <w:r>
        <w:rPr>
          <w:rFonts w:hint="eastAsia"/>
        </w:rPr>
        <w:t xml:space="preserve"> 3）顶升完毕后可将引进梁缩回下支座内或者拆除引进梁。以免吊钩在最小幅度工作时碰到。</w:t>
      </w:r>
    </w:p>
    <w:p w14:paraId="245B498B">
      <w:pPr>
        <w:ind w:firstLine="560"/>
        <w:outlineLvl w:val="2"/>
        <w:rPr>
          <w:rFonts w:hint="eastAsia" w:ascii="黑体" w:hAnsi="黑体" w:eastAsia="黑体" w:cs="黑体"/>
          <w:color w:val="000000"/>
          <w:lang w:val="en-US" w:eastAsia="zh-CN"/>
        </w:rPr>
      </w:pPr>
      <w:bookmarkStart w:id="326" w:name="_Toc10409851"/>
      <w:bookmarkStart w:id="327" w:name="_Toc15800"/>
      <w:r>
        <w:rPr>
          <w:rFonts w:hint="eastAsia" w:ascii="黑体" w:hAnsi="黑体" w:eastAsia="黑体" w:cs="黑体"/>
          <w:color w:val="000000"/>
          <w:lang w:val="en-US" w:eastAsia="zh-CN"/>
        </w:rPr>
        <w:t>5.4.4塔式起重机验收</w:t>
      </w:r>
      <w:bookmarkEnd w:id="326"/>
      <w:r>
        <w:rPr>
          <w:rFonts w:hint="eastAsia" w:ascii="黑体" w:hAnsi="黑体" w:eastAsia="黑体" w:cs="黑体"/>
          <w:color w:val="000000"/>
          <w:lang w:val="en-US" w:eastAsia="zh-CN"/>
        </w:rPr>
        <w:t>内容</w:t>
      </w:r>
      <w:bookmarkEnd w:id="327"/>
    </w:p>
    <w:p w14:paraId="5D2111FE">
      <w:pPr>
        <w:widowControl/>
        <w:ind w:firstLine="0" w:firstLineChars="0"/>
        <w:jc w:val="center"/>
        <w:rPr>
          <w:rFonts w:ascii="宋体" w:hAnsi="宋体" w:cs="宋体"/>
          <w:b/>
          <w:bCs/>
          <w:sz w:val="21"/>
        </w:rPr>
      </w:pPr>
      <w:r>
        <w:rPr>
          <w:rFonts w:hint="eastAsia" w:ascii="宋体" w:hAnsi="宋体" w:cs="宋体"/>
          <w:b/>
          <w:bCs/>
          <w:sz w:val="21"/>
        </w:rPr>
        <w:t>表5.4-1 塔式起重机验收内容</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534"/>
        <w:gridCol w:w="607"/>
        <w:gridCol w:w="757"/>
        <w:gridCol w:w="9"/>
        <w:gridCol w:w="91"/>
        <w:gridCol w:w="12"/>
        <w:gridCol w:w="2171"/>
        <w:gridCol w:w="2363"/>
        <w:gridCol w:w="966"/>
        <w:gridCol w:w="921"/>
      </w:tblGrid>
      <w:tr w14:paraId="1294A1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58BC20F7">
            <w:pPr>
              <w:ind w:firstLine="0" w:firstLineChars="0"/>
              <w:rPr>
                <w:rFonts w:ascii="宋体" w:hAnsi="宋体"/>
                <w:sz w:val="21"/>
              </w:rPr>
            </w:pPr>
            <w:r>
              <w:rPr>
                <w:rFonts w:hint="eastAsia" w:ascii="宋体" w:hAnsi="宋体"/>
                <w:sz w:val="21"/>
              </w:rPr>
              <w:t>序号</w:t>
            </w:r>
          </w:p>
        </w:tc>
        <w:tc>
          <w:tcPr>
            <w:tcW w:w="6010" w:type="dxa"/>
            <w:gridSpan w:val="7"/>
            <w:vAlign w:val="center"/>
          </w:tcPr>
          <w:p w14:paraId="4449843D">
            <w:pPr>
              <w:ind w:firstLine="420"/>
              <w:jc w:val="center"/>
              <w:rPr>
                <w:rFonts w:ascii="宋体" w:hAnsi="宋体"/>
                <w:sz w:val="21"/>
              </w:rPr>
            </w:pPr>
            <w:r>
              <w:rPr>
                <w:rFonts w:hint="eastAsia" w:ascii="宋体" w:hAnsi="宋体"/>
                <w:sz w:val="21"/>
              </w:rPr>
              <w:t>监检项目及其内容</w:t>
            </w:r>
          </w:p>
        </w:tc>
        <w:tc>
          <w:tcPr>
            <w:tcW w:w="966" w:type="dxa"/>
            <w:vAlign w:val="center"/>
          </w:tcPr>
          <w:p w14:paraId="5362F033">
            <w:pPr>
              <w:ind w:firstLine="0" w:firstLineChars="0"/>
              <w:rPr>
                <w:rFonts w:ascii="宋体" w:hAnsi="宋体"/>
                <w:sz w:val="21"/>
              </w:rPr>
            </w:pPr>
            <w:r>
              <w:rPr>
                <w:rFonts w:hint="eastAsia" w:ascii="宋体" w:hAnsi="宋体"/>
                <w:sz w:val="21"/>
              </w:rPr>
              <w:t>检验结果</w:t>
            </w:r>
          </w:p>
        </w:tc>
        <w:tc>
          <w:tcPr>
            <w:tcW w:w="921" w:type="dxa"/>
            <w:vAlign w:val="center"/>
          </w:tcPr>
          <w:p w14:paraId="15A5BEC7">
            <w:pPr>
              <w:ind w:firstLine="210" w:firstLineChars="100"/>
              <w:rPr>
                <w:rFonts w:ascii="宋体" w:hAnsi="宋体"/>
                <w:sz w:val="21"/>
              </w:rPr>
            </w:pPr>
            <w:r>
              <w:rPr>
                <w:rFonts w:hint="eastAsia" w:ascii="宋体" w:hAnsi="宋体"/>
                <w:sz w:val="21"/>
              </w:rPr>
              <w:t>结论</w:t>
            </w:r>
          </w:p>
        </w:tc>
      </w:tr>
      <w:tr w14:paraId="1E8A3B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6B0470BB">
            <w:pPr>
              <w:ind w:firstLine="210" w:firstLineChars="100"/>
              <w:rPr>
                <w:rFonts w:ascii="宋体" w:hAnsi="宋体"/>
                <w:sz w:val="21"/>
              </w:rPr>
            </w:pPr>
            <w:r>
              <w:rPr>
                <w:rFonts w:hint="eastAsia" w:ascii="宋体" w:hAnsi="宋体"/>
                <w:sz w:val="21"/>
              </w:rPr>
              <w:t>1</w:t>
            </w:r>
          </w:p>
        </w:tc>
        <w:tc>
          <w:tcPr>
            <w:tcW w:w="6010" w:type="dxa"/>
            <w:gridSpan w:val="7"/>
            <w:vAlign w:val="center"/>
          </w:tcPr>
          <w:p w14:paraId="2465AFD8">
            <w:pPr>
              <w:ind w:firstLine="0" w:firstLineChars="0"/>
              <w:rPr>
                <w:rFonts w:ascii="宋体" w:hAnsi="宋体"/>
                <w:sz w:val="21"/>
              </w:rPr>
            </w:pPr>
            <w:r>
              <w:rPr>
                <w:rFonts w:hint="eastAsia" w:ascii="宋体" w:hAnsi="宋体"/>
                <w:sz w:val="21"/>
              </w:rPr>
              <w:t>设备选型</w:t>
            </w:r>
          </w:p>
        </w:tc>
        <w:tc>
          <w:tcPr>
            <w:tcW w:w="966" w:type="dxa"/>
            <w:vAlign w:val="center"/>
          </w:tcPr>
          <w:p w14:paraId="6C17B953">
            <w:pPr>
              <w:ind w:firstLine="0" w:firstLineChars="0"/>
              <w:jc w:val="center"/>
              <w:rPr>
                <w:rFonts w:ascii="宋体" w:hAnsi="宋体"/>
                <w:sz w:val="21"/>
              </w:rPr>
            </w:pPr>
          </w:p>
        </w:tc>
        <w:tc>
          <w:tcPr>
            <w:tcW w:w="921" w:type="dxa"/>
            <w:vAlign w:val="center"/>
          </w:tcPr>
          <w:p w14:paraId="652D8668">
            <w:pPr>
              <w:ind w:firstLine="0" w:firstLineChars="0"/>
              <w:jc w:val="center"/>
              <w:rPr>
                <w:rFonts w:ascii="宋体" w:hAnsi="宋体"/>
                <w:sz w:val="21"/>
              </w:rPr>
            </w:pPr>
          </w:p>
        </w:tc>
      </w:tr>
      <w:tr w14:paraId="5B1559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38117B39">
            <w:pPr>
              <w:ind w:firstLine="210" w:firstLineChars="100"/>
              <w:rPr>
                <w:rFonts w:ascii="宋体" w:hAnsi="宋体"/>
                <w:sz w:val="21"/>
              </w:rPr>
            </w:pPr>
            <w:r>
              <w:rPr>
                <w:rFonts w:hint="eastAsia" w:ascii="宋体" w:hAnsi="宋体"/>
                <w:sz w:val="21"/>
              </w:rPr>
              <w:t>2</w:t>
            </w:r>
          </w:p>
        </w:tc>
        <w:tc>
          <w:tcPr>
            <w:tcW w:w="1364" w:type="dxa"/>
            <w:gridSpan w:val="2"/>
            <w:vMerge w:val="restart"/>
            <w:vAlign w:val="center"/>
          </w:tcPr>
          <w:p w14:paraId="11B0FE6B">
            <w:pPr>
              <w:ind w:firstLine="0" w:firstLineChars="0"/>
              <w:rPr>
                <w:rFonts w:ascii="宋体" w:hAnsi="宋体"/>
                <w:sz w:val="21"/>
              </w:rPr>
            </w:pPr>
            <w:r>
              <w:rPr>
                <w:rFonts w:hint="eastAsia" w:ascii="宋体" w:hAnsi="宋体"/>
                <w:sz w:val="21"/>
              </w:rPr>
              <w:t>产品技术文件</w:t>
            </w:r>
          </w:p>
        </w:tc>
        <w:tc>
          <w:tcPr>
            <w:tcW w:w="4646" w:type="dxa"/>
            <w:gridSpan w:val="5"/>
            <w:vAlign w:val="center"/>
          </w:tcPr>
          <w:p w14:paraId="4E1D1800">
            <w:pPr>
              <w:ind w:firstLine="0" w:firstLineChars="0"/>
              <w:rPr>
                <w:rFonts w:ascii="宋体" w:hAnsi="宋体"/>
                <w:sz w:val="21"/>
              </w:rPr>
            </w:pPr>
            <w:r>
              <w:rPr>
                <w:rFonts w:hint="eastAsia" w:ascii="宋体" w:hAnsi="宋体"/>
                <w:sz w:val="21"/>
              </w:rPr>
              <w:t>(1)产品设计文件</w:t>
            </w:r>
          </w:p>
        </w:tc>
        <w:tc>
          <w:tcPr>
            <w:tcW w:w="966" w:type="dxa"/>
            <w:vAlign w:val="center"/>
          </w:tcPr>
          <w:p w14:paraId="4D2E9CA1">
            <w:pPr>
              <w:ind w:firstLine="0" w:firstLineChars="0"/>
              <w:jc w:val="center"/>
              <w:rPr>
                <w:rFonts w:ascii="宋体" w:hAnsi="宋体"/>
                <w:sz w:val="21"/>
              </w:rPr>
            </w:pPr>
          </w:p>
        </w:tc>
        <w:tc>
          <w:tcPr>
            <w:tcW w:w="921" w:type="dxa"/>
            <w:vAlign w:val="center"/>
          </w:tcPr>
          <w:p w14:paraId="103BA428">
            <w:pPr>
              <w:ind w:firstLine="0" w:firstLineChars="0"/>
              <w:jc w:val="center"/>
              <w:rPr>
                <w:rFonts w:ascii="宋体" w:hAnsi="宋体"/>
                <w:sz w:val="21"/>
              </w:rPr>
            </w:pPr>
          </w:p>
        </w:tc>
      </w:tr>
      <w:tr w14:paraId="346507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5D2829FF">
            <w:pPr>
              <w:ind w:firstLine="0" w:firstLineChars="0"/>
              <w:jc w:val="center"/>
              <w:rPr>
                <w:rFonts w:ascii="宋体" w:hAnsi="宋体"/>
                <w:sz w:val="21"/>
              </w:rPr>
            </w:pPr>
            <w:r>
              <w:rPr>
                <w:rFonts w:hint="eastAsia" w:ascii="宋体" w:hAnsi="宋体"/>
                <w:sz w:val="21"/>
              </w:rPr>
              <w:t xml:space="preserve"> 3</w:t>
            </w:r>
          </w:p>
        </w:tc>
        <w:tc>
          <w:tcPr>
            <w:tcW w:w="1364" w:type="dxa"/>
            <w:gridSpan w:val="2"/>
            <w:vMerge w:val="continue"/>
            <w:vAlign w:val="center"/>
          </w:tcPr>
          <w:p w14:paraId="68E0055C">
            <w:pPr>
              <w:ind w:firstLine="0" w:firstLineChars="0"/>
              <w:jc w:val="center"/>
              <w:rPr>
                <w:rFonts w:ascii="宋体" w:hAnsi="宋体"/>
                <w:sz w:val="21"/>
              </w:rPr>
            </w:pPr>
          </w:p>
        </w:tc>
        <w:tc>
          <w:tcPr>
            <w:tcW w:w="4646" w:type="dxa"/>
            <w:gridSpan w:val="5"/>
            <w:vAlign w:val="center"/>
          </w:tcPr>
          <w:p w14:paraId="753A7F92">
            <w:pPr>
              <w:ind w:firstLine="0" w:firstLineChars="0"/>
              <w:rPr>
                <w:rFonts w:ascii="宋体" w:hAnsi="宋体"/>
                <w:sz w:val="21"/>
              </w:rPr>
            </w:pPr>
            <w:r>
              <w:rPr>
                <w:rFonts w:hint="eastAsia" w:ascii="宋体" w:hAnsi="宋体"/>
                <w:sz w:val="21"/>
              </w:rPr>
              <w:t>(2)产品质量合格证明、安装及其使用维护说明</w:t>
            </w:r>
          </w:p>
        </w:tc>
        <w:tc>
          <w:tcPr>
            <w:tcW w:w="966" w:type="dxa"/>
            <w:vAlign w:val="center"/>
          </w:tcPr>
          <w:p w14:paraId="603D0C7B">
            <w:pPr>
              <w:ind w:firstLine="0" w:firstLineChars="0"/>
              <w:jc w:val="center"/>
              <w:rPr>
                <w:rFonts w:ascii="宋体" w:hAnsi="宋体"/>
                <w:sz w:val="21"/>
              </w:rPr>
            </w:pPr>
          </w:p>
        </w:tc>
        <w:tc>
          <w:tcPr>
            <w:tcW w:w="921" w:type="dxa"/>
            <w:vAlign w:val="center"/>
          </w:tcPr>
          <w:p w14:paraId="2114C20C">
            <w:pPr>
              <w:ind w:firstLine="0" w:firstLineChars="0"/>
              <w:jc w:val="center"/>
              <w:rPr>
                <w:rFonts w:ascii="宋体" w:hAnsi="宋体"/>
                <w:sz w:val="21"/>
              </w:rPr>
            </w:pPr>
          </w:p>
        </w:tc>
      </w:tr>
      <w:tr w14:paraId="2E872A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22D9A102">
            <w:pPr>
              <w:ind w:firstLine="0" w:firstLineChars="0"/>
              <w:jc w:val="center"/>
              <w:rPr>
                <w:rFonts w:ascii="宋体" w:hAnsi="宋体"/>
                <w:sz w:val="21"/>
              </w:rPr>
            </w:pPr>
            <w:r>
              <w:rPr>
                <w:rFonts w:hint="eastAsia" w:ascii="宋体" w:hAnsi="宋体"/>
                <w:sz w:val="21"/>
              </w:rPr>
              <w:t xml:space="preserve"> 4</w:t>
            </w:r>
          </w:p>
        </w:tc>
        <w:tc>
          <w:tcPr>
            <w:tcW w:w="1364" w:type="dxa"/>
            <w:gridSpan w:val="2"/>
            <w:vMerge w:val="continue"/>
            <w:vAlign w:val="center"/>
          </w:tcPr>
          <w:p w14:paraId="1202921C">
            <w:pPr>
              <w:ind w:firstLine="0" w:firstLineChars="0"/>
              <w:jc w:val="center"/>
              <w:rPr>
                <w:rFonts w:ascii="宋体" w:hAnsi="宋体"/>
                <w:sz w:val="21"/>
              </w:rPr>
            </w:pPr>
          </w:p>
        </w:tc>
        <w:tc>
          <w:tcPr>
            <w:tcW w:w="4646" w:type="dxa"/>
            <w:gridSpan w:val="5"/>
            <w:vAlign w:val="center"/>
          </w:tcPr>
          <w:p w14:paraId="07AC017C">
            <w:pPr>
              <w:ind w:firstLine="0" w:firstLineChars="0"/>
              <w:rPr>
                <w:rFonts w:ascii="宋体" w:hAnsi="宋体"/>
                <w:sz w:val="21"/>
              </w:rPr>
            </w:pPr>
            <w:r>
              <w:rPr>
                <w:rFonts w:hint="eastAsia" w:ascii="宋体" w:hAnsi="宋体"/>
                <w:sz w:val="21"/>
              </w:rPr>
              <w:t>(3)型式试验合格证明</w:t>
            </w:r>
          </w:p>
        </w:tc>
        <w:tc>
          <w:tcPr>
            <w:tcW w:w="966" w:type="dxa"/>
            <w:vAlign w:val="center"/>
          </w:tcPr>
          <w:p w14:paraId="6CC1A632">
            <w:pPr>
              <w:ind w:firstLine="0" w:firstLineChars="0"/>
              <w:jc w:val="center"/>
              <w:rPr>
                <w:rFonts w:ascii="宋体" w:hAnsi="宋体"/>
                <w:sz w:val="21"/>
              </w:rPr>
            </w:pPr>
          </w:p>
        </w:tc>
        <w:tc>
          <w:tcPr>
            <w:tcW w:w="921" w:type="dxa"/>
            <w:vAlign w:val="center"/>
          </w:tcPr>
          <w:p w14:paraId="5C11B630">
            <w:pPr>
              <w:ind w:firstLine="0" w:firstLineChars="0"/>
              <w:jc w:val="center"/>
              <w:rPr>
                <w:rFonts w:ascii="宋体" w:hAnsi="宋体"/>
                <w:sz w:val="21"/>
              </w:rPr>
            </w:pPr>
          </w:p>
        </w:tc>
      </w:tr>
      <w:tr w14:paraId="56DE3A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1269D8EA">
            <w:pPr>
              <w:ind w:firstLine="0" w:firstLineChars="0"/>
              <w:jc w:val="center"/>
              <w:rPr>
                <w:rFonts w:ascii="宋体" w:hAnsi="宋体"/>
                <w:sz w:val="21"/>
              </w:rPr>
            </w:pPr>
            <w:r>
              <w:rPr>
                <w:rFonts w:hint="eastAsia" w:ascii="宋体" w:hAnsi="宋体"/>
                <w:sz w:val="21"/>
              </w:rPr>
              <w:t xml:space="preserve"> 5</w:t>
            </w:r>
          </w:p>
        </w:tc>
        <w:tc>
          <w:tcPr>
            <w:tcW w:w="1364" w:type="dxa"/>
            <w:gridSpan w:val="2"/>
            <w:vMerge w:val="continue"/>
            <w:vAlign w:val="center"/>
          </w:tcPr>
          <w:p w14:paraId="01B35750">
            <w:pPr>
              <w:ind w:firstLine="0" w:firstLineChars="0"/>
              <w:jc w:val="center"/>
              <w:rPr>
                <w:rFonts w:ascii="宋体" w:hAnsi="宋体"/>
                <w:sz w:val="21"/>
              </w:rPr>
            </w:pPr>
          </w:p>
        </w:tc>
        <w:tc>
          <w:tcPr>
            <w:tcW w:w="4646" w:type="dxa"/>
            <w:gridSpan w:val="5"/>
            <w:vAlign w:val="center"/>
          </w:tcPr>
          <w:p w14:paraId="5829446B">
            <w:pPr>
              <w:ind w:firstLine="0" w:firstLineChars="0"/>
              <w:rPr>
                <w:rFonts w:ascii="宋体" w:hAnsi="宋体"/>
                <w:sz w:val="21"/>
              </w:rPr>
            </w:pPr>
            <w:r>
              <w:rPr>
                <w:rFonts w:hint="eastAsia" w:ascii="宋体" w:hAnsi="宋体"/>
                <w:sz w:val="21"/>
              </w:rPr>
              <w:t>(4)制造监督检验证书</w:t>
            </w:r>
          </w:p>
        </w:tc>
        <w:tc>
          <w:tcPr>
            <w:tcW w:w="966" w:type="dxa"/>
            <w:vAlign w:val="center"/>
          </w:tcPr>
          <w:p w14:paraId="4232AB18">
            <w:pPr>
              <w:ind w:firstLine="0" w:firstLineChars="0"/>
              <w:jc w:val="center"/>
              <w:rPr>
                <w:rFonts w:ascii="宋体" w:hAnsi="宋体"/>
                <w:sz w:val="21"/>
              </w:rPr>
            </w:pPr>
          </w:p>
        </w:tc>
        <w:tc>
          <w:tcPr>
            <w:tcW w:w="921" w:type="dxa"/>
            <w:vAlign w:val="center"/>
          </w:tcPr>
          <w:p w14:paraId="2CDA899E">
            <w:pPr>
              <w:ind w:firstLine="0" w:firstLineChars="0"/>
              <w:jc w:val="center"/>
              <w:rPr>
                <w:rFonts w:ascii="宋体" w:hAnsi="宋体"/>
                <w:sz w:val="21"/>
              </w:rPr>
            </w:pPr>
          </w:p>
        </w:tc>
      </w:tr>
      <w:tr w14:paraId="14CBA5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267090BE">
            <w:pPr>
              <w:ind w:firstLine="0" w:firstLineChars="0"/>
              <w:jc w:val="center"/>
              <w:rPr>
                <w:rFonts w:ascii="宋体" w:hAnsi="宋体"/>
                <w:sz w:val="21"/>
              </w:rPr>
            </w:pPr>
            <w:r>
              <w:rPr>
                <w:rFonts w:hint="eastAsia" w:ascii="宋体" w:hAnsi="宋体"/>
                <w:sz w:val="21"/>
              </w:rPr>
              <w:t xml:space="preserve"> 6</w:t>
            </w:r>
          </w:p>
        </w:tc>
        <w:tc>
          <w:tcPr>
            <w:tcW w:w="1373" w:type="dxa"/>
            <w:gridSpan w:val="3"/>
            <w:vMerge w:val="restart"/>
            <w:vAlign w:val="center"/>
          </w:tcPr>
          <w:p w14:paraId="476D95E6">
            <w:pPr>
              <w:ind w:firstLine="0" w:firstLineChars="0"/>
              <w:rPr>
                <w:rFonts w:ascii="宋体" w:hAnsi="宋体"/>
                <w:sz w:val="21"/>
              </w:rPr>
            </w:pPr>
            <w:r>
              <w:rPr>
                <w:rFonts w:hint="eastAsia" w:ascii="宋体" w:hAnsi="宋体"/>
                <w:sz w:val="21"/>
              </w:rPr>
              <w:t>安装改造维修资格</w:t>
            </w:r>
          </w:p>
        </w:tc>
        <w:tc>
          <w:tcPr>
            <w:tcW w:w="4637" w:type="dxa"/>
            <w:gridSpan w:val="4"/>
            <w:vAlign w:val="center"/>
          </w:tcPr>
          <w:p w14:paraId="521C8054">
            <w:pPr>
              <w:ind w:firstLine="0" w:firstLineChars="0"/>
              <w:rPr>
                <w:rFonts w:ascii="宋体" w:hAnsi="宋体"/>
                <w:sz w:val="21"/>
              </w:rPr>
            </w:pPr>
            <w:r>
              <w:rPr>
                <w:rFonts w:hint="eastAsia" w:ascii="宋体" w:hAnsi="宋体"/>
                <w:sz w:val="21"/>
              </w:rPr>
              <w:t>(1)安装改造维修许可证</w:t>
            </w:r>
          </w:p>
        </w:tc>
        <w:tc>
          <w:tcPr>
            <w:tcW w:w="966" w:type="dxa"/>
            <w:vAlign w:val="center"/>
          </w:tcPr>
          <w:p w14:paraId="2A74064F">
            <w:pPr>
              <w:ind w:firstLine="0" w:firstLineChars="0"/>
              <w:jc w:val="center"/>
              <w:rPr>
                <w:rFonts w:ascii="宋体" w:hAnsi="宋体"/>
                <w:sz w:val="21"/>
              </w:rPr>
            </w:pPr>
          </w:p>
        </w:tc>
        <w:tc>
          <w:tcPr>
            <w:tcW w:w="921" w:type="dxa"/>
            <w:vAlign w:val="center"/>
          </w:tcPr>
          <w:p w14:paraId="4022DED7">
            <w:pPr>
              <w:ind w:firstLine="0" w:firstLineChars="0"/>
              <w:jc w:val="center"/>
              <w:rPr>
                <w:rFonts w:ascii="宋体" w:hAnsi="宋体"/>
                <w:sz w:val="21"/>
              </w:rPr>
            </w:pPr>
          </w:p>
        </w:tc>
      </w:tr>
      <w:tr w14:paraId="6AB7B8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6390D0C9">
            <w:pPr>
              <w:ind w:firstLine="0" w:firstLineChars="0"/>
              <w:jc w:val="center"/>
              <w:rPr>
                <w:rFonts w:ascii="宋体" w:hAnsi="宋体"/>
                <w:sz w:val="21"/>
              </w:rPr>
            </w:pPr>
            <w:r>
              <w:rPr>
                <w:rFonts w:hint="eastAsia" w:ascii="宋体" w:hAnsi="宋体"/>
                <w:sz w:val="21"/>
              </w:rPr>
              <w:t xml:space="preserve"> 7</w:t>
            </w:r>
          </w:p>
        </w:tc>
        <w:tc>
          <w:tcPr>
            <w:tcW w:w="1373" w:type="dxa"/>
            <w:gridSpan w:val="3"/>
            <w:vMerge w:val="continue"/>
            <w:vAlign w:val="center"/>
          </w:tcPr>
          <w:p w14:paraId="45A6A51B">
            <w:pPr>
              <w:ind w:firstLine="0" w:firstLineChars="0"/>
              <w:jc w:val="center"/>
              <w:rPr>
                <w:rFonts w:ascii="宋体" w:hAnsi="宋体"/>
                <w:sz w:val="21"/>
              </w:rPr>
            </w:pPr>
          </w:p>
        </w:tc>
        <w:tc>
          <w:tcPr>
            <w:tcW w:w="4637" w:type="dxa"/>
            <w:gridSpan w:val="4"/>
            <w:vAlign w:val="center"/>
          </w:tcPr>
          <w:p w14:paraId="2518E0D7">
            <w:pPr>
              <w:ind w:firstLine="0" w:firstLineChars="0"/>
              <w:rPr>
                <w:rFonts w:ascii="宋体" w:hAnsi="宋体"/>
                <w:sz w:val="21"/>
              </w:rPr>
            </w:pPr>
            <w:r>
              <w:rPr>
                <w:rFonts w:hint="eastAsia" w:ascii="宋体" w:hAnsi="宋体"/>
                <w:sz w:val="21"/>
              </w:rPr>
              <w:t>(2)安装改造重大维修告知书</w:t>
            </w:r>
          </w:p>
        </w:tc>
        <w:tc>
          <w:tcPr>
            <w:tcW w:w="966" w:type="dxa"/>
            <w:vAlign w:val="center"/>
          </w:tcPr>
          <w:p w14:paraId="46765E63">
            <w:pPr>
              <w:ind w:firstLine="0" w:firstLineChars="0"/>
              <w:jc w:val="center"/>
              <w:rPr>
                <w:rFonts w:ascii="宋体" w:hAnsi="宋体"/>
                <w:sz w:val="21"/>
              </w:rPr>
            </w:pPr>
          </w:p>
        </w:tc>
        <w:tc>
          <w:tcPr>
            <w:tcW w:w="921" w:type="dxa"/>
            <w:vAlign w:val="center"/>
          </w:tcPr>
          <w:p w14:paraId="460FE457">
            <w:pPr>
              <w:ind w:firstLine="0" w:firstLineChars="0"/>
              <w:jc w:val="center"/>
              <w:rPr>
                <w:rFonts w:ascii="宋体" w:hAnsi="宋体"/>
                <w:sz w:val="21"/>
              </w:rPr>
            </w:pPr>
          </w:p>
        </w:tc>
      </w:tr>
      <w:tr w14:paraId="315EBE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252AC068">
            <w:pPr>
              <w:ind w:firstLine="0" w:firstLineChars="0"/>
              <w:jc w:val="center"/>
              <w:rPr>
                <w:rFonts w:ascii="宋体" w:hAnsi="宋体"/>
                <w:sz w:val="21"/>
              </w:rPr>
            </w:pPr>
            <w:r>
              <w:rPr>
                <w:rFonts w:hint="eastAsia" w:ascii="宋体" w:hAnsi="宋体"/>
                <w:sz w:val="21"/>
              </w:rPr>
              <w:t xml:space="preserve"> 8</w:t>
            </w:r>
          </w:p>
        </w:tc>
        <w:tc>
          <w:tcPr>
            <w:tcW w:w="1373" w:type="dxa"/>
            <w:gridSpan w:val="3"/>
            <w:vMerge w:val="continue"/>
            <w:vAlign w:val="center"/>
          </w:tcPr>
          <w:p w14:paraId="74241FF5">
            <w:pPr>
              <w:ind w:firstLine="0" w:firstLineChars="0"/>
              <w:jc w:val="center"/>
              <w:rPr>
                <w:rFonts w:ascii="宋体" w:hAnsi="宋体"/>
                <w:sz w:val="21"/>
              </w:rPr>
            </w:pPr>
          </w:p>
        </w:tc>
        <w:tc>
          <w:tcPr>
            <w:tcW w:w="4637" w:type="dxa"/>
            <w:gridSpan w:val="4"/>
            <w:vAlign w:val="center"/>
          </w:tcPr>
          <w:p w14:paraId="28EAF377">
            <w:pPr>
              <w:ind w:firstLine="0" w:firstLineChars="0"/>
              <w:rPr>
                <w:rFonts w:ascii="宋体" w:hAnsi="宋体"/>
                <w:sz w:val="21"/>
              </w:rPr>
            </w:pPr>
            <w:r>
              <w:rPr>
                <w:rFonts w:hint="eastAsia" w:ascii="宋体" w:hAnsi="宋体"/>
                <w:sz w:val="21"/>
              </w:rPr>
              <w:t>(3)现场安装改造维修作业人员的资格证件</w:t>
            </w:r>
          </w:p>
        </w:tc>
        <w:tc>
          <w:tcPr>
            <w:tcW w:w="966" w:type="dxa"/>
            <w:vAlign w:val="center"/>
          </w:tcPr>
          <w:p w14:paraId="588AE0A4">
            <w:pPr>
              <w:ind w:firstLine="0" w:firstLineChars="0"/>
              <w:jc w:val="center"/>
              <w:rPr>
                <w:rFonts w:ascii="宋体" w:hAnsi="宋体"/>
                <w:sz w:val="21"/>
              </w:rPr>
            </w:pPr>
          </w:p>
        </w:tc>
        <w:tc>
          <w:tcPr>
            <w:tcW w:w="921" w:type="dxa"/>
            <w:vAlign w:val="center"/>
          </w:tcPr>
          <w:p w14:paraId="62D8C732">
            <w:pPr>
              <w:ind w:firstLine="0" w:firstLineChars="0"/>
              <w:jc w:val="center"/>
              <w:rPr>
                <w:rFonts w:ascii="宋体" w:hAnsi="宋体"/>
                <w:sz w:val="21"/>
              </w:rPr>
            </w:pPr>
          </w:p>
        </w:tc>
      </w:tr>
      <w:tr w14:paraId="0EC2BA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1AB67FF7">
            <w:pPr>
              <w:ind w:firstLine="0" w:firstLineChars="0"/>
              <w:jc w:val="center"/>
              <w:rPr>
                <w:rFonts w:ascii="宋体" w:hAnsi="宋体"/>
                <w:sz w:val="21"/>
              </w:rPr>
            </w:pPr>
            <w:r>
              <w:rPr>
                <w:rFonts w:hint="eastAsia" w:ascii="宋体" w:hAnsi="宋体"/>
                <w:sz w:val="21"/>
              </w:rPr>
              <w:t xml:space="preserve"> 9</w:t>
            </w:r>
          </w:p>
        </w:tc>
        <w:tc>
          <w:tcPr>
            <w:tcW w:w="6010" w:type="dxa"/>
            <w:gridSpan w:val="7"/>
            <w:vAlign w:val="center"/>
          </w:tcPr>
          <w:p w14:paraId="6657D5DC">
            <w:pPr>
              <w:ind w:firstLine="0" w:firstLineChars="0"/>
              <w:rPr>
                <w:rFonts w:ascii="宋体" w:hAnsi="宋体"/>
                <w:sz w:val="21"/>
              </w:rPr>
            </w:pPr>
            <w:r>
              <w:rPr>
                <w:rFonts w:hint="eastAsia" w:ascii="宋体" w:hAnsi="宋体"/>
                <w:sz w:val="21"/>
              </w:rPr>
              <w:t xml:space="preserve"> 施工作业（工艺）文件</w:t>
            </w:r>
          </w:p>
        </w:tc>
        <w:tc>
          <w:tcPr>
            <w:tcW w:w="966" w:type="dxa"/>
            <w:vAlign w:val="center"/>
          </w:tcPr>
          <w:p w14:paraId="52B43C6D">
            <w:pPr>
              <w:ind w:firstLine="0" w:firstLineChars="0"/>
              <w:jc w:val="center"/>
              <w:rPr>
                <w:rFonts w:ascii="宋体" w:hAnsi="宋体"/>
                <w:sz w:val="21"/>
              </w:rPr>
            </w:pPr>
          </w:p>
        </w:tc>
        <w:tc>
          <w:tcPr>
            <w:tcW w:w="921" w:type="dxa"/>
            <w:vAlign w:val="center"/>
          </w:tcPr>
          <w:p w14:paraId="677F03D4">
            <w:pPr>
              <w:ind w:firstLine="0" w:firstLineChars="0"/>
              <w:jc w:val="center"/>
              <w:rPr>
                <w:rFonts w:ascii="宋体" w:hAnsi="宋体"/>
                <w:sz w:val="21"/>
              </w:rPr>
            </w:pPr>
          </w:p>
        </w:tc>
      </w:tr>
      <w:tr w14:paraId="74146F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5F87FB90">
            <w:pPr>
              <w:ind w:firstLine="0" w:firstLineChars="0"/>
              <w:jc w:val="center"/>
              <w:rPr>
                <w:rFonts w:ascii="宋体" w:hAnsi="宋体"/>
                <w:sz w:val="21"/>
              </w:rPr>
            </w:pPr>
            <w:r>
              <w:rPr>
                <w:rFonts w:hint="eastAsia" w:ascii="宋体" w:hAnsi="宋体"/>
                <w:sz w:val="21"/>
              </w:rPr>
              <w:t>10</w:t>
            </w:r>
          </w:p>
        </w:tc>
        <w:tc>
          <w:tcPr>
            <w:tcW w:w="1373" w:type="dxa"/>
            <w:gridSpan w:val="3"/>
            <w:vMerge w:val="restart"/>
            <w:vAlign w:val="center"/>
          </w:tcPr>
          <w:p w14:paraId="7ECABB7E">
            <w:pPr>
              <w:ind w:firstLine="0" w:firstLineChars="0"/>
              <w:rPr>
                <w:rFonts w:ascii="宋体" w:hAnsi="宋体"/>
                <w:sz w:val="21"/>
              </w:rPr>
            </w:pPr>
            <w:r>
              <w:rPr>
                <w:rFonts w:hint="eastAsia" w:ascii="宋体" w:hAnsi="宋体"/>
                <w:sz w:val="21"/>
              </w:rPr>
              <w:t>现场施工条件</w:t>
            </w:r>
          </w:p>
        </w:tc>
        <w:tc>
          <w:tcPr>
            <w:tcW w:w="4637" w:type="dxa"/>
            <w:gridSpan w:val="4"/>
            <w:vAlign w:val="center"/>
          </w:tcPr>
          <w:p w14:paraId="4287DE77">
            <w:pPr>
              <w:ind w:firstLine="0" w:firstLineChars="0"/>
              <w:rPr>
                <w:rFonts w:ascii="宋体" w:hAnsi="宋体"/>
                <w:sz w:val="21"/>
              </w:rPr>
            </w:pPr>
            <w:r>
              <w:rPr>
                <w:rFonts w:hint="eastAsia" w:ascii="宋体" w:hAnsi="宋体"/>
                <w:sz w:val="21"/>
              </w:rPr>
              <w:t>(1)基础验收证明</w:t>
            </w:r>
          </w:p>
        </w:tc>
        <w:tc>
          <w:tcPr>
            <w:tcW w:w="966" w:type="dxa"/>
            <w:vAlign w:val="center"/>
          </w:tcPr>
          <w:p w14:paraId="716E4149">
            <w:pPr>
              <w:ind w:firstLine="0" w:firstLineChars="0"/>
              <w:jc w:val="center"/>
              <w:rPr>
                <w:rFonts w:ascii="宋体" w:hAnsi="宋体"/>
                <w:sz w:val="21"/>
              </w:rPr>
            </w:pPr>
          </w:p>
        </w:tc>
        <w:tc>
          <w:tcPr>
            <w:tcW w:w="921" w:type="dxa"/>
            <w:vAlign w:val="center"/>
          </w:tcPr>
          <w:p w14:paraId="2DCB875B">
            <w:pPr>
              <w:ind w:firstLine="0" w:firstLineChars="0"/>
              <w:jc w:val="center"/>
              <w:rPr>
                <w:rFonts w:ascii="宋体" w:hAnsi="宋体"/>
                <w:sz w:val="21"/>
              </w:rPr>
            </w:pPr>
          </w:p>
        </w:tc>
      </w:tr>
      <w:tr w14:paraId="02CEE5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4EF3FF2A">
            <w:pPr>
              <w:ind w:firstLine="0" w:firstLineChars="0"/>
              <w:jc w:val="center"/>
              <w:rPr>
                <w:rFonts w:ascii="宋体" w:hAnsi="宋体"/>
                <w:sz w:val="21"/>
              </w:rPr>
            </w:pPr>
            <w:r>
              <w:rPr>
                <w:rFonts w:hint="eastAsia" w:ascii="宋体" w:hAnsi="宋体"/>
                <w:sz w:val="21"/>
              </w:rPr>
              <w:t>11</w:t>
            </w:r>
          </w:p>
        </w:tc>
        <w:tc>
          <w:tcPr>
            <w:tcW w:w="1373" w:type="dxa"/>
            <w:gridSpan w:val="3"/>
            <w:vMerge w:val="continue"/>
            <w:vAlign w:val="center"/>
          </w:tcPr>
          <w:p w14:paraId="0190BAEA">
            <w:pPr>
              <w:ind w:firstLine="0" w:firstLineChars="0"/>
              <w:rPr>
                <w:rFonts w:ascii="宋体" w:hAnsi="宋体"/>
                <w:sz w:val="21"/>
              </w:rPr>
            </w:pPr>
          </w:p>
        </w:tc>
        <w:tc>
          <w:tcPr>
            <w:tcW w:w="4637" w:type="dxa"/>
            <w:gridSpan w:val="4"/>
            <w:vAlign w:val="center"/>
          </w:tcPr>
          <w:p w14:paraId="285F4F84">
            <w:pPr>
              <w:ind w:firstLine="0" w:firstLineChars="0"/>
              <w:rPr>
                <w:rFonts w:ascii="宋体" w:hAnsi="宋体"/>
                <w:sz w:val="21"/>
              </w:rPr>
            </w:pPr>
            <w:r>
              <w:rPr>
                <w:rFonts w:hint="eastAsia" w:ascii="宋体" w:hAnsi="宋体"/>
                <w:sz w:val="21"/>
              </w:rPr>
              <w:t xml:space="preserve">(2)安全距离和红色障碍灯 </w:t>
            </w:r>
          </w:p>
        </w:tc>
        <w:tc>
          <w:tcPr>
            <w:tcW w:w="966" w:type="dxa"/>
            <w:vAlign w:val="center"/>
          </w:tcPr>
          <w:p w14:paraId="6B7A50BF">
            <w:pPr>
              <w:ind w:firstLine="0" w:firstLineChars="0"/>
              <w:jc w:val="center"/>
              <w:rPr>
                <w:rFonts w:ascii="宋体" w:hAnsi="宋体"/>
                <w:sz w:val="21"/>
              </w:rPr>
            </w:pPr>
          </w:p>
        </w:tc>
        <w:tc>
          <w:tcPr>
            <w:tcW w:w="921" w:type="dxa"/>
            <w:vAlign w:val="center"/>
          </w:tcPr>
          <w:p w14:paraId="4E7893E7">
            <w:pPr>
              <w:ind w:firstLine="0" w:firstLineChars="0"/>
              <w:jc w:val="center"/>
              <w:rPr>
                <w:rFonts w:ascii="宋体" w:hAnsi="宋体"/>
                <w:sz w:val="21"/>
              </w:rPr>
            </w:pPr>
          </w:p>
        </w:tc>
      </w:tr>
      <w:tr w14:paraId="1D74A5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56417EC4">
            <w:pPr>
              <w:ind w:firstLine="0" w:firstLineChars="0"/>
              <w:jc w:val="center"/>
              <w:rPr>
                <w:rFonts w:ascii="宋体" w:hAnsi="宋体"/>
                <w:sz w:val="21"/>
              </w:rPr>
            </w:pPr>
            <w:r>
              <w:rPr>
                <w:rFonts w:hint="eastAsia" w:ascii="宋体" w:hAnsi="宋体"/>
                <w:sz w:val="21"/>
              </w:rPr>
              <w:t>12</w:t>
            </w:r>
          </w:p>
        </w:tc>
        <w:tc>
          <w:tcPr>
            <w:tcW w:w="1373" w:type="dxa"/>
            <w:gridSpan w:val="3"/>
            <w:vMerge w:val="restart"/>
            <w:vAlign w:val="center"/>
          </w:tcPr>
          <w:p w14:paraId="29A91394">
            <w:pPr>
              <w:ind w:firstLine="0" w:firstLineChars="0"/>
              <w:rPr>
                <w:rFonts w:ascii="宋体" w:hAnsi="宋体"/>
                <w:sz w:val="21"/>
              </w:rPr>
            </w:pPr>
            <w:r>
              <w:rPr>
                <w:rFonts w:hint="eastAsia" w:ascii="宋体" w:hAnsi="宋体"/>
                <w:sz w:val="21"/>
              </w:rPr>
              <w:t>部件施工前检验</w:t>
            </w:r>
          </w:p>
        </w:tc>
        <w:tc>
          <w:tcPr>
            <w:tcW w:w="4637" w:type="dxa"/>
            <w:gridSpan w:val="4"/>
            <w:vAlign w:val="center"/>
          </w:tcPr>
          <w:p w14:paraId="5660CE3C">
            <w:pPr>
              <w:ind w:firstLine="0" w:firstLineChars="0"/>
              <w:rPr>
                <w:rFonts w:ascii="宋体" w:hAnsi="宋体"/>
                <w:sz w:val="21"/>
              </w:rPr>
            </w:pPr>
            <w:r>
              <w:rPr>
                <w:rFonts w:hint="eastAsia" w:ascii="宋体" w:hAnsi="宋体"/>
                <w:sz w:val="21"/>
              </w:rPr>
              <w:t>(1)主要零部件合格证、铭牌</w:t>
            </w:r>
          </w:p>
        </w:tc>
        <w:tc>
          <w:tcPr>
            <w:tcW w:w="966" w:type="dxa"/>
            <w:vAlign w:val="center"/>
          </w:tcPr>
          <w:p w14:paraId="5AD4B9D9">
            <w:pPr>
              <w:ind w:firstLine="0" w:firstLineChars="0"/>
              <w:jc w:val="center"/>
              <w:rPr>
                <w:rFonts w:ascii="宋体" w:hAnsi="宋体"/>
                <w:sz w:val="21"/>
              </w:rPr>
            </w:pPr>
          </w:p>
        </w:tc>
        <w:tc>
          <w:tcPr>
            <w:tcW w:w="921" w:type="dxa"/>
            <w:vAlign w:val="center"/>
          </w:tcPr>
          <w:p w14:paraId="2DEAA2CF">
            <w:pPr>
              <w:ind w:firstLine="0" w:firstLineChars="0"/>
              <w:jc w:val="center"/>
              <w:rPr>
                <w:rFonts w:ascii="宋体" w:hAnsi="宋体"/>
                <w:sz w:val="21"/>
              </w:rPr>
            </w:pPr>
          </w:p>
        </w:tc>
      </w:tr>
      <w:tr w14:paraId="1E1ED0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1EEC08D6">
            <w:pPr>
              <w:ind w:firstLine="0" w:firstLineChars="0"/>
              <w:jc w:val="center"/>
              <w:rPr>
                <w:rFonts w:ascii="宋体" w:hAnsi="宋体"/>
                <w:sz w:val="21"/>
              </w:rPr>
            </w:pPr>
            <w:r>
              <w:rPr>
                <w:rFonts w:hint="eastAsia" w:ascii="宋体" w:hAnsi="宋体"/>
                <w:sz w:val="21"/>
              </w:rPr>
              <w:t>13</w:t>
            </w:r>
          </w:p>
        </w:tc>
        <w:tc>
          <w:tcPr>
            <w:tcW w:w="1373" w:type="dxa"/>
            <w:gridSpan w:val="3"/>
            <w:vMerge w:val="continue"/>
            <w:vAlign w:val="center"/>
          </w:tcPr>
          <w:p w14:paraId="601BC6EB">
            <w:pPr>
              <w:ind w:firstLine="0" w:firstLineChars="0"/>
              <w:rPr>
                <w:rFonts w:ascii="宋体" w:hAnsi="宋体"/>
                <w:sz w:val="21"/>
              </w:rPr>
            </w:pPr>
          </w:p>
        </w:tc>
        <w:tc>
          <w:tcPr>
            <w:tcW w:w="4637" w:type="dxa"/>
            <w:gridSpan w:val="4"/>
            <w:vAlign w:val="center"/>
          </w:tcPr>
          <w:p w14:paraId="24AB02A9">
            <w:pPr>
              <w:ind w:firstLine="0" w:firstLineChars="0"/>
              <w:rPr>
                <w:rFonts w:ascii="宋体" w:hAnsi="宋体"/>
                <w:sz w:val="21"/>
              </w:rPr>
            </w:pPr>
            <w:r>
              <w:rPr>
                <w:rFonts w:hint="eastAsia" w:ascii="宋体" w:hAnsi="宋体"/>
                <w:sz w:val="21"/>
              </w:rPr>
              <w:t>(2) 安全保护装置合格证、铭牌、型式试验证明</w:t>
            </w:r>
          </w:p>
        </w:tc>
        <w:tc>
          <w:tcPr>
            <w:tcW w:w="966" w:type="dxa"/>
            <w:vAlign w:val="center"/>
          </w:tcPr>
          <w:p w14:paraId="4F91C657">
            <w:pPr>
              <w:ind w:firstLine="0" w:firstLineChars="0"/>
              <w:jc w:val="center"/>
              <w:rPr>
                <w:rFonts w:ascii="宋体" w:hAnsi="宋体"/>
                <w:sz w:val="21"/>
              </w:rPr>
            </w:pPr>
          </w:p>
        </w:tc>
        <w:tc>
          <w:tcPr>
            <w:tcW w:w="921" w:type="dxa"/>
            <w:vAlign w:val="center"/>
          </w:tcPr>
          <w:p w14:paraId="2672D33F">
            <w:pPr>
              <w:ind w:firstLine="0" w:firstLineChars="0"/>
              <w:jc w:val="center"/>
              <w:rPr>
                <w:rFonts w:ascii="宋体" w:hAnsi="宋体"/>
                <w:sz w:val="21"/>
              </w:rPr>
            </w:pPr>
          </w:p>
        </w:tc>
      </w:tr>
      <w:tr w14:paraId="747B7F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1F4416C3">
            <w:pPr>
              <w:ind w:firstLine="0" w:firstLineChars="0"/>
              <w:jc w:val="center"/>
              <w:rPr>
                <w:rFonts w:ascii="宋体" w:hAnsi="宋体"/>
                <w:sz w:val="21"/>
              </w:rPr>
            </w:pPr>
            <w:r>
              <w:rPr>
                <w:rFonts w:hint="eastAsia" w:ascii="宋体" w:hAnsi="宋体"/>
                <w:sz w:val="21"/>
              </w:rPr>
              <w:t>14</w:t>
            </w:r>
          </w:p>
        </w:tc>
        <w:tc>
          <w:tcPr>
            <w:tcW w:w="1373" w:type="dxa"/>
            <w:gridSpan w:val="3"/>
            <w:vMerge w:val="continue"/>
            <w:vAlign w:val="center"/>
          </w:tcPr>
          <w:p w14:paraId="1229E7B2">
            <w:pPr>
              <w:ind w:firstLine="0" w:firstLineChars="0"/>
              <w:rPr>
                <w:rFonts w:ascii="宋体" w:hAnsi="宋体"/>
                <w:sz w:val="21"/>
              </w:rPr>
            </w:pPr>
          </w:p>
        </w:tc>
        <w:tc>
          <w:tcPr>
            <w:tcW w:w="4637" w:type="dxa"/>
            <w:gridSpan w:val="4"/>
            <w:vAlign w:val="center"/>
          </w:tcPr>
          <w:p w14:paraId="6CAA5B9F">
            <w:pPr>
              <w:ind w:firstLine="0" w:firstLineChars="0"/>
              <w:rPr>
                <w:rFonts w:ascii="宋体" w:hAnsi="宋体"/>
                <w:sz w:val="21"/>
              </w:rPr>
            </w:pPr>
            <w:r>
              <w:rPr>
                <w:rFonts w:hint="eastAsia" w:ascii="宋体" w:hAnsi="宋体"/>
                <w:sz w:val="21"/>
              </w:rPr>
              <w:t>(3)主要受力结构件主要几何尺寸</w:t>
            </w:r>
          </w:p>
        </w:tc>
        <w:tc>
          <w:tcPr>
            <w:tcW w:w="966" w:type="dxa"/>
            <w:vAlign w:val="center"/>
          </w:tcPr>
          <w:p w14:paraId="5E89D94C">
            <w:pPr>
              <w:ind w:firstLine="0" w:firstLineChars="0"/>
              <w:jc w:val="center"/>
              <w:rPr>
                <w:rFonts w:ascii="宋体" w:hAnsi="宋体"/>
                <w:sz w:val="21"/>
              </w:rPr>
            </w:pPr>
          </w:p>
        </w:tc>
        <w:tc>
          <w:tcPr>
            <w:tcW w:w="921" w:type="dxa"/>
            <w:vAlign w:val="center"/>
          </w:tcPr>
          <w:p w14:paraId="6962203C">
            <w:pPr>
              <w:ind w:firstLine="0" w:firstLineChars="0"/>
              <w:jc w:val="center"/>
              <w:rPr>
                <w:rFonts w:ascii="宋体" w:hAnsi="宋体"/>
                <w:sz w:val="21"/>
              </w:rPr>
            </w:pPr>
          </w:p>
        </w:tc>
      </w:tr>
      <w:tr w14:paraId="61124F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40DD0C0D">
            <w:pPr>
              <w:ind w:firstLine="0" w:firstLineChars="0"/>
              <w:jc w:val="center"/>
              <w:rPr>
                <w:rFonts w:ascii="宋体" w:hAnsi="宋体"/>
                <w:sz w:val="21"/>
              </w:rPr>
            </w:pPr>
            <w:r>
              <w:rPr>
                <w:rFonts w:hint="eastAsia" w:ascii="宋体" w:hAnsi="宋体"/>
                <w:sz w:val="21"/>
              </w:rPr>
              <w:t>15</w:t>
            </w:r>
          </w:p>
        </w:tc>
        <w:tc>
          <w:tcPr>
            <w:tcW w:w="1373" w:type="dxa"/>
            <w:gridSpan w:val="3"/>
            <w:vMerge w:val="restart"/>
            <w:vAlign w:val="center"/>
          </w:tcPr>
          <w:p w14:paraId="7B24153A">
            <w:pPr>
              <w:ind w:firstLine="0" w:firstLineChars="0"/>
              <w:rPr>
                <w:rFonts w:ascii="宋体" w:hAnsi="宋体"/>
                <w:sz w:val="21"/>
              </w:rPr>
            </w:pPr>
            <w:r>
              <w:rPr>
                <w:rFonts w:hint="eastAsia" w:ascii="宋体" w:hAnsi="宋体"/>
                <w:sz w:val="21"/>
              </w:rPr>
              <w:t>主要零部件施工过程与施工后检验</w:t>
            </w:r>
          </w:p>
        </w:tc>
        <w:tc>
          <w:tcPr>
            <w:tcW w:w="4637" w:type="dxa"/>
            <w:gridSpan w:val="4"/>
            <w:vAlign w:val="center"/>
          </w:tcPr>
          <w:p w14:paraId="324F4F5A">
            <w:pPr>
              <w:ind w:firstLine="0" w:firstLineChars="0"/>
              <w:rPr>
                <w:rFonts w:ascii="宋体" w:hAnsi="宋体"/>
                <w:sz w:val="21"/>
              </w:rPr>
            </w:pPr>
            <w:r>
              <w:rPr>
                <w:rFonts w:hint="eastAsia" w:ascii="宋体" w:hAnsi="宋体"/>
                <w:sz w:val="21"/>
              </w:rPr>
              <w:t>(1)主要受力结构件连接</w:t>
            </w:r>
          </w:p>
        </w:tc>
        <w:tc>
          <w:tcPr>
            <w:tcW w:w="966" w:type="dxa"/>
            <w:vAlign w:val="center"/>
          </w:tcPr>
          <w:p w14:paraId="27A3FE26">
            <w:pPr>
              <w:ind w:firstLine="0" w:firstLineChars="0"/>
              <w:rPr>
                <w:rFonts w:ascii="宋体" w:hAnsi="宋体"/>
                <w:sz w:val="21"/>
              </w:rPr>
            </w:pPr>
          </w:p>
        </w:tc>
        <w:tc>
          <w:tcPr>
            <w:tcW w:w="921" w:type="dxa"/>
            <w:vAlign w:val="center"/>
          </w:tcPr>
          <w:p w14:paraId="5959B219">
            <w:pPr>
              <w:ind w:firstLine="0" w:firstLineChars="0"/>
              <w:rPr>
                <w:rFonts w:ascii="宋体" w:hAnsi="宋体"/>
                <w:sz w:val="21"/>
              </w:rPr>
            </w:pPr>
          </w:p>
        </w:tc>
      </w:tr>
      <w:tr w14:paraId="34B8EA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166FD475">
            <w:pPr>
              <w:ind w:firstLine="0" w:firstLineChars="0"/>
              <w:jc w:val="center"/>
              <w:rPr>
                <w:rFonts w:ascii="宋体" w:hAnsi="宋体"/>
                <w:sz w:val="21"/>
              </w:rPr>
            </w:pPr>
            <w:r>
              <w:rPr>
                <w:rFonts w:hint="eastAsia" w:ascii="宋体" w:hAnsi="宋体"/>
                <w:sz w:val="21"/>
              </w:rPr>
              <w:t>16</w:t>
            </w:r>
          </w:p>
        </w:tc>
        <w:tc>
          <w:tcPr>
            <w:tcW w:w="1373" w:type="dxa"/>
            <w:gridSpan w:val="3"/>
            <w:vMerge w:val="continue"/>
            <w:vAlign w:val="center"/>
          </w:tcPr>
          <w:p w14:paraId="5B365675">
            <w:pPr>
              <w:ind w:firstLine="0" w:firstLineChars="0"/>
              <w:jc w:val="center"/>
              <w:rPr>
                <w:rFonts w:ascii="宋体" w:hAnsi="宋体"/>
                <w:sz w:val="21"/>
              </w:rPr>
            </w:pPr>
          </w:p>
        </w:tc>
        <w:tc>
          <w:tcPr>
            <w:tcW w:w="4637" w:type="dxa"/>
            <w:gridSpan w:val="4"/>
            <w:vAlign w:val="center"/>
          </w:tcPr>
          <w:p w14:paraId="4E9FAB0F">
            <w:pPr>
              <w:ind w:firstLine="0" w:firstLineChars="0"/>
              <w:rPr>
                <w:rFonts w:ascii="宋体" w:hAnsi="宋体"/>
                <w:sz w:val="21"/>
              </w:rPr>
            </w:pPr>
            <w:r>
              <w:rPr>
                <w:rFonts w:hint="eastAsia" w:ascii="宋体" w:hAnsi="宋体"/>
                <w:sz w:val="21"/>
              </w:rPr>
              <w:t>(2)施工后主要受力结构件的主要几何尺寸</w:t>
            </w:r>
          </w:p>
        </w:tc>
        <w:tc>
          <w:tcPr>
            <w:tcW w:w="966" w:type="dxa"/>
            <w:vAlign w:val="center"/>
          </w:tcPr>
          <w:p w14:paraId="5E722F25">
            <w:pPr>
              <w:ind w:firstLine="0" w:firstLineChars="0"/>
              <w:jc w:val="center"/>
              <w:rPr>
                <w:rFonts w:ascii="宋体" w:hAnsi="宋体"/>
                <w:sz w:val="21"/>
              </w:rPr>
            </w:pPr>
          </w:p>
        </w:tc>
        <w:tc>
          <w:tcPr>
            <w:tcW w:w="921" w:type="dxa"/>
            <w:vAlign w:val="center"/>
          </w:tcPr>
          <w:p w14:paraId="5D879055">
            <w:pPr>
              <w:ind w:firstLine="0" w:firstLineChars="0"/>
              <w:jc w:val="center"/>
              <w:rPr>
                <w:rFonts w:ascii="宋体" w:hAnsi="宋体"/>
                <w:sz w:val="21"/>
              </w:rPr>
            </w:pPr>
          </w:p>
        </w:tc>
      </w:tr>
      <w:tr w14:paraId="1ED317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3501EC4F">
            <w:pPr>
              <w:ind w:firstLine="0" w:firstLineChars="0"/>
              <w:jc w:val="center"/>
              <w:rPr>
                <w:rFonts w:ascii="宋体" w:hAnsi="宋体"/>
                <w:sz w:val="21"/>
              </w:rPr>
            </w:pPr>
            <w:r>
              <w:rPr>
                <w:rFonts w:hint="eastAsia" w:ascii="宋体" w:hAnsi="宋体"/>
                <w:sz w:val="21"/>
              </w:rPr>
              <w:t>17</w:t>
            </w:r>
          </w:p>
        </w:tc>
        <w:tc>
          <w:tcPr>
            <w:tcW w:w="1373" w:type="dxa"/>
            <w:gridSpan w:val="3"/>
            <w:vMerge w:val="continue"/>
            <w:vAlign w:val="center"/>
          </w:tcPr>
          <w:p w14:paraId="25D36619">
            <w:pPr>
              <w:ind w:firstLine="0" w:firstLineChars="0"/>
              <w:jc w:val="center"/>
              <w:rPr>
                <w:rFonts w:ascii="宋体" w:hAnsi="宋体"/>
                <w:sz w:val="21"/>
              </w:rPr>
            </w:pPr>
          </w:p>
        </w:tc>
        <w:tc>
          <w:tcPr>
            <w:tcW w:w="4637" w:type="dxa"/>
            <w:gridSpan w:val="4"/>
            <w:vAlign w:val="center"/>
          </w:tcPr>
          <w:p w14:paraId="3A0086ED">
            <w:pPr>
              <w:ind w:firstLine="0" w:firstLineChars="0"/>
              <w:rPr>
                <w:rFonts w:ascii="宋体" w:hAnsi="宋体"/>
                <w:sz w:val="21"/>
              </w:rPr>
            </w:pPr>
            <w:r>
              <w:rPr>
                <w:rFonts w:hint="eastAsia" w:ascii="宋体" w:hAnsi="宋体"/>
                <w:sz w:val="21"/>
              </w:rPr>
              <w:t>(3)钢丝绳及其连接、吊具、滑轮组、卷筒</w:t>
            </w:r>
          </w:p>
        </w:tc>
        <w:tc>
          <w:tcPr>
            <w:tcW w:w="966" w:type="dxa"/>
            <w:vAlign w:val="center"/>
          </w:tcPr>
          <w:p w14:paraId="414514A1">
            <w:pPr>
              <w:ind w:firstLine="0" w:firstLineChars="0"/>
              <w:jc w:val="center"/>
              <w:rPr>
                <w:rFonts w:ascii="宋体" w:hAnsi="宋体"/>
                <w:sz w:val="21"/>
              </w:rPr>
            </w:pPr>
          </w:p>
        </w:tc>
        <w:tc>
          <w:tcPr>
            <w:tcW w:w="921" w:type="dxa"/>
            <w:vAlign w:val="center"/>
          </w:tcPr>
          <w:p w14:paraId="123538DC">
            <w:pPr>
              <w:ind w:firstLine="0" w:firstLineChars="0"/>
              <w:jc w:val="center"/>
              <w:rPr>
                <w:rFonts w:ascii="宋体" w:hAnsi="宋体"/>
                <w:sz w:val="21"/>
              </w:rPr>
            </w:pPr>
          </w:p>
        </w:tc>
      </w:tr>
      <w:tr w14:paraId="7D11E6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233E4ED0">
            <w:pPr>
              <w:ind w:firstLine="0" w:firstLineChars="0"/>
              <w:jc w:val="center"/>
              <w:rPr>
                <w:rFonts w:ascii="宋体" w:hAnsi="宋体"/>
                <w:sz w:val="21"/>
              </w:rPr>
            </w:pPr>
            <w:r>
              <w:rPr>
                <w:rFonts w:hint="eastAsia" w:ascii="宋体" w:hAnsi="宋体"/>
                <w:sz w:val="21"/>
              </w:rPr>
              <w:t>18</w:t>
            </w:r>
          </w:p>
        </w:tc>
        <w:tc>
          <w:tcPr>
            <w:tcW w:w="1373" w:type="dxa"/>
            <w:gridSpan w:val="3"/>
            <w:vMerge w:val="continue"/>
            <w:vAlign w:val="center"/>
          </w:tcPr>
          <w:p w14:paraId="28623471">
            <w:pPr>
              <w:ind w:firstLine="0" w:firstLineChars="0"/>
              <w:jc w:val="center"/>
              <w:rPr>
                <w:rFonts w:ascii="宋体" w:hAnsi="宋体"/>
                <w:sz w:val="21"/>
              </w:rPr>
            </w:pPr>
          </w:p>
        </w:tc>
        <w:tc>
          <w:tcPr>
            <w:tcW w:w="4637" w:type="dxa"/>
            <w:gridSpan w:val="4"/>
            <w:vAlign w:val="center"/>
          </w:tcPr>
          <w:p w14:paraId="5A829357">
            <w:pPr>
              <w:ind w:firstLine="0" w:firstLineChars="0"/>
              <w:rPr>
                <w:rFonts w:ascii="宋体" w:hAnsi="宋体"/>
                <w:sz w:val="21"/>
              </w:rPr>
            </w:pPr>
            <w:r>
              <w:rPr>
                <w:rFonts w:hint="eastAsia" w:ascii="宋体" w:hAnsi="宋体"/>
                <w:sz w:val="21"/>
              </w:rPr>
              <w:t>(4)安全警示标识</w:t>
            </w:r>
          </w:p>
        </w:tc>
        <w:tc>
          <w:tcPr>
            <w:tcW w:w="966" w:type="dxa"/>
            <w:vAlign w:val="center"/>
          </w:tcPr>
          <w:p w14:paraId="5E5B4499">
            <w:pPr>
              <w:ind w:firstLine="0" w:firstLineChars="0"/>
              <w:jc w:val="center"/>
              <w:rPr>
                <w:rFonts w:ascii="宋体" w:hAnsi="宋体"/>
                <w:sz w:val="21"/>
              </w:rPr>
            </w:pPr>
          </w:p>
        </w:tc>
        <w:tc>
          <w:tcPr>
            <w:tcW w:w="921" w:type="dxa"/>
            <w:vAlign w:val="center"/>
          </w:tcPr>
          <w:p w14:paraId="6E63932C">
            <w:pPr>
              <w:ind w:firstLine="0" w:firstLineChars="0"/>
              <w:jc w:val="center"/>
              <w:rPr>
                <w:rFonts w:ascii="宋体" w:hAnsi="宋体"/>
                <w:sz w:val="21"/>
              </w:rPr>
            </w:pPr>
          </w:p>
        </w:tc>
      </w:tr>
      <w:tr w14:paraId="5E9FDC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32D45016">
            <w:pPr>
              <w:ind w:firstLine="0" w:firstLineChars="0"/>
              <w:jc w:val="center"/>
              <w:rPr>
                <w:rFonts w:ascii="宋体" w:hAnsi="宋体"/>
                <w:sz w:val="21"/>
              </w:rPr>
            </w:pPr>
            <w:r>
              <w:rPr>
                <w:rFonts w:hint="eastAsia" w:ascii="宋体" w:hAnsi="宋体"/>
                <w:sz w:val="21"/>
              </w:rPr>
              <w:t>19</w:t>
            </w:r>
          </w:p>
        </w:tc>
        <w:tc>
          <w:tcPr>
            <w:tcW w:w="607" w:type="dxa"/>
            <w:vMerge w:val="restart"/>
            <w:vAlign w:val="center"/>
          </w:tcPr>
          <w:p w14:paraId="161134EF">
            <w:pPr>
              <w:ind w:firstLine="0" w:firstLineChars="0"/>
              <w:rPr>
                <w:rFonts w:ascii="宋体" w:hAnsi="宋体"/>
                <w:sz w:val="21"/>
              </w:rPr>
            </w:pPr>
            <w:r>
              <w:rPr>
                <w:rFonts w:hint="eastAsia" w:ascii="宋体" w:hAnsi="宋体"/>
                <w:sz w:val="21"/>
              </w:rPr>
              <w:t>电气与控制系统检验</w:t>
            </w:r>
          </w:p>
        </w:tc>
        <w:tc>
          <w:tcPr>
            <w:tcW w:w="5403" w:type="dxa"/>
            <w:gridSpan w:val="6"/>
            <w:vAlign w:val="center"/>
          </w:tcPr>
          <w:p w14:paraId="2D287F9B">
            <w:pPr>
              <w:ind w:firstLine="0" w:firstLineChars="0"/>
              <w:rPr>
                <w:rFonts w:ascii="宋体" w:hAnsi="宋体"/>
                <w:sz w:val="21"/>
              </w:rPr>
            </w:pPr>
            <w:r>
              <w:rPr>
                <w:rFonts w:hint="eastAsia" w:ascii="宋体" w:hAnsi="宋体"/>
                <w:sz w:val="21"/>
              </w:rPr>
              <w:t>电气设备与控制系统</w:t>
            </w:r>
          </w:p>
        </w:tc>
        <w:tc>
          <w:tcPr>
            <w:tcW w:w="966" w:type="dxa"/>
            <w:vAlign w:val="center"/>
          </w:tcPr>
          <w:p w14:paraId="05B41B6E">
            <w:pPr>
              <w:ind w:firstLine="0" w:firstLineChars="0"/>
              <w:jc w:val="center"/>
              <w:rPr>
                <w:rFonts w:ascii="宋体" w:hAnsi="宋体"/>
                <w:sz w:val="21"/>
              </w:rPr>
            </w:pPr>
          </w:p>
        </w:tc>
        <w:tc>
          <w:tcPr>
            <w:tcW w:w="921" w:type="dxa"/>
            <w:vAlign w:val="center"/>
          </w:tcPr>
          <w:p w14:paraId="698CEE53">
            <w:pPr>
              <w:ind w:firstLine="0" w:firstLineChars="0"/>
              <w:jc w:val="center"/>
              <w:rPr>
                <w:rFonts w:ascii="宋体" w:hAnsi="宋体"/>
                <w:sz w:val="21"/>
              </w:rPr>
            </w:pPr>
          </w:p>
        </w:tc>
      </w:tr>
      <w:tr w14:paraId="4396B4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35CE1452">
            <w:pPr>
              <w:ind w:firstLine="0" w:firstLineChars="0"/>
              <w:jc w:val="center"/>
              <w:rPr>
                <w:rFonts w:ascii="宋体" w:hAnsi="宋体"/>
                <w:sz w:val="21"/>
              </w:rPr>
            </w:pPr>
            <w:r>
              <w:rPr>
                <w:rFonts w:hint="eastAsia" w:ascii="宋体" w:hAnsi="宋体"/>
                <w:sz w:val="21"/>
              </w:rPr>
              <w:t>20</w:t>
            </w:r>
          </w:p>
        </w:tc>
        <w:tc>
          <w:tcPr>
            <w:tcW w:w="607" w:type="dxa"/>
            <w:vMerge w:val="continue"/>
            <w:vAlign w:val="center"/>
          </w:tcPr>
          <w:p w14:paraId="3DEE5831">
            <w:pPr>
              <w:ind w:firstLine="0" w:firstLineChars="0"/>
              <w:rPr>
                <w:rFonts w:ascii="宋体" w:hAnsi="宋体"/>
                <w:sz w:val="21"/>
              </w:rPr>
            </w:pPr>
          </w:p>
        </w:tc>
        <w:tc>
          <w:tcPr>
            <w:tcW w:w="857" w:type="dxa"/>
            <w:gridSpan w:val="3"/>
            <w:vMerge w:val="restart"/>
            <w:vAlign w:val="center"/>
          </w:tcPr>
          <w:p w14:paraId="7BBA37CC">
            <w:pPr>
              <w:ind w:firstLine="0" w:firstLineChars="0"/>
              <w:rPr>
                <w:rFonts w:ascii="宋体" w:hAnsi="宋体"/>
                <w:sz w:val="21"/>
              </w:rPr>
            </w:pPr>
            <w:r>
              <w:rPr>
                <w:rFonts w:hint="eastAsia" w:ascii="宋体" w:hAnsi="宋体"/>
                <w:sz w:val="21"/>
              </w:rPr>
              <w:t>电气保护装置</w:t>
            </w:r>
          </w:p>
        </w:tc>
        <w:tc>
          <w:tcPr>
            <w:tcW w:w="4546" w:type="dxa"/>
            <w:gridSpan w:val="3"/>
            <w:vAlign w:val="center"/>
          </w:tcPr>
          <w:p w14:paraId="31FB91CF">
            <w:pPr>
              <w:ind w:firstLine="0" w:firstLineChars="0"/>
              <w:rPr>
                <w:rFonts w:ascii="宋体" w:hAnsi="宋体"/>
                <w:sz w:val="21"/>
              </w:rPr>
            </w:pPr>
            <w:r>
              <w:rPr>
                <w:rFonts w:hint="eastAsia" w:ascii="宋体" w:hAnsi="宋体"/>
                <w:sz w:val="21"/>
              </w:rPr>
              <w:t>接地保护</w:t>
            </w:r>
          </w:p>
        </w:tc>
        <w:tc>
          <w:tcPr>
            <w:tcW w:w="966" w:type="dxa"/>
            <w:vAlign w:val="center"/>
          </w:tcPr>
          <w:p w14:paraId="1B15800D">
            <w:pPr>
              <w:ind w:firstLine="0" w:firstLineChars="0"/>
              <w:jc w:val="center"/>
              <w:rPr>
                <w:rFonts w:ascii="宋体" w:hAnsi="宋体"/>
                <w:sz w:val="21"/>
              </w:rPr>
            </w:pPr>
          </w:p>
        </w:tc>
        <w:tc>
          <w:tcPr>
            <w:tcW w:w="921" w:type="dxa"/>
            <w:vAlign w:val="center"/>
          </w:tcPr>
          <w:p w14:paraId="22DE4200">
            <w:pPr>
              <w:ind w:firstLine="0" w:firstLineChars="0"/>
              <w:jc w:val="center"/>
              <w:rPr>
                <w:rFonts w:ascii="宋体" w:hAnsi="宋体"/>
                <w:sz w:val="21"/>
              </w:rPr>
            </w:pPr>
          </w:p>
        </w:tc>
      </w:tr>
      <w:tr w14:paraId="0F57D9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078CA75B">
            <w:pPr>
              <w:ind w:firstLine="0" w:firstLineChars="0"/>
              <w:jc w:val="center"/>
              <w:rPr>
                <w:rFonts w:ascii="宋体" w:hAnsi="宋体"/>
                <w:sz w:val="21"/>
              </w:rPr>
            </w:pPr>
            <w:r>
              <w:rPr>
                <w:rFonts w:hint="eastAsia" w:ascii="宋体" w:hAnsi="宋体"/>
                <w:sz w:val="21"/>
              </w:rPr>
              <w:t>21</w:t>
            </w:r>
          </w:p>
        </w:tc>
        <w:tc>
          <w:tcPr>
            <w:tcW w:w="607" w:type="dxa"/>
            <w:vMerge w:val="continue"/>
            <w:vAlign w:val="center"/>
          </w:tcPr>
          <w:p w14:paraId="39FD0DD3">
            <w:pPr>
              <w:ind w:firstLine="0" w:firstLineChars="0"/>
              <w:jc w:val="center"/>
              <w:rPr>
                <w:rFonts w:ascii="宋体" w:hAnsi="宋体"/>
                <w:sz w:val="21"/>
              </w:rPr>
            </w:pPr>
          </w:p>
        </w:tc>
        <w:tc>
          <w:tcPr>
            <w:tcW w:w="857" w:type="dxa"/>
            <w:gridSpan w:val="3"/>
            <w:vMerge w:val="continue"/>
            <w:vAlign w:val="center"/>
          </w:tcPr>
          <w:p w14:paraId="3C08213C">
            <w:pPr>
              <w:ind w:firstLine="0" w:firstLineChars="0"/>
              <w:rPr>
                <w:rFonts w:ascii="宋体" w:hAnsi="宋体"/>
                <w:sz w:val="21"/>
              </w:rPr>
            </w:pPr>
          </w:p>
        </w:tc>
        <w:tc>
          <w:tcPr>
            <w:tcW w:w="4546" w:type="dxa"/>
            <w:gridSpan w:val="3"/>
            <w:vAlign w:val="center"/>
          </w:tcPr>
          <w:p w14:paraId="1EEFBC83">
            <w:pPr>
              <w:ind w:firstLine="0" w:firstLineChars="0"/>
              <w:rPr>
                <w:rFonts w:ascii="宋体" w:hAnsi="宋体"/>
                <w:sz w:val="21"/>
              </w:rPr>
            </w:pPr>
            <w:r>
              <w:rPr>
                <w:rFonts w:hint="eastAsia" w:ascii="宋体" w:hAnsi="宋体"/>
                <w:sz w:val="21"/>
              </w:rPr>
              <w:t>绝缘电阻</w:t>
            </w:r>
          </w:p>
        </w:tc>
        <w:tc>
          <w:tcPr>
            <w:tcW w:w="966" w:type="dxa"/>
            <w:vAlign w:val="center"/>
          </w:tcPr>
          <w:p w14:paraId="6E1FAC87">
            <w:pPr>
              <w:ind w:firstLine="0" w:firstLineChars="0"/>
              <w:jc w:val="center"/>
              <w:rPr>
                <w:rFonts w:ascii="宋体" w:hAnsi="宋体"/>
                <w:sz w:val="21"/>
              </w:rPr>
            </w:pPr>
          </w:p>
        </w:tc>
        <w:tc>
          <w:tcPr>
            <w:tcW w:w="921" w:type="dxa"/>
            <w:vAlign w:val="center"/>
          </w:tcPr>
          <w:p w14:paraId="502AA70F">
            <w:pPr>
              <w:ind w:firstLine="0" w:firstLineChars="0"/>
              <w:jc w:val="center"/>
              <w:rPr>
                <w:rFonts w:ascii="宋体" w:hAnsi="宋体"/>
                <w:sz w:val="21"/>
              </w:rPr>
            </w:pPr>
          </w:p>
        </w:tc>
      </w:tr>
      <w:tr w14:paraId="761FB3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384277D4">
            <w:pPr>
              <w:ind w:firstLine="0" w:firstLineChars="0"/>
              <w:jc w:val="center"/>
              <w:rPr>
                <w:rFonts w:ascii="宋体" w:hAnsi="宋体"/>
                <w:sz w:val="21"/>
              </w:rPr>
            </w:pPr>
            <w:r>
              <w:rPr>
                <w:rFonts w:hint="eastAsia" w:ascii="宋体" w:hAnsi="宋体"/>
                <w:sz w:val="21"/>
              </w:rPr>
              <w:t>22</w:t>
            </w:r>
          </w:p>
        </w:tc>
        <w:tc>
          <w:tcPr>
            <w:tcW w:w="607" w:type="dxa"/>
            <w:vMerge w:val="continue"/>
            <w:vAlign w:val="center"/>
          </w:tcPr>
          <w:p w14:paraId="68FBC5EC">
            <w:pPr>
              <w:ind w:firstLine="0" w:firstLineChars="0"/>
              <w:rPr>
                <w:rFonts w:ascii="宋体" w:hAnsi="宋体"/>
                <w:sz w:val="21"/>
              </w:rPr>
            </w:pPr>
          </w:p>
        </w:tc>
        <w:tc>
          <w:tcPr>
            <w:tcW w:w="857" w:type="dxa"/>
            <w:gridSpan w:val="3"/>
            <w:vMerge w:val="continue"/>
            <w:vAlign w:val="center"/>
          </w:tcPr>
          <w:p w14:paraId="1DE4DAA2">
            <w:pPr>
              <w:ind w:firstLine="0" w:firstLineChars="0"/>
              <w:rPr>
                <w:rFonts w:ascii="宋体" w:hAnsi="宋体"/>
                <w:sz w:val="21"/>
              </w:rPr>
            </w:pPr>
          </w:p>
        </w:tc>
        <w:tc>
          <w:tcPr>
            <w:tcW w:w="4546" w:type="dxa"/>
            <w:gridSpan w:val="3"/>
            <w:vAlign w:val="center"/>
          </w:tcPr>
          <w:p w14:paraId="6FA441E7">
            <w:pPr>
              <w:ind w:firstLine="0" w:firstLineChars="0"/>
              <w:rPr>
                <w:rFonts w:ascii="宋体" w:hAnsi="宋体"/>
                <w:sz w:val="21"/>
              </w:rPr>
            </w:pPr>
            <w:r>
              <w:rPr>
                <w:rFonts w:hint="eastAsia" w:ascii="宋体" w:hAnsi="宋体"/>
                <w:sz w:val="21"/>
              </w:rPr>
              <w:t>短路保护</w:t>
            </w:r>
          </w:p>
        </w:tc>
        <w:tc>
          <w:tcPr>
            <w:tcW w:w="966" w:type="dxa"/>
            <w:vAlign w:val="center"/>
          </w:tcPr>
          <w:p w14:paraId="0B813EF2">
            <w:pPr>
              <w:ind w:firstLine="0" w:firstLineChars="0"/>
              <w:jc w:val="center"/>
              <w:rPr>
                <w:rFonts w:ascii="宋体" w:hAnsi="宋体"/>
                <w:sz w:val="21"/>
              </w:rPr>
            </w:pPr>
          </w:p>
        </w:tc>
        <w:tc>
          <w:tcPr>
            <w:tcW w:w="921" w:type="dxa"/>
            <w:vAlign w:val="center"/>
          </w:tcPr>
          <w:p w14:paraId="78587F7C">
            <w:pPr>
              <w:ind w:firstLine="0" w:firstLineChars="0"/>
              <w:jc w:val="center"/>
              <w:rPr>
                <w:rFonts w:ascii="宋体" w:hAnsi="宋体"/>
                <w:sz w:val="21"/>
              </w:rPr>
            </w:pPr>
          </w:p>
        </w:tc>
      </w:tr>
      <w:tr w14:paraId="63FAE5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3931697B">
            <w:pPr>
              <w:ind w:firstLine="0" w:firstLineChars="0"/>
              <w:jc w:val="center"/>
              <w:rPr>
                <w:rFonts w:ascii="宋体" w:hAnsi="宋体"/>
                <w:sz w:val="21"/>
              </w:rPr>
            </w:pPr>
            <w:r>
              <w:rPr>
                <w:rFonts w:hint="eastAsia" w:ascii="宋体" w:hAnsi="宋体"/>
                <w:sz w:val="21"/>
              </w:rPr>
              <w:t>23</w:t>
            </w:r>
          </w:p>
        </w:tc>
        <w:tc>
          <w:tcPr>
            <w:tcW w:w="607" w:type="dxa"/>
            <w:vMerge w:val="continue"/>
            <w:vAlign w:val="center"/>
          </w:tcPr>
          <w:p w14:paraId="37A8540C">
            <w:pPr>
              <w:ind w:firstLine="0" w:firstLineChars="0"/>
              <w:rPr>
                <w:rFonts w:ascii="宋体" w:hAnsi="宋体"/>
                <w:sz w:val="21"/>
              </w:rPr>
            </w:pPr>
          </w:p>
        </w:tc>
        <w:tc>
          <w:tcPr>
            <w:tcW w:w="857" w:type="dxa"/>
            <w:gridSpan w:val="3"/>
            <w:vMerge w:val="continue"/>
            <w:vAlign w:val="center"/>
          </w:tcPr>
          <w:p w14:paraId="4FAD2B52">
            <w:pPr>
              <w:ind w:firstLine="0" w:firstLineChars="0"/>
              <w:rPr>
                <w:rFonts w:ascii="宋体" w:hAnsi="宋体"/>
                <w:sz w:val="21"/>
              </w:rPr>
            </w:pPr>
          </w:p>
        </w:tc>
        <w:tc>
          <w:tcPr>
            <w:tcW w:w="4546" w:type="dxa"/>
            <w:gridSpan w:val="3"/>
            <w:vAlign w:val="center"/>
          </w:tcPr>
          <w:p w14:paraId="4163D642">
            <w:pPr>
              <w:ind w:firstLine="0" w:firstLineChars="0"/>
              <w:rPr>
                <w:rFonts w:ascii="宋体" w:hAnsi="宋体"/>
                <w:sz w:val="21"/>
              </w:rPr>
            </w:pPr>
            <w:r>
              <w:rPr>
                <w:rFonts w:hint="eastAsia" w:ascii="宋体" w:hAnsi="宋体"/>
                <w:sz w:val="21"/>
              </w:rPr>
              <w:t>失压保护</w:t>
            </w:r>
          </w:p>
        </w:tc>
        <w:tc>
          <w:tcPr>
            <w:tcW w:w="966" w:type="dxa"/>
            <w:vAlign w:val="center"/>
          </w:tcPr>
          <w:p w14:paraId="2E1F8A47">
            <w:pPr>
              <w:ind w:firstLine="0" w:firstLineChars="0"/>
              <w:jc w:val="center"/>
              <w:rPr>
                <w:rFonts w:ascii="宋体" w:hAnsi="宋体"/>
                <w:sz w:val="21"/>
              </w:rPr>
            </w:pPr>
          </w:p>
        </w:tc>
        <w:tc>
          <w:tcPr>
            <w:tcW w:w="921" w:type="dxa"/>
            <w:vAlign w:val="center"/>
          </w:tcPr>
          <w:p w14:paraId="0B0899A4">
            <w:pPr>
              <w:ind w:firstLine="0" w:firstLineChars="0"/>
              <w:jc w:val="center"/>
              <w:rPr>
                <w:rFonts w:ascii="宋体" w:hAnsi="宋体"/>
                <w:sz w:val="21"/>
              </w:rPr>
            </w:pPr>
          </w:p>
        </w:tc>
      </w:tr>
      <w:tr w14:paraId="1707A3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2B5165D1">
            <w:pPr>
              <w:ind w:firstLine="0" w:firstLineChars="0"/>
              <w:jc w:val="center"/>
              <w:rPr>
                <w:rFonts w:ascii="宋体" w:hAnsi="宋体"/>
                <w:sz w:val="21"/>
              </w:rPr>
            </w:pPr>
            <w:r>
              <w:rPr>
                <w:rFonts w:hint="eastAsia" w:ascii="宋体" w:hAnsi="宋体"/>
                <w:sz w:val="21"/>
              </w:rPr>
              <w:t>24</w:t>
            </w:r>
          </w:p>
        </w:tc>
        <w:tc>
          <w:tcPr>
            <w:tcW w:w="607" w:type="dxa"/>
            <w:vMerge w:val="continue"/>
            <w:vAlign w:val="center"/>
          </w:tcPr>
          <w:p w14:paraId="6CBBD98A">
            <w:pPr>
              <w:ind w:firstLine="0" w:firstLineChars="0"/>
              <w:rPr>
                <w:rFonts w:ascii="宋体" w:hAnsi="宋体"/>
                <w:sz w:val="21"/>
              </w:rPr>
            </w:pPr>
          </w:p>
        </w:tc>
        <w:tc>
          <w:tcPr>
            <w:tcW w:w="857" w:type="dxa"/>
            <w:gridSpan w:val="3"/>
            <w:vMerge w:val="continue"/>
            <w:vAlign w:val="center"/>
          </w:tcPr>
          <w:p w14:paraId="7D95826F">
            <w:pPr>
              <w:ind w:firstLine="0" w:firstLineChars="0"/>
              <w:rPr>
                <w:rFonts w:ascii="宋体" w:hAnsi="宋体"/>
                <w:sz w:val="21"/>
              </w:rPr>
            </w:pPr>
          </w:p>
        </w:tc>
        <w:tc>
          <w:tcPr>
            <w:tcW w:w="4546" w:type="dxa"/>
            <w:gridSpan w:val="3"/>
            <w:vAlign w:val="center"/>
          </w:tcPr>
          <w:p w14:paraId="6BB9CD8A">
            <w:pPr>
              <w:ind w:firstLine="0" w:firstLineChars="0"/>
              <w:rPr>
                <w:rFonts w:ascii="宋体" w:hAnsi="宋体"/>
                <w:sz w:val="21"/>
              </w:rPr>
            </w:pPr>
            <w:r>
              <w:rPr>
                <w:rFonts w:hint="eastAsia" w:ascii="宋体" w:hAnsi="宋体"/>
                <w:sz w:val="21"/>
              </w:rPr>
              <w:t>零位保护</w:t>
            </w:r>
          </w:p>
        </w:tc>
        <w:tc>
          <w:tcPr>
            <w:tcW w:w="966" w:type="dxa"/>
            <w:vAlign w:val="center"/>
          </w:tcPr>
          <w:p w14:paraId="520F12A7">
            <w:pPr>
              <w:ind w:firstLine="0" w:firstLineChars="0"/>
              <w:jc w:val="center"/>
              <w:rPr>
                <w:rFonts w:ascii="宋体" w:hAnsi="宋体"/>
                <w:sz w:val="21"/>
              </w:rPr>
            </w:pPr>
          </w:p>
        </w:tc>
        <w:tc>
          <w:tcPr>
            <w:tcW w:w="921" w:type="dxa"/>
            <w:vAlign w:val="center"/>
          </w:tcPr>
          <w:p w14:paraId="274B83AF">
            <w:pPr>
              <w:ind w:firstLine="0" w:firstLineChars="0"/>
              <w:jc w:val="center"/>
              <w:rPr>
                <w:rFonts w:ascii="宋体" w:hAnsi="宋体"/>
                <w:sz w:val="21"/>
              </w:rPr>
            </w:pPr>
          </w:p>
        </w:tc>
      </w:tr>
      <w:tr w14:paraId="072F48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1B162236">
            <w:pPr>
              <w:ind w:firstLine="0" w:firstLineChars="0"/>
              <w:jc w:val="center"/>
              <w:rPr>
                <w:rFonts w:ascii="宋体" w:hAnsi="宋体"/>
                <w:sz w:val="21"/>
              </w:rPr>
            </w:pPr>
            <w:r>
              <w:rPr>
                <w:rFonts w:hint="eastAsia" w:ascii="宋体" w:hAnsi="宋体"/>
                <w:sz w:val="21"/>
              </w:rPr>
              <w:t>25</w:t>
            </w:r>
          </w:p>
        </w:tc>
        <w:tc>
          <w:tcPr>
            <w:tcW w:w="607" w:type="dxa"/>
            <w:vMerge w:val="restart"/>
            <w:vAlign w:val="center"/>
          </w:tcPr>
          <w:p w14:paraId="3B2B2445">
            <w:pPr>
              <w:ind w:firstLine="0" w:firstLineChars="0"/>
              <w:rPr>
                <w:rFonts w:ascii="宋体" w:hAnsi="宋体"/>
                <w:sz w:val="21"/>
              </w:rPr>
            </w:pPr>
            <w:r>
              <w:rPr>
                <w:rFonts w:hint="eastAsia" w:ascii="宋体" w:hAnsi="宋体"/>
                <w:sz w:val="21"/>
              </w:rPr>
              <w:t>电气与控制系统检验</w:t>
            </w:r>
          </w:p>
        </w:tc>
        <w:tc>
          <w:tcPr>
            <w:tcW w:w="869" w:type="dxa"/>
            <w:gridSpan w:val="4"/>
            <w:vMerge w:val="restart"/>
            <w:vAlign w:val="center"/>
          </w:tcPr>
          <w:p w14:paraId="011B3CD1">
            <w:pPr>
              <w:ind w:firstLine="0" w:firstLineChars="0"/>
              <w:rPr>
                <w:rFonts w:ascii="宋体" w:hAnsi="宋体"/>
                <w:sz w:val="21"/>
              </w:rPr>
            </w:pPr>
            <w:r>
              <w:rPr>
                <w:rFonts w:hint="eastAsia" w:ascii="宋体" w:hAnsi="宋体"/>
                <w:sz w:val="21"/>
              </w:rPr>
              <w:t>电气保护装置</w:t>
            </w:r>
          </w:p>
        </w:tc>
        <w:tc>
          <w:tcPr>
            <w:tcW w:w="4534" w:type="dxa"/>
            <w:gridSpan w:val="2"/>
            <w:vAlign w:val="center"/>
          </w:tcPr>
          <w:p w14:paraId="0CF8D7EC">
            <w:pPr>
              <w:ind w:firstLine="0" w:firstLineChars="0"/>
              <w:rPr>
                <w:rFonts w:ascii="宋体" w:hAnsi="宋体"/>
                <w:sz w:val="21"/>
              </w:rPr>
            </w:pPr>
            <w:r>
              <w:rPr>
                <w:rFonts w:hint="eastAsia" w:ascii="宋体" w:hAnsi="宋体"/>
                <w:sz w:val="21"/>
              </w:rPr>
              <w:t>过流（过载）保护</w:t>
            </w:r>
          </w:p>
        </w:tc>
        <w:tc>
          <w:tcPr>
            <w:tcW w:w="966" w:type="dxa"/>
            <w:vAlign w:val="center"/>
          </w:tcPr>
          <w:p w14:paraId="418042D7">
            <w:pPr>
              <w:ind w:firstLine="0" w:firstLineChars="0"/>
              <w:jc w:val="center"/>
              <w:rPr>
                <w:rFonts w:ascii="宋体" w:hAnsi="宋体"/>
                <w:sz w:val="21"/>
              </w:rPr>
            </w:pPr>
          </w:p>
        </w:tc>
        <w:tc>
          <w:tcPr>
            <w:tcW w:w="921" w:type="dxa"/>
            <w:vAlign w:val="center"/>
          </w:tcPr>
          <w:p w14:paraId="709109BB">
            <w:pPr>
              <w:ind w:firstLine="0" w:firstLineChars="0"/>
              <w:jc w:val="center"/>
              <w:rPr>
                <w:rFonts w:ascii="宋体" w:hAnsi="宋体"/>
                <w:sz w:val="21"/>
              </w:rPr>
            </w:pPr>
          </w:p>
        </w:tc>
      </w:tr>
      <w:tr w14:paraId="5266A6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3BF7F452">
            <w:pPr>
              <w:ind w:firstLine="0" w:firstLineChars="0"/>
              <w:jc w:val="center"/>
              <w:rPr>
                <w:rFonts w:ascii="宋体" w:hAnsi="宋体"/>
                <w:sz w:val="21"/>
              </w:rPr>
            </w:pPr>
            <w:r>
              <w:rPr>
                <w:rFonts w:hint="eastAsia" w:ascii="宋体" w:hAnsi="宋体"/>
                <w:sz w:val="21"/>
              </w:rPr>
              <w:t>26</w:t>
            </w:r>
          </w:p>
        </w:tc>
        <w:tc>
          <w:tcPr>
            <w:tcW w:w="607" w:type="dxa"/>
            <w:vMerge w:val="continue"/>
            <w:vAlign w:val="center"/>
          </w:tcPr>
          <w:p w14:paraId="3264D424">
            <w:pPr>
              <w:ind w:firstLine="0" w:firstLineChars="0"/>
              <w:rPr>
                <w:rFonts w:ascii="宋体" w:hAnsi="宋体"/>
                <w:sz w:val="21"/>
              </w:rPr>
            </w:pPr>
          </w:p>
        </w:tc>
        <w:tc>
          <w:tcPr>
            <w:tcW w:w="869" w:type="dxa"/>
            <w:gridSpan w:val="4"/>
            <w:vMerge w:val="continue"/>
            <w:vAlign w:val="center"/>
          </w:tcPr>
          <w:p w14:paraId="612B4790">
            <w:pPr>
              <w:ind w:firstLine="0" w:firstLineChars="0"/>
              <w:rPr>
                <w:rFonts w:ascii="宋体" w:hAnsi="宋体"/>
                <w:sz w:val="21"/>
              </w:rPr>
            </w:pPr>
          </w:p>
        </w:tc>
        <w:tc>
          <w:tcPr>
            <w:tcW w:w="4534" w:type="dxa"/>
            <w:gridSpan w:val="2"/>
            <w:vAlign w:val="center"/>
          </w:tcPr>
          <w:p w14:paraId="54653B06">
            <w:pPr>
              <w:ind w:firstLine="0" w:firstLineChars="0"/>
              <w:rPr>
                <w:rFonts w:ascii="宋体" w:hAnsi="宋体"/>
                <w:sz w:val="21"/>
              </w:rPr>
            </w:pPr>
            <w:r>
              <w:rPr>
                <w:rFonts w:hint="eastAsia" w:ascii="宋体" w:hAnsi="宋体"/>
                <w:sz w:val="21"/>
              </w:rPr>
              <w:t>失磁保护</w:t>
            </w:r>
          </w:p>
        </w:tc>
        <w:tc>
          <w:tcPr>
            <w:tcW w:w="966" w:type="dxa"/>
            <w:vAlign w:val="center"/>
          </w:tcPr>
          <w:p w14:paraId="4A963B9B">
            <w:pPr>
              <w:ind w:firstLine="0" w:firstLineChars="0"/>
              <w:jc w:val="center"/>
              <w:rPr>
                <w:rFonts w:ascii="宋体" w:hAnsi="宋体"/>
                <w:sz w:val="21"/>
              </w:rPr>
            </w:pPr>
          </w:p>
        </w:tc>
        <w:tc>
          <w:tcPr>
            <w:tcW w:w="921" w:type="dxa"/>
            <w:vAlign w:val="center"/>
          </w:tcPr>
          <w:p w14:paraId="00798EC4">
            <w:pPr>
              <w:ind w:firstLine="0" w:firstLineChars="0"/>
              <w:jc w:val="center"/>
              <w:rPr>
                <w:rFonts w:ascii="宋体" w:hAnsi="宋体"/>
                <w:sz w:val="21"/>
              </w:rPr>
            </w:pPr>
          </w:p>
        </w:tc>
      </w:tr>
      <w:tr w14:paraId="553E42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470BB0C3">
            <w:pPr>
              <w:ind w:firstLine="0" w:firstLineChars="0"/>
              <w:jc w:val="center"/>
              <w:rPr>
                <w:rFonts w:ascii="宋体" w:hAnsi="宋体"/>
                <w:sz w:val="21"/>
              </w:rPr>
            </w:pPr>
            <w:r>
              <w:rPr>
                <w:rFonts w:hint="eastAsia" w:ascii="宋体" w:hAnsi="宋体"/>
                <w:sz w:val="21"/>
              </w:rPr>
              <w:t>27</w:t>
            </w:r>
          </w:p>
        </w:tc>
        <w:tc>
          <w:tcPr>
            <w:tcW w:w="607" w:type="dxa"/>
            <w:vMerge w:val="continue"/>
            <w:vAlign w:val="center"/>
          </w:tcPr>
          <w:p w14:paraId="2689163D">
            <w:pPr>
              <w:ind w:firstLine="0" w:firstLineChars="0"/>
              <w:rPr>
                <w:rFonts w:ascii="宋体" w:hAnsi="宋体"/>
                <w:sz w:val="21"/>
              </w:rPr>
            </w:pPr>
          </w:p>
        </w:tc>
        <w:tc>
          <w:tcPr>
            <w:tcW w:w="869" w:type="dxa"/>
            <w:gridSpan w:val="4"/>
            <w:vMerge w:val="continue"/>
            <w:vAlign w:val="center"/>
          </w:tcPr>
          <w:p w14:paraId="7426DD20">
            <w:pPr>
              <w:ind w:firstLine="0" w:firstLineChars="0"/>
              <w:rPr>
                <w:rFonts w:ascii="宋体" w:hAnsi="宋体"/>
                <w:sz w:val="21"/>
              </w:rPr>
            </w:pPr>
          </w:p>
        </w:tc>
        <w:tc>
          <w:tcPr>
            <w:tcW w:w="4534" w:type="dxa"/>
            <w:gridSpan w:val="2"/>
            <w:vAlign w:val="center"/>
          </w:tcPr>
          <w:p w14:paraId="11FE12F5">
            <w:pPr>
              <w:ind w:firstLine="0" w:firstLineChars="0"/>
              <w:rPr>
                <w:rFonts w:ascii="宋体" w:hAnsi="宋体"/>
                <w:sz w:val="21"/>
              </w:rPr>
            </w:pPr>
            <w:r>
              <w:rPr>
                <w:rFonts w:hint="eastAsia" w:ascii="宋体" w:hAnsi="宋体"/>
                <w:sz w:val="21"/>
              </w:rPr>
              <w:t>供电电源断错相保护</w:t>
            </w:r>
          </w:p>
        </w:tc>
        <w:tc>
          <w:tcPr>
            <w:tcW w:w="966" w:type="dxa"/>
            <w:vAlign w:val="center"/>
          </w:tcPr>
          <w:p w14:paraId="5B29FE12">
            <w:pPr>
              <w:ind w:firstLine="0" w:firstLineChars="0"/>
              <w:jc w:val="center"/>
              <w:rPr>
                <w:rFonts w:ascii="宋体" w:hAnsi="宋体"/>
                <w:sz w:val="21"/>
              </w:rPr>
            </w:pPr>
          </w:p>
        </w:tc>
        <w:tc>
          <w:tcPr>
            <w:tcW w:w="921" w:type="dxa"/>
            <w:vAlign w:val="center"/>
          </w:tcPr>
          <w:p w14:paraId="7504D3CC">
            <w:pPr>
              <w:ind w:firstLine="0" w:firstLineChars="0"/>
              <w:jc w:val="center"/>
              <w:rPr>
                <w:rFonts w:ascii="宋体" w:hAnsi="宋体"/>
                <w:sz w:val="21"/>
              </w:rPr>
            </w:pPr>
          </w:p>
        </w:tc>
      </w:tr>
      <w:tr w14:paraId="4447B9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50883408">
            <w:pPr>
              <w:ind w:firstLine="0" w:firstLineChars="0"/>
              <w:jc w:val="center"/>
              <w:rPr>
                <w:rFonts w:ascii="宋体" w:hAnsi="宋体"/>
                <w:sz w:val="21"/>
              </w:rPr>
            </w:pPr>
            <w:r>
              <w:rPr>
                <w:rFonts w:hint="eastAsia" w:ascii="宋体" w:hAnsi="宋体"/>
                <w:sz w:val="21"/>
              </w:rPr>
              <w:t>28</w:t>
            </w:r>
          </w:p>
        </w:tc>
        <w:tc>
          <w:tcPr>
            <w:tcW w:w="607" w:type="dxa"/>
            <w:vMerge w:val="continue"/>
            <w:vAlign w:val="center"/>
          </w:tcPr>
          <w:p w14:paraId="1440F339">
            <w:pPr>
              <w:ind w:firstLine="0" w:firstLineChars="0"/>
              <w:rPr>
                <w:rFonts w:ascii="宋体" w:hAnsi="宋体"/>
                <w:sz w:val="21"/>
              </w:rPr>
            </w:pPr>
          </w:p>
        </w:tc>
        <w:tc>
          <w:tcPr>
            <w:tcW w:w="869" w:type="dxa"/>
            <w:gridSpan w:val="4"/>
            <w:vMerge w:val="continue"/>
            <w:vAlign w:val="center"/>
          </w:tcPr>
          <w:p w14:paraId="1ABF7CCB">
            <w:pPr>
              <w:ind w:firstLine="0" w:firstLineChars="0"/>
              <w:rPr>
                <w:rFonts w:ascii="宋体" w:hAnsi="宋体"/>
                <w:sz w:val="21"/>
              </w:rPr>
            </w:pPr>
          </w:p>
        </w:tc>
        <w:tc>
          <w:tcPr>
            <w:tcW w:w="4534" w:type="dxa"/>
            <w:gridSpan w:val="2"/>
            <w:vAlign w:val="center"/>
          </w:tcPr>
          <w:p w14:paraId="3F233C3B">
            <w:pPr>
              <w:ind w:firstLine="0" w:firstLineChars="0"/>
              <w:rPr>
                <w:rFonts w:ascii="宋体" w:hAnsi="宋体"/>
                <w:sz w:val="21"/>
              </w:rPr>
            </w:pPr>
            <w:r>
              <w:rPr>
                <w:rFonts w:hint="eastAsia" w:ascii="宋体" w:hAnsi="宋体"/>
                <w:sz w:val="21"/>
              </w:rPr>
              <w:t>正反向接触器故障保护</w:t>
            </w:r>
          </w:p>
        </w:tc>
        <w:tc>
          <w:tcPr>
            <w:tcW w:w="966" w:type="dxa"/>
            <w:vAlign w:val="center"/>
          </w:tcPr>
          <w:p w14:paraId="45CA7E06">
            <w:pPr>
              <w:ind w:firstLine="0" w:firstLineChars="0"/>
              <w:jc w:val="center"/>
              <w:rPr>
                <w:rFonts w:ascii="宋体" w:hAnsi="宋体"/>
                <w:sz w:val="21"/>
              </w:rPr>
            </w:pPr>
          </w:p>
        </w:tc>
        <w:tc>
          <w:tcPr>
            <w:tcW w:w="921" w:type="dxa"/>
            <w:vAlign w:val="center"/>
          </w:tcPr>
          <w:p w14:paraId="045176D0">
            <w:pPr>
              <w:ind w:firstLine="0" w:firstLineChars="0"/>
              <w:jc w:val="center"/>
              <w:rPr>
                <w:rFonts w:ascii="宋体" w:hAnsi="宋体"/>
                <w:sz w:val="21"/>
              </w:rPr>
            </w:pPr>
          </w:p>
        </w:tc>
      </w:tr>
      <w:tr w14:paraId="1B2B45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0EAD8000">
            <w:pPr>
              <w:ind w:firstLine="0" w:firstLineChars="0"/>
              <w:jc w:val="center"/>
              <w:rPr>
                <w:rFonts w:ascii="宋体" w:hAnsi="宋体"/>
                <w:sz w:val="21"/>
              </w:rPr>
            </w:pPr>
            <w:r>
              <w:rPr>
                <w:rFonts w:hint="eastAsia" w:ascii="宋体" w:hAnsi="宋体"/>
                <w:sz w:val="21"/>
              </w:rPr>
              <w:t>29</w:t>
            </w:r>
          </w:p>
        </w:tc>
        <w:tc>
          <w:tcPr>
            <w:tcW w:w="607" w:type="dxa"/>
            <w:vMerge w:val="restart"/>
            <w:vAlign w:val="center"/>
          </w:tcPr>
          <w:p w14:paraId="3114288A">
            <w:pPr>
              <w:ind w:firstLine="0" w:firstLineChars="0"/>
              <w:jc w:val="left"/>
              <w:rPr>
                <w:rFonts w:ascii="宋体" w:hAnsi="宋体"/>
                <w:sz w:val="21"/>
              </w:rPr>
            </w:pPr>
            <w:r>
              <w:rPr>
                <w:rFonts w:hint="eastAsia" w:ascii="宋体" w:hAnsi="宋体"/>
                <w:sz w:val="21"/>
              </w:rPr>
              <w:t>安全保护与</w:t>
            </w:r>
          </w:p>
          <w:p w14:paraId="6D63F3DF">
            <w:pPr>
              <w:ind w:firstLine="0" w:firstLineChars="0"/>
              <w:jc w:val="left"/>
              <w:rPr>
                <w:rFonts w:ascii="宋体" w:hAnsi="宋体"/>
                <w:sz w:val="21"/>
              </w:rPr>
            </w:pPr>
            <w:r>
              <w:rPr>
                <w:rFonts w:hint="eastAsia" w:ascii="宋体" w:hAnsi="宋体"/>
                <w:sz w:val="21"/>
              </w:rPr>
              <w:t>防护装置</w:t>
            </w:r>
          </w:p>
          <w:p w14:paraId="2E8FA5A1">
            <w:pPr>
              <w:ind w:firstLine="0" w:firstLineChars="0"/>
              <w:jc w:val="left"/>
              <w:rPr>
                <w:rFonts w:ascii="宋体" w:hAnsi="宋体"/>
                <w:sz w:val="21"/>
              </w:rPr>
            </w:pPr>
            <w:r>
              <w:rPr>
                <w:rFonts w:hint="eastAsia" w:ascii="宋体" w:hAnsi="宋体"/>
                <w:sz w:val="21"/>
              </w:rPr>
              <w:t>检验</w:t>
            </w:r>
          </w:p>
        </w:tc>
        <w:tc>
          <w:tcPr>
            <w:tcW w:w="869" w:type="dxa"/>
            <w:gridSpan w:val="4"/>
            <w:vMerge w:val="restart"/>
            <w:vAlign w:val="center"/>
          </w:tcPr>
          <w:p w14:paraId="57D1CF74">
            <w:pPr>
              <w:ind w:firstLine="0" w:firstLineChars="0"/>
              <w:rPr>
                <w:rFonts w:ascii="宋体" w:hAnsi="宋体"/>
                <w:sz w:val="21"/>
              </w:rPr>
            </w:pPr>
            <w:r>
              <w:rPr>
                <w:rFonts w:hint="eastAsia" w:ascii="宋体" w:hAnsi="宋体"/>
                <w:sz w:val="21"/>
              </w:rPr>
              <w:t>制动器</w:t>
            </w:r>
          </w:p>
        </w:tc>
        <w:tc>
          <w:tcPr>
            <w:tcW w:w="4534" w:type="dxa"/>
            <w:gridSpan w:val="2"/>
            <w:vAlign w:val="center"/>
          </w:tcPr>
          <w:p w14:paraId="2710774C">
            <w:pPr>
              <w:ind w:firstLine="0" w:firstLineChars="0"/>
              <w:rPr>
                <w:rFonts w:ascii="宋体" w:hAnsi="宋体"/>
                <w:sz w:val="21"/>
              </w:rPr>
            </w:pPr>
            <w:r>
              <w:rPr>
                <w:rFonts w:hint="eastAsia" w:ascii="宋体" w:hAnsi="宋体"/>
                <w:sz w:val="21"/>
              </w:rPr>
              <w:t>工作制动器与安全制动器的设置</w:t>
            </w:r>
          </w:p>
        </w:tc>
        <w:tc>
          <w:tcPr>
            <w:tcW w:w="966" w:type="dxa"/>
            <w:vAlign w:val="center"/>
          </w:tcPr>
          <w:p w14:paraId="3DBD7680">
            <w:pPr>
              <w:ind w:firstLine="0" w:firstLineChars="0"/>
              <w:jc w:val="center"/>
              <w:rPr>
                <w:rFonts w:ascii="宋体" w:hAnsi="宋体"/>
                <w:sz w:val="21"/>
              </w:rPr>
            </w:pPr>
          </w:p>
        </w:tc>
        <w:tc>
          <w:tcPr>
            <w:tcW w:w="921" w:type="dxa"/>
            <w:vAlign w:val="center"/>
          </w:tcPr>
          <w:p w14:paraId="2877E8D0">
            <w:pPr>
              <w:ind w:firstLine="0" w:firstLineChars="0"/>
              <w:jc w:val="center"/>
              <w:rPr>
                <w:rFonts w:ascii="宋体" w:hAnsi="宋体"/>
                <w:sz w:val="21"/>
              </w:rPr>
            </w:pPr>
          </w:p>
        </w:tc>
      </w:tr>
      <w:tr w14:paraId="4D04A8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66034893">
            <w:pPr>
              <w:ind w:firstLine="0" w:firstLineChars="0"/>
              <w:jc w:val="center"/>
              <w:rPr>
                <w:rFonts w:ascii="宋体" w:hAnsi="宋体"/>
                <w:sz w:val="21"/>
              </w:rPr>
            </w:pPr>
            <w:r>
              <w:rPr>
                <w:rFonts w:hint="eastAsia" w:ascii="宋体" w:hAnsi="宋体"/>
                <w:sz w:val="21"/>
              </w:rPr>
              <w:t>30</w:t>
            </w:r>
          </w:p>
        </w:tc>
        <w:tc>
          <w:tcPr>
            <w:tcW w:w="607" w:type="dxa"/>
            <w:vMerge w:val="continue"/>
            <w:vAlign w:val="center"/>
          </w:tcPr>
          <w:p w14:paraId="270409FE">
            <w:pPr>
              <w:ind w:firstLine="0" w:firstLineChars="0"/>
              <w:jc w:val="center"/>
              <w:rPr>
                <w:rFonts w:ascii="宋体" w:hAnsi="宋体"/>
                <w:sz w:val="21"/>
              </w:rPr>
            </w:pPr>
          </w:p>
        </w:tc>
        <w:tc>
          <w:tcPr>
            <w:tcW w:w="869" w:type="dxa"/>
            <w:gridSpan w:val="4"/>
            <w:vMerge w:val="continue"/>
            <w:vAlign w:val="center"/>
          </w:tcPr>
          <w:p w14:paraId="61001FE6">
            <w:pPr>
              <w:ind w:firstLine="0" w:firstLineChars="0"/>
              <w:rPr>
                <w:rFonts w:ascii="宋体" w:hAnsi="宋体"/>
                <w:sz w:val="21"/>
              </w:rPr>
            </w:pPr>
          </w:p>
        </w:tc>
        <w:tc>
          <w:tcPr>
            <w:tcW w:w="4534" w:type="dxa"/>
            <w:gridSpan w:val="2"/>
            <w:vAlign w:val="center"/>
          </w:tcPr>
          <w:p w14:paraId="5CD4B775">
            <w:pPr>
              <w:ind w:firstLine="0" w:firstLineChars="0"/>
              <w:rPr>
                <w:rFonts w:ascii="宋体" w:hAnsi="宋体"/>
                <w:sz w:val="21"/>
              </w:rPr>
            </w:pPr>
            <w:r>
              <w:rPr>
                <w:rFonts w:hint="eastAsia" w:ascii="宋体" w:hAnsi="宋体"/>
                <w:sz w:val="21"/>
              </w:rPr>
              <w:t>制动器型式、制动性能</w:t>
            </w:r>
          </w:p>
        </w:tc>
        <w:tc>
          <w:tcPr>
            <w:tcW w:w="966" w:type="dxa"/>
            <w:vAlign w:val="center"/>
          </w:tcPr>
          <w:p w14:paraId="678EFBD6">
            <w:pPr>
              <w:ind w:firstLine="0" w:firstLineChars="0"/>
              <w:jc w:val="center"/>
              <w:rPr>
                <w:rFonts w:ascii="宋体" w:hAnsi="宋体"/>
                <w:sz w:val="21"/>
              </w:rPr>
            </w:pPr>
          </w:p>
        </w:tc>
        <w:tc>
          <w:tcPr>
            <w:tcW w:w="921" w:type="dxa"/>
            <w:vAlign w:val="center"/>
          </w:tcPr>
          <w:p w14:paraId="73603601">
            <w:pPr>
              <w:ind w:firstLine="0" w:firstLineChars="0"/>
              <w:jc w:val="center"/>
              <w:rPr>
                <w:rFonts w:ascii="宋体" w:hAnsi="宋体"/>
                <w:sz w:val="21"/>
              </w:rPr>
            </w:pPr>
          </w:p>
        </w:tc>
      </w:tr>
      <w:tr w14:paraId="3186BE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46BFD0D8">
            <w:pPr>
              <w:ind w:firstLine="0" w:firstLineChars="0"/>
              <w:jc w:val="center"/>
              <w:rPr>
                <w:rFonts w:ascii="宋体" w:hAnsi="宋体"/>
                <w:sz w:val="21"/>
              </w:rPr>
            </w:pPr>
            <w:r>
              <w:rPr>
                <w:rFonts w:hint="eastAsia" w:ascii="宋体" w:hAnsi="宋体"/>
                <w:sz w:val="21"/>
              </w:rPr>
              <w:t>31</w:t>
            </w:r>
          </w:p>
        </w:tc>
        <w:tc>
          <w:tcPr>
            <w:tcW w:w="607" w:type="dxa"/>
            <w:vMerge w:val="continue"/>
            <w:vAlign w:val="center"/>
          </w:tcPr>
          <w:p w14:paraId="47BBD2B9">
            <w:pPr>
              <w:ind w:firstLine="0" w:firstLineChars="0"/>
              <w:jc w:val="center"/>
              <w:rPr>
                <w:rFonts w:ascii="宋体" w:hAnsi="宋体"/>
                <w:sz w:val="21"/>
              </w:rPr>
            </w:pPr>
          </w:p>
        </w:tc>
        <w:tc>
          <w:tcPr>
            <w:tcW w:w="869" w:type="dxa"/>
            <w:gridSpan w:val="4"/>
            <w:vMerge w:val="continue"/>
            <w:vAlign w:val="center"/>
          </w:tcPr>
          <w:p w14:paraId="0B8FDE66">
            <w:pPr>
              <w:ind w:firstLine="0" w:firstLineChars="0"/>
              <w:rPr>
                <w:rFonts w:ascii="宋体" w:hAnsi="宋体"/>
                <w:sz w:val="21"/>
              </w:rPr>
            </w:pPr>
          </w:p>
        </w:tc>
        <w:tc>
          <w:tcPr>
            <w:tcW w:w="4534" w:type="dxa"/>
            <w:gridSpan w:val="2"/>
            <w:vAlign w:val="center"/>
          </w:tcPr>
          <w:p w14:paraId="2953A4B4">
            <w:pPr>
              <w:ind w:firstLine="0" w:firstLineChars="0"/>
              <w:rPr>
                <w:rFonts w:ascii="宋体" w:hAnsi="宋体"/>
                <w:sz w:val="21"/>
              </w:rPr>
            </w:pPr>
            <w:r>
              <w:rPr>
                <w:rFonts w:hint="eastAsia" w:ascii="宋体" w:hAnsi="宋体"/>
                <w:sz w:val="21"/>
              </w:rPr>
              <w:t>制动器推动器漏油现象</w:t>
            </w:r>
          </w:p>
        </w:tc>
        <w:tc>
          <w:tcPr>
            <w:tcW w:w="966" w:type="dxa"/>
            <w:vAlign w:val="center"/>
          </w:tcPr>
          <w:p w14:paraId="08E26955">
            <w:pPr>
              <w:ind w:firstLine="0" w:firstLineChars="0"/>
              <w:jc w:val="center"/>
              <w:rPr>
                <w:rFonts w:ascii="宋体" w:hAnsi="宋体"/>
                <w:sz w:val="21"/>
              </w:rPr>
            </w:pPr>
          </w:p>
        </w:tc>
        <w:tc>
          <w:tcPr>
            <w:tcW w:w="921" w:type="dxa"/>
            <w:vAlign w:val="center"/>
          </w:tcPr>
          <w:p w14:paraId="70EF907B">
            <w:pPr>
              <w:ind w:firstLine="0" w:firstLineChars="0"/>
              <w:jc w:val="center"/>
              <w:rPr>
                <w:rFonts w:ascii="宋体" w:hAnsi="宋体"/>
                <w:sz w:val="21"/>
              </w:rPr>
            </w:pPr>
          </w:p>
        </w:tc>
      </w:tr>
      <w:tr w14:paraId="57DDE1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19391D82">
            <w:pPr>
              <w:ind w:firstLine="0" w:firstLineChars="0"/>
              <w:jc w:val="center"/>
              <w:rPr>
                <w:rFonts w:ascii="宋体" w:hAnsi="宋体"/>
                <w:sz w:val="21"/>
              </w:rPr>
            </w:pPr>
            <w:r>
              <w:rPr>
                <w:rFonts w:hint="eastAsia" w:ascii="宋体" w:hAnsi="宋体"/>
                <w:sz w:val="21"/>
              </w:rPr>
              <w:t>32</w:t>
            </w:r>
          </w:p>
        </w:tc>
        <w:tc>
          <w:tcPr>
            <w:tcW w:w="607" w:type="dxa"/>
            <w:vMerge w:val="continue"/>
            <w:vAlign w:val="center"/>
          </w:tcPr>
          <w:p w14:paraId="3F2DC112">
            <w:pPr>
              <w:ind w:firstLine="0" w:firstLineChars="0"/>
              <w:jc w:val="center"/>
              <w:rPr>
                <w:rFonts w:ascii="宋体" w:hAnsi="宋体"/>
                <w:sz w:val="21"/>
              </w:rPr>
            </w:pPr>
          </w:p>
        </w:tc>
        <w:tc>
          <w:tcPr>
            <w:tcW w:w="869" w:type="dxa"/>
            <w:gridSpan w:val="4"/>
            <w:vMerge w:val="continue"/>
            <w:vAlign w:val="center"/>
          </w:tcPr>
          <w:p w14:paraId="595495E5">
            <w:pPr>
              <w:ind w:firstLine="0" w:firstLineChars="0"/>
              <w:rPr>
                <w:rFonts w:ascii="宋体" w:hAnsi="宋体"/>
                <w:sz w:val="21"/>
              </w:rPr>
            </w:pPr>
          </w:p>
        </w:tc>
        <w:tc>
          <w:tcPr>
            <w:tcW w:w="4534" w:type="dxa"/>
            <w:gridSpan w:val="2"/>
            <w:vAlign w:val="center"/>
          </w:tcPr>
          <w:p w14:paraId="1D07618A">
            <w:pPr>
              <w:ind w:firstLine="0" w:firstLineChars="0"/>
              <w:rPr>
                <w:rFonts w:ascii="宋体" w:hAnsi="宋体"/>
                <w:sz w:val="21"/>
              </w:rPr>
            </w:pPr>
            <w:r>
              <w:rPr>
                <w:rFonts w:hint="eastAsia" w:ascii="宋体" w:hAnsi="宋体"/>
                <w:sz w:val="21"/>
              </w:rPr>
              <w:t>制动轮与摩擦片摩擦、缺陷和油污现象</w:t>
            </w:r>
          </w:p>
        </w:tc>
        <w:tc>
          <w:tcPr>
            <w:tcW w:w="966" w:type="dxa"/>
            <w:vAlign w:val="center"/>
          </w:tcPr>
          <w:p w14:paraId="3F359B76">
            <w:pPr>
              <w:ind w:firstLine="0" w:firstLineChars="0"/>
              <w:jc w:val="center"/>
              <w:rPr>
                <w:rFonts w:ascii="宋体" w:hAnsi="宋体"/>
                <w:sz w:val="21"/>
              </w:rPr>
            </w:pPr>
          </w:p>
        </w:tc>
        <w:tc>
          <w:tcPr>
            <w:tcW w:w="921" w:type="dxa"/>
            <w:vAlign w:val="center"/>
          </w:tcPr>
          <w:p w14:paraId="0699DDC7">
            <w:pPr>
              <w:ind w:firstLine="0" w:firstLineChars="0"/>
              <w:jc w:val="center"/>
              <w:rPr>
                <w:rFonts w:ascii="宋体" w:hAnsi="宋体"/>
                <w:sz w:val="21"/>
              </w:rPr>
            </w:pPr>
          </w:p>
        </w:tc>
      </w:tr>
      <w:tr w14:paraId="0B0B02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76320C21">
            <w:pPr>
              <w:ind w:firstLine="0" w:firstLineChars="0"/>
              <w:jc w:val="center"/>
              <w:rPr>
                <w:rFonts w:ascii="宋体" w:hAnsi="宋体"/>
                <w:sz w:val="21"/>
              </w:rPr>
            </w:pPr>
            <w:r>
              <w:rPr>
                <w:rFonts w:hint="eastAsia" w:ascii="宋体" w:hAnsi="宋体"/>
                <w:sz w:val="21"/>
              </w:rPr>
              <w:t>33</w:t>
            </w:r>
          </w:p>
        </w:tc>
        <w:tc>
          <w:tcPr>
            <w:tcW w:w="607" w:type="dxa"/>
            <w:vMerge w:val="continue"/>
            <w:vAlign w:val="center"/>
          </w:tcPr>
          <w:p w14:paraId="79083A8E">
            <w:pPr>
              <w:ind w:firstLine="0" w:firstLineChars="0"/>
              <w:jc w:val="center"/>
              <w:rPr>
                <w:rFonts w:ascii="宋体" w:hAnsi="宋体"/>
                <w:sz w:val="21"/>
              </w:rPr>
            </w:pPr>
          </w:p>
        </w:tc>
        <w:tc>
          <w:tcPr>
            <w:tcW w:w="869" w:type="dxa"/>
            <w:gridSpan w:val="4"/>
            <w:vMerge w:val="continue"/>
            <w:vAlign w:val="center"/>
          </w:tcPr>
          <w:p w14:paraId="4BBB616E">
            <w:pPr>
              <w:ind w:firstLine="0" w:firstLineChars="0"/>
              <w:rPr>
                <w:rFonts w:ascii="宋体" w:hAnsi="宋体"/>
                <w:sz w:val="21"/>
              </w:rPr>
            </w:pPr>
          </w:p>
        </w:tc>
        <w:tc>
          <w:tcPr>
            <w:tcW w:w="4534" w:type="dxa"/>
            <w:gridSpan w:val="2"/>
            <w:vAlign w:val="center"/>
          </w:tcPr>
          <w:p w14:paraId="6E959EF0">
            <w:pPr>
              <w:ind w:firstLine="0" w:firstLineChars="0"/>
              <w:rPr>
                <w:rFonts w:ascii="宋体" w:hAnsi="宋体"/>
                <w:sz w:val="21"/>
              </w:rPr>
            </w:pPr>
            <w:r>
              <w:rPr>
                <w:rFonts w:hint="eastAsia" w:ascii="宋体" w:hAnsi="宋体"/>
                <w:sz w:val="21"/>
              </w:rPr>
              <w:t>制动器调整</w:t>
            </w:r>
          </w:p>
        </w:tc>
        <w:tc>
          <w:tcPr>
            <w:tcW w:w="966" w:type="dxa"/>
            <w:vAlign w:val="center"/>
          </w:tcPr>
          <w:p w14:paraId="7CFF3F31">
            <w:pPr>
              <w:ind w:firstLine="0" w:firstLineChars="0"/>
              <w:jc w:val="center"/>
              <w:rPr>
                <w:rFonts w:ascii="宋体" w:hAnsi="宋体"/>
                <w:sz w:val="21"/>
              </w:rPr>
            </w:pPr>
          </w:p>
        </w:tc>
        <w:tc>
          <w:tcPr>
            <w:tcW w:w="921" w:type="dxa"/>
            <w:vAlign w:val="center"/>
          </w:tcPr>
          <w:p w14:paraId="67282B1E">
            <w:pPr>
              <w:ind w:firstLine="0" w:firstLineChars="0"/>
              <w:jc w:val="center"/>
              <w:rPr>
                <w:rFonts w:ascii="宋体" w:hAnsi="宋体"/>
                <w:sz w:val="21"/>
              </w:rPr>
            </w:pPr>
          </w:p>
        </w:tc>
      </w:tr>
      <w:tr w14:paraId="009B17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714" w:hRule="atLeast"/>
          <w:jc w:val="center"/>
        </w:trPr>
        <w:tc>
          <w:tcPr>
            <w:tcW w:w="534" w:type="dxa"/>
            <w:vAlign w:val="center"/>
          </w:tcPr>
          <w:p w14:paraId="406CCCB6">
            <w:pPr>
              <w:ind w:firstLine="0" w:firstLineChars="0"/>
              <w:jc w:val="center"/>
              <w:rPr>
                <w:rFonts w:ascii="宋体" w:hAnsi="宋体"/>
                <w:sz w:val="21"/>
              </w:rPr>
            </w:pPr>
            <w:r>
              <w:rPr>
                <w:rFonts w:hint="eastAsia" w:ascii="宋体" w:hAnsi="宋体"/>
                <w:sz w:val="21"/>
              </w:rPr>
              <w:t>34</w:t>
            </w:r>
          </w:p>
        </w:tc>
        <w:tc>
          <w:tcPr>
            <w:tcW w:w="607" w:type="dxa"/>
            <w:vMerge w:val="continue"/>
            <w:vAlign w:val="center"/>
          </w:tcPr>
          <w:p w14:paraId="28F62987">
            <w:pPr>
              <w:ind w:firstLine="0" w:firstLineChars="0"/>
              <w:jc w:val="center"/>
              <w:rPr>
                <w:rFonts w:ascii="宋体" w:hAnsi="宋体"/>
                <w:sz w:val="21"/>
              </w:rPr>
            </w:pPr>
          </w:p>
        </w:tc>
        <w:tc>
          <w:tcPr>
            <w:tcW w:w="869" w:type="dxa"/>
            <w:gridSpan w:val="4"/>
            <w:vMerge w:val="continue"/>
            <w:vAlign w:val="center"/>
          </w:tcPr>
          <w:p w14:paraId="06A3D77E">
            <w:pPr>
              <w:ind w:firstLine="0" w:firstLineChars="0"/>
              <w:rPr>
                <w:rFonts w:ascii="宋体" w:hAnsi="宋体"/>
                <w:sz w:val="21"/>
              </w:rPr>
            </w:pPr>
          </w:p>
        </w:tc>
        <w:tc>
          <w:tcPr>
            <w:tcW w:w="4534" w:type="dxa"/>
            <w:gridSpan w:val="2"/>
            <w:vAlign w:val="center"/>
          </w:tcPr>
          <w:p w14:paraId="568EC022">
            <w:pPr>
              <w:ind w:firstLine="0" w:firstLineChars="0"/>
              <w:rPr>
                <w:rFonts w:ascii="宋体" w:hAnsi="宋体"/>
                <w:sz w:val="21"/>
              </w:rPr>
            </w:pPr>
            <w:r>
              <w:rPr>
                <w:rFonts w:hint="eastAsia" w:ascii="宋体" w:hAnsi="宋体"/>
                <w:sz w:val="21"/>
              </w:rPr>
              <w:t>制动轮裂纹、划痕、凹凸不平度</w:t>
            </w:r>
          </w:p>
        </w:tc>
        <w:tc>
          <w:tcPr>
            <w:tcW w:w="966" w:type="dxa"/>
            <w:vAlign w:val="center"/>
          </w:tcPr>
          <w:p w14:paraId="3D6DBD81">
            <w:pPr>
              <w:ind w:firstLine="0" w:firstLineChars="0"/>
              <w:jc w:val="center"/>
              <w:rPr>
                <w:rFonts w:ascii="宋体" w:hAnsi="宋体"/>
                <w:sz w:val="21"/>
              </w:rPr>
            </w:pPr>
          </w:p>
        </w:tc>
        <w:tc>
          <w:tcPr>
            <w:tcW w:w="921" w:type="dxa"/>
            <w:vAlign w:val="center"/>
          </w:tcPr>
          <w:p w14:paraId="360BDFF2">
            <w:pPr>
              <w:ind w:firstLine="0" w:firstLineChars="0"/>
              <w:jc w:val="center"/>
              <w:rPr>
                <w:rFonts w:ascii="宋体" w:hAnsi="宋体"/>
                <w:sz w:val="21"/>
              </w:rPr>
            </w:pPr>
          </w:p>
        </w:tc>
      </w:tr>
      <w:tr w14:paraId="211CC1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1086" w:hRule="atLeast"/>
          <w:jc w:val="center"/>
        </w:trPr>
        <w:tc>
          <w:tcPr>
            <w:tcW w:w="534" w:type="dxa"/>
            <w:vAlign w:val="center"/>
          </w:tcPr>
          <w:p w14:paraId="58EE4D2C">
            <w:pPr>
              <w:ind w:firstLine="0" w:firstLineChars="0"/>
              <w:jc w:val="center"/>
              <w:rPr>
                <w:rFonts w:ascii="宋体" w:hAnsi="宋体"/>
                <w:sz w:val="21"/>
              </w:rPr>
            </w:pPr>
            <w:r>
              <w:rPr>
                <w:rFonts w:hint="eastAsia" w:ascii="宋体" w:hAnsi="宋体"/>
                <w:sz w:val="21"/>
              </w:rPr>
              <w:t>35</w:t>
            </w:r>
          </w:p>
        </w:tc>
        <w:tc>
          <w:tcPr>
            <w:tcW w:w="607" w:type="dxa"/>
            <w:vMerge w:val="continue"/>
            <w:vAlign w:val="center"/>
          </w:tcPr>
          <w:p w14:paraId="4913886C">
            <w:pPr>
              <w:ind w:firstLine="0" w:firstLineChars="0"/>
              <w:jc w:val="center"/>
              <w:rPr>
                <w:rFonts w:ascii="宋体" w:hAnsi="宋体"/>
                <w:sz w:val="21"/>
              </w:rPr>
            </w:pPr>
          </w:p>
        </w:tc>
        <w:tc>
          <w:tcPr>
            <w:tcW w:w="869" w:type="dxa"/>
            <w:gridSpan w:val="4"/>
            <w:vMerge w:val="restart"/>
            <w:vAlign w:val="center"/>
          </w:tcPr>
          <w:p w14:paraId="0D656AB5">
            <w:pPr>
              <w:ind w:firstLine="0" w:firstLineChars="0"/>
              <w:rPr>
                <w:rFonts w:ascii="宋体" w:hAnsi="宋体"/>
                <w:sz w:val="21"/>
              </w:rPr>
            </w:pPr>
            <w:r>
              <w:rPr>
                <w:rFonts w:hint="eastAsia" w:ascii="宋体" w:hAnsi="宋体"/>
                <w:sz w:val="21"/>
              </w:rPr>
              <w:t xml:space="preserve"> 起重量限制器</w:t>
            </w:r>
          </w:p>
        </w:tc>
        <w:tc>
          <w:tcPr>
            <w:tcW w:w="4534" w:type="dxa"/>
            <w:gridSpan w:val="2"/>
            <w:vAlign w:val="center"/>
          </w:tcPr>
          <w:p w14:paraId="06BB6292">
            <w:pPr>
              <w:ind w:firstLine="0" w:firstLineChars="0"/>
              <w:rPr>
                <w:rFonts w:ascii="宋体" w:hAnsi="宋体"/>
                <w:sz w:val="21"/>
              </w:rPr>
            </w:pPr>
            <w:r>
              <w:rPr>
                <w:rFonts w:hint="eastAsia" w:ascii="宋体" w:hAnsi="宋体"/>
                <w:sz w:val="21"/>
              </w:rPr>
              <w:t>起重量限制器设置</w:t>
            </w:r>
          </w:p>
        </w:tc>
        <w:tc>
          <w:tcPr>
            <w:tcW w:w="966" w:type="dxa"/>
            <w:vAlign w:val="center"/>
          </w:tcPr>
          <w:p w14:paraId="5DC13315">
            <w:pPr>
              <w:ind w:firstLine="0" w:firstLineChars="0"/>
              <w:jc w:val="center"/>
              <w:rPr>
                <w:rFonts w:ascii="宋体" w:hAnsi="宋体"/>
                <w:sz w:val="21"/>
              </w:rPr>
            </w:pPr>
          </w:p>
        </w:tc>
        <w:tc>
          <w:tcPr>
            <w:tcW w:w="921" w:type="dxa"/>
            <w:vAlign w:val="center"/>
          </w:tcPr>
          <w:p w14:paraId="57D1A7BC">
            <w:pPr>
              <w:ind w:firstLine="0" w:firstLineChars="0"/>
              <w:jc w:val="center"/>
              <w:rPr>
                <w:rFonts w:ascii="宋体" w:hAnsi="宋体"/>
                <w:sz w:val="21"/>
              </w:rPr>
            </w:pPr>
          </w:p>
        </w:tc>
      </w:tr>
      <w:tr w14:paraId="7E6E34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6745608C">
            <w:pPr>
              <w:ind w:firstLine="0" w:firstLineChars="0"/>
              <w:jc w:val="center"/>
              <w:rPr>
                <w:rFonts w:ascii="宋体" w:hAnsi="宋体"/>
                <w:sz w:val="21"/>
              </w:rPr>
            </w:pPr>
            <w:r>
              <w:rPr>
                <w:rFonts w:hint="eastAsia" w:ascii="宋体" w:hAnsi="宋体"/>
                <w:sz w:val="21"/>
              </w:rPr>
              <w:t>36</w:t>
            </w:r>
          </w:p>
        </w:tc>
        <w:tc>
          <w:tcPr>
            <w:tcW w:w="607" w:type="dxa"/>
            <w:vMerge w:val="continue"/>
            <w:vAlign w:val="center"/>
          </w:tcPr>
          <w:p w14:paraId="6B95B5F8">
            <w:pPr>
              <w:ind w:firstLine="0" w:firstLineChars="0"/>
              <w:jc w:val="center"/>
              <w:rPr>
                <w:rFonts w:ascii="宋体" w:hAnsi="宋体"/>
                <w:sz w:val="21"/>
              </w:rPr>
            </w:pPr>
          </w:p>
        </w:tc>
        <w:tc>
          <w:tcPr>
            <w:tcW w:w="869" w:type="dxa"/>
            <w:gridSpan w:val="4"/>
            <w:vMerge w:val="continue"/>
            <w:vAlign w:val="center"/>
          </w:tcPr>
          <w:p w14:paraId="6972E680">
            <w:pPr>
              <w:ind w:firstLine="0" w:firstLineChars="0"/>
              <w:rPr>
                <w:rFonts w:ascii="宋体" w:hAnsi="宋体"/>
                <w:sz w:val="21"/>
              </w:rPr>
            </w:pPr>
          </w:p>
        </w:tc>
        <w:tc>
          <w:tcPr>
            <w:tcW w:w="4534" w:type="dxa"/>
            <w:gridSpan w:val="2"/>
            <w:vAlign w:val="center"/>
          </w:tcPr>
          <w:p w14:paraId="78019CA1">
            <w:pPr>
              <w:ind w:firstLine="0" w:firstLineChars="0"/>
              <w:rPr>
                <w:rFonts w:ascii="宋体" w:hAnsi="宋体"/>
                <w:sz w:val="21"/>
              </w:rPr>
            </w:pPr>
            <w:r>
              <w:rPr>
                <w:rFonts w:hint="eastAsia" w:ascii="宋体" w:hAnsi="宋体"/>
                <w:sz w:val="21"/>
              </w:rPr>
              <w:t>试验</w:t>
            </w:r>
          </w:p>
        </w:tc>
        <w:tc>
          <w:tcPr>
            <w:tcW w:w="966" w:type="dxa"/>
            <w:vAlign w:val="center"/>
          </w:tcPr>
          <w:p w14:paraId="70E2CE69">
            <w:pPr>
              <w:ind w:firstLine="0" w:firstLineChars="0"/>
              <w:jc w:val="center"/>
              <w:rPr>
                <w:rFonts w:ascii="宋体" w:hAnsi="宋体"/>
                <w:sz w:val="21"/>
              </w:rPr>
            </w:pPr>
          </w:p>
        </w:tc>
        <w:tc>
          <w:tcPr>
            <w:tcW w:w="921" w:type="dxa"/>
            <w:vAlign w:val="center"/>
          </w:tcPr>
          <w:p w14:paraId="48159126">
            <w:pPr>
              <w:ind w:firstLine="0" w:firstLineChars="0"/>
              <w:jc w:val="center"/>
              <w:rPr>
                <w:rFonts w:ascii="宋体" w:hAnsi="宋体"/>
                <w:sz w:val="21"/>
              </w:rPr>
            </w:pPr>
          </w:p>
        </w:tc>
      </w:tr>
      <w:tr w14:paraId="30BA45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64D36B5F">
            <w:pPr>
              <w:ind w:firstLine="0" w:firstLineChars="0"/>
              <w:jc w:val="center"/>
              <w:rPr>
                <w:rFonts w:ascii="宋体" w:hAnsi="宋体"/>
                <w:sz w:val="21"/>
              </w:rPr>
            </w:pPr>
            <w:r>
              <w:rPr>
                <w:rFonts w:hint="eastAsia" w:ascii="宋体" w:hAnsi="宋体"/>
                <w:sz w:val="21"/>
              </w:rPr>
              <w:t>37</w:t>
            </w:r>
          </w:p>
        </w:tc>
        <w:tc>
          <w:tcPr>
            <w:tcW w:w="607" w:type="dxa"/>
            <w:vMerge w:val="continue"/>
            <w:vAlign w:val="center"/>
          </w:tcPr>
          <w:p w14:paraId="1DCB0623">
            <w:pPr>
              <w:ind w:firstLine="0" w:firstLineChars="0"/>
              <w:jc w:val="center"/>
              <w:rPr>
                <w:rFonts w:ascii="宋体" w:hAnsi="宋体"/>
                <w:sz w:val="21"/>
              </w:rPr>
            </w:pPr>
          </w:p>
        </w:tc>
        <w:tc>
          <w:tcPr>
            <w:tcW w:w="5403" w:type="dxa"/>
            <w:gridSpan w:val="6"/>
            <w:vAlign w:val="center"/>
          </w:tcPr>
          <w:p w14:paraId="10B73267">
            <w:pPr>
              <w:ind w:firstLine="0" w:firstLineChars="0"/>
              <w:rPr>
                <w:rFonts w:ascii="宋体" w:hAnsi="宋体"/>
                <w:sz w:val="21"/>
              </w:rPr>
            </w:pPr>
            <w:r>
              <w:rPr>
                <w:rFonts w:hint="eastAsia" w:ascii="宋体" w:hAnsi="宋体"/>
                <w:sz w:val="21"/>
              </w:rPr>
              <w:t>起升高度（下降深度）限位器</w:t>
            </w:r>
          </w:p>
        </w:tc>
        <w:tc>
          <w:tcPr>
            <w:tcW w:w="966" w:type="dxa"/>
            <w:vAlign w:val="center"/>
          </w:tcPr>
          <w:p w14:paraId="5F154A0B">
            <w:pPr>
              <w:ind w:firstLine="0" w:firstLineChars="0"/>
              <w:jc w:val="center"/>
              <w:rPr>
                <w:rFonts w:ascii="宋体" w:hAnsi="宋体"/>
                <w:sz w:val="21"/>
              </w:rPr>
            </w:pPr>
          </w:p>
        </w:tc>
        <w:tc>
          <w:tcPr>
            <w:tcW w:w="921" w:type="dxa"/>
            <w:vAlign w:val="center"/>
          </w:tcPr>
          <w:p w14:paraId="4EC683C7">
            <w:pPr>
              <w:ind w:firstLine="0" w:firstLineChars="0"/>
              <w:jc w:val="center"/>
              <w:rPr>
                <w:rFonts w:ascii="宋体" w:hAnsi="宋体"/>
                <w:sz w:val="21"/>
              </w:rPr>
            </w:pPr>
          </w:p>
        </w:tc>
      </w:tr>
      <w:tr w14:paraId="0F708C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7515BC5D">
            <w:pPr>
              <w:ind w:firstLine="0" w:firstLineChars="0"/>
              <w:jc w:val="center"/>
              <w:rPr>
                <w:rFonts w:ascii="宋体" w:hAnsi="宋体"/>
                <w:sz w:val="21"/>
              </w:rPr>
            </w:pPr>
            <w:r>
              <w:rPr>
                <w:rFonts w:hint="eastAsia" w:ascii="宋体" w:hAnsi="宋体"/>
                <w:sz w:val="21"/>
              </w:rPr>
              <w:t>38</w:t>
            </w:r>
          </w:p>
        </w:tc>
        <w:tc>
          <w:tcPr>
            <w:tcW w:w="607" w:type="dxa"/>
            <w:vMerge w:val="continue"/>
            <w:vAlign w:val="center"/>
          </w:tcPr>
          <w:p w14:paraId="5DE840A2">
            <w:pPr>
              <w:ind w:firstLine="0" w:firstLineChars="0"/>
              <w:jc w:val="center"/>
              <w:rPr>
                <w:rFonts w:ascii="宋体" w:hAnsi="宋体"/>
                <w:sz w:val="21"/>
              </w:rPr>
            </w:pPr>
          </w:p>
        </w:tc>
        <w:tc>
          <w:tcPr>
            <w:tcW w:w="5403" w:type="dxa"/>
            <w:gridSpan w:val="6"/>
            <w:vAlign w:val="center"/>
          </w:tcPr>
          <w:p w14:paraId="320462A4">
            <w:pPr>
              <w:ind w:firstLine="0" w:firstLineChars="0"/>
              <w:rPr>
                <w:rFonts w:ascii="宋体" w:hAnsi="宋体"/>
                <w:sz w:val="21"/>
              </w:rPr>
            </w:pPr>
            <w:r>
              <w:rPr>
                <w:rFonts w:hint="eastAsia" w:ascii="宋体" w:hAnsi="宋体"/>
                <w:sz w:val="21"/>
              </w:rPr>
              <w:t>力矩限位器</w:t>
            </w:r>
          </w:p>
        </w:tc>
        <w:tc>
          <w:tcPr>
            <w:tcW w:w="966" w:type="dxa"/>
            <w:vAlign w:val="center"/>
          </w:tcPr>
          <w:p w14:paraId="6D48F49C">
            <w:pPr>
              <w:ind w:firstLine="0" w:firstLineChars="0"/>
              <w:jc w:val="center"/>
              <w:rPr>
                <w:rFonts w:ascii="宋体" w:hAnsi="宋体"/>
                <w:sz w:val="21"/>
              </w:rPr>
            </w:pPr>
          </w:p>
        </w:tc>
        <w:tc>
          <w:tcPr>
            <w:tcW w:w="921" w:type="dxa"/>
            <w:vAlign w:val="center"/>
          </w:tcPr>
          <w:p w14:paraId="22DCE601">
            <w:pPr>
              <w:ind w:firstLine="0" w:firstLineChars="0"/>
              <w:jc w:val="center"/>
              <w:rPr>
                <w:rFonts w:ascii="宋体" w:hAnsi="宋体"/>
                <w:sz w:val="21"/>
              </w:rPr>
            </w:pPr>
          </w:p>
        </w:tc>
      </w:tr>
      <w:tr w14:paraId="6BB977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6BC735AA">
            <w:pPr>
              <w:ind w:firstLine="0" w:firstLineChars="0"/>
              <w:jc w:val="center"/>
              <w:rPr>
                <w:rFonts w:ascii="宋体" w:hAnsi="宋体"/>
                <w:sz w:val="21"/>
              </w:rPr>
            </w:pPr>
            <w:r>
              <w:rPr>
                <w:rFonts w:hint="eastAsia" w:ascii="宋体" w:hAnsi="宋体"/>
                <w:sz w:val="21"/>
              </w:rPr>
              <w:t>39</w:t>
            </w:r>
          </w:p>
        </w:tc>
        <w:tc>
          <w:tcPr>
            <w:tcW w:w="607" w:type="dxa"/>
            <w:vMerge w:val="continue"/>
            <w:vAlign w:val="center"/>
          </w:tcPr>
          <w:p w14:paraId="5462AA53">
            <w:pPr>
              <w:ind w:firstLine="0" w:firstLineChars="0"/>
              <w:jc w:val="center"/>
              <w:rPr>
                <w:rFonts w:ascii="宋体" w:hAnsi="宋体"/>
                <w:sz w:val="21"/>
              </w:rPr>
            </w:pPr>
          </w:p>
        </w:tc>
        <w:tc>
          <w:tcPr>
            <w:tcW w:w="5403" w:type="dxa"/>
            <w:gridSpan w:val="6"/>
            <w:vAlign w:val="center"/>
          </w:tcPr>
          <w:p w14:paraId="682D1DD2">
            <w:pPr>
              <w:ind w:firstLine="0" w:firstLineChars="0"/>
              <w:rPr>
                <w:rFonts w:ascii="宋体" w:hAnsi="宋体"/>
                <w:sz w:val="21"/>
              </w:rPr>
            </w:pPr>
            <w:r>
              <w:rPr>
                <w:rFonts w:hint="eastAsia" w:ascii="宋体" w:hAnsi="宋体"/>
                <w:sz w:val="21"/>
              </w:rPr>
              <w:t xml:space="preserve">回转限位器 </w:t>
            </w:r>
          </w:p>
        </w:tc>
        <w:tc>
          <w:tcPr>
            <w:tcW w:w="966" w:type="dxa"/>
            <w:vAlign w:val="center"/>
          </w:tcPr>
          <w:p w14:paraId="25DE022B">
            <w:pPr>
              <w:ind w:firstLine="0" w:firstLineChars="0"/>
              <w:jc w:val="center"/>
              <w:rPr>
                <w:rFonts w:ascii="宋体" w:hAnsi="宋体"/>
                <w:sz w:val="21"/>
              </w:rPr>
            </w:pPr>
          </w:p>
        </w:tc>
        <w:tc>
          <w:tcPr>
            <w:tcW w:w="921" w:type="dxa"/>
            <w:vAlign w:val="center"/>
          </w:tcPr>
          <w:p w14:paraId="5105EF48">
            <w:pPr>
              <w:ind w:firstLine="0" w:firstLineChars="0"/>
              <w:jc w:val="center"/>
              <w:rPr>
                <w:rFonts w:ascii="宋体" w:hAnsi="宋体"/>
                <w:sz w:val="21"/>
              </w:rPr>
            </w:pPr>
          </w:p>
        </w:tc>
      </w:tr>
      <w:tr w14:paraId="389F07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453684E3">
            <w:pPr>
              <w:ind w:firstLine="0" w:firstLineChars="0"/>
              <w:jc w:val="center"/>
              <w:rPr>
                <w:rFonts w:ascii="宋体" w:hAnsi="宋体"/>
                <w:sz w:val="21"/>
              </w:rPr>
            </w:pPr>
            <w:r>
              <w:rPr>
                <w:rFonts w:hint="eastAsia" w:ascii="宋体" w:hAnsi="宋体"/>
                <w:sz w:val="21"/>
              </w:rPr>
              <w:t>40</w:t>
            </w:r>
          </w:p>
        </w:tc>
        <w:tc>
          <w:tcPr>
            <w:tcW w:w="607" w:type="dxa"/>
            <w:vMerge w:val="continue"/>
            <w:vAlign w:val="center"/>
          </w:tcPr>
          <w:p w14:paraId="5794CAF6">
            <w:pPr>
              <w:ind w:firstLine="0" w:firstLineChars="0"/>
              <w:jc w:val="center"/>
              <w:rPr>
                <w:rFonts w:ascii="宋体" w:hAnsi="宋体"/>
                <w:sz w:val="21"/>
              </w:rPr>
            </w:pPr>
          </w:p>
        </w:tc>
        <w:tc>
          <w:tcPr>
            <w:tcW w:w="5403" w:type="dxa"/>
            <w:gridSpan w:val="6"/>
            <w:vAlign w:val="center"/>
          </w:tcPr>
          <w:p w14:paraId="023B18B0">
            <w:pPr>
              <w:ind w:firstLine="0" w:firstLineChars="0"/>
              <w:rPr>
                <w:rFonts w:ascii="宋体" w:hAnsi="宋体"/>
                <w:sz w:val="21"/>
              </w:rPr>
            </w:pPr>
            <w:r>
              <w:rPr>
                <w:rFonts w:hint="eastAsia" w:ascii="宋体" w:hAnsi="宋体"/>
                <w:sz w:val="21"/>
              </w:rPr>
              <w:t>小车变幅限位器</w:t>
            </w:r>
          </w:p>
        </w:tc>
        <w:tc>
          <w:tcPr>
            <w:tcW w:w="966" w:type="dxa"/>
            <w:vAlign w:val="center"/>
          </w:tcPr>
          <w:p w14:paraId="302EB8D5">
            <w:pPr>
              <w:ind w:firstLine="0" w:firstLineChars="0"/>
              <w:jc w:val="center"/>
              <w:rPr>
                <w:rFonts w:ascii="宋体" w:hAnsi="宋体"/>
                <w:sz w:val="21"/>
              </w:rPr>
            </w:pPr>
          </w:p>
        </w:tc>
        <w:tc>
          <w:tcPr>
            <w:tcW w:w="921" w:type="dxa"/>
            <w:vAlign w:val="center"/>
          </w:tcPr>
          <w:p w14:paraId="0B759342">
            <w:pPr>
              <w:ind w:firstLine="0" w:firstLineChars="0"/>
              <w:jc w:val="center"/>
              <w:rPr>
                <w:rFonts w:ascii="宋体" w:hAnsi="宋体"/>
                <w:sz w:val="21"/>
              </w:rPr>
            </w:pPr>
          </w:p>
        </w:tc>
      </w:tr>
      <w:tr w14:paraId="44D7F3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47E4CAAE">
            <w:pPr>
              <w:ind w:firstLine="0" w:firstLineChars="0"/>
              <w:jc w:val="center"/>
              <w:rPr>
                <w:rFonts w:ascii="宋体" w:hAnsi="宋体"/>
                <w:sz w:val="21"/>
              </w:rPr>
            </w:pPr>
            <w:r>
              <w:rPr>
                <w:rFonts w:hint="eastAsia" w:ascii="宋体" w:hAnsi="宋体"/>
                <w:sz w:val="21"/>
              </w:rPr>
              <w:t>41</w:t>
            </w:r>
          </w:p>
        </w:tc>
        <w:tc>
          <w:tcPr>
            <w:tcW w:w="607" w:type="dxa"/>
            <w:vMerge w:val="continue"/>
            <w:vAlign w:val="center"/>
          </w:tcPr>
          <w:p w14:paraId="2F405F29">
            <w:pPr>
              <w:ind w:firstLine="0" w:firstLineChars="0"/>
              <w:jc w:val="center"/>
              <w:rPr>
                <w:rFonts w:ascii="宋体" w:hAnsi="宋体"/>
                <w:sz w:val="21"/>
              </w:rPr>
            </w:pPr>
          </w:p>
        </w:tc>
        <w:tc>
          <w:tcPr>
            <w:tcW w:w="5403" w:type="dxa"/>
            <w:gridSpan w:val="6"/>
            <w:vAlign w:val="center"/>
          </w:tcPr>
          <w:p w14:paraId="538F7B97">
            <w:pPr>
              <w:ind w:firstLine="0" w:firstLineChars="0"/>
              <w:rPr>
                <w:rFonts w:ascii="宋体" w:hAnsi="宋体"/>
                <w:sz w:val="21"/>
              </w:rPr>
            </w:pPr>
            <w:r>
              <w:rPr>
                <w:rFonts w:hint="eastAsia" w:ascii="宋体" w:hAnsi="宋体"/>
                <w:sz w:val="21"/>
              </w:rPr>
              <w:t>应急断电开关</w:t>
            </w:r>
          </w:p>
        </w:tc>
        <w:tc>
          <w:tcPr>
            <w:tcW w:w="966" w:type="dxa"/>
            <w:vAlign w:val="center"/>
          </w:tcPr>
          <w:p w14:paraId="42852593">
            <w:pPr>
              <w:ind w:firstLine="0" w:firstLineChars="0"/>
              <w:jc w:val="center"/>
              <w:rPr>
                <w:rFonts w:ascii="宋体" w:hAnsi="宋体"/>
                <w:sz w:val="21"/>
              </w:rPr>
            </w:pPr>
          </w:p>
        </w:tc>
        <w:tc>
          <w:tcPr>
            <w:tcW w:w="921" w:type="dxa"/>
            <w:vAlign w:val="center"/>
          </w:tcPr>
          <w:p w14:paraId="08FF4A74">
            <w:pPr>
              <w:ind w:firstLine="0" w:firstLineChars="0"/>
              <w:jc w:val="center"/>
              <w:rPr>
                <w:rFonts w:ascii="宋体" w:hAnsi="宋体"/>
                <w:sz w:val="21"/>
              </w:rPr>
            </w:pPr>
          </w:p>
        </w:tc>
      </w:tr>
      <w:tr w14:paraId="6FE4CE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2BAAE0ED">
            <w:pPr>
              <w:ind w:firstLine="0" w:firstLineChars="0"/>
              <w:jc w:val="center"/>
              <w:rPr>
                <w:rFonts w:ascii="宋体" w:hAnsi="宋体"/>
                <w:sz w:val="21"/>
              </w:rPr>
            </w:pPr>
            <w:r>
              <w:rPr>
                <w:rFonts w:hint="eastAsia" w:ascii="宋体" w:hAnsi="宋体"/>
                <w:sz w:val="21"/>
              </w:rPr>
              <w:t>42</w:t>
            </w:r>
          </w:p>
        </w:tc>
        <w:tc>
          <w:tcPr>
            <w:tcW w:w="607" w:type="dxa"/>
            <w:vMerge w:val="continue"/>
            <w:vAlign w:val="center"/>
          </w:tcPr>
          <w:p w14:paraId="5583B1B9">
            <w:pPr>
              <w:ind w:firstLine="0" w:firstLineChars="0"/>
              <w:jc w:val="center"/>
              <w:rPr>
                <w:rFonts w:ascii="宋体" w:hAnsi="宋体"/>
                <w:sz w:val="21"/>
              </w:rPr>
            </w:pPr>
          </w:p>
        </w:tc>
        <w:tc>
          <w:tcPr>
            <w:tcW w:w="5403" w:type="dxa"/>
            <w:gridSpan w:val="6"/>
            <w:vAlign w:val="center"/>
          </w:tcPr>
          <w:p w14:paraId="3845E6F1">
            <w:pPr>
              <w:ind w:firstLine="0" w:firstLineChars="0"/>
              <w:rPr>
                <w:rFonts w:ascii="宋体" w:hAnsi="宋体"/>
                <w:sz w:val="21"/>
              </w:rPr>
            </w:pPr>
            <w:r>
              <w:rPr>
                <w:rFonts w:hint="eastAsia" w:ascii="宋体" w:hAnsi="宋体"/>
                <w:sz w:val="21"/>
              </w:rPr>
              <w:t>连锁保护装置</w:t>
            </w:r>
          </w:p>
        </w:tc>
        <w:tc>
          <w:tcPr>
            <w:tcW w:w="966" w:type="dxa"/>
            <w:vAlign w:val="center"/>
          </w:tcPr>
          <w:p w14:paraId="6CB97221">
            <w:pPr>
              <w:ind w:firstLine="0" w:firstLineChars="0"/>
              <w:jc w:val="center"/>
              <w:rPr>
                <w:rFonts w:ascii="宋体" w:hAnsi="宋体"/>
                <w:sz w:val="21"/>
              </w:rPr>
            </w:pPr>
          </w:p>
        </w:tc>
        <w:tc>
          <w:tcPr>
            <w:tcW w:w="921" w:type="dxa"/>
            <w:vAlign w:val="center"/>
          </w:tcPr>
          <w:p w14:paraId="215C603D">
            <w:pPr>
              <w:ind w:firstLine="0" w:firstLineChars="0"/>
              <w:jc w:val="center"/>
              <w:rPr>
                <w:rFonts w:ascii="宋体" w:hAnsi="宋体"/>
                <w:sz w:val="21"/>
              </w:rPr>
            </w:pPr>
          </w:p>
        </w:tc>
      </w:tr>
      <w:tr w14:paraId="58DA16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37D55250">
            <w:pPr>
              <w:ind w:firstLine="0" w:firstLineChars="0"/>
              <w:jc w:val="center"/>
              <w:rPr>
                <w:rFonts w:ascii="宋体" w:hAnsi="宋体"/>
                <w:sz w:val="21"/>
              </w:rPr>
            </w:pPr>
            <w:r>
              <w:rPr>
                <w:rFonts w:hint="eastAsia" w:ascii="宋体" w:hAnsi="宋体"/>
                <w:sz w:val="21"/>
              </w:rPr>
              <w:t>43</w:t>
            </w:r>
          </w:p>
        </w:tc>
        <w:tc>
          <w:tcPr>
            <w:tcW w:w="607" w:type="dxa"/>
            <w:vMerge w:val="continue"/>
            <w:vAlign w:val="center"/>
          </w:tcPr>
          <w:p w14:paraId="0DC3A567">
            <w:pPr>
              <w:ind w:firstLine="0" w:firstLineChars="0"/>
              <w:jc w:val="center"/>
              <w:rPr>
                <w:rFonts w:ascii="宋体" w:hAnsi="宋体"/>
                <w:sz w:val="21"/>
              </w:rPr>
            </w:pPr>
          </w:p>
        </w:tc>
        <w:tc>
          <w:tcPr>
            <w:tcW w:w="5403" w:type="dxa"/>
            <w:gridSpan w:val="6"/>
            <w:vAlign w:val="center"/>
          </w:tcPr>
          <w:p w14:paraId="25AD07D5">
            <w:pPr>
              <w:ind w:firstLine="0" w:firstLineChars="0"/>
              <w:rPr>
                <w:rFonts w:ascii="宋体" w:hAnsi="宋体"/>
                <w:sz w:val="21"/>
              </w:rPr>
            </w:pPr>
            <w:r>
              <w:rPr>
                <w:rFonts w:hint="eastAsia" w:ascii="宋体" w:hAnsi="宋体"/>
                <w:sz w:val="21"/>
              </w:rPr>
              <w:t>超速保护装置</w:t>
            </w:r>
          </w:p>
        </w:tc>
        <w:tc>
          <w:tcPr>
            <w:tcW w:w="966" w:type="dxa"/>
            <w:vAlign w:val="center"/>
          </w:tcPr>
          <w:p w14:paraId="7A123EAE">
            <w:pPr>
              <w:ind w:firstLine="0" w:firstLineChars="0"/>
              <w:jc w:val="center"/>
              <w:rPr>
                <w:rFonts w:ascii="宋体" w:hAnsi="宋体"/>
                <w:sz w:val="21"/>
              </w:rPr>
            </w:pPr>
          </w:p>
        </w:tc>
        <w:tc>
          <w:tcPr>
            <w:tcW w:w="921" w:type="dxa"/>
            <w:vAlign w:val="center"/>
          </w:tcPr>
          <w:p w14:paraId="28FBA448">
            <w:pPr>
              <w:ind w:firstLine="0" w:firstLineChars="0"/>
              <w:jc w:val="center"/>
              <w:rPr>
                <w:rFonts w:ascii="宋体" w:hAnsi="宋体"/>
                <w:sz w:val="21"/>
              </w:rPr>
            </w:pPr>
          </w:p>
        </w:tc>
      </w:tr>
      <w:tr w14:paraId="0DCC6A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419B3D3F">
            <w:pPr>
              <w:ind w:firstLine="0" w:firstLineChars="0"/>
              <w:jc w:val="center"/>
              <w:rPr>
                <w:rFonts w:ascii="宋体" w:hAnsi="宋体"/>
                <w:sz w:val="21"/>
              </w:rPr>
            </w:pPr>
            <w:r>
              <w:rPr>
                <w:rFonts w:hint="eastAsia" w:ascii="宋体" w:hAnsi="宋体"/>
                <w:sz w:val="21"/>
              </w:rPr>
              <w:t>44</w:t>
            </w:r>
          </w:p>
        </w:tc>
        <w:tc>
          <w:tcPr>
            <w:tcW w:w="607" w:type="dxa"/>
            <w:vMerge w:val="continue"/>
            <w:vAlign w:val="center"/>
          </w:tcPr>
          <w:p w14:paraId="7B897811">
            <w:pPr>
              <w:ind w:firstLine="0" w:firstLineChars="0"/>
              <w:jc w:val="center"/>
              <w:rPr>
                <w:rFonts w:ascii="宋体" w:hAnsi="宋体"/>
                <w:sz w:val="21"/>
              </w:rPr>
            </w:pPr>
          </w:p>
        </w:tc>
        <w:tc>
          <w:tcPr>
            <w:tcW w:w="5403" w:type="dxa"/>
            <w:gridSpan w:val="6"/>
            <w:vAlign w:val="center"/>
          </w:tcPr>
          <w:p w14:paraId="63D030BD">
            <w:pPr>
              <w:ind w:firstLine="0" w:firstLineChars="0"/>
              <w:rPr>
                <w:rFonts w:ascii="宋体" w:hAnsi="宋体"/>
                <w:sz w:val="21"/>
              </w:rPr>
            </w:pPr>
            <w:r>
              <w:rPr>
                <w:rFonts w:hint="eastAsia" w:ascii="宋体" w:hAnsi="宋体"/>
                <w:sz w:val="21"/>
              </w:rPr>
              <w:t>风速仪</w:t>
            </w:r>
          </w:p>
        </w:tc>
        <w:tc>
          <w:tcPr>
            <w:tcW w:w="966" w:type="dxa"/>
            <w:vAlign w:val="center"/>
          </w:tcPr>
          <w:p w14:paraId="44EAB992">
            <w:pPr>
              <w:ind w:firstLine="0" w:firstLineChars="0"/>
              <w:jc w:val="center"/>
              <w:rPr>
                <w:rFonts w:ascii="宋体" w:hAnsi="宋体"/>
                <w:sz w:val="21"/>
              </w:rPr>
            </w:pPr>
          </w:p>
        </w:tc>
        <w:tc>
          <w:tcPr>
            <w:tcW w:w="921" w:type="dxa"/>
            <w:vAlign w:val="center"/>
          </w:tcPr>
          <w:p w14:paraId="7BDDF9FD">
            <w:pPr>
              <w:ind w:firstLine="0" w:firstLineChars="0"/>
              <w:jc w:val="center"/>
              <w:rPr>
                <w:rFonts w:ascii="宋体" w:hAnsi="宋体"/>
                <w:sz w:val="21"/>
              </w:rPr>
            </w:pPr>
          </w:p>
        </w:tc>
      </w:tr>
      <w:tr w14:paraId="575B7D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762FD8D8">
            <w:pPr>
              <w:ind w:firstLine="0" w:firstLineChars="0"/>
              <w:jc w:val="center"/>
              <w:rPr>
                <w:rFonts w:ascii="宋体" w:hAnsi="宋体"/>
                <w:sz w:val="21"/>
              </w:rPr>
            </w:pPr>
            <w:r>
              <w:rPr>
                <w:rFonts w:hint="eastAsia" w:ascii="宋体" w:hAnsi="宋体"/>
                <w:sz w:val="21"/>
              </w:rPr>
              <w:t>45</w:t>
            </w:r>
          </w:p>
        </w:tc>
        <w:tc>
          <w:tcPr>
            <w:tcW w:w="607" w:type="dxa"/>
            <w:vMerge w:val="continue"/>
            <w:vAlign w:val="center"/>
          </w:tcPr>
          <w:p w14:paraId="249EDE3E">
            <w:pPr>
              <w:ind w:firstLine="0" w:firstLineChars="0"/>
              <w:jc w:val="center"/>
              <w:rPr>
                <w:rFonts w:ascii="宋体" w:hAnsi="宋体"/>
                <w:sz w:val="21"/>
              </w:rPr>
            </w:pPr>
          </w:p>
        </w:tc>
        <w:tc>
          <w:tcPr>
            <w:tcW w:w="5403" w:type="dxa"/>
            <w:gridSpan w:val="6"/>
            <w:vAlign w:val="center"/>
          </w:tcPr>
          <w:p w14:paraId="7DC0A917">
            <w:pPr>
              <w:ind w:firstLine="0" w:firstLineChars="0"/>
              <w:rPr>
                <w:rFonts w:ascii="宋体" w:hAnsi="宋体"/>
                <w:sz w:val="21"/>
              </w:rPr>
            </w:pPr>
            <w:r>
              <w:rPr>
                <w:rFonts w:hint="eastAsia" w:ascii="宋体" w:hAnsi="宋体"/>
                <w:sz w:val="21"/>
              </w:rPr>
              <w:t>防护罩</w:t>
            </w:r>
          </w:p>
        </w:tc>
        <w:tc>
          <w:tcPr>
            <w:tcW w:w="966" w:type="dxa"/>
            <w:vAlign w:val="center"/>
          </w:tcPr>
          <w:p w14:paraId="6323DCE0">
            <w:pPr>
              <w:ind w:firstLine="0" w:firstLineChars="0"/>
              <w:jc w:val="center"/>
              <w:rPr>
                <w:rFonts w:ascii="宋体" w:hAnsi="宋体"/>
                <w:sz w:val="21"/>
              </w:rPr>
            </w:pPr>
          </w:p>
        </w:tc>
        <w:tc>
          <w:tcPr>
            <w:tcW w:w="921" w:type="dxa"/>
            <w:vAlign w:val="center"/>
          </w:tcPr>
          <w:p w14:paraId="71DD7196">
            <w:pPr>
              <w:ind w:firstLine="0" w:firstLineChars="0"/>
              <w:jc w:val="center"/>
              <w:rPr>
                <w:rFonts w:ascii="宋体" w:hAnsi="宋体"/>
                <w:sz w:val="21"/>
              </w:rPr>
            </w:pPr>
          </w:p>
        </w:tc>
      </w:tr>
      <w:tr w14:paraId="24BBA2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534" w:type="dxa"/>
            <w:vAlign w:val="center"/>
          </w:tcPr>
          <w:p w14:paraId="6BDC3BB8">
            <w:pPr>
              <w:ind w:firstLine="0" w:firstLineChars="0"/>
              <w:jc w:val="center"/>
              <w:rPr>
                <w:rFonts w:ascii="宋体" w:hAnsi="宋体"/>
                <w:sz w:val="21"/>
              </w:rPr>
            </w:pPr>
            <w:r>
              <w:rPr>
                <w:rFonts w:hint="eastAsia" w:ascii="宋体" w:hAnsi="宋体"/>
                <w:sz w:val="21"/>
              </w:rPr>
              <w:t>46</w:t>
            </w:r>
          </w:p>
        </w:tc>
        <w:tc>
          <w:tcPr>
            <w:tcW w:w="1476" w:type="dxa"/>
            <w:gridSpan w:val="5"/>
            <w:vMerge w:val="restart"/>
            <w:vAlign w:val="center"/>
          </w:tcPr>
          <w:p w14:paraId="7AEBEEC9">
            <w:pPr>
              <w:ind w:firstLine="0" w:firstLineChars="0"/>
              <w:rPr>
                <w:rFonts w:ascii="宋体" w:hAnsi="宋体"/>
                <w:sz w:val="21"/>
              </w:rPr>
            </w:pPr>
            <w:r>
              <w:rPr>
                <w:rFonts w:hint="eastAsia" w:ascii="宋体" w:hAnsi="宋体"/>
                <w:sz w:val="21"/>
              </w:rPr>
              <w:t>质量管理体系运行情况</w:t>
            </w:r>
          </w:p>
        </w:tc>
        <w:tc>
          <w:tcPr>
            <w:tcW w:w="4534" w:type="dxa"/>
            <w:gridSpan w:val="2"/>
            <w:vAlign w:val="center"/>
          </w:tcPr>
          <w:p w14:paraId="4834996B">
            <w:pPr>
              <w:ind w:firstLine="0" w:firstLineChars="0"/>
              <w:rPr>
                <w:rFonts w:ascii="宋体" w:hAnsi="宋体"/>
                <w:sz w:val="21"/>
              </w:rPr>
            </w:pPr>
            <w:r>
              <w:rPr>
                <w:rFonts w:hint="eastAsia" w:ascii="宋体" w:hAnsi="宋体"/>
                <w:sz w:val="21"/>
              </w:rPr>
              <w:t>现场施工组织机构、质量管理机构和质量控制系统责任人</w:t>
            </w:r>
          </w:p>
        </w:tc>
        <w:tc>
          <w:tcPr>
            <w:tcW w:w="966" w:type="dxa"/>
            <w:vAlign w:val="center"/>
          </w:tcPr>
          <w:p w14:paraId="24EE7637">
            <w:pPr>
              <w:ind w:firstLine="0" w:firstLineChars="0"/>
              <w:jc w:val="center"/>
              <w:rPr>
                <w:rFonts w:ascii="宋体" w:hAnsi="宋体"/>
                <w:sz w:val="21"/>
              </w:rPr>
            </w:pPr>
          </w:p>
        </w:tc>
        <w:tc>
          <w:tcPr>
            <w:tcW w:w="921" w:type="dxa"/>
            <w:vAlign w:val="center"/>
          </w:tcPr>
          <w:p w14:paraId="6B39D560">
            <w:pPr>
              <w:ind w:firstLine="0" w:firstLineChars="0"/>
              <w:jc w:val="center"/>
              <w:rPr>
                <w:rFonts w:ascii="宋体" w:hAnsi="宋体"/>
                <w:sz w:val="21"/>
              </w:rPr>
            </w:pPr>
          </w:p>
        </w:tc>
      </w:tr>
      <w:tr w14:paraId="666FEC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534" w:type="dxa"/>
            <w:vAlign w:val="center"/>
          </w:tcPr>
          <w:p w14:paraId="4D677E2D">
            <w:pPr>
              <w:ind w:firstLine="0" w:firstLineChars="0"/>
              <w:jc w:val="center"/>
              <w:rPr>
                <w:rFonts w:ascii="宋体" w:hAnsi="宋体"/>
                <w:sz w:val="21"/>
              </w:rPr>
            </w:pPr>
            <w:r>
              <w:rPr>
                <w:rFonts w:hint="eastAsia" w:ascii="宋体" w:hAnsi="宋体"/>
                <w:sz w:val="21"/>
              </w:rPr>
              <w:t>47</w:t>
            </w:r>
          </w:p>
        </w:tc>
        <w:tc>
          <w:tcPr>
            <w:tcW w:w="1476" w:type="dxa"/>
            <w:gridSpan w:val="5"/>
            <w:vMerge w:val="continue"/>
            <w:vAlign w:val="center"/>
          </w:tcPr>
          <w:p w14:paraId="166050C7">
            <w:pPr>
              <w:ind w:firstLine="0" w:firstLineChars="0"/>
              <w:rPr>
                <w:rFonts w:ascii="宋体" w:hAnsi="宋体"/>
                <w:sz w:val="21"/>
              </w:rPr>
            </w:pPr>
          </w:p>
        </w:tc>
        <w:tc>
          <w:tcPr>
            <w:tcW w:w="4534" w:type="dxa"/>
            <w:gridSpan w:val="2"/>
            <w:vAlign w:val="center"/>
          </w:tcPr>
          <w:p w14:paraId="0807A043">
            <w:pPr>
              <w:ind w:firstLine="0" w:firstLineChars="0"/>
              <w:rPr>
                <w:rFonts w:ascii="宋体" w:hAnsi="宋体"/>
                <w:sz w:val="21"/>
              </w:rPr>
            </w:pPr>
            <w:r>
              <w:rPr>
                <w:rFonts w:hint="eastAsia" w:ascii="宋体" w:hAnsi="宋体"/>
                <w:sz w:val="21"/>
              </w:rPr>
              <w:t>现场作业人员的证件</w:t>
            </w:r>
          </w:p>
        </w:tc>
        <w:tc>
          <w:tcPr>
            <w:tcW w:w="966" w:type="dxa"/>
            <w:vAlign w:val="center"/>
          </w:tcPr>
          <w:p w14:paraId="279BE622">
            <w:pPr>
              <w:ind w:firstLine="0" w:firstLineChars="0"/>
              <w:jc w:val="center"/>
              <w:rPr>
                <w:rFonts w:ascii="宋体" w:hAnsi="宋体"/>
                <w:sz w:val="21"/>
              </w:rPr>
            </w:pPr>
          </w:p>
        </w:tc>
        <w:tc>
          <w:tcPr>
            <w:tcW w:w="921" w:type="dxa"/>
            <w:vAlign w:val="center"/>
          </w:tcPr>
          <w:p w14:paraId="22D87E3F">
            <w:pPr>
              <w:ind w:firstLine="0" w:firstLineChars="0"/>
              <w:jc w:val="center"/>
              <w:rPr>
                <w:rFonts w:ascii="宋体" w:hAnsi="宋体"/>
                <w:sz w:val="21"/>
              </w:rPr>
            </w:pPr>
          </w:p>
        </w:tc>
      </w:tr>
      <w:tr w14:paraId="5DC2E0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534" w:type="dxa"/>
            <w:vAlign w:val="center"/>
          </w:tcPr>
          <w:p w14:paraId="6EDD9F30">
            <w:pPr>
              <w:ind w:firstLine="0" w:firstLineChars="0"/>
              <w:jc w:val="center"/>
              <w:rPr>
                <w:rFonts w:ascii="宋体" w:hAnsi="宋体"/>
                <w:sz w:val="21"/>
              </w:rPr>
            </w:pPr>
            <w:r>
              <w:rPr>
                <w:rFonts w:hint="eastAsia" w:ascii="宋体" w:hAnsi="宋体"/>
                <w:sz w:val="21"/>
              </w:rPr>
              <w:t>48</w:t>
            </w:r>
          </w:p>
        </w:tc>
        <w:tc>
          <w:tcPr>
            <w:tcW w:w="1476" w:type="dxa"/>
            <w:gridSpan w:val="5"/>
            <w:vMerge w:val="continue"/>
            <w:vAlign w:val="center"/>
          </w:tcPr>
          <w:p w14:paraId="4730DF49">
            <w:pPr>
              <w:ind w:firstLine="0" w:firstLineChars="0"/>
              <w:jc w:val="center"/>
              <w:rPr>
                <w:rFonts w:ascii="宋体" w:hAnsi="宋体"/>
                <w:sz w:val="21"/>
              </w:rPr>
            </w:pPr>
          </w:p>
        </w:tc>
        <w:tc>
          <w:tcPr>
            <w:tcW w:w="4534" w:type="dxa"/>
            <w:gridSpan w:val="2"/>
            <w:vAlign w:val="center"/>
          </w:tcPr>
          <w:p w14:paraId="38F2CE42">
            <w:pPr>
              <w:ind w:firstLine="0" w:firstLineChars="0"/>
              <w:rPr>
                <w:rFonts w:ascii="宋体" w:hAnsi="宋体"/>
                <w:sz w:val="21"/>
              </w:rPr>
            </w:pPr>
            <w:r>
              <w:rPr>
                <w:rFonts w:hint="eastAsia" w:ascii="宋体" w:hAnsi="宋体"/>
                <w:sz w:val="21"/>
              </w:rPr>
              <w:t>施工过程中体系运转异常情况的处理</w:t>
            </w:r>
          </w:p>
        </w:tc>
        <w:tc>
          <w:tcPr>
            <w:tcW w:w="966" w:type="dxa"/>
            <w:vAlign w:val="center"/>
          </w:tcPr>
          <w:p w14:paraId="55DF928A">
            <w:pPr>
              <w:ind w:firstLine="0" w:firstLineChars="0"/>
              <w:jc w:val="center"/>
              <w:rPr>
                <w:rFonts w:ascii="宋体" w:hAnsi="宋体"/>
                <w:sz w:val="21"/>
              </w:rPr>
            </w:pPr>
          </w:p>
        </w:tc>
        <w:tc>
          <w:tcPr>
            <w:tcW w:w="921" w:type="dxa"/>
            <w:vAlign w:val="center"/>
          </w:tcPr>
          <w:p w14:paraId="7D05ACCB">
            <w:pPr>
              <w:ind w:firstLine="0" w:firstLineChars="0"/>
              <w:jc w:val="center"/>
              <w:rPr>
                <w:rFonts w:ascii="宋体" w:hAnsi="宋体"/>
                <w:sz w:val="21"/>
              </w:rPr>
            </w:pPr>
          </w:p>
        </w:tc>
      </w:tr>
      <w:tr w14:paraId="28DCD0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534" w:type="dxa"/>
            <w:vAlign w:val="center"/>
          </w:tcPr>
          <w:p w14:paraId="1838133D">
            <w:pPr>
              <w:ind w:firstLine="0" w:firstLineChars="0"/>
              <w:jc w:val="center"/>
              <w:rPr>
                <w:rFonts w:ascii="宋体" w:hAnsi="宋体"/>
                <w:sz w:val="21"/>
              </w:rPr>
            </w:pPr>
            <w:r>
              <w:rPr>
                <w:rFonts w:hint="eastAsia" w:ascii="宋体" w:hAnsi="宋体"/>
                <w:sz w:val="21"/>
              </w:rPr>
              <w:t>49</w:t>
            </w:r>
          </w:p>
        </w:tc>
        <w:tc>
          <w:tcPr>
            <w:tcW w:w="1476" w:type="dxa"/>
            <w:gridSpan w:val="5"/>
            <w:vMerge w:val="continue"/>
            <w:vAlign w:val="center"/>
          </w:tcPr>
          <w:p w14:paraId="3A46C60E">
            <w:pPr>
              <w:ind w:firstLine="0" w:firstLineChars="0"/>
              <w:jc w:val="center"/>
              <w:rPr>
                <w:rFonts w:ascii="宋体" w:hAnsi="宋体"/>
                <w:sz w:val="21"/>
              </w:rPr>
            </w:pPr>
          </w:p>
        </w:tc>
        <w:tc>
          <w:tcPr>
            <w:tcW w:w="4534" w:type="dxa"/>
            <w:gridSpan w:val="2"/>
            <w:vAlign w:val="center"/>
          </w:tcPr>
          <w:p w14:paraId="4828D815">
            <w:pPr>
              <w:ind w:firstLine="0" w:firstLineChars="0"/>
              <w:rPr>
                <w:rFonts w:ascii="宋体" w:hAnsi="宋体"/>
                <w:sz w:val="21"/>
              </w:rPr>
            </w:pPr>
            <w:r>
              <w:rPr>
                <w:rFonts w:hint="eastAsia" w:ascii="宋体" w:hAnsi="宋体"/>
                <w:sz w:val="21"/>
              </w:rPr>
              <w:t>对监检机构或监检人员提出问题的处理和反馈情况</w:t>
            </w:r>
          </w:p>
        </w:tc>
        <w:tc>
          <w:tcPr>
            <w:tcW w:w="966" w:type="dxa"/>
            <w:vAlign w:val="center"/>
          </w:tcPr>
          <w:p w14:paraId="61F68507">
            <w:pPr>
              <w:ind w:firstLine="0" w:firstLineChars="0"/>
              <w:jc w:val="center"/>
              <w:rPr>
                <w:rFonts w:ascii="宋体" w:hAnsi="宋体"/>
                <w:sz w:val="21"/>
              </w:rPr>
            </w:pPr>
          </w:p>
        </w:tc>
        <w:tc>
          <w:tcPr>
            <w:tcW w:w="921" w:type="dxa"/>
            <w:vAlign w:val="center"/>
          </w:tcPr>
          <w:p w14:paraId="495A50DB">
            <w:pPr>
              <w:ind w:firstLine="0" w:firstLineChars="0"/>
              <w:jc w:val="center"/>
              <w:rPr>
                <w:rFonts w:ascii="宋体" w:hAnsi="宋体"/>
                <w:sz w:val="21"/>
              </w:rPr>
            </w:pPr>
          </w:p>
        </w:tc>
      </w:tr>
      <w:tr w14:paraId="23FC5A7C">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797" w:hRule="atLeast"/>
          <w:jc w:val="center"/>
        </w:trPr>
        <w:tc>
          <w:tcPr>
            <w:tcW w:w="4181" w:type="dxa"/>
            <w:gridSpan w:val="7"/>
            <w:tcBorders>
              <w:top w:val="single" w:color="auto" w:sz="12" w:space="0"/>
              <w:right w:val="single" w:color="auto" w:sz="4" w:space="0"/>
            </w:tcBorders>
          </w:tcPr>
          <w:p w14:paraId="3A3005A5">
            <w:pPr>
              <w:autoSpaceDE w:val="0"/>
              <w:autoSpaceDN w:val="0"/>
              <w:adjustRightInd w:val="0"/>
              <w:ind w:right="1540" w:rightChars="550" w:firstLine="0" w:firstLineChars="0"/>
              <w:rPr>
                <w:rFonts w:ascii="宋体" w:hAnsi="宋体"/>
                <w:sz w:val="21"/>
              </w:rPr>
            </w:pPr>
            <w:r>
              <w:rPr>
                <w:rFonts w:hint="eastAsia" w:ascii="宋体" w:hAnsi="宋体"/>
                <w:sz w:val="21"/>
              </w:rPr>
              <w:t>租赁单位（章）</w:t>
            </w:r>
          </w:p>
          <w:p w14:paraId="5F556574">
            <w:pPr>
              <w:autoSpaceDE w:val="0"/>
              <w:autoSpaceDN w:val="0"/>
              <w:adjustRightInd w:val="0"/>
              <w:ind w:right="1540" w:rightChars="550" w:firstLine="0" w:firstLineChars="0"/>
              <w:rPr>
                <w:rFonts w:ascii="宋体" w:hAnsi="宋体"/>
                <w:sz w:val="21"/>
              </w:rPr>
            </w:pPr>
          </w:p>
          <w:p w14:paraId="6A21FD29">
            <w:pPr>
              <w:autoSpaceDE w:val="0"/>
              <w:autoSpaceDN w:val="0"/>
              <w:adjustRightInd w:val="0"/>
              <w:ind w:right="1540" w:rightChars="550" w:firstLine="420"/>
              <w:jc w:val="center"/>
              <w:rPr>
                <w:rFonts w:ascii="宋体" w:hAnsi="宋体"/>
                <w:sz w:val="21"/>
              </w:rPr>
            </w:pPr>
            <w:r>
              <w:rPr>
                <w:rFonts w:hint="eastAsia" w:ascii="宋体" w:hAnsi="宋体"/>
                <w:sz w:val="21"/>
              </w:rPr>
              <w:t>租赁单位负责人：</w:t>
            </w:r>
          </w:p>
          <w:p w14:paraId="34FA0EEC">
            <w:pPr>
              <w:autoSpaceDE w:val="0"/>
              <w:autoSpaceDN w:val="0"/>
              <w:adjustRightInd w:val="0"/>
              <w:ind w:right="1540" w:rightChars="550" w:firstLine="0" w:firstLineChars="0"/>
              <w:rPr>
                <w:rFonts w:ascii="宋体" w:hAnsi="宋体"/>
                <w:sz w:val="21"/>
              </w:rPr>
            </w:pPr>
          </w:p>
          <w:p w14:paraId="781B4554">
            <w:pPr>
              <w:autoSpaceDE w:val="0"/>
              <w:autoSpaceDN w:val="0"/>
              <w:adjustRightInd w:val="0"/>
              <w:ind w:right="1540" w:rightChars="550" w:firstLine="420"/>
              <w:jc w:val="center"/>
              <w:rPr>
                <w:rFonts w:ascii="宋体" w:hAnsi="宋体"/>
                <w:sz w:val="21"/>
              </w:rPr>
            </w:pPr>
            <w:r>
              <w:rPr>
                <w:rFonts w:hint="eastAsia" w:ascii="宋体" w:hAnsi="宋体"/>
                <w:sz w:val="21"/>
              </w:rPr>
              <w:t xml:space="preserve">     年   　月　   日</w:t>
            </w:r>
          </w:p>
        </w:tc>
        <w:tc>
          <w:tcPr>
            <w:tcW w:w="4250" w:type="dxa"/>
            <w:gridSpan w:val="3"/>
            <w:tcBorders>
              <w:top w:val="single" w:color="auto" w:sz="12" w:space="0"/>
              <w:left w:val="single" w:color="auto" w:sz="4" w:space="0"/>
            </w:tcBorders>
          </w:tcPr>
          <w:p w14:paraId="493FA04D">
            <w:pPr>
              <w:autoSpaceDE w:val="0"/>
              <w:autoSpaceDN w:val="0"/>
              <w:adjustRightInd w:val="0"/>
              <w:ind w:right="1540" w:rightChars="550" w:firstLine="0" w:firstLineChars="0"/>
              <w:rPr>
                <w:rFonts w:ascii="宋体" w:hAnsi="宋体"/>
                <w:sz w:val="21"/>
              </w:rPr>
            </w:pPr>
            <w:r>
              <w:rPr>
                <w:rFonts w:hint="eastAsia" w:ascii="宋体" w:hAnsi="宋体"/>
                <w:sz w:val="21"/>
              </w:rPr>
              <w:t>安装单位（章）</w:t>
            </w:r>
          </w:p>
          <w:p w14:paraId="28F57C52">
            <w:pPr>
              <w:autoSpaceDE w:val="0"/>
              <w:autoSpaceDN w:val="0"/>
              <w:adjustRightInd w:val="0"/>
              <w:ind w:right="1540" w:rightChars="550" w:firstLine="0" w:firstLineChars="0"/>
              <w:rPr>
                <w:rFonts w:ascii="宋体" w:hAnsi="宋体"/>
                <w:sz w:val="21"/>
              </w:rPr>
            </w:pPr>
          </w:p>
          <w:p w14:paraId="6CAF212A">
            <w:pPr>
              <w:autoSpaceDE w:val="0"/>
              <w:autoSpaceDN w:val="0"/>
              <w:adjustRightInd w:val="0"/>
              <w:ind w:right="1540" w:rightChars="550" w:firstLine="0" w:firstLineChars="0"/>
              <w:rPr>
                <w:rFonts w:ascii="宋体" w:hAnsi="宋体"/>
                <w:sz w:val="21"/>
              </w:rPr>
            </w:pPr>
            <w:r>
              <w:rPr>
                <w:rFonts w:hint="eastAsia" w:ascii="宋体" w:hAnsi="宋体"/>
                <w:sz w:val="21"/>
              </w:rPr>
              <w:t>安装单位技术质量负责人：</w:t>
            </w:r>
          </w:p>
          <w:p w14:paraId="15983E1F">
            <w:pPr>
              <w:autoSpaceDE w:val="0"/>
              <w:autoSpaceDN w:val="0"/>
              <w:adjustRightInd w:val="0"/>
              <w:ind w:right="1540" w:rightChars="550" w:firstLine="0" w:firstLineChars="0"/>
              <w:rPr>
                <w:rFonts w:ascii="宋体" w:hAnsi="宋体"/>
                <w:sz w:val="21"/>
              </w:rPr>
            </w:pPr>
          </w:p>
          <w:p w14:paraId="0C93FA77">
            <w:pPr>
              <w:autoSpaceDE w:val="0"/>
              <w:autoSpaceDN w:val="0"/>
              <w:adjustRightInd w:val="0"/>
              <w:ind w:right="1540" w:rightChars="550" w:firstLine="420"/>
              <w:jc w:val="center"/>
              <w:rPr>
                <w:rFonts w:ascii="宋体" w:hAnsi="宋体"/>
                <w:sz w:val="21"/>
              </w:rPr>
            </w:pPr>
            <w:r>
              <w:rPr>
                <w:rFonts w:hint="eastAsia" w:ascii="宋体" w:hAnsi="宋体"/>
                <w:sz w:val="21"/>
              </w:rPr>
              <w:t xml:space="preserve">     年   　月　   日</w:t>
            </w:r>
          </w:p>
        </w:tc>
      </w:tr>
    </w:tbl>
    <w:p w14:paraId="232803D1">
      <w:pPr>
        <w:pStyle w:val="2"/>
        <w:ind w:right="1960"/>
      </w:pPr>
      <w:r>
        <w:rPr>
          <w:rFonts w:hint="eastAsia"/>
        </w:rPr>
        <w:t xml:space="preserve">      </w:t>
      </w:r>
      <w:bookmarkStart w:id="328" w:name="_Toc2927"/>
      <w:r>
        <w:rPr>
          <w:rFonts w:hint="eastAsia"/>
        </w:rPr>
        <w:t xml:space="preserve">第六章 </w:t>
      </w:r>
      <w:r>
        <w:rPr>
          <w:rFonts w:hint="eastAsia"/>
          <w:lang w:eastAsia="zh-CN"/>
        </w:rPr>
        <w:t>XGT6015-8S1</w:t>
      </w:r>
      <w:r>
        <w:rPr>
          <w:rFonts w:hint="eastAsia"/>
        </w:rPr>
        <w:t>塔机拆除施工方案</w:t>
      </w:r>
      <w:bookmarkEnd w:id="282"/>
      <w:bookmarkEnd w:id="283"/>
      <w:bookmarkEnd w:id="284"/>
      <w:bookmarkEnd w:id="285"/>
      <w:bookmarkEnd w:id="286"/>
      <w:bookmarkEnd w:id="287"/>
      <w:bookmarkEnd w:id="288"/>
      <w:bookmarkEnd w:id="289"/>
      <w:bookmarkEnd w:id="290"/>
      <w:bookmarkEnd w:id="328"/>
      <w:bookmarkStart w:id="329" w:name="_Toc4778"/>
      <w:bookmarkStart w:id="330" w:name="_Toc1111"/>
      <w:bookmarkStart w:id="331" w:name="_Toc10966"/>
    </w:p>
    <w:p w14:paraId="51272850">
      <w:pPr>
        <w:pStyle w:val="3"/>
      </w:pPr>
      <w:bookmarkStart w:id="332" w:name="_Toc13303"/>
      <w:r>
        <w:rPr>
          <w:rFonts w:hint="eastAsia"/>
        </w:rPr>
        <w:t>6.1拆塔前的准备工作</w:t>
      </w:r>
      <w:bookmarkEnd w:id="332"/>
    </w:p>
    <w:bookmarkEnd w:id="329"/>
    <w:bookmarkEnd w:id="330"/>
    <w:bookmarkEnd w:id="331"/>
    <w:p w14:paraId="66427886">
      <w:pPr>
        <w:pStyle w:val="173"/>
        <w:ind w:firstLine="560"/>
        <w:rPr>
          <w:rFonts w:ascii="Times New Roman" w:hAnsi="Times New Roman" w:cs="Times New Roman"/>
          <w:szCs w:val="21"/>
        </w:rPr>
      </w:pPr>
      <w:r>
        <w:rPr>
          <w:rFonts w:hint="eastAsia" w:ascii="Times New Roman" w:hAnsi="Times New Roman" w:cs="Times New Roman"/>
          <w:szCs w:val="21"/>
        </w:rPr>
        <w:t>1、对施工现场进行清理，场地拉设安全警戒线。</w:t>
      </w:r>
    </w:p>
    <w:p w14:paraId="1F16A95D">
      <w:pPr>
        <w:pStyle w:val="173"/>
        <w:ind w:firstLine="560"/>
        <w:rPr>
          <w:rFonts w:ascii="Times New Roman" w:hAnsi="Times New Roman" w:cs="Times New Roman"/>
          <w:szCs w:val="21"/>
        </w:rPr>
      </w:pPr>
      <w:r>
        <w:rPr>
          <w:rFonts w:hint="eastAsia" w:ascii="Times New Roman" w:hAnsi="Times New Roman" w:cs="Times New Roman"/>
          <w:szCs w:val="21"/>
        </w:rPr>
        <w:t>2、由塔机安拆人员对塔机进行检查，检查内容如下：</w:t>
      </w:r>
    </w:p>
    <w:p w14:paraId="436C11DA">
      <w:pPr>
        <w:pStyle w:val="173"/>
        <w:ind w:firstLine="560"/>
        <w:rPr>
          <w:rFonts w:ascii="Times New Roman" w:hAnsi="Times New Roman" w:cs="Times New Roman"/>
          <w:szCs w:val="21"/>
        </w:rPr>
      </w:pPr>
      <w:r>
        <w:rPr>
          <w:rFonts w:hint="eastAsia" w:ascii="Times New Roman" w:hAnsi="Times New Roman" w:cs="Times New Roman"/>
          <w:szCs w:val="21"/>
        </w:rPr>
        <w:t>（1）钢结构件有无严重锈蚀变形开裂与脱焊；</w:t>
      </w:r>
    </w:p>
    <w:p w14:paraId="23F5B376">
      <w:pPr>
        <w:pStyle w:val="173"/>
        <w:ind w:firstLine="560"/>
        <w:rPr>
          <w:rFonts w:ascii="Times New Roman" w:hAnsi="Times New Roman" w:cs="Times New Roman"/>
          <w:szCs w:val="21"/>
        </w:rPr>
      </w:pPr>
      <w:r>
        <w:rPr>
          <w:rFonts w:hint="eastAsia" w:ascii="Times New Roman" w:hAnsi="Times New Roman" w:cs="Times New Roman"/>
          <w:szCs w:val="21"/>
        </w:rPr>
        <w:t>（2）钢丝绳是否牢固可靠，是否合乎要求，绳扎头是否可靠；</w:t>
      </w:r>
    </w:p>
    <w:p w14:paraId="23F2727C">
      <w:pPr>
        <w:pStyle w:val="173"/>
        <w:ind w:firstLine="560"/>
        <w:rPr>
          <w:rFonts w:ascii="Times New Roman" w:hAnsi="Times New Roman" w:cs="Times New Roman"/>
          <w:szCs w:val="21"/>
        </w:rPr>
      </w:pPr>
      <w:r>
        <w:rPr>
          <w:rFonts w:hint="eastAsia" w:ascii="Times New Roman" w:hAnsi="Times New Roman" w:cs="Times New Roman"/>
          <w:szCs w:val="21"/>
        </w:rPr>
        <w:t>（3）各部电路及电气元件是否正常；</w:t>
      </w:r>
    </w:p>
    <w:p w14:paraId="271ED6DD">
      <w:pPr>
        <w:pStyle w:val="173"/>
        <w:ind w:firstLine="560"/>
        <w:rPr>
          <w:rFonts w:ascii="Times New Roman" w:hAnsi="Times New Roman" w:cs="Times New Roman"/>
          <w:szCs w:val="21"/>
        </w:rPr>
      </w:pPr>
      <w:r>
        <w:rPr>
          <w:rFonts w:hint="eastAsia" w:ascii="Times New Roman" w:hAnsi="Times New Roman" w:cs="Times New Roman"/>
          <w:szCs w:val="21"/>
        </w:rPr>
        <w:t>（4）爬升机构导向轮是否转动灵活，与塔机间隙是否合乎要求；</w:t>
      </w:r>
    </w:p>
    <w:p w14:paraId="6525B1A0">
      <w:pPr>
        <w:pStyle w:val="173"/>
        <w:ind w:firstLine="560"/>
        <w:rPr>
          <w:rFonts w:ascii="Times New Roman" w:hAnsi="Times New Roman" w:cs="Times New Roman"/>
          <w:szCs w:val="21"/>
        </w:rPr>
      </w:pPr>
      <w:r>
        <w:rPr>
          <w:rFonts w:hint="eastAsia" w:ascii="Times New Roman" w:hAnsi="Times New Roman" w:cs="Times New Roman"/>
          <w:szCs w:val="21"/>
        </w:rPr>
        <w:t>（5）顶升液压装置是否正常；</w:t>
      </w:r>
    </w:p>
    <w:p w14:paraId="721C430E">
      <w:pPr>
        <w:pStyle w:val="173"/>
        <w:ind w:firstLine="560"/>
        <w:rPr>
          <w:rFonts w:ascii="Times New Roman" w:hAnsi="Times New Roman" w:cs="Times New Roman"/>
          <w:szCs w:val="21"/>
        </w:rPr>
      </w:pPr>
      <w:r>
        <w:rPr>
          <w:rFonts w:hint="eastAsia" w:ascii="Times New Roman" w:hAnsi="Times New Roman" w:cs="Times New Roman"/>
          <w:szCs w:val="21"/>
        </w:rPr>
        <w:t>（6）塔机拆除前应认真进行检修、保养，对变形件及时修复。</w:t>
      </w:r>
    </w:p>
    <w:p w14:paraId="41455A8F">
      <w:pPr>
        <w:pStyle w:val="173"/>
        <w:ind w:firstLine="560"/>
        <w:rPr>
          <w:rFonts w:ascii="Times New Roman" w:hAnsi="Times New Roman" w:cs="Times New Roman"/>
          <w:szCs w:val="21"/>
        </w:rPr>
      </w:pPr>
      <w:r>
        <w:rPr>
          <w:rFonts w:hint="eastAsia" w:ascii="Times New Roman" w:hAnsi="Times New Roman" w:cs="Times New Roman"/>
          <w:szCs w:val="21"/>
        </w:rPr>
        <w:t>3、按要求做好人员的组织工作。</w:t>
      </w:r>
    </w:p>
    <w:p w14:paraId="1CAFFE23">
      <w:pPr>
        <w:pStyle w:val="173"/>
        <w:ind w:firstLine="560"/>
        <w:rPr>
          <w:rFonts w:ascii="Times New Roman" w:hAnsi="Times New Roman" w:cs="Times New Roman"/>
          <w:szCs w:val="21"/>
        </w:rPr>
      </w:pPr>
      <w:r>
        <w:rPr>
          <w:rFonts w:hint="eastAsia" w:ascii="Times New Roman" w:hAnsi="Times New Roman" w:cs="Times New Roman"/>
          <w:szCs w:val="21"/>
        </w:rPr>
        <w:t>4、按要求做好常用工具、索具及材料的配备与检查验收。</w:t>
      </w:r>
    </w:p>
    <w:p w14:paraId="26B5448E">
      <w:pPr>
        <w:pStyle w:val="173"/>
        <w:ind w:firstLine="560"/>
        <w:rPr>
          <w:rFonts w:ascii="Times New Roman" w:hAnsi="Times New Roman" w:cs="Times New Roman"/>
          <w:szCs w:val="21"/>
        </w:rPr>
      </w:pPr>
      <w:r>
        <w:rPr>
          <w:rFonts w:hint="eastAsia" w:ascii="Times New Roman" w:hAnsi="Times New Roman" w:cs="Times New Roman"/>
          <w:szCs w:val="21"/>
        </w:rPr>
        <w:t>5、由项目部和安拆单位共同对全体作业人员进行安全技术交底。</w:t>
      </w:r>
    </w:p>
    <w:p w14:paraId="1313CC23">
      <w:pPr>
        <w:pStyle w:val="3"/>
      </w:pPr>
      <w:bookmarkStart w:id="333" w:name="_Toc15278"/>
      <w:bookmarkStart w:id="334" w:name="_Toc13282"/>
      <w:bookmarkStart w:id="335" w:name="_Toc32282"/>
      <w:bookmarkStart w:id="336" w:name="_Toc14795"/>
      <w:bookmarkStart w:id="337" w:name="_Toc16065"/>
      <w:bookmarkStart w:id="338" w:name="_Toc8180"/>
      <w:bookmarkStart w:id="339" w:name="_Toc10898"/>
      <w:bookmarkStart w:id="340" w:name="_Toc31495"/>
      <w:r>
        <w:rPr>
          <w:rFonts w:hint="eastAsia"/>
        </w:rPr>
        <w:t>6.2拆塔注意事项</w:t>
      </w:r>
      <w:bookmarkEnd w:id="333"/>
      <w:bookmarkEnd w:id="334"/>
      <w:bookmarkEnd w:id="335"/>
      <w:bookmarkEnd w:id="336"/>
      <w:bookmarkEnd w:id="337"/>
      <w:bookmarkEnd w:id="338"/>
      <w:bookmarkEnd w:id="339"/>
      <w:bookmarkEnd w:id="340"/>
    </w:p>
    <w:p w14:paraId="798B184D">
      <w:pPr>
        <w:ind w:firstLine="560"/>
        <w:jc w:val="left"/>
      </w:pPr>
      <w:bookmarkStart w:id="341" w:name="_Toc13481"/>
      <w:bookmarkStart w:id="342" w:name="_Toc13438"/>
      <w:r>
        <w:rPr>
          <w:rFonts w:hint="eastAsia"/>
        </w:rPr>
        <w:t>1.塔机拆塔之前，由于顶升机构长时间停止使用，应对各机构特别是对顶升机构进行保养和试运转。</w:t>
      </w:r>
    </w:p>
    <w:p w14:paraId="68304E03">
      <w:pPr>
        <w:ind w:firstLine="560"/>
        <w:jc w:val="left"/>
      </w:pPr>
      <w:r>
        <w:rPr>
          <w:rFonts w:hint="eastAsia"/>
        </w:rPr>
        <w:t>2.在试运转过程中，应该有目的对限位器回转机构的制动器等进行可靠性检查。</w:t>
      </w:r>
    </w:p>
    <w:p w14:paraId="202DB5AA">
      <w:pPr>
        <w:ind w:firstLine="560"/>
        <w:jc w:val="left"/>
      </w:pPr>
      <w:r>
        <w:rPr>
          <w:rFonts w:hint="eastAsia"/>
        </w:rPr>
        <w:t>3.塔机标准节拆除，下支座没有用销轴与塔身连接好前，严禁使用回转机构、牵引机构和起升机构。</w:t>
      </w:r>
    </w:p>
    <w:p w14:paraId="149EF5CE">
      <w:pPr>
        <w:ind w:firstLine="560"/>
        <w:jc w:val="left"/>
      </w:pPr>
      <w:r>
        <w:rPr>
          <w:rFonts w:hint="eastAsia"/>
        </w:rPr>
        <w:t>4.塔机拆卸对顶升机构来说是重载连续作业，应对顶升机构的主要受力件经常检查。</w:t>
      </w:r>
    </w:p>
    <w:p w14:paraId="31489868">
      <w:pPr>
        <w:ind w:firstLine="560"/>
        <w:jc w:val="left"/>
      </w:pPr>
      <w:r>
        <w:rPr>
          <w:rFonts w:hint="eastAsia"/>
        </w:rPr>
        <w:t>5.顶升机构工作时，所有的操作人员应集中精力观察各相对运动件的相对位置是否正常，是否有阻碍爬升架运动的物件。</w:t>
      </w:r>
    </w:p>
    <w:p w14:paraId="490BACF1">
      <w:pPr>
        <w:ind w:firstLine="560"/>
        <w:jc w:val="left"/>
      </w:pPr>
      <w:r>
        <w:rPr>
          <w:rFonts w:hint="eastAsia"/>
        </w:rPr>
        <w:t>6.拆塔时塔机最高处风速应低于 14m/s，由于拆塔时，建筑物已完工，工作场地受限制，应注意工作程序和吊装堆放位置，不可马虎大意。</w:t>
      </w:r>
    </w:p>
    <w:p w14:paraId="5FF66740">
      <w:pPr>
        <w:ind w:firstLine="560"/>
        <w:rPr>
          <w:color w:val="000000"/>
        </w:rPr>
      </w:pPr>
      <w:r>
        <w:rPr>
          <w:rFonts w:hint="eastAsia"/>
          <w:color w:val="000000"/>
        </w:rPr>
        <w:br w:type="page"/>
      </w:r>
    </w:p>
    <w:p w14:paraId="0AE3E9F4">
      <w:pPr>
        <w:pStyle w:val="3"/>
      </w:pPr>
      <w:bookmarkStart w:id="343" w:name="_Toc9037"/>
      <w:r>
        <w:rPr>
          <w:rFonts w:hint="eastAsia"/>
        </w:rPr>
        <w:t>6.3拆除总工序</w:t>
      </w:r>
      <w:bookmarkEnd w:id="341"/>
      <w:bookmarkEnd w:id="342"/>
      <w:bookmarkEnd w:id="343"/>
    </w:p>
    <w:p w14:paraId="6492F81A">
      <w:pPr>
        <w:ind w:firstLine="560"/>
        <w:jc w:val="left"/>
      </w:pPr>
      <w:bookmarkStart w:id="344" w:name="_Toc3998"/>
      <w:bookmarkStart w:id="345" w:name="_Toc27391"/>
      <w:r>
        <w:rPr>
          <w:rFonts w:hint="eastAsia"/>
        </w:rPr>
        <w:t>塔机拆卸是一项技术性很强的工作，尤其是塔身节、平衡重、平衡臂、起重臂等部件的拆卸，因此在塔机拆除过程中，应该严格按照拆除方案的拆除流程拆除，严禁违反操作程序，上塔机操作人员应该持证上岗。</w:t>
      </w:r>
    </w:p>
    <w:p w14:paraId="7544DBB4">
      <w:pPr>
        <w:ind w:firstLine="560"/>
        <w:jc w:val="left"/>
      </w:pPr>
      <w:r>
        <w:rPr>
          <w:rFonts w:hint="eastAsia"/>
        </w:rPr>
        <w:t>塔机拆除与塔机安装流程步骤相反，塔机拆除工艺流程：</w:t>
      </w:r>
    </w:p>
    <w:p w14:paraId="6DAD758F">
      <w:pPr>
        <w:ind w:firstLine="560"/>
        <w:jc w:val="left"/>
      </w:pPr>
      <w:r>
        <w:rPr>
          <w:rFonts w:hint="eastAsia"/>
          <w:lang w:eastAsia="zh-CN"/>
        </w:rPr>
        <w:t>XGT6015-8S1</w:t>
      </w:r>
      <w:r>
        <w:rPr>
          <w:rFonts w:hint="eastAsia"/>
        </w:rPr>
        <w:t>塔机拆除流程：</w:t>
      </w:r>
    </w:p>
    <w:p w14:paraId="3283E1D1">
      <w:pPr>
        <w:ind w:firstLine="560"/>
        <w:jc w:val="left"/>
      </w:pPr>
      <w:r>
        <w:rPr>
          <w:rFonts w:hint="eastAsia"/>
        </w:rPr>
        <w:t xml:space="preserve">降低标准节→拆除平衡臂配重（留2块 </w:t>
      </w:r>
      <w:r>
        <w:rPr>
          <w:rFonts w:hint="eastAsia"/>
          <w:lang w:val="en-US" w:eastAsia="zh-CN"/>
        </w:rPr>
        <w:t>2.3</w:t>
      </w:r>
      <w:r>
        <w:rPr>
          <w:rFonts w:hint="eastAsia"/>
        </w:rPr>
        <w:t>t 配重）→起重臂拆卸→拆卸剩余配重→平衡臂拆除→拆卸</w:t>
      </w:r>
      <w:r>
        <w:rPr>
          <w:rFonts w:hint="eastAsia"/>
          <w:lang w:eastAsia="zh-CN"/>
        </w:rPr>
        <w:t>塔顶</w:t>
      </w:r>
      <w:r>
        <w:rPr>
          <w:rFonts w:hint="eastAsia"/>
        </w:rPr>
        <w:t>→拆卸回转总成→拆卸特殊节→拆卸爬升架及塔身节</w:t>
      </w:r>
    </w:p>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291"/>
    <w:bookmarkEnd w:id="292"/>
    <w:bookmarkEnd w:id="293"/>
    <w:bookmarkEnd w:id="294"/>
    <w:bookmarkEnd w:id="295"/>
    <w:bookmarkEnd w:id="296"/>
    <w:bookmarkEnd w:id="344"/>
    <w:bookmarkEnd w:id="345"/>
    <w:p w14:paraId="087AD3F0">
      <w:pPr>
        <w:pStyle w:val="3"/>
      </w:pPr>
      <w:bookmarkStart w:id="346" w:name="_Toc13014"/>
      <w:bookmarkStart w:id="347" w:name="_Toc13261"/>
      <w:bookmarkStart w:id="348" w:name="_Toc14280"/>
      <w:bookmarkStart w:id="349" w:name="_Toc13892"/>
      <w:bookmarkStart w:id="350" w:name="_Toc25248"/>
      <w:bookmarkStart w:id="351" w:name="_Toc10757"/>
      <w:bookmarkStart w:id="352" w:name="_Toc13863"/>
      <w:bookmarkStart w:id="353" w:name="_Toc11852"/>
      <w:bookmarkStart w:id="354" w:name="_Toc25126"/>
      <w:bookmarkStart w:id="355" w:name="_Toc24350"/>
      <w:bookmarkStart w:id="356" w:name="_Toc31806"/>
      <w:bookmarkStart w:id="357" w:name="_Toc8801"/>
      <w:bookmarkStart w:id="358" w:name="_Toc18850"/>
      <w:bookmarkStart w:id="359" w:name="_Toc29964"/>
      <w:bookmarkStart w:id="360" w:name="_Toc13467"/>
      <w:bookmarkStart w:id="361" w:name="_Toc87114080"/>
      <w:r>
        <w:rPr>
          <w:rFonts w:hint="eastAsia"/>
        </w:rPr>
        <w:t>6.4 拆塔</w:t>
      </w:r>
      <w:bookmarkEnd w:id="346"/>
      <w:bookmarkEnd w:id="347"/>
    </w:p>
    <w:p w14:paraId="6B215CD3">
      <w:pPr>
        <w:ind w:firstLine="560"/>
        <w:jc w:val="left"/>
      </w:pPr>
      <w:r>
        <w:rPr>
          <w:rFonts w:hint="eastAsia"/>
        </w:rPr>
        <w:t>将塔机降低至安装高度后（降塔时遇到附着先拆除附着在继续降塔），利用25t汽车吊将塔机按步骤拆除。</w:t>
      </w:r>
    </w:p>
    <w:p w14:paraId="79F30528">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6.4.1.降塔</w:t>
      </w:r>
    </w:p>
    <w:p w14:paraId="7B19CF21">
      <w:pPr>
        <w:pStyle w:val="12"/>
        <w:ind w:firstLine="560"/>
        <w:rPr>
          <w:rFonts w:hint="default"/>
        </w:rPr>
      </w:pPr>
      <w:r>
        <w:t xml:space="preserve">（1）将起重臂回转到引进方向（爬升架中有开口的一侧），使回转制动器处于制动状态，载重小车停在配平位置（与立塔顶升加节时载重小车的配平位置一致）。 </w:t>
      </w:r>
    </w:p>
    <w:p w14:paraId="282C3214">
      <w:pPr>
        <w:pStyle w:val="12"/>
        <w:ind w:firstLine="560"/>
        <w:rPr>
          <w:rFonts w:hint="default"/>
        </w:rPr>
      </w:pPr>
      <w:r>
        <w:t>（2）拆掉最上面塔身标准节与特殊节的连接螺栓，稍稍向上顶升，将引进轮按规定方向放至到标准节下方，并保证安全可靠；然后拆掉最上面的塔身标准节与下一节标准节的连接螺栓。</w:t>
      </w:r>
    </w:p>
    <w:p w14:paraId="428A044E">
      <w:pPr>
        <w:pStyle w:val="12"/>
        <w:ind w:firstLine="560"/>
        <w:rPr>
          <w:rFonts w:hint="default"/>
        </w:rPr>
      </w:pPr>
      <w:r>
        <w:t xml:space="preserve">（3）伸长顶升油缸，将顶升横梁顶在从上往下数第三个踏步的圆弧槽内，插好防脱销，将上部结构稍稍顶起，把特殊节与爬升架连接耳板销孔对正，打入销轴，并装好开口销。 </w:t>
      </w:r>
    </w:p>
    <w:p w14:paraId="43D3F269">
      <w:pPr>
        <w:pStyle w:val="12"/>
        <w:ind w:firstLine="560"/>
        <w:rPr>
          <w:rFonts w:hint="default"/>
        </w:rPr>
      </w:pPr>
      <w:r>
        <w:t xml:space="preserve">（4）拆掉最上面塔身标准节与特殊节的连接螺栓，稍稍向上顶升，并保证安全可靠；然后拆掉最上面的塔身标准节与下一节标准节的连接螺栓，并在四角安装上引进轮； </w:t>
      </w:r>
    </w:p>
    <w:p w14:paraId="35078A53">
      <w:pPr>
        <w:pStyle w:val="12"/>
        <w:ind w:firstLine="560"/>
        <w:rPr>
          <w:rFonts w:hint="default"/>
        </w:rPr>
      </w:pPr>
      <w:r>
        <w:t xml:space="preserve">（5）继续顶升至最上面标准节与下方标准节离开，把标准节推出引进横梁并支稳（推出时且不可用力过猛，以免标准节冲出引进梁而倾翻，造成事故）。 </w:t>
      </w:r>
    </w:p>
    <w:p w14:paraId="7D52665E">
      <w:pPr>
        <w:pStyle w:val="12"/>
        <w:ind w:firstLine="560"/>
        <w:rPr>
          <w:rFonts w:hint="default"/>
        </w:rPr>
      </w:pPr>
      <w:r>
        <w:t xml:space="preserve">（6）扳开活动爬爪，回缩油缸，让活动爬爪躲过距它最近的一对踏步后，复位放平，继续下降至活动爬爪支承在下一对踏步上并支承住上部结构后，退出防脱销，再回缩油缸至顶升横梁从踏步上移开。 </w:t>
      </w:r>
    </w:p>
    <w:p w14:paraId="5D2E2AA5">
      <w:pPr>
        <w:pStyle w:val="12"/>
        <w:ind w:firstLine="560"/>
        <w:rPr>
          <w:rFonts w:hint="default"/>
        </w:rPr>
      </w:pPr>
      <w:r>
        <w:t>（7）伸出油缸，将顶升横梁顶在下一对踏步上，插好防脱销，稍微顶升至爬爪翻转时能躲过原来支承的踏步后停止，拨开爬爪，回缩油缸，至下一标准节与特殊节相接触时为止，若连接套螺栓孔错位，可用随机爬升架调节工具调节到位（严禁用载重小车调位或打回转调整）。</w:t>
      </w:r>
    </w:p>
    <w:p w14:paraId="4F26D794">
      <w:pPr>
        <w:pStyle w:val="12"/>
        <w:ind w:firstLine="560"/>
        <w:rPr>
          <w:rFonts w:hint="default"/>
        </w:rPr>
      </w:pPr>
      <w:r>
        <w:t xml:space="preserve">（8）将特殊节与塔身标准节之间用12颗高强螺栓紧固牢，用小车吊钩将标准节吊至地面。 </w:t>
      </w:r>
    </w:p>
    <w:p w14:paraId="2029283A">
      <w:pPr>
        <w:pStyle w:val="12"/>
        <w:ind w:firstLine="560"/>
        <w:rPr>
          <w:rFonts w:hint="default"/>
        </w:rPr>
      </w:pPr>
      <w:r>
        <w:t xml:space="preserve">（9）重复上述动作，将塔身标准节依次拆下。 </w:t>
      </w:r>
    </w:p>
    <w:p w14:paraId="65F8FC47">
      <w:pPr>
        <w:pStyle w:val="12"/>
        <w:ind w:firstLine="560"/>
        <w:rPr>
          <w:rFonts w:hint="default"/>
        </w:rPr>
      </w:pPr>
      <w:r>
        <w:t xml:space="preserve">注意：爬升架下落过程中，需用人工翻转挂靴，同时派专人看管顶升横梁和导轮，观察爬升架下降时有无被障碍物卡住的现象，以便爬升架能顺利下降，否则将造成受力不均，容易造成顶升故障。 </w:t>
      </w:r>
    </w:p>
    <w:p w14:paraId="1BF32D60">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6.4.2.拆除平衡重</w:t>
      </w:r>
    </w:p>
    <w:p w14:paraId="5B207FD5">
      <w:pPr>
        <w:ind w:firstLine="560"/>
        <w:jc w:val="left"/>
      </w:pPr>
      <w:r>
        <w:rPr>
          <w:rFonts w:hint="eastAsia"/>
        </w:rPr>
        <w:t>将载重小车固定在起重臂根部，借助25t汽车吊拆卸配重，拆配重顺序与装配重顺序相反。</w:t>
      </w:r>
    </w:p>
    <w:p w14:paraId="08D504EB">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6.4.3.起重臂拆除</w:t>
      </w:r>
    </w:p>
    <w:p w14:paraId="6F2A6C7B">
      <w:pPr>
        <w:ind w:firstLine="560"/>
        <w:jc w:val="left"/>
      </w:pPr>
      <w:r>
        <w:rPr>
          <w:rFonts w:hint="eastAsia"/>
        </w:rPr>
        <w:t>放下吊钩至地面，拆除起重钢丝绳与起重臂前端上的防扭装置，开动起升机构回收全部钢丝绳。然后将钢丝绳绑在安装起重臂的位置，吊起起重臂，使起重臂靠近塔顶拉杆，拆去起重臂拉杆与塔顶板的连接销轴，放下拉杆至起重臂上固定，拆去钢丝绳，拆掉起重臂与塔头的连接销轴，放下起重臂搁置在垫有枕木的支座上。</w:t>
      </w:r>
    </w:p>
    <w:p w14:paraId="4990A4F7">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6.4.4.平衡臂拆除</w:t>
      </w:r>
    </w:p>
    <w:p w14:paraId="4D15825A">
      <w:pPr>
        <w:ind w:firstLine="560"/>
        <w:jc w:val="left"/>
      </w:pPr>
      <w:r>
        <w:rPr>
          <w:rFonts w:hint="eastAsia"/>
        </w:rPr>
        <w:t>将配重全部吊下，然后通过平衡臂上的四个安装吊耳吊起平衡臂，使平衡臂拉杆处于放松状态，拆下拉杆连接销轴，然后拆掉平衡臂与塔帽的连接销轴，将平衡臂平稳放至地面上。</w:t>
      </w:r>
    </w:p>
    <w:p w14:paraId="4D36A2BE">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6.4.5.拆卸塔顶</w:t>
      </w:r>
    </w:p>
    <w:p w14:paraId="440E2A04">
      <w:pPr>
        <w:ind w:firstLine="560"/>
        <w:jc w:val="left"/>
      </w:pPr>
      <w:r>
        <w:rPr>
          <w:rFonts w:hint="eastAsia"/>
        </w:rPr>
        <w:t>拆</w:t>
      </w:r>
      <w:r>
        <w:rPr>
          <w:rFonts w:hint="eastAsia"/>
          <w:lang w:eastAsia="zh-CN"/>
        </w:rPr>
        <w:t>塔顶</w:t>
      </w:r>
      <w:r>
        <w:rPr>
          <w:rFonts w:hint="eastAsia"/>
        </w:rPr>
        <w:t>前，先检查与相邻的组件之间是否还有电缆连接，拆掉</w:t>
      </w:r>
      <w:r>
        <w:rPr>
          <w:rFonts w:hint="eastAsia"/>
          <w:lang w:eastAsia="zh-CN"/>
        </w:rPr>
        <w:t>塔顶</w:t>
      </w:r>
      <w:r>
        <w:rPr>
          <w:rFonts w:hint="eastAsia"/>
        </w:rPr>
        <w:t>与回转之间的销轴然后吊放至地面。</w:t>
      </w:r>
    </w:p>
    <w:p w14:paraId="6E6EB0DE">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6.4.6 拆掉回转塔身总成</w:t>
      </w:r>
    </w:p>
    <w:p w14:paraId="2784378D">
      <w:pPr>
        <w:ind w:firstLine="560"/>
        <w:jc w:val="left"/>
      </w:pPr>
      <w:r>
        <w:rPr>
          <w:rFonts w:hint="eastAsia"/>
        </w:rPr>
        <w:t>拆卸回转塔身与上支座的连接销轴，然后吊起卸下。</w:t>
      </w:r>
    </w:p>
    <w:p w14:paraId="1653DC4A">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6.4.7 拆掉回转总成</w:t>
      </w:r>
    </w:p>
    <w:p w14:paraId="2A36C1F9">
      <w:pPr>
        <w:ind w:firstLine="560"/>
        <w:jc w:val="left"/>
      </w:pPr>
      <w:r>
        <w:rPr>
          <w:rFonts w:hint="eastAsia"/>
        </w:rPr>
        <w:t>拆掉下支座与塔身的连接销轴，伸长顶升油缸，将顶升横梁顶在踏步的圆弧槽内并稍稍顶紧，拆掉下支座与爬升架的连接销轴，回缩顶升油缸，将爬升架的爬爪支承在塔身上，用吊索将回转总成吊起卸下。</w:t>
      </w:r>
    </w:p>
    <w:p w14:paraId="11BC450D">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6.4.8 拆掉特殊节</w:t>
      </w:r>
    </w:p>
    <w:p w14:paraId="7EB1C428">
      <w:pPr>
        <w:ind w:firstLine="560"/>
      </w:pPr>
      <w:r>
        <w:rPr>
          <w:rFonts w:hint="eastAsia"/>
        </w:rPr>
        <w:t>按照降塔的步骤，伸长顶升油缸，将顶升横梁轴销落入踏步的圆弧槽内，拆掉特殊节座与爬升架的连接销轴，回缩顶升油缸，将爬升架的爬爪支承在塔身上，拆卸前，检查与相邻的组件之间是否还有电缆连接，然后用起重机吊起特殊节，拆下特殊节与塔身的连接螺栓，将特殊节用吊索平稳放至地面上。</w:t>
      </w:r>
    </w:p>
    <w:p w14:paraId="04BF3AD4">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6.4.9 拆掉爬升架和塔身标准节</w:t>
      </w:r>
    </w:p>
    <w:p w14:paraId="37409A14">
      <w:pPr>
        <w:ind w:firstLine="560"/>
        <w:jc w:val="left"/>
      </w:pPr>
      <w:r>
        <w:rPr>
          <w:rFonts w:hint="eastAsia"/>
        </w:rPr>
        <w:t>吊起爬升架，缓缓沿标准节主弦杆吊出，放至地面然后拆除塔身节。</w:t>
      </w:r>
    </w:p>
    <w:p w14:paraId="4463BA8C">
      <w:pPr>
        <w:ind w:firstLine="562"/>
        <w:jc w:val="left"/>
        <w:rPr>
          <w:b/>
          <w:bCs/>
        </w:rPr>
      </w:pPr>
      <w:r>
        <w:rPr>
          <w:rFonts w:hint="eastAsia"/>
          <w:b/>
          <w:bCs/>
        </w:rPr>
        <w:t>注：塔机拆除后，由工程技术人员和专业维修人员检查受力结构件的金属疲劳，焊缝裂纹，结构变形等情况，检查塔机各零部件是否有损坏或碰伤。检查完毕后对缺陷隐患进行修复，在进行防锈刷漆处。</w:t>
      </w:r>
    </w:p>
    <w:p w14:paraId="40F85910">
      <w:pPr>
        <w:pStyle w:val="2"/>
      </w:pPr>
      <w:bookmarkStart w:id="362" w:name="_Toc8518"/>
      <w:r>
        <w:rPr>
          <w:rFonts w:hint="eastAsia"/>
        </w:rPr>
        <w:t>第七章 危险源辨识与分析</w:t>
      </w:r>
      <w:bookmarkEnd w:id="348"/>
      <w:bookmarkEnd w:id="349"/>
      <w:bookmarkEnd w:id="350"/>
      <w:bookmarkEnd w:id="351"/>
      <w:bookmarkEnd w:id="352"/>
      <w:bookmarkEnd w:id="353"/>
      <w:bookmarkEnd w:id="362"/>
    </w:p>
    <w:p w14:paraId="127D8A3D">
      <w:pPr>
        <w:ind w:firstLine="560"/>
        <w:rPr>
          <w:color w:val="000000"/>
        </w:rPr>
      </w:pPr>
      <w:r>
        <w:rPr>
          <w:rFonts w:hint="eastAsia"/>
          <w:color w:val="000000"/>
        </w:rPr>
        <w:t>项目部在开工前由项目负责人组织施工技术、设备物资、消防和安全管理等方面的人员，对塔式起重机安拆进行全面分析、研究，对可能存在的危险源进行辨识、分析、评估，从人、机、料、法、环等因素综合分析，确定潜在的事故类型、时机和危害，并制定针对性的监控对策。</w:t>
      </w:r>
    </w:p>
    <w:p w14:paraId="752D0E50">
      <w:pPr>
        <w:pStyle w:val="3"/>
        <w:ind w:firstLine="562"/>
        <w:rPr>
          <w:color w:val="000000"/>
        </w:rPr>
      </w:pPr>
      <w:bookmarkStart w:id="363" w:name="_Toc7186"/>
      <w:bookmarkStart w:id="364" w:name="_Toc28112"/>
      <w:bookmarkStart w:id="365" w:name="_Toc16398"/>
      <w:bookmarkStart w:id="366" w:name="_Toc5705"/>
      <w:bookmarkStart w:id="367" w:name="_Toc15693"/>
      <w:bookmarkStart w:id="368" w:name="_Toc2846"/>
      <w:r>
        <w:rPr>
          <w:rFonts w:hint="eastAsia"/>
          <w:color w:val="000000"/>
        </w:rPr>
        <w:t>7.</w:t>
      </w:r>
      <w:r>
        <w:rPr>
          <w:color w:val="000000"/>
        </w:rPr>
        <w:t>1</w:t>
      </w:r>
      <w:r>
        <w:rPr>
          <w:rFonts w:hint="eastAsia"/>
          <w:color w:val="000000"/>
        </w:rPr>
        <w:t>危险因素辨识</w:t>
      </w:r>
      <w:bookmarkEnd w:id="363"/>
      <w:bookmarkEnd w:id="364"/>
      <w:bookmarkEnd w:id="365"/>
      <w:bookmarkEnd w:id="366"/>
      <w:bookmarkEnd w:id="367"/>
      <w:bookmarkEnd w:id="368"/>
    </w:p>
    <w:p w14:paraId="5C8B1031">
      <w:pPr>
        <w:pStyle w:val="123"/>
        <w:rPr>
          <w:rStyle w:val="124"/>
          <w:b/>
        </w:rPr>
      </w:pPr>
      <w:r>
        <w:rPr>
          <w:rStyle w:val="124"/>
          <w:rFonts w:hint="eastAsia"/>
          <w:b/>
        </w:rPr>
        <w:t>表7.</w:t>
      </w:r>
      <w:r>
        <w:rPr>
          <w:rStyle w:val="124"/>
          <w:b/>
        </w:rPr>
        <w:t>1-1</w:t>
      </w:r>
      <w:r>
        <w:rPr>
          <w:rStyle w:val="124"/>
          <w:rFonts w:hint="eastAsia"/>
          <w:b/>
        </w:rPr>
        <w:t>安全危险源普查清单</w:t>
      </w:r>
    </w:p>
    <w:tbl>
      <w:tblPr>
        <w:tblStyle w:val="41"/>
        <w:tblW w:w="4943"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8"/>
        <w:gridCol w:w="1112"/>
        <w:gridCol w:w="3523"/>
        <w:gridCol w:w="3933"/>
      </w:tblGrid>
      <w:tr w14:paraId="03F58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6" w:type="pct"/>
            <w:vMerge w:val="restart"/>
            <w:vAlign w:val="center"/>
          </w:tcPr>
          <w:p w14:paraId="5DF90ED3">
            <w:pPr>
              <w:pStyle w:val="144"/>
              <w:rPr>
                <w:rFonts w:ascii="仿宋" w:hAnsi="仿宋"/>
                <w:color w:val="000000"/>
                <w:kern w:val="2"/>
                <w:sz w:val="24"/>
                <w:szCs w:val="24"/>
              </w:rPr>
            </w:pPr>
            <w:r>
              <w:rPr>
                <w:rFonts w:hint="eastAsia" w:ascii="仿宋" w:hAnsi="仿宋"/>
                <w:color w:val="000000"/>
                <w:kern w:val="2"/>
                <w:sz w:val="24"/>
                <w:szCs w:val="24"/>
              </w:rPr>
              <w:t>序号</w:t>
            </w:r>
          </w:p>
        </w:tc>
        <w:tc>
          <w:tcPr>
            <w:tcW w:w="609" w:type="pct"/>
            <w:vMerge w:val="restart"/>
            <w:vAlign w:val="center"/>
          </w:tcPr>
          <w:p w14:paraId="36BAAB7D">
            <w:pPr>
              <w:pStyle w:val="144"/>
              <w:rPr>
                <w:rFonts w:ascii="仿宋" w:hAnsi="仿宋"/>
                <w:color w:val="000000"/>
                <w:kern w:val="2"/>
                <w:sz w:val="24"/>
                <w:szCs w:val="24"/>
              </w:rPr>
            </w:pPr>
            <w:r>
              <w:rPr>
                <w:rFonts w:hint="eastAsia" w:ascii="仿宋" w:hAnsi="仿宋"/>
                <w:color w:val="000000"/>
                <w:kern w:val="2"/>
                <w:sz w:val="24"/>
                <w:szCs w:val="24"/>
              </w:rPr>
              <w:t>危险源</w:t>
            </w:r>
          </w:p>
        </w:tc>
        <w:tc>
          <w:tcPr>
            <w:tcW w:w="4085" w:type="pct"/>
            <w:gridSpan w:val="2"/>
            <w:vAlign w:val="center"/>
          </w:tcPr>
          <w:p w14:paraId="3251B766">
            <w:pPr>
              <w:pStyle w:val="144"/>
              <w:rPr>
                <w:rFonts w:ascii="仿宋" w:hAnsi="仿宋"/>
                <w:color w:val="000000"/>
                <w:kern w:val="2"/>
                <w:sz w:val="24"/>
                <w:szCs w:val="24"/>
              </w:rPr>
            </w:pPr>
            <w:r>
              <w:rPr>
                <w:rFonts w:hint="eastAsia" w:ascii="仿宋" w:hAnsi="仿宋"/>
                <w:color w:val="000000"/>
                <w:kern w:val="2"/>
                <w:sz w:val="24"/>
                <w:szCs w:val="24"/>
              </w:rPr>
              <w:t>判断依据</w:t>
            </w:r>
          </w:p>
        </w:tc>
      </w:tr>
      <w:tr w14:paraId="2B75F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6" w:type="pct"/>
            <w:vMerge w:val="continue"/>
            <w:vAlign w:val="center"/>
          </w:tcPr>
          <w:p w14:paraId="7D5BB287">
            <w:pPr>
              <w:pStyle w:val="144"/>
              <w:rPr>
                <w:rFonts w:ascii="仿宋" w:hAnsi="仿宋"/>
                <w:color w:val="000000"/>
                <w:kern w:val="2"/>
                <w:sz w:val="24"/>
                <w:szCs w:val="24"/>
              </w:rPr>
            </w:pPr>
          </w:p>
        </w:tc>
        <w:tc>
          <w:tcPr>
            <w:tcW w:w="609" w:type="pct"/>
            <w:vMerge w:val="continue"/>
            <w:vAlign w:val="center"/>
          </w:tcPr>
          <w:p w14:paraId="41DCE95E">
            <w:pPr>
              <w:pStyle w:val="144"/>
              <w:rPr>
                <w:rFonts w:ascii="仿宋" w:hAnsi="仿宋"/>
                <w:color w:val="000000"/>
                <w:kern w:val="2"/>
                <w:sz w:val="24"/>
                <w:szCs w:val="24"/>
              </w:rPr>
            </w:pPr>
          </w:p>
        </w:tc>
        <w:tc>
          <w:tcPr>
            <w:tcW w:w="1930" w:type="pct"/>
            <w:vAlign w:val="center"/>
          </w:tcPr>
          <w:p w14:paraId="52F18C98">
            <w:pPr>
              <w:pStyle w:val="144"/>
              <w:rPr>
                <w:rFonts w:ascii="仿宋" w:hAnsi="仿宋"/>
                <w:color w:val="000000"/>
                <w:kern w:val="2"/>
                <w:sz w:val="24"/>
                <w:szCs w:val="24"/>
              </w:rPr>
            </w:pPr>
            <w:r>
              <w:rPr>
                <w:rFonts w:hint="eastAsia" w:ascii="仿宋" w:hAnsi="仿宋"/>
                <w:color w:val="000000"/>
                <w:kern w:val="2"/>
                <w:sz w:val="24"/>
                <w:szCs w:val="24"/>
              </w:rPr>
              <w:t>物的不安全状态</w:t>
            </w:r>
          </w:p>
        </w:tc>
        <w:tc>
          <w:tcPr>
            <w:tcW w:w="2155" w:type="pct"/>
            <w:vAlign w:val="center"/>
          </w:tcPr>
          <w:p w14:paraId="17AB8E12">
            <w:pPr>
              <w:pStyle w:val="144"/>
              <w:rPr>
                <w:rFonts w:ascii="仿宋" w:hAnsi="仿宋"/>
                <w:color w:val="000000"/>
                <w:kern w:val="2"/>
                <w:sz w:val="24"/>
                <w:szCs w:val="24"/>
              </w:rPr>
            </w:pPr>
            <w:r>
              <w:rPr>
                <w:rFonts w:hint="eastAsia" w:ascii="仿宋" w:hAnsi="仿宋"/>
                <w:color w:val="000000"/>
                <w:kern w:val="2"/>
                <w:sz w:val="24"/>
                <w:szCs w:val="24"/>
              </w:rPr>
              <w:t>人的不安全行为</w:t>
            </w:r>
          </w:p>
        </w:tc>
      </w:tr>
      <w:tr w14:paraId="73D51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686EB5D4">
            <w:pPr>
              <w:pStyle w:val="144"/>
              <w:rPr>
                <w:rFonts w:ascii="仿宋" w:hAnsi="仿宋"/>
                <w:color w:val="000000"/>
                <w:kern w:val="2"/>
                <w:sz w:val="24"/>
                <w:szCs w:val="24"/>
              </w:rPr>
            </w:pPr>
            <w:r>
              <w:rPr>
                <w:rFonts w:ascii="仿宋" w:hAnsi="仿宋"/>
                <w:color w:val="000000"/>
                <w:kern w:val="2"/>
                <w:sz w:val="24"/>
                <w:szCs w:val="24"/>
              </w:rPr>
              <w:t>1</w:t>
            </w:r>
          </w:p>
        </w:tc>
        <w:tc>
          <w:tcPr>
            <w:tcW w:w="609" w:type="pct"/>
            <w:vAlign w:val="center"/>
          </w:tcPr>
          <w:p w14:paraId="7A4282EB">
            <w:pPr>
              <w:pStyle w:val="144"/>
              <w:rPr>
                <w:rFonts w:ascii="仿宋" w:hAnsi="仿宋"/>
                <w:color w:val="000000"/>
                <w:kern w:val="2"/>
                <w:sz w:val="24"/>
                <w:szCs w:val="24"/>
              </w:rPr>
            </w:pPr>
            <w:r>
              <w:rPr>
                <w:rFonts w:hint="eastAsia" w:ascii="仿宋" w:hAnsi="仿宋"/>
                <w:color w:val="000000"/>
                <w:kern w:val="2"/>
                <w:sz w:val="24"/>
                <w:szCs w:val="24"/>
              </w:rPr>
              <w:t>起重伤害</w:t>
            </w:r>
          </w:p>
        </w:tc>
        <w:tc>
          <w:tcPr>
            <w:tcW w:w="1930" w:type="pct"/>
            <w:vAlign w:val="center"/>
          </w:tcPr>
          <w:p w14:paraId="64A569B4">
            <w:pPr>
              <w:pStyle w:val="144"/>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、起重设备缺陷；</w:t>
            </w:r>
          </w:p>
          <w:p w14:paraId="38D513CE">
            <w:pPr>
              <w:pStyle w:val="144"/>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、吊具（吊索、扣件等）有缺陷；</w:t>
            </w:r>
          </w:p>
          <w:p w14:paraId="61659183">
            <w:pPr>
              <w:pStyle w:val="144"/>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、起重设备故障或超负荷；</w:t>
            </w:r>
          </w:p>
          <w:p w14:paraId="108C39F7">
            <w:pPr>
              <w:pStyle w:val="144"/>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、起重设备安全装置失灵；</w:t>
            </w:r>
          </w:p>
          <w:p w14:paraId="6E98775E">
            <w:pPr>
              <w:pStyle w:val="144"/>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、设备操作人员无操作资格证；</w:t>
            </w:r>
          </w:p>
          <w:p w14:paraId="6A284BA7">
            <w:pPr>
              <w:pStyle w:val="144"/>
              <w:jc w:val="left"/>
              <w:rPr>
                <w:rFonts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、指挥通讯设备故障；</w:t>
            </w:r>
          </w:p>
          <w:p w14:paraId="26EB4546">
            <w:pPr>
              <w:pStyle w:val="144"/>
              <w:jc w:val="left"/>
              <w:rPr>
                <w:rFonts w:ascii="仿宋" w:hAnsi="仿宋"/>
                <w:color w:val="000000"/>
                <w:kern w:val="2"/>
                <w:sz w:val="24"/>
                <w:szCs w:val="24"/>
              </w:rPr>
            </w:pPr>
            <w:r>
              <w:rPr>
                <w:rFonts w:ascii="仿宋" w:hAnsi="仿宋"/>
                <w:color w:val="000000"/>
                <w:kern w:val="2"/>
                <w:sz w:val="24"/>
                <w:szCs w:val="24"/>
              </w:rPr>
              <w:t>7</w:t>
            </w:r>
            <w:r>
              <w:rPr>
                <w:rFonts w:hint="eastAsia" w:ascii="仿宋" w:hAnsi="仿宋"/>
                <w:color w:val="000000"/>
                <w:kern w:val="2"/>
                <w:sz w:val="24"/>
                <w:szCs w:val="24"/>
              </w:rPr>
              <w:t>、吊机超载限制器缺失或失效。</w:t>
            </w:r>
          </w:p>
        </w:tc>
        <w:tc>
          <w:tcPr>
            <w:tcW w:w="2155" w:type="pct"/>
            <w:vAlign w:val="center"/>
          </w:tcPr>
          <w:p w14:paraId="2ACD4EB8">
            <w:pPr>
              <w:pStyle w:val="144"/>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、操作人员违章操作；</w:t>
            </w:r>
          </w:p>
          <w:p w14:paraId="2151BCD7">
            <w:pPr>
              <w:pStyle w:val="144"/>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、指挥信号不清；</w:t>
            </w:r>
          </w:p>
          <w:p w14:paraId="57C64F55">
            <w:pPr>
              <w:pStyle w:val="144"/>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、相关人员在起吊物下作业、停留；</w:t>
            </w:r>
          </w:p>
          <w:p w14:paraId="6DDE57CD">
            <w:pPr>
              <w:pStyle w:val="144"/>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、设备检查不到位；</w:t>
            </w:r>
          </w:p>
          <w:p w14:paraId="05DB5135">
            <w:pPr>
              <w:pStyle w:val="144"/>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、起吊物体捆绑不当；</w:t>
            </w:r>
          </w:p>
          <w:p w14:paraId="49C709F0">
            <w:pPr>
              <w:pStyle w:val="144"/>
              <w:jc w:val="left"/>
              <w:rPr>
                <w:rFonts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、相关人员冒险进入起重机械工作区域等危险场所。</w:t>
            </w:r>
          </w:p>
        </w:tc>
      </w:tr>
      <w:tr w14:paraId="27599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50228312">
            <w:pPr>
              <w:pStyle w:val="144"/>
              <w:rPr>
                <w:rFonts w:ascii="仿宋" w:hAnsi="仿宋"/>
                <w:color w:val="000000"/>
                <w:kern w:val="2"/>
                <w:sz w:val="24"/>
                <w:szCs w:val="24"/>
              </w:rPr>
            </w:pPr>
            <w:r>
              <w:rPr>
                <w:rFonts w:ascii="仿宋" w:hAnsi="仿宋"/>
                <w:color w:val="000000"/>
                <w:kern w:val="2"/>
                <w:sz w:val="24"/>
                <w:szCs w:val="24"/>
              </w:rPr>
              <w:t>2</w:t>
            </w:r>
          </w:p>
        </w:tc>
        <w:tc>
          <w:tcPr>
            <w:tcW w:w="609" w:type="pct"/>
            <w:vAlign w:val="center"/>
          </w:tcPr>
          <w:p w14:paraId="570B173D">
            <w:pPr>
              <w:pStyle w:val="144"/>
              <w:rPr>
                <w:rFonts w:ascii="仿宋" w:hAnsi="仿宋"/>
                <w:color w:val="000000"/>
                <w:kern w:val="2"/>
                <w:sz w:val="24"/>
                <w:szCs w:val="24"/>
              </w:rPr>
            </w:pPr>
            <w:r>
              <w:rPr>
                <w:rFonts w:hint="eastAsia" w:ascii="仿宋" w:hAnsi="仿宋"/>
                <w:color w:val="000000"/>
                <w:kern w:val="2"/>
                <w:sz w:val="24"/>
                <w:szCs w:val="24"/>
              </w:rPr>
              <w:t>物体打击</w:t>
            </w:r>
          </w:p>
        </w:tc>
        <w:tc>
          <w:tcPr>
            <w:tcW w:w="1930" w:type="pct"/>
            <w:vAlign w:val="center"/>
          </w:tcPr>
          <w:p w14:paraId="5F8766DC">
            <w:pPr>
              <w:pStyle w:val="144"/>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、处于高处的工具或材料摆设位置不当或固定不当（易掉落）；</w:t>
            </w:r>
          </w:p>
          <w:p w14:paraId="6881EEBF">
            <w:pPr>
              <w:pStyle w:val="144"/>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、施工场地环境不良（如照明不佳、场地狭窄、场地湿滑）；</w:t>
            </w:r>
          </w:p>
          <w:p w14:paraId="5BB0F3A5">
            <w:pPr>
              <w:pStyle w:val="144"/>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、上下交叉作业。</w:t>
            </w:r>
          </w:p>
        </w:tc>
        <w:tc>
          <w:tcPr>
            <w:tcW w:w="2155" w:type="pct"/>
            <w:vAlign w:val="center"/>
          </w:tcPr>
          <w:p w14:paraId="2E7FEE1D">
            <w:pPr>
              <w:pStyle w:val="144"/>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、未佩戴安全帽；</w:t>
            </w:r>
          </w:p>
          <w:p w14:paraId="7CDE9AF5">
            <w:pPr>
              <w:pStyle w:val="144"/>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、冒险进入危险场所；</w:t>
            </w:r>
          </w:p>
          <w:p w14:paraId="02EBB3B3">
            <w:pPr>
              <w:pStyle w:val="144"/>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、有分散注意力行为；</w:t>
            </w:r>
          </w:p>
        </w:tc>
      </w:tr>
      <w:tr w14:paraId="21C72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32D8510E">
            <w:pPr>
              <w:pStyle w:val="144"/>
              <w:rPr>
                <w:rFonts w:ascii="仿宋" w:hAnsi="仿宋"/>
                <w:color w:val="000000"/>
                <w:kern w:val="2"/>
                <w:sz w:val="24"/>
                <w:szCs w:val="24"/>
              </w:rPr>
            </w:pPr>
            <w:r>
              <w:rPr>
                <w:rFonts w:ascii="仿宋" w:hAnsi="仿宋"/>
                <w:color w:val="000000"/>
                <w:kern w:val="2"/>
                <w:sz w:val="24"/>
                <w:szCs w:val="24"/>
              </w:rPr>
              <w:t>3</w:t>
            </w:r>
          </w:p>
        </w:tc>
        <w:tc>
          <w:tcPr>
            <w:tcW w:w="609" w:type="pct"/>
            <w:vAlign w:val="center"/>
          </w:tcPr>
          <w:p w14:paraId="2FAA4EEB">
            <w:pPr>
              <w:pStyle w:val="144"/>
              <w:rPr>
                <w:rFonts w:ascii="仿宋" w:hAnsi="仿宋"/>
                <w:color w:val="000000"/>
                <w:kern w:val="2"/>
                <w:sz w:val="24"/>
                <w:szCs w:val="24"/>
              </w:rPr>
            </w:pPr>
            <w:r>
              <w:rPr>
                <w:rFonts w:hint="eastAsia" w:ascii="仿宋" w:hAnsi="仿宋"/>
                <w:color w:val="000000"/>
                <w:kern w:val="2"/>
                <w:sz w:val="24"/>
                <w:szCs w:val="24"/>
              </w:rPr>
              <w:t>高处坠落</w:t>
            </w:r>
          </w:p>
        </w:tc>
        <w:tc>
          <w:tcPr>
            <w:tcW w:w="1930" w:type="pct"/>
            <w:vAlign w:val="center"/>
          </w:tcPr>
          <w:p w14:paraId="33A25621">
            <w:pPr>
              <w:pStyle w:val="144"/>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、个人防护用品用具缺少或有缺陷；</w:t>
            </w:r>
          </w:p>
          <w:p w14:paraId="75CEF1C6">
            <w:pPr>
              <w:pStyle w:val="144"/>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、环境因素导致的高空坠落；</w:t>
            </w:r>
          </w:p>
          <w:p w14:paraId="1F1E2534">
            <w:pPr>
              <w:pStyle w:val="144"/>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、安全带或保险绳断开使作业人员坠落。</w:t>
            </w:r>
          </w:p>
        </w:tc>
        <w:tc>
          <w:tcPr>
            <w:tcW w:w="2155" w:type="pct"/>
            <w:vAlign w:val="center"/>
          </w:tcPr>
          <w:p w14:paraId="6286017F">
            <w:pPr>
              <w:pStyle w:val="144"/>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、违章操作、违章指挥；</w:t>
            </w:r>
          </w:p>
          <w:p w14:paraId="49F45B86">
            <w:pPr>
              <w:pStyle w:val="144"/>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、在必须使用个人防护用品用具的作业或场合中，忽视其使用；</w:t>
            </w:r>
          </w:p>
          <w:p w14:paraId="3E67FD38">
            <w:pPr>
              <w:pStyle w:val="144"/>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、身体不适时，进行高处作业等；</w:t>
            </w:r>
          </w:p>
          <w:p w14:paraId="366A2982">
            <w:pPr>
              <w:pStyle w:val="144"/>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、冒险登高作业。</w:t>
            </w:r>
          </w:p>
        </w:tc>
      </w:tr>
      <w:tr w14:paraId="4F5C9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6FB2D662">
            <w:pPr>
              <w:pStyle w:val="144"/>
              <w:rPr>
                <w:rFonts w:ascii="仿宋" w:hAnsi="仿宋"/>
                <w:color w:val="000000"/>
                <w:kern w:val="2"/>
                <w:sz w:val="24"/>
                <w:szCs w:val="24"/>
              </w:rPr>
            </w:pPr>
            <w:r>
              <w:rPr>
                <w:rFonts w:ascii="仿宋" w:hAnsi="仿宋"/>
                <w:color w:val="000000"/>
                <w:kern w:val="2"/>
                <w:sz w:val="24"/>
                <w:szCs w:val="24"/>
              </w:rPr>
              <w:t>4</w:t>
            </w:r>
          </w:p>
        </w:tc>
        <w:tc>
          <w:tcPr>
            <w:tcW w:w="609" w:type="pct"/>
            <w:vAlign w:val="center"/>
          </w:tcPr>
          <w:p w14:paraId="3AD76DCE">
            <w:pPr>
              <w:pStyle w:val="144"/>
              <w:rPr>
                <w:rFonts w:ascii="仿宋" w:hAnsi="仿宋"/>
                <w:color w:val="000000"/>
                <w:kern w:val="2"/>
                <w:sz w:val="24"/>
                <w:szCs w:val="24"/>
              </w:rPr>
            </w:pPr>
            <w:r>
              <w:rPr>
                <w:rFonts w:hint="eastAsia" w:ascii="仿宋" w:hAnsi="仿宋"/>
                <w:color w:val="000000"/>
                <w:kern w:val="2"/>
                <w:sz w:val="24"/>
                <w:szCs w:val="24"/>
              </w:rPr>
              <w:t>机械伤害</w:t>
            </w:r>
          </w:p>
        </w:tc>
        <w:tc>
          <w:tcPr>
            <w:tcW w:w="1930" w:type="pct"/>
            <w:vAlign w:val="center"/>
          </w:tcPr>
          <w:p w14:paraId="759C4994">
            <w:pPr>
              <w:pStyle w:val="144"/>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、防护、保险、信号等装置缺乏或有缺陷；</w:t>
            </w:r>
          </w:p>
          <w:p w14:paraId="07BFB97E">
            <w:pPr>
              <w:pStyle w:val="144"/>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、履带吊等设备、设施、工具、附件有缺陷；</w:t>
            </w:r>
          </w:p>
          <w:p w14:paraId="613BBAAA">
            <w:pPr>
              <w:pStyle w:val="144"/>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、个人防护用品用具缺少或有缺陷；</w:t>
            </w:r>
          </w:p>
          <w:p w14:paraId="4B74E5D2">
            <w:pPr>
              <w:pStyle w:val="144"/>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、施工场地环境不良（如照明不良）。</w:t>
            </w:r>
          </w:p>
        </w:tc>
        <w:tc>
          <w:tcPr>
            <w:tcW w:w="2155" w:type="pct"/>
            <w:vAlign w:val="center"/>
          </w:tcPr>
          <w:p w14:paraId="5EA18FDD">
            <w:pPr>
              <w:pStyle w:val="144"/>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、在必须使用个人防护用品用具的作业或场合中，忽视其使用；</w:t>
            </w:r>
          </w:p>
          <w:p w14:paraId="771904AC">
            <w:pPr>
              <w:pStyle w:val="144"/>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、有分散注意力行为；</w:t>
            </w:r>
          </w:p>
          <w:p w14:paraId="15D53033">
            <w:pPr>
              <w:pStyle w:val="144"/>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、未按操作规程使用吊机；</w:t>
            </w:r>
          </w:p>
          <w:p w14:paraId="2EA6D5CB">
            <w:pPr>
              <w:pStyle w:val="144"/>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、造成安全装置失效；</w:t>
            </w:r>
          </w:p>
          <w:p w14:paraId="5164883D">
            <w:pPr>
              <w:pStyle w:val="144"/>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、使用不安全设备；</w:t>
            </w:r>
          </w:p>
          <w:p w14:paraId="18CB6E8B">
            <w:pPr>
              <w:pStyle w:val="144"/>
              <w:jc w:val="left"/>
              <w:rPr>
                <w:rFonts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、操作错误，忽视安全，忽视警告。</w:t>
            </w:r>
          </w:p>
        </w:tc>
      </w:tr>
      <w:tr w14:paraId="58A20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2D30CA69">
            <w:pPr>
              <w:pStyle w:val="144"/>
              <w:rPr>
                <w:rFonts w:ascii="仿宋" w:hAnsi="仿宋"/>
                <w:color w:val="000000"/>
                <w:kern w:val="2"/>
                <w:sz w:val="24"/>
                <w:szCs w:val="24"/>
              </w:rPr>
            </w:pPr>
            <w:r>
              <w:rPr>
                <w:rFonts w:ascii="仿宋" w:hAnsi="仿宋"/>
                <w:color w:val="000000"/>
                <w:kern w:val="2"/>
                <w:sz w:val="24"/>
                <w:szCs w:val="24"/>
              </w:rPr>
              <w:t>5</w:t>
            </w:r>
          </w:p>
        </w:tc>
        <w:tc>
          <w:tcPr>
            <w:tcW w:w="609" w:type="pct"/>
            <w:vAlign w:val="center"/>
          </w:tcPr>
          <w:p w14:paraId="43D1F0B7">
            <w:pPr>
              <w:pStyle w:val="144"/>
              <w:rPr>
                <w:rFonts w:ascii="仿宋" w:hAnsi="仿宋"/>
                <w:color w:val="000000"/>
                <w:kern w:val="2"/>
                <w:sz w:val="24"/>
                <w:szCs w:val="24"/>
              </w:rPr>
            </w:pPr>
            <w:r>
              <w:rPr>
                <w:rFonts w:hint="eastAsia" w:ascii="仿宋" w:hAnsi="仿宋"/>
                <w:color w:val="000000"/>
                <w:kern w:val="2"/>
                <w:sz w:val="24"/>
                <w:szCs w:val="24"/>
              </w:rPr>
              <w:t>触电</w:t>
            </w:r>
          </w:p>
        </w:tc>
        <w:tc>
          <w:tcPr>
            <w:tcW w:w="1930" w:type="pct"/>
            <w:vAlign w:val="center"/>
          </w:tcPr>
          <w:p w14:paraId="680C7CC3">
            <w:pPr>
              <w:pStyle w:val="144"/>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、电线老化、破损；</w:t>
            </w:r>
          </w:p>
          <w:p w14:paraId="421B2E57">
            <w:pPr>
              <w:pStyle w:val="144"/>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、电焊机等设备漏电、设备接地保护损坏；</w:t>
            </w:r>
          </w:p>
          <w:p w14:paraId="27CD8FDB">
            <w:pPr>
              <w:pStyle w:val="144"/>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、施工场地环境不良（如照明不佳、场地狭窄、雨雪天气等）；</w:t>
            </w:r>
          </w:p>
          <w:p w14:paraId="14148CA5">
            <w:pPr>
              <w:pStyle w:val="144"/>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、电线浸泡水中；</w:t>
            </w:r>
          </w:p>
          <w:p w14:paraId="73643F60">
            <w:pPr>
              <w:pStyle w:val="144"/>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、未实行“一机、一箱、一闸、一漏保”措施；</w:t>
            </w:r>
          </w:p>
          <w:p w14:paraId="67E030DF">
            <w:pPr>
              <w:pStyle w:val="144"/>
              <w:jc w:val="left"/>
              <w:rPr>
                <w:rFonts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、未设置防雷措施；</w:t>
            </w:r>
          </w:p>
          <w:p w14:paraId="1EBFC38A">
            <w:pPr>
              <w:pStyle w:val="144"/>
              <w:jc w:val="left"/>
              <w:rPr>
                <w:rFonts w:ascii="仿宋" w:hAnsi="仿宋"/>
                <w:color w:val="000000"/>
                <w:kern w:val="2"/>
                <w:sz w:val="24"/>
                <w:szCs w:val="24"/>
              </w:rPr>
            </w:pPr>
            <w:r>
              <w:rPr>
                <w:rFonts w:ascii="仿宋" w:hAnsi="仿宋"/>
                <w:color w:val="000000"/>
                <w:kern w:val="2"/>
                <w:sz w:val="24"/>
                <w:szCs w:val="24"/>
              </w:rPr>
              <w:t>7</w:t>
            </w:r>
            <w:r>
              <w:rPr>
                <w:rFonts w:hint="eastAsia" w:ascii="仿宋" w:hAnsi="仿宋"/>
                <w:color w:val="000000"/>
                <w:kern w:val="2"/>
                <w:sz w:val="24"/>
                <w:szCs w:val="24"/>
              </w:rPr>
              <w:t>、危险机电区域未设置警示标志</w:t>
            </w:r>
          </w:p>
        </w:tc>
        <w:tc>
          <w:tcPr>
            <w:tcW w:w="2155" w:type="pct"/>
            <w:vAlign w:val="center"/>
          </w:tcPr>
          <w:p w14:paraId="3DBD4785">
            <w:pPr>
              <w:pStyle w:val="144"/>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、无证人员操作电路设备；</w:t>
            </w:r>
          </w:p>
          <w:p w14:paraId="216D909C">
            <w:pPr>
              <w:pStyle w:val="144"/>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、不当行为造成安全装置（如漏电保安器失效）；</w:t>
            </w:r>
          </w:p>
          <w:p w14:paraId="03517B9B">
            <w:pPr>
              <w:pStyle w:val="144"/>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、使用不安全设备（如测电笔）；</w:t>
            </w:r>
          </w:p>
          <w:p w14:paraId="67FF8EFF">
            <w:pPr>
              <w:pStyle w:val="144"/>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、非专业电工冒险进入危险场所（如配电房）等；</w:t>
            </w:r>
          </w:p>
          <w:p w14:paraId="521DB47D">
            <w:pPr>
              <w:pStyle w:val="144"/>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、雷电恶劣天气作业。</w:t>
            </w:r>
          </w:p>
        </w:tc>
      </w:tr>
      <w:tr w14:paraId="2F43A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5AEC2683">
            <w:pPr>
              <w:pStyle w:val="144"/>
              <w:rPr>
                <w:rFonts w:ascii="仿宋" w:hAnsi="仿宋"/>
                <w:color w:val="000000"/>
                <w:kern w:val="2"/>
                <w:sz w:val="24"/>
                <w:szCs w:val="24"/>
              </w:rPr>
            </w:pPr>
            <w:r>
              <w:rPr>
                <w:rFonts w:ascii="仿宋" w:hAnsi="仿宋"/>
                <w:color w:val="000000"/>
                <w:kern w:val="2"/>
                <w:sz w:val="24"/>
                <w:szCs w:val="24"/>
              </w:rPr>
              <w:t>6</w:t>
            </w:r>
          </w:p>
        </w:tc>
        <w:tc>
          <w:tcPr>
            <w:tcW w:w="609" w:type="pct"/>
            <w:vAlign w:val="center"/>
          </w:tcPr>
          <w:p w14:paraId="308E5E56">
            <w:pPr>
              <w:pStyle w:val="144"/>
              <w:rPr>
                <w:rFonts w:ascii="仿宋" w:hAnsi="仿宋"/>
                <w:color w:val="000000"/>
                <w:kern w:val="2"/>
                <w:sz w:val="24"/>
                <w:szCs w:val="24"/>
              </w:rPr>
            </w:pPr>
            <w:r>
              <w:rPr>
                <w:rFonts w:hint="eastAsia" w:ascii="仿宋" w:hAnsi="仿宋"/>
                <w:color w:val="000000"/>
                <w:kern w:val="2"/>
                <w:sz w:val="24"/>
                <w:szCs w:val="24"/>
              </w:rPr>
              <w:t>火灾爆炸</w:t>
            </w:r>
          </w:p>
        </w:tc>
        <w:tc>
          <w:tcPr>
            <w:tcW w:w="1930" w:type="pct"/>
            <w:vAlign w:val="center"/>
          </w:tcPr>
          <w:p w14:paraId="60C5CE8D">
            <w:pPr>
              <w:pStyle w:val="144"/>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、氧气、乙炔气管破损漏气；</w:t>
            </w:r>
          </w:p>
          <w:p w14:paraId="1F91D1BD">
            <w:pPr>
              <w:pStyle w:val="144"/>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、乙炔瓶未安装防回火装置或其失效。</w:t>
            </w:r>
          </w:p>
        </w:tc>
        <w:tc>
          <w:tcPr>
            <w:tcW w:w="2155" w:type="pct"/>
            <w:vAlign w:val="center"/>
          </w:tcPr>
          <w:p w14:paraId="38280352">
            <w:pPr>
              <w:pStyle w:val="144"/>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、使用氧气、乙炔气时，将气瓶放倒使用；</w:t>
            </w:r>
          </w:p>
          <w:p w14:paraId="72143B73">
            <w:pPr>
              <w:pStyle w:val="144"/>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、气瓶在阳光下曝晒使用；</w:t>
            </w:r>
          </w:p>
          <w:p w14:paraId="0D39A2BE">
            <w:pPr>
              <w:pStyle w:val="144"/>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、违规滚拖氧气、乙炔瓶；</w:t>
            </w:r>
          </w:p>
          <w:p w14:paraId="7724FF27">
            <w:pPr>
              <w:pStyle w:val="144"/>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、用明火解冻气瓶；</w:t>
            </w:r>
          </w:p>
          <w:p w14:paraId="615D7AD8">
            <w:pPr>
              <w:pStyle w:val="144"/>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、在氧气乙炔瓶附近吸烟或明火作业；</w:t>
            </w:r>
          </w:p>
          <w:p w14:paraId="5A3E9E16">
            <w:pPr>
              <w:pStyle w:val="144"/>
              <w:jc w:val="left"/>
              <w:rPr>
                <w:rFonts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、氧气乙炔瓶工作间距不满足安全距离。</w:t>
            </w:r>
          </w:p>
        </w:tc>
      </w:tr>
      <w:tr w14:paraId="426EC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5199AB09">
            <w:pPr>
              <w:pStyle w:val="144"/>
              <w:rPr>
                <w:rFonts w:ascii="仿宋" w:hAnsi="仿宋"/>
                <w:color w:val="000000"/>
                <w:kern w:val="2"/>
                <w:sz w:val="24"/>
                <w:szCs w:val="24"/>
              </w:rPr>
            </w:pPr>
            <w:r>
              <w:rPr>
                <w:rFonts w:ascii="仿宋" w:hAnsi="仿宋"/>
                <w:color w:val="000000"/>
                <w:kern w:val="2"/>
                <w:sz w:val="24"/>
                <w:szCs w:val="24"/>
              </w:rPr>
              <w:t>7</w:t>
            </w:r>
          </w:p>
        </w:tc>
        <w:tc>
          <w:tcPr>
            <w:tcW w:w="609" w:type="pct"/>
            <w:vAlign w:val="center"/>
          </w:tcPr>
          <w:p w14:paraId="0F435CAD">
            <w:pPr>
              <w:pStyle w:val="144"/>
              <w:rPr>
                <w:rFonts w:ascii="仿宋" w:hAnsi="仿宋"/>
                <w:color w:val="000000"/>
                <w:kern w:val="2"/>
                <w:sz w:val="24"/>
                <w:szCs w:val="24"/>
              </w:rPr>
            </w:pPr>
            <w:r>
              <w:rPr>
                <w:rFonts w:hint="eastAsia" w:ascii="仿宋" w:hAnsi="仿宋"/>
                <w:color w:val="000000"/>
                <w:kern w:val="2"/>
                <w:sz w:val="24"/>
                <w:szCs w:val="24"/>
              </w:rPr>
              <w:t>车辆伤害</w:t>
            </w:r>
          </w:p>
        </w:tc>
        <w:tc>
          <w:tcPr>
            <w:tcW w:w="1930" w:type="pct"/>
            <w:vAlign w:val="center"/>
          </w:tcPr>
          <w:p w14:paraId="26471B9C">
            <w:pPr>
              <w:pStyle w:val="144"/>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、施工场地内构筑物、设备侵入道路，妨碍视线；</w:t>
            </w:r>
          </w:p>
          <w:p w14:paraId="10FB0372">
            <w:pPr>
              <w:pStyle w:val="144"/>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、运输、装卸车辆未进行检修和保养；</w:t>
            </w:r>
          </w:p>
          <w:p w14:paraId="08BFE2BE">
            <w:pPr>
              <w:pStyle w:val="144"/>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、施工场内道路未设置明显的限速标志；</w:t>
            </w:r>
          </w:p>
          <w:p w14:paraId="446A3A96">
            <w:pPr>
              <w:pStyle w:val="144"/>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、施工场地环境不良（如照明不佳、场地狭窄、雨雪天气等）；</w:t>
            </w:r>
          </w:p>
        </w:tc>
        <w:tc>
          <w:tcPr>
            <w:tcW w:w="2155" w:type="pct"/>
            <w:vAlign w:val="center"/>
          </w:tcPr>
          <w:p w14:paraId="3A5662BC">
            <w:pPr>
              <w:pStyle w:val="144"/>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、车辆驾驶人员未经过专业技术、安全操作考试、无相关证件；</w:t>
            </w:r>
          </w:p>
          <w:p w14:paraId="1F16A2C3">
            <w:pPr>
              <w:pStyle w:val="144"/>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、运输、装卸作业人员作业时未按规定穿戴劳动保护用品。</w:t>
            </w:r>
          </w:p>
        </w:tc>
      </w:tr>
      <w:tr w14:paraId="1AF64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2F8F9987">
            <w:pPr>
              <w:pStyle w:val="144"/>
              <w:rPr>
                <w:rFonts w:ascii="仿宋" w:hAnsi="仿宋"/>
                <w:color w:val="000000"/>
                <w:kern w:val="2"/>
                <w:sz w:val="24"/>
                <w:szCs w:val="24"/>
              </w:rPr>
            </w:pPr>
            <w:r>
              <w:rPr>
                <w:rFonts w:ascii="仿宋" w:hAnsi="仿宋"/>
                <w:color w:val="000000"/>
                <w:kern w:val="2"/>
                <w:sz w:val="24"/>
                <w:szCs w:val="24"/>
              </w:rPr>
              <w:t>8</w:t>
            </w:r>
          </w:p>
        </w:tc>
        <w:tc>
          <w:tcPr>
            <w:tcW w:w="609" w:type="pct"/>
            <w:vAlign w:val="center"/>
          </w:tcPr>
          <w:p w14:paraId="3301AB62">
            <w:pPr>
              <w:pStyle w:val="144"/>
              <w:rPr>
                <w:rFonts w:ascii="仿宋" w:hAnsi="仿宋"/>
                <w:color w:val="000000"/>
                <w:kern w:val="2"/>
                <w:sz w:val="24"/>
                <w:szCs w:val="24"/>
              </w:rPr>
            </w:pPr>
            <w:r>
              <w:rPr>
                <w:rFonts w:hint="eastAsia" w:ascii="仿宋" w:hAnsi="仿宋"/>
                <w:color w:val="000000"/>
                <w:kern w:val="2"/>
                <w:sz w:val="24"/>
                <w:szCs w:val="24"/>
              </w:rPr>
              <w:t>塔机倒塌</w:t>
            </w:r>
          </w:p>
        </w:tc>
        <w:tc>
          <w:tcPr>
            <w:tcW w:w="1930" w:type="pct"/>
            <w:vAlign w:val="center"/>
          </w:tcPr>
          <w:p w14:paraId="6218922F">
            <w:pPr>
              <w:pStyle w:val="144"/>
              <w:jc w:val="left"/>
              <w:rPr>
                <w:rFonts w:ascii="仿宋" w:hAnsi="仿宋"/>
                <w:color w:val="000000"/>
                <w:kern w:val="2"/>
                <w:sz w:val="24"/>
                <w:szCs w:val="24"/>
              </w:rPr>
            </w:pPr>
            <w:r>
              <w:rPr>
                <w:rFonts w:ascii="仿宋" w:hAnsi="仿宋" w:cs="宋体"/>
                <w:kern w:val="2"/>
                <w:sz w:val="24"/>
                <w:szCs w:val="24"/>
              </w:rPr>
              <w:t>1</w:t>
            </w:r>
            <w:r>
              <w:rPr>
                <w:rFonts w:ascii="仿宋" w:hAnsi="仿宋"/>
                <w:color w:val="000000"/>
                <w:kern w:val="2"/>
                <w:sz w:val="24"/>
                <w:szCs w:val="24"/>
              </w:rPr>
              <w:t>.</w:t>
            </w:r>
            <w:r>
              <w:rPr>
                <w:rFonts w:hint="eastAsia" w:ascii="仿宋" w:hAnsi="仿宋"/>
                <w:color w:val="000000"/>
                <w:kern w:val="2"/>
                <w:sz w:val="24"/>
                <w:szCs w:val="24"/>
              </w:rPr>
              <w:t>“三无”机械设备；</w:t>
            </w:r>
          </w:p>
          <w:p w14:paraId="63AD0F21">
            <w:pPr>
              <w:pStyle w:val="144"/>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机械设备带病运转；</w:t>
            </w:r>
          </w:p>
          <w:p w14:paraId="012A6113">
            <w:pPr>
              <w:pStyle w:val="144"/>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照明光线不良；</w:t>
            </w:r>
          </w:p>
          <w:p w14:paraId="51DAC196">
            <w:pPr>
              <w:pStyle w:val="144"/>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施工场地地面潮湿或积水；</w:t>
            </w:r>
          </w:p>
          <w:p w14:paraId="50416D5C">
            <w:pPr>
              <w:pStyle w:val="144"/>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作业平台临边未设置安全防护设施或设置不合理；</w:t>
            </w:r>
          </w:p>
          <w:p w14:paraId="790D4DDE">
            <w:pPr>
              <w:pStyle w:val="144"/>
              <w:jc w:val="left"/>
              <w:rPr>
                <w:rFonts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起重设备的钢丝绳和索具无出厂合格证和材质证明；</w:t>
            </w:r>
          </w:p>
          <w:p w14:paraId="0E7129A0">
            <w:pPr>
              <w:pStyle w:val="144"/>
              <w:jc w:val="left"/>
              <w:rPr>
                <w:rFonts w:ascii="仿宋" w:hAnsi="仿宋"/>
                <w:color w:val="000000"/>
                <w:kern w:val="2"/>
                <w:sz w:val="24"/>
                <w:szCs w:val="24"/>
              </w:rPr>
            </w:pPr>
            <w:r>
              <w:rPr>
                <w:rFonts w:ascii="仿宋" w:hAnsi="仿宋"/>
                <w:color w:val="000000"/>
                <w:kern w:val="2"/>
                <w:sz w:val="24"/>
                <w:szCs w:val="24"/>
              </w:rPr>
              <w:t>7.</w:t>
            </w:r>
            <w:r>
              <w:rPr>
                <w:rFonts w:hint="eastAsia" w:ascii="仿宋" w:hAnsi="仿宋"/>
                <w:color w:val="000000"/>
                <w:kern w:val="2"/>
                <w:sz w:val="24"/>
                <w:szCs w:val="24"/>
              </w:rPr>
              <w:t>起重设备的钢丝绳锈蚀或磨损严重；</w:t>
            </w:r>
          </w:p>
          <w:p w14:paraId="265688DD">
            <w:pPr>
              <w:pStyle w:val="144"/>
              <w:jc w:val="left"/>
              <w:rPr>
                <w:rFonts w:ascii="仿宋" w:hAnsi="仿宋"/>
                <w:color w:val="000000"/>
                <w:kern w:val="2"/>
                <w:sz w:val="24"/>
                <w:szCs w:val="24"/>
              </w:rPr>
            </w:pPr>
            <w:r>
              <w:rPr>
                <w:rFonts w:ascii="仿宋" w:hAnsi="仿宋"/>
                <w:color w:val="000000"/>
                <w:kern w:val="2"/>
                <w:sz w:val="24"/>
                <w:szCs w:val="24"/>
              </w:rPr>
              <w:t>8.</w:t>
            </w:r>
            <w:r>
              <w:rPr>
                <w:rFonts w:hint="eastAsia" w:ascii="仿宋" w:hAnsi="仿宋"/>
                <w:color w:val="000000"/>
                <w:kern w:val="2"/>
                <w:sz w:val="24"/>
                <w:szCs w:val="24"/>
              </w:rPr>
              <w:t>起重设备的吊钩、吊环有裂纹、破口或磨损严重；</w:t>
            </w:r>
          </w:p>
          <w:p w14:paraId="60CD406E">
            <w:pPr>
              <w:pStyle w:val="144"/>
              <w:jc w:val="left"/>
              <w:rPr>
                <w:rFonts w:ascii="仿宋" w:hAnsi="仿宋"/>
                <w:color w:val="000000"/>
                <w:kern w:val="2"/>
                <w:sz w:val="24"/>
                <w:szCs w:val="24"/>
              </w:rPr>
            </w:pPr>
            <w:r>
              <w:rPr>
                <w:rFonts w:ascii="仿宋" w:hAnsi="仿宋"/>
                <w:color w:val="000000"/>
                <w:kern w:val="2"/>
                <w:sz w:val="24"/>
                <w:szCs w:val="24"/>
              </w:rPr>
              <w:t>9.</w:t>
            </w:r>
            <w:r>
              <w:rPr>
                <w:rFonts w:hint="eastAsia" w:ascii="仿宋" w:hAnsi="仿宋"/>
                <w:color w:val="000000"/>
                <w:kern w:val="2"/>
                <w:sz w:val="24"/>
                <w:szCs w:val="24"/>
              </w:rPr>
              <w:t>起重设备制动器的制动鼓和制动带磨损严重；</w:t>
            </w:r>
          </w:p>
          <w:p w14:paraId="3D2D9401">
            <w:pPr>
              <w:pStyle w:val="144"/>
              <w:jc w:val="left"/>
              <w:rPr>
                <w:rFonts w:ascii="仿宋" w:hAnsi="仿宋"/>
                <w:color w:val="000000"/>
                <w:kern w:val="2"/>
                <w:sz w:val="24"/>
                <w:szCs w:val="24"/>
              </w:rPr>
            </w:pPr>
            <w:r>
              <w:rPr>
                <w:rFonts w:ascii="仿宋" w:hAnsi="仿宋"/>
                <w:color w:val="000000"/>
                <w:kern w:val="2"/>
                <w:sz w:val="24"/>
                <w:szCs w:val="24"/>
              </w:rPr>
              <w:t>10.</w:t>
            </w:r>
            <w:r>
              <w:rPr>
                <w:rFonts w:hint="eastAsia" w:ascii="仿宋" w:hAnsi="仿宋"/>
                <w:color w:val="000000"/>
                <w:kern w:val="2"/>
                <w:sz w:val="24"/>
                <w:szCs w:val="24"/>
              </w:rPr>
              <w:t>大临设施本身的强度、刚度、稳定性不够，安装存在缺陷；</w:t>
            </w:r>
          </w:p>
          <w:p w14:paraId="1893AE40">
            <w:pPr>
              <w:pStyle w:val="144"/>
              <w:jc w:val="left"/>
              <w:rPr>
                <w:rFonts w:ascii="仿宋" w:hAnsi="仿宋"/>
                <w:color w:val="000000"/>
                <w:kern w:val="2"/>
                <w:sz w:val="24"/>
                <w:szCs w:val="24"/>
              </w:rPr>
            </w:pPr>
            <w:r>
              <w:rPr>
                <w:rFonts w:ascii="仿宋" w:hAnsi="仿宋"/>
                <w:color w:val="000000"/>
                <w:kern w:val="2"/>
                <w:sz w:val="24"/>
                <w:szCs w:val="24"/>
              </w:rPr>
              <w:t>11.</w:t>
            </w:r>
            <w:r>
              <w:rPr>
                <w:rFonts w:hint="eastAsia" w:ascii="仿宋" w:hAnsi="仿宋"/>
                <w:color w:val="000000"/>
                <w:kern w:val="2"/>
                <w:sz w:val="24"/>
                <w:szCs w:val="24"/>
              </w:rPr>
              <w:t>设备起重能力不足；</w:t>
            </w:r>
          </w:p>
          <w:p w14:paraId="74909674">
            <w:pPr>
              <w:pStyle w:val="144"/>
              <w:jc w:val="left"/>
              <w:rPr>
                <w:rFonts w:ascii="仿宋" w:hAnsi="仿宋"/>
                <w:color w:val="000000"/>
                <w:kern w:val="2"/>
                <w:sz w:val="24"/>
                <w:szCs w:val="24"/>
              </w:rPr>
            </w:pPr>
            <w:r>
              <w:rPr>
                <w:rFonts w:ascii="仿宋" w:hAnsi="仿宋"/>
                <w:color w:val="000000"/>
                <w:kern w:val="2"/>
                <w:sz w:val="24"/>
                <w:szCs w:val="24"/>
              </w:rPr>
              <w:t>12.</w:t>
            </w:r>
            <w:r>
              <w:rPr>
                <w:rFonts w:hint="eastAsia" w:ascii="仿宋" w:hAnsi="仿宋"/>
                <w:color w:val="000000"/>
                <w:kern w:val="2"/>
                <w:sz w:val="24"/>
                <w:szCs w:val="24"/>
              </w:rPr>
              <w:t>起重设备安全保护装置和指</w:t>
            </w:r>
          </w:p>
          <w:p w14:paraId="69E8CBBC">
            <w:pPr>
              <w:pStyle w:val="144"/>
              <w:jc w:val="left"/>
              <w:rPr>
                <w:rFonts w:ascii="仿宋" w:hAnsi="仿宋"/>
                <w:color w:val="000000"/>
                <w:kern w:val="2"/>
                <w:sz w:val="24"/>
                <w:szCs w:val="24"/>
              </w:rPr>
            </w:pPr>
            <w:r>
              <w:rPr>
                <w:rFonts w:hint="eastAsia" w:ascii="仿宋" w:hAnsi="仿宋"/>
                <w:color w:val="000000"/>
                <w:kern w:val="2"/>
                <w:sz w:val="24"/>
                <w:szCs w:val="24"/>
              </w:rPr>
              <w:t>示仪表有缺陷；</w:t>
            </w:r>
          </w:p>
          <w:p w14:paraId="22DCE535">
            <w:pPr>
              <w:pStyle w:val="144"/>
              <w:jc w:val="left"/>
              <w:rPr>
                <w:rFonts w:ascii="仿宋" w:hAnsi="仿宋"/>
                <w:color w:val="000000"/>
                <w:kern w:val="2"/>
                <w:sz w:val="24"/>
                <w:szCs w:val="24"/>
              </w:rPr>
            </w:pPr>
            <w:r>
              <w:rPr>
                <w:rFonts w:ascii="仿宋" w:hAnsi="仿宋"/>
                <w:color w:val="000000"/>
                <w:kern w:val="2"/>
                <w:sz w:val="24"/>
                <w:szCs w:val="24"/>
              </w:rPr>
              <w:t>13.</w:t>
            </w:r>
            <w:r>
              <w:rPr>
                <w:rFonts w:hint="eastAsia" w:ascii="仿宋" w:hAnsi="仿宋"/>
                <w:color w:val="000000"/>
                <w:kern w:val="2"/>
                <w:sz w:val="24"/>
                <w:szCs w:val="24"/>
              </w:rPr>
              <w:t>起重设备基础不牢固、起重作业前未进行试吊；</w:t>
            </w:r>
          </w:p>
          <w:p w14:paraId="0F51EA0A">
            <w:pPr>
              <w:pStyle w:val="144"/>
              <w:jc w:val="left"/>
              <w:rPr>
                <w:rFonts w:ascii="仿宋" w:hAnsi="仿宋"/>
                <w:color w:val="000000"/>
                <w:kern w:val="2"/>
                <w:sz w:val="24"/>
                <w:szCs w:val="24"/>
              </w:rPr>
            </w:pPr>
            <w:r>
              <w:rPr>
                <w:rFonts w:ascii="仿宋" w:hAnsi="仿宋"/>
                <w:color w:val="000000"/>
                <w:kern w:val="2"/>
                <w:sz w:val="24"/>
                <w:szCs w:val="24"/>
              </w:rPr>
              <w:t>14.</w:t>
            </w:r>
            <w:r>
              <w:rPr>
                <w:rFonts w:hint="eastAsia" w:ascii="仿宋" w:hAnsi="仿宋"/>
                <w:color w:val="000000"/>
                <w:kern w:val="2"/>
                <w:sz w:val="24"/>
                <w:szCs w:val="24"/>
              </w:rPr>
              <w:t>在吊装作业半径内未设置警戒带、告知牌；</w:t>
            </w:r>
          </w:p>
          <w:p w14:paraId="548C358F">
            <w:pPr>
              <w:pStyle w:val="144"/>
              <w:jc w:val="left"/>
              <w:rPr>
                <w:rFonts w:ascii="仿宋" w:hAnsi="仿宋"/>
                <w:color w:val="000000"/>
                <w:kern w:val="2"/>
                <w:sz w:val="24"/>
                <w:szCs w:val="24"/>
              </w:rPr>
            </w:pPr>
            <w:r>
              <w:rPr>
                <w:rFonts w:ascii="仿宋" w:hAnsi="仿宋"/>
                <w:color w:val="000000"/>
                <w:kern w:val="2"/>
                <w:sz w:val="24"/>
                <w:szCs w:val="24"/>
              </w:rPr>
              <w:t>15.</w:t>
            </w:r>
            <w:r>
              <w:rPr>
                <w:rFonts w:hint="eastAsia" w:ascii="仿宋" w:hAnsi="仿宋"/>
                <w:color w:val="000000"/>
                <w:kern w:val="2"/>
                <w:sz w:val="24"/>
                <w:szCs w:val="24"/>
              </w:rPr>
              <w:t>作业区域未设置安全警示标志和安全防护设施；</w:t>
            </w:r>
          </w:p>
          <w:p w14:paraId="21EF8412">
            <w:pPr>
              <w:pStyle w:val="144"/>
              <w:jc w:val="left"/>
              <w:rPr>
                <w:rFonts w:ascii="仿宋" w:hAnsi="仿宋"/>
                <w:color w:val="000000"/>
                <w:kern w:val="2"/>
                <w:sz w:val="24"/>
                <w:szCs w:val="24"/>
              </w:rPr>
            </w:pPr>
            <w:r>
              <w:rPr>
                <w:rFonts w:ascii="仿宋" w:hAnsi="仿宋"/>
                <w:color w:val="000000"/>
                <w:kern w:val="2"/>
                <w:sz w:val="24"/>
                <w:szCs w:val="24"/>
              </w:rPr>
              <w:t>16.</w:t>
            </w:r>
            <w:r>
              <w:rPr>
                <w:rFonts w:hint="eastAsia" w:ascii="仿宋" w:hAnsi="仿宋"/>
                <w:color w:val="000000"/>
                <w:kern w:val="2"/>
                <w:sz w:val="24"/>
                <w:szCs w:val="24"/>
              </w:rPr>
              <w:t>设备运行轨道不平顺；</w:t>
            </w:r>
          </w:p>
          <w:p w14:paraId="7CAA6733">
            <w:pPr>
              <w:pStyle w:val="144"/>
              <w:jc w:val="left"/>
              <w:rPr>
                <w:rFonts w:ascii="仿宋" w:hAnsi="仿宋"/>
                <w:color w:val="000000"/>
                <w:kern w:val="2"/>
                <w:sz w:val="24"/>
                <w:szCs w:val="24"/>
              </w:rPr>
            </w:pPr>
            <w:r>
              <w:rPr>
                <w:rFonts w:ascii="仿宋" w:hAnsi="仿宋"/>
                <w:color w:val="000000"/>
                <w:kern w:val="2"/>
                <w:sz w:val="24"/>
                <w:szCs w:val="24"/>
              </w:rPr>
              <w:t>17.</w:t>
            </w:r>
            <w:r>
              <w:rPr>
                <w:rFonts w:hint="eastAsia" w:ascii="仿宋" w:hAnsi="仿宋"/>
                <w:color w:val="000000"/>
                <w:kern w:val="2"/>
                <w:sz w:val="24"/>
                <w:szCs w:val="24"/>
              </w:rPr>
              <w:t>机械设备无专业资质。</w:t>
            </w:r>
          </w:p>
          <w:p w14:paraId="3046065D">
            <w:pPr>
              <w:pStyle w:val="144"/>
              <w:jc w:val="left"/>
              <w:rPr>
                <w:rFonts w:ascii="仿宋" w:hAnsi="仿宋"/>
                <w:color w:val="000000"/>
                <w:kern w:val="2"/>
                <w:sz w:val="24"/>
                <w:szCs w:val="24"/>
              </w:rPr>
            </w:pPr>
          </w:p>
        </w:tc>
        <w:tc>
          <w:tcPr>
            <w:tcW w:w="2155" w:type="pct"/>
            <w:vAlign w:val="center"/>
          </w:tcPr>
          <w:p w14:paraId="096EFAED">
            <w:pPr>
              <w:pStyle w:val="144"/>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酒后作业；</w:t>
            </w:r>
          </w:p>
          <w:p w14:paraId="019D011C">
            <w:pPr>
              <w:pStyle w:val="144"/>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未持证上岗；</w:t>
            </w:r>
          </w:p>
          <w:p w14:paraId="7F404CAF">
            <w:pPr>
              <w:pStyle w:val="144"/>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作业人员经验能力不足，违章操作；</w:t>
            </w:r>
          </w:p>
          <w:p w14:paraId="60CADAA5">
            <w:pPr>
              <w:pStyle w:val="144"/>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作业时，注意力不集中，操作错误；</w:t>
            </w:r>
          </w:p>
          <w:p w14:paraId="6132E819">
            <w:pPr>
              <w:pStyle w:val="144"/>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未穿戴或未正确穿戴安全防护用品用具；</w:t>
            </w:r>
          </w:p>
          <w:p w14:paraId="78FEE018">
            <w:pPr>
              <w:pStyle w:val="144"/>
              <w:jc w:val="left"/>
              <w:rPr>
                <w:rFonts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忽视警告标志、警告信号；</w:t>
            </w:r>
          </w:p>
          <w:p w14:paraId="64E7F0D4">
            <w:pPr>
              <w:pStyle w:val="144"/>
              <w:jc w:val="left"/>
              <w:rPr>
                <w:rFonts w:ascii="仿宋" w:hAnsi="仿宋"/>
                <w:color w:val="000000"/>
                <w:kern w:val="2"/>
                <w:sz w:val="24"/>
                <w:szCs w:val="24"/>
              </w:rPr>
            </w:pPr>
            <w:r>
              <w:rPr>
                <w:rFonts w:ascii="仿宋" w:hAnsi="仿宋"/>
                <w:color w:val="000000"/>
                <w:kern w:val="2"/>
                <w:sz w:val="24"/>
                <w:szCs w:val="24"/>
              </w:rPr>
              <w:t>7.</w:t>
            </w:r>
            <w:r>
              <w:rPr>
                <w:rFonts w:hint="eastAsia" w:ascii="仿宋" w:hAnsi="仿宋"/>
                <w:color w:val="000000"/>
                <w:kern w:val="2"/>
                <w:sz w:val="24"/>
                <w:szCs w:val="24"/>
              </w:rPr>
              <w:t>在危险区域行走、停留；</w:t>
            </w:r>
          </w:p>
          <w:p w14:paraId="310ED573">
            <w:pPr>
              <w:pStyle w:val="144"/>
              <w:jc w:val="left"/>
              <w:rPr>
                <w:rFonts w:ascii="仿宋" w:hAnsi="仿宋"/>
                <w:color w:val="000000"/>
                <w:kern w:val="2"/>
                <w:sz w:val="24"/>
                <w:szCs w:val="24"/>
              </w:rPr>
            </w:pPr>
            <w:r>
              <w:rPr>
                <w:rFonts w:ascii="仿宋" w:hAnsi="仿宋"/>
                <w:color w:val="000000"/>
                <w:kern w:val="2"/>
                <w:sz w:val="24"/>
                <w:szCs w:val="24"/>
              </w:rPr>
              <w:t>8.</w:t>
            </w:r>
            <w:r>
              <w:rPr>
                <w:rFonts w:hint="eastAsia" w:ascii="仿宋" w:hAnsi="仿宋"/>
                <w:color w:val="000000"/>
                <w:kern w:val="2"/>
                <w:sz w:val="24"/>
                <w:szCs w:val="24"/>
              </w:rPr>
              <w:t>违规检修电路；；</w:t>
            </w:r>
          </w:p>
          <w:p w14:paraId="211F6DDA">
            <w:pPr>
              <w:pStyle w:val="144"/>
              <w:jc w:val="left"/>
              <w:rPr>
                <w:rFonts w:ascii="仿宋" w:hAnsi="仿宋"/>
                <w:color w:val="000000"/>
                <w:kern w:val="2"/>
                <w:sz w:val="24"/>
                <w:szCs w:val="24"/>
              </w:rPr>
            </w:pPr>
            <w:r>
              <w:rPr>
                <w:rFonts w:ascii="仿宋" w:hAnsi="仿宋"/>
                <w:color w:val="000000"/>
                <w:kern w:val="2"/>
                <w:sz w:val="24"/>
                <w:szCs w:val="24"/>
              </w:rPr>
              <w:t>9.</w:t>
            </w:r>
            <w:r>
              <w:rPr>
                <w:rFonts w:hint="eastAsia" w:ascii="仿宋" w:hAnsi="仿宋"/>
                <w:color w:val="000000"/>
                <w:kern w:val="2"/>
                <w:sz w:val="24"/>
                <w:szCs w:val="24"/>
              </w:rPr>
              <w:t>在起吊物下作业、停留，起重作业时，超载、斜拉重物；</w:t>
            </w:r>
          </w:p>
          <w:p w14:paraId="4DC60C33">
            <w:pPr>
              <w:pStyle w:val="144"/>
              <w:jc w:val="left"/>
              <w:rPr>
                <w:rFonts w:ascii="仿宋" w:hAnsi="仿宋"/>
                <w:color w:val="000000"/>
                <w:kern w:val="2"/>
                <w:sz w:val="24"/>
                <w:szCs w:val="24"/>
              </w:rPr>
            </w:pPr>
            <w:r>
              <w:rPr>
                <w:rFonts w:ascii="仿宋" w:hAnsi="仿宋"/>
                <w:color w:val="000000"/>
                <w:kern w:val="2"/>
                <w:sz w:val="24"/>
                <w:szCs w:val="24"/>
              </w:rPr>
              <w:t>10.</w:t>
            </w:r>
            <w:r>
              <w:rPr>
                <w:rFonts w:hint="eastAsia" w:ascii="仿宋" w:hAnsi="仿宋"/>
                <w:color w:val="000000"/>
                <w:kern w:val="2"/>
                <w:sz w:val="24"/>
                <w:szCs w:val="24"/>
              </w:rPr>
              <w:t>作业人员违规上下抛接工具；</w:t>
            </w:r>
          </w:p>
          <w:p w14:paraId="41CEEFB9">
            <w:pPr>
              <w:pStyle w:val="144"/>
              <w:jc w:val="left"/>
              <w:rPr>
                <w:rFonts w:ascii="仿宋" w:hAnsi="仿宋"/>
                <w:color w:val="000000"/>
                <w:kern w:val="2"/>
                <w:sz w:val="24"/>
                <w:szCs w:val="24"/>
              </w:rPr>
            </w:pPr>
            <w:r>
              <w:rPr>
                <w:rFonts w:ascii="仿宋" w:hAnsi="仿宋"/>
                <w:color w:val="000000"/>
                <w:kern w:val="2"/>
                <w:sz w:val="24"/>
                <w:szCs w:val="24"/>
              </w:rPr>
              <w:t>11.</w:t>
            </w:r>
            <w:r>
              <w:rPr>
                <w:rFonts w:hint="eastAsia" w:ascii="仿宋" w:hAnsi="仿宋"/>
                <w:color w:val="000000"/>
                <w:kern w:val="2"/>
                <w:sz w:val="24"/>
                <w:szCs w:val="24"/>
              </w:rPr>
              <w:t>作业人员未将工具及零配件放于工具袋或安全位置；</w:t>
            </w:r>
          </w:p>
          <w:p w14:paraId="3ACF54F7">
            <w:pPr>
              <w:pStyle w:val="144"/>
              <w:jc w:val="left"/>
              <w:rPr>
                <w:rFonts w:ascii="仿宋" w:hAnsi="仿宋"/>
                <w:color w:val="000000"/>
                <w:kern w:val="2"/>
                <w:sz w:val="24"/>
                <w:szCs w:val="24"/>
              </w:rPr>
            </w:pPr>
            <w:r>
              <w:rPr>
                <w:rFonts w:ascii="仿宋" w:hAnsi="仿宋"/>
                <w:color w:val="000000"/>
                <w:kern w:val="2"/>
                <w:sz w:val="24"/>
                <w:szCs w:val="24"/>
              </w:rPr>
              <w:t>12.</w:t>
            </w:r>
            <w:r>
              <w:rPr>
                <w:rFonts w:hint="eastAsia" w:ascii="仿宋" w:hAnsi="仿宋"/>
                <w:color w:val="000000"/>
                <w:kern w:val="2"/>
                <w:sz w:val="24"/>
                <w:szCs w:val="24"/>
              </w:rPr>
              <w:t>对机械设备、材料、作业人员和安全防护设施等的检查不及时；</w:t>
            </w:r>
          </w:p>
          <w:p w14:paraId="3EFB4985">
            <w:pPr>
              <w:pStyle w:val="144"/>
              <w:jc w:val="left"/>
              <w:rPr>
                <w:rFonts w:ascii="仿宋" w:hAnsi="仿宋"/>
                <w:color w:val="000000"/>
                <w:kern w:val="2"/>
                <w:sz w:val="24"/>
                <w:szCs w:val="24"/>
              </w:rPr>
            </w:pPr>
            <w:r>
              <w:rPr>
                <w:rFonts w:ascii="仿宋" w:hAnsi="仿宋"/>
                <w:color w:val="000000"/>
                <w:kern w:val="2"/>
                <w:sz w:val="24"/>
                <w:szCs w:val="24"/>
              </w:rPr>
              <w:t>13.</w:t>
            </w:r>
            <w:r>
              <w:rPr>
                <w:rFonts w:hint="eastAsia" w:ascii="仿宋" w:hAnsi="仿宋"/>
                <w:color w:val="000000"/>
                <w:kern w:val="2"/>
                <w:sz w:val="24"/>
                <w:szCs w:val="24"/>
              </w:rPr>
              <w:t>方案未制定或制定不合理；</w:t>
            </w:r>
          </w:p>
          <w:p w14:paraId="49403939">
            <w:pPr>
              <w:pStyle w:val="144"/>
              <w:jc w:val="left"/>
              <w:rPr>
                <w:rFonts w:ascii="仿宋" w:hAnsi="仿宋"/>
                <w:color w:val="000000"/>
                <w:kern w:val="2"/>
                <w:sz w:val="24"/>
                <w:szCs w:val="24"/>
              </w:rPr>
            </w:pPr>
            <w:r>
              <w:rPr>
                <w:rFonts w:ascii="仿宋" w:hAnsi="仿宋"/>
                <w:color w:val="000000"/>
                <w:kern w:val="2"/>
                <w:sz w:val="24"/>
                <w:szCs w:val="24"/>
              </w:rPr>
              <w:t>14.</w:t>
            </w:r>
            <w:r>
              <w:rPr>
                <w:rFonts w:hint="eastAsia" w:ascii="仿宋" w:hAnsi="仿宋"/>
                <w:color w:val="000000"/>
                <w:kern w:val="2"/>
                <w:sz w:val="24"/>
                <w:szCs w:val="24"/>
              </w:rPr>
              <w:t>指挥失误、错误；</w:t>
            </w:r>
          </w:p>
          <w:p w14:paraId="3FE02B9B">
            <w:pPr>
              <w:pStyle w:val="144"/>
              <w:jc w:val="left"/>
              <w:rPr>
                <w:rFonts w:ascii="仿宋" w:hAnsi="仿宋"/>
                <w:color w:val="000000"/>
                <w:kern w:val="2"/>
                <w:sz w:val="24"/>
                <w:szCs w:val="24"/>
              </w:rPr>
            </w:pPr>
            <w:r>
              <w:rPr>
                <w:rFonts w:ascii="仿宋" w:hAnsi="仿宋"/>
                <w:color w:val="000000"/>
                <w:kern w:val="2"/>
                <w:sz w:val="24"/>
                <w:szCs w:val="24"/>
              </w:rPr>
              <w:t>15.</w:t>
            </w:r>
            <w:r>
              <w:rPr>
                <w:rFonts w:hint="eastAsia" w:ascii="仿宋" w:hAnsi="仿宋"/>
                <w:color w:val="000000"/>
                <w:kern w:val="2"/>
                <w:sz w:val="24"/>
                <w:szCs w:val="24"/>
              </w:rPr>
              <w:t>未设专人进行现场监管或监管不到位；</w:t>
            </w:r>
          </w:p>
          <w:p w14:paraId="15F5A25E">
            <w:pPr>
              <w:pStyle w:val="144"/>
              <w:jc w:val="left"/>
              <w:rPr>
                <w:rFonts w:ascii="仿宋" w:hAnsi="仿宋"/>
                <w:color w:val="000000"/>
                <w:kern w:val="2"/>
                <w:sz w:val="24"/>
                <w:szCs w:val="24"/>
              </w:rPr>
            </w:pPr>
            <w:r>
              <w:rPr>
                <w:rFonts w:ascii="仿宋" w:hAnsi="仿宋"/>
                <w:color w:val="000000"/>
                <w:kern w:val="2"/>
                <w:sz w:val="24"/>
                <w:szCs w:val="24"/>
              </w:rPr>
              <w:t>16.</w:t>
            </w:r>
            <w:r>
              <w:rPr>
                <w:rFonts w:hint="eastAsia" w:ascii="仿宋" w:hAnsi="仿宋"/>
                <w:color w:val="000000"/>
                <w:kern w:val="2"/>
                <w:sz w:val="24"/>
                <w:szCs w:val="24"/>
              </w:rPr>
              <w:t>安全技术交底不到位；</w:t>
            </w:r>
          </w:p>
          <w:p w14:paraId="0B62A773">
            <w:pPr>
              <w:pStyle w:val="144"/>
              <w:jc w:val="left"/>
              <w:rPr>
                <w:rFonts w:ascii="仿宋" w:hAnsi="仿宋"/>
                <w:color w:val="000000"/>
                <w:kern w:val="2"/>
                <w:sz w:val="24"/>
                <w:szCs w:val="24"/>
              </w:rPr>
            </w:pPr>
            <w:r>
              <w:rPr>
                <w:rFonts w:ascii="仿宋" w:hAnsi="仿宋"/>
                <w:color w:val="000000"/>
                <w:kern w:val="2"/>
                <w:sz w:val="24"/>
                <w:szCs w:val="24"/>
              </w:rPr>
              <w:t>17.</w:t>
            </w:r>
            <w:r>
              <w:rPr>
                <w:rFonts w:hint="eastAsia" w:ascii="仿宋" w:hAnsi="仿宋"/>
                <w:color w:val="000000"/>
                <w:kern w:val="2"/>
                <w:sz w:val="24"/>
                <w:szCs w:val="24"/>
              </w:rPr>
              <w:t>强令施工人员冒险作业；</w:t>
            </w:r>
          </w:p>
          <w:p w14:paraId="62BE9C33">
            <w:pPr>
              <w:pStyle w:val="144"/>
              <w:jc w:val="left"/>
              <w:rPr>
                <w:rFonts w:ascii="仿宋" w:hAnsi="仿宋"/>
                <w:color w:val="000000"/>
                <w:kern w:val="2"/>
                <w:sz w:val="24"/>
                <w:szCs w:val="24"/>
              </w:rPr>
            </w:pPr>
            <w:r>
              <w:rPr>
                <w:rFonts w:ascii="仿宋" w:hAnsi="仿宋"/>
                <w:color w:val="000000"/>
                <w:kern w:val="2"/>
                <w:sz w:val="24"/>
                <w:szCs w:val="24"/>
              </w:rPr>
              <w:t>18.</w:t>
            </w:r>
            <w:r>
              <w:rPr>
                <w:rFonts w:hint="eastAsia" w:ascii="仿宋" w:hAnsi="仿宋"/>
                <w:color w:val="000000"/>
                <w:kern w:val="2"/>
                <w:sz w:val="24"/>
                <w:szCs w:val="24"/>
              </w:rPr>
              <w:t>未按施工方案要求施工；</w:t>
            </w:r>
          </w:p>
          <w:p w14:paraId="457B3DEC">
            <w:pPr>
              <w:pStyle w:val="144"/>
              <w:jc w:val="left"/>
              <w:rPr>
                <w:rFonts w:ascii="仿宋" w:hAnsi="仿宋"/>
                <w:color w:val="000000"/>
                <w:kern w:val="2"/>
                <w:sz w:val="24"/>
                <w:szCs w:val="24"/>
              </w:rPr>
            </w:pPr>
            <w:r>
              <w:rPr>
                <w:rFonts w:ascii="仿宋" w:hAnsi="仿宋"/>
                <w:color w:val="000000"/>
                <w:kern w:val="2"/>
                <w:sz w:val="24"/>
                <w:szCs w:val="24"/>
              </w:rPr>
              <w:t>19.</w:t>
            </w:r>
            <w:r>
              <w:rPr>
                <w:rFonts w:hint="eastAsia" w:ascii="仿宋" w:hAnsi="仿宋"/>
                <w:color w:val="000000"/>
                <w:kern w:val="2"/>
                <w:sz w:val="24"/>
                <w:szCs w:val="24"/>
              </w:rPr>
              <w:t>未制定事故应急预案；</w:t>
            </w:r>
          </w:p>
          <w:p w14:paraId="24036811">
            <w:pPr>
              <w:pStyle w:val="144"/>
              <w:jc w:val="left"/>
              <w:rPr>
                <w:rFonts w:ascii="仿宋" w:hAnsi="仿宋"/>
                <w:color w:val="000000"/>
                <w:kern w:val="2"/>
                <w:sz w:val="24"/>
                <w:szCs w:val="24"/>
              </w:rPr>
            </w:pPr>
            <w:r>
              <w:rPr>
                <w:rFonts w:ascii="仿宋" w:hAnsi="仿宋"/>
                <w:color w:val="000000"/>
                <w:kern w:val="2"/>
                <w:sz w:val="24"/>
                <w:szCs w:val="24"/>
              </w:rPr>
              <w:t>20.</w:t>
            </w:r>
            <w:r>
              <w:rPr>
                <w:rFonts w:hint="eastAsia" w:ascii="仿宋" w:hAnsi="仿宋"/>
                <w:color w:val="000000"/>
                <w:kern w:val="2"/>
                <w:sz w:val="24"/>
                <w:szCs w:val="24"/>
              </w:rPr>
              <w:t>高处作业不系安全带；</w:t>
            </w:r>
          </w:p>
          <w:p w14:paraId="31BC2C25">
            <w:pPr>
              <w:pStyle w:val="144"/>
              <w:jc w:val="left"/>
              <w:rPr>
                <w:rFonts w:ascii="仿宋" w:hAnsi="仿宋"/>
                <w:color w:val="000000"/>
                <w:kern w:val="2"/>
                <w:sz w:val="24"/>
                <w:szCs w:val="24"/>
              </w:rPr>
            </w:pPr>
            <w:r>
              <w:rPr>
                <w:rFonts w:ascii="仿宋" w:hAnsi="仿宋"/>
                <w:color w:val="000000"/>
                <w:kern w:val="2"/>
                <w:sz w:val="24"/>
                <w:szCs w:val="24"/>
              </w:rPr>
              <w:t>21.</w:t>
            </w:r>
            <w:r>
              <w:rPr>
                <w:rFonts w:hint="eastAsia" w:ascii="仿宋" w:hAnsi="仿宋"/>
                <w:color w:val="000000"/>
                <w:kern w:val="2"/>
                <w:sz w:val="24"/>
                <w:szCs w:val="24"/>
              </w:rPr>
              <w:t>吊物绑扎不牢靠。</w:t>
            </w:r>
          </w:p>
        </w:tc>
      </w:tr>
    </w:tbl>
    <w:p w14:paraId="74A94ABF">
      <w:pPr>
        <w:pStyle w:val="3"/>
        <w:ind w:firstLine="562"/>
        <w:rPr>
          <w:color w:val="000000"/>
        </w:rPr>
      </w:pPr>
      <w:bookmarkStart w:id="369" w:name="_Toc13299"/>
      <w:bookmarkStart w:id="370" w:name="_Toc24401"/>
      <w:bookmarkStart w:id="371" w:name="_Toc319"/>
      <w:bookmarkStart w:id="372" w:name="_Toc27456"/>
      <w:bookmarkStart w:id="373" w:name="_Toc43"/>
      <w:bookmarkStart w:id="374" w:name="_Toc18752"/>
      <w:r>
        <w:rPr>
          <w:rFonts w:hint="eastAsia"/>
          <w:color w:val="000000"/>
        </w:rPr>
        <w:t>7.</w:t>
      </w:r>
      <w:r>
        <w:rPr>
          <w:color w:val="000000"/>
        </w:rPr>
        <w:t>2</w:t>
      </w:r>
      <w:r>
        <w:rPr>
          <w:rFonts w:hint="eastAsia"/>
          <w:color w:val="000000"/>
        </w:rPr>
        <w:t>危险因素分析</w:t>
      </w:r>
      <w:bookmarkEnd w:id="369"/>
      <w:bookmarkEnd w:id="370"/>
      <w:bookmarkEnd w:id="371"/>
      <w:bookmarkEnd w:id="372"/>
      <w:bookmarkEnd w:id="373"/>
      <w:bookmarkEnd w:id="374"/>
    </w:p>
    <w:p w14:paraId="1DA56C9D">
      <w:pPr>
        <w:ind w:firstLine="560"/>
        <w:rPr>
          <w:color w:val="000000"/>
        </w:rPr>
      </w:pPr>
      <w:r>
        <w:rPr>
          <w:rFonts w:hint="eastAsia"/>
          <w:color w:val="000000"/>
        </w:rPr>
        <w:t>根据风险因素辨识结果，对两台塔式起重机施工过程中潜在的事故为主线，从人、机、料、法、环等五个方面系统分析引发潜在事故的末端因素，结合现场实际进行要因确认，确定各潜在事故的致险因子，从而逐一对施工过程可能出现的潜在事故超前预防，有利管控。</w:t>
      </w:r>
    </w:p>
    <w:p w14:paraId="6E4473D0">
      <w:pPr>
        <w:ind w:firstLine="560"/>
        <w:rPr>
          <w:color w:val="000000"/>
        </w:rPr>
      </w:pPr>
      <w:r>
        <w:rPr>
          <w:rFonts w:hint="eastAsia"/>
          <w:color w:val="000000"/>
        </w:rPr>
        <w:t>通过对两台塔式起重机施工作业的分解整理，横向对应潜在事故风险，并针对该风险，结合类似工程实践，从影响致险因子五要素（人、机、料、法、环）各方面入手，综合分析潜在事故风险的受伤害人员类型及伤害程度。</w:t>
      </w:r>
    </w:p>
    <w:p w14:paraId="531BD5EB">
      <w:pPr>
        <w:pStyle w:val="3"/>
        <w:ind w:firstLine="562"/>
        <w:rPr>
          <w:color w:val="000000"/>
        </w:rPr>
      </w:pPr>
      <w:bookmarkStart w:id="375" w:name="_Toc6597"/>
      <w:bookmarkStart w:id="376" w:name="_Toc8308"/>
      <w:bookmarkStart w:id="377" w:name="_Toc10252"/>
      <w:bookmarkStart w:id="378" w:name="_Toc14735"/>
      <w:bookmarkStart w:id="379" w:name="_Toc8314"/>
      <w:bookmarkStart w:id="380" w:name="_Toc9355"/>
      <w:r>
        <w:rPr>
          <w:rFonts w:hint="eastAsia"/>
          <w:color w:val="000000"/>
        </w:rPr>
        <w:t>7.</w:t>
      </w:r>
      <w:r>
        <w:rPr>
          <w:color w:val="000000"/>
        </w:rPr>
        <w:t>3</w:t>
      </w:r>
      <w:r>
        <w:rPr>
          <w:rFonts w:hint="eastAsia"/>
          <w:color w:val="000000"/>
        </w:rPr>
        <w:t>风险因素评估</w:t>
      </w:r>
      <w:bookmarkEnd w:id="375"/>
      <w:bookmarkEnd w:id="376"/>
      <w:bookmarkEnd w:id="377"/>
      <w:bookmarkEnd w:id="378"/>
      <w:bookmarkEnd w:id="379"/>
      <w:bookmarkEnd w:id="380"/>
    </w:p>
    <w:p w14:paraId="6DEA6CD0">
      <w:pPr>
        <w:ind w:firstLine="560"/>
        <w:rPr>
          <w:color w:val="000000"/>
          <w:szCs w:val="28"/>
        </w:rPr>
      </w:pPr>
      <w:r>
        <w:rPr>
          <w:rFonts w:hint="eastAsia"/>
          <w:color w:val="000000"/>
          <w:szCs w:val="28"/>
        </w:rPr>
        <w:t>LEC评价法(格雷厄姆(BenjaminGraham，1894-1976)评价法)是对具有潜在危险性作业环境中的危险源进行半定量的安全评价方法，用于评价操作人员在具有潜在危险性环境中作业时的危险性、危害性。</w:t>
      </w:r>
    </w:p>
    <w:p w14:paraId="555D5C99">
      <w:pPr>
        <w:ind w:firstLine="560"/>
        <w:rPr>
          <w:color w:val="000000"/>
          <w:szCs w:val="28"/>
        </w:rPr>
      </w:pPr>
      <w:r>
        <w:rPr>
          <w:rFonts w:hint="eastAsia"/>
          <w:color w:val="000000"/>
          <w:szCs w:val="28"/>
        </w:rPr>
        <w:t>该方法用于风险有关的三种因素指标值的乘积来评价操作人员伤亡风险大小。这三种因素分别是：L（事故发生的可能性）、E（人员暴露于危险环境中的频繁程度）和C（一旦发生事故可能造成的后果）。给三种因素的不同等级分别确定不同的分值，再以三个分值的乘积D来评价作业条件危险性的大小，即：D=L×E×C。</w:t>
      </w:r>
    </w:p>
    <w:p w14:paraId="79B64F4B">
      <w:pPr>
        <w:pStyle w:val="123"/>
        <w:rPr>
          <w:rStyle w:val="124"/>
          <w:b/>
        </w:rPr>
      </w:pPr>
      <w:bookmarkStart w:id="381" w:name="_Toc11905"/>
      <w:bookmarkStart w:id="382" w:name="_Toc4595"/>
      <w:bookmarkStart w:id="383" w:name="_Toc21941"/>
      <w:r>
        <w:rPr>
          <w:rStyle w:val="124"/>
          <w:rFonts w:hint="eastAsia"/>
          <w:b/>
        </w:rPr>
        <w:t>表7.3-1事故发生的可能性（L）</w:t>
      </w:r>
      <w:bookmarkEnd w:id="381"/>
      <w:bookmarkEnd w:id="382"/>
      <w:bookmarkEnd w:id="383"/>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9"/>
        <w:gridCol w:w="4682"/>
      </w:tblGrid>
      <w:tr w14:paraId="4BD6E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620CD7CC">
            <w:pPr>
              <w:pStyle w:val="144"/>
              <w:outlineLvl w:val="3"/>
              <w:rPr>
                <w:color w:val="000000"/>
                <w:kern w:val="2"/>
                <w:sz w:val="21"/>
              </w:rPr>
            </w:pPr>
            <w:r>
              <w:rPr>
                <w:rFonts w:hint="eastAsia"/>
                <w:color w:val="000000"/>
                <w:kern w:val="2"/>
                <w:sz w:val="21"/>
              </w:rPr>
              <w:t>分数值</w:t>
            </w:r>
          </w:p>
        </w:tc>
        <w:tc>
          <w:tcPr>
            <w:tcW w:w="2536" w:type="pct"/>
            <w:vAlign w:val="center"/>
          </w:tcPr>
          <w:p w14:paraId="21BF8826">
            <w:pPr>
              <w:pStyle w:val="144"/>
              <w:outlineLvl w:val="3"/>
              <w:rPr>
                <w:color w:val="000000"/>
                <w:kern w:val="2"/>
                <w:sz w:val="21"/>
              </w:rPr>
            </w:pPr>
            <w:r>
              <w:rPr>
                <w:rFonts w:hint="eastAsia"/>
                <w:color w:val="000000"/>
                <w:kern w:val="2"/>
                <w:sz w:val="21"/>
              </w:rPr>
              <w:t>事故发生的可能性</w:t>
            </w:r>
          </w:p>
        </w:tc>
      </w:tr>
      <w:tr w14:paraId="46EAB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0E8A86EC">
            <w:pPr>
              <w:pStyle w:val="144"/>
              <w:outlineLvl w:val="3"/>
              <w:rPr>
                <w:color w:val="000000"/>
                <w:kern w:val="2"/>
                <w:sz w:val="21"/>
              </w:rPr>
            </w:pPr>
            <w:r>
              <w:rPr>
                <w:rFonts w:hint="eastAsia"/>
                <w:color w:val="000000"/>
                <w:kern w:val="2"/>
                <w:sz w:val="21"/>
              </w:rPr>
              <w:t>10</w:t>
            </w:r>
          </w:p>
        </w:tc>
        <w:tc>
          <w:tcPr>
            <w:tcW w:w="2536" w:type="pct"/>
            <w:vAlign w:val="center"/>
          </w:tcPr>
          <w:p w14:paraId="7366B996">
            <w:pPr>
              <w:pStyle w:val="144"/>
              <w:outlineLvl w:val="3"/>
              <w:rPr>
                <w:color w:val="000000"/>
                <w:kern w:val="2"/>
                <w:sz w:val="21"/>
              </w:rPr>
            </w:pPr>
            <w:r>
              <w:rPr>
                <w:rFonts w:hint="eastAsia"/>
                <w:color w:val="000000"/>
                <w:kern w:val="2"/>
                <w:sz w:val="21"/>
              </w:rPr>
              <w:t>完全可以预料</w:t>
            </w:r>
          </w:p>
        </w:tc>
      </w:tr>
      <w:tr w14:paraId="3D0C7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3554868C">
            <w:pPr>
              <w:pStyle w:val="144"/>
              <w:outlineLvl w:val="3"/>
              <w:rPr>
                <w:color w:val="000000"/>
                <w:kern w:val="2"/>
                <w:sz w:val="21"/>
              </w:rPr>
            </w:pPr>
            <w:r>
              <w:rPr>
                <w:rFonts w:hint="eastAsia"/>
                <w:color w:val="000000"/>
                <w:kern w:val="2"/>
                <w:sz w:val="21"/>
              </w:rPr>
              <w:t>6</w:t>
            </w:r>
          </w:p>
        </w:tc>
        <w:tc>
          <w:tcPr>
            <w:tcW w:w="2536" w:type="pct"/>
            <w:vAlign w:val="center"/>
          </w:tcPr>
          <w:p w14:paraId="06BA8852">
            <w:pPr>
              <w:pStyle w:val="144"/>
              <w:outlineLvl w:val="3"/>
              <w:rPr>
                <w:color w:val="000000"/>
                <w:kern w:val="2"/>
                <w:sz w:val="21"/>
              </w:rPr>
            </w:pPr>
            <w:r>
              <w:rPr>
                <w:rFonts w:hint="eastAsia"/>
                <w:color w:val="000000"/>
                <w:kern w:val="2"/>
                <w:sz w:val="21"/>
              </w:rPr>
              <w:t>相当可能</w:t>
            </w:r>
          </w:p>
        </w:tc>
      </w:tr>
      <w:tr w14:paraId="122E2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21F15838">
            <w:pPr>
              <w:pStyle w:val="144"/>
              <w:outlineLvl w:val="3"/>
              <w:rPr>
                <w:color w:val="000000"/>
                <w:kern w:val="2"/>
                <w:sz w:val="21"/>
              </w:rPr>
            </w:pPr>
            <w:r>
              <w:rPr>
                <w:rFonts w:hint="eastAsia"/>
                <w:color w:val="000000"/>
                <w:kern w:val="2"/>
                <w:sz w:val="21"/>
              </w:rPr>
              <w:t>3</w:t>
            </w:r>
          </w:p>
        </w:tc>
        <w:tc>
          <w:tcPr>
            <w:tcW w:w="2536" w:type="pct"/>
            <w:vAlign w:val="center"/>
          </w:tcPr>
          <w:p w14:paraId="42D2204E">
            <w:pPr>
              <w:pStyle w:val="144"/>
              <w:outlineLvl w:val="3"/>
              <w:rPr>
                <w:color w:val="000000"/>
                <w:kern w:val="2"/>
                <w:sz w:val="21"/>
              </w:rPr>
            </w:pPr>
            <w:r>
              <w:rPr>
                <w:rFonts w:hint="eastAsia"/>
                <w:color w:val="000000"/>
                <w:kern w:val="2"/>
                <w:sz w:val="21"/>
              </w:rPr>
              <w:t>可能，但不经常</w:t>
            </w:r>
          </w:p>
        </w:tc>
      </w:tr>
      <w:tr w14:paraId="77A9C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0EA202B5">
            <w:pPr>
              <w:pStyle w:val="144"/>
              <w:outlineLvl w:val="3"/>
              <w:rPr>
                <w:color w:val="000000"/>
                <w:kern w:val="2"/>
                <w:sz w:val="21"/>
              </w:rPr>
            </w:pPr>
            <w:r>
              <w:rPr>
                <w:rFonts w:hint="eastAsia"/>
                <w:color w:val="000000"/>
                <w:kern w:val="2"/>
                <w:sz w:val="21"/>
              </w:rPr>
              <w:t>1</w:t>
            </w:r>
          </w:p>
        </w:tc>
        <w:tc>
          <w:tcPr>
            <w:tcW w:w="2536" w:type="pct"/>
            <w:vAlign w:val="center"/>
          </w:tcPr>
          <w:p w14:paraId="784E874F">
            <w:pPr>
              <w:pStyle w:val="144"/>
              <w:outlineLvl w:val="3"/>
              <w:rPr>
                <w:color w:val="000000"/>
                <w:kern w:val="2"/>
                <w:sz w:val="21"/>
              </w:rPr>
            </w:pPr>
            <w:r>
              <w:rPr>
                <w:rFonts w:hint="eastAsia"/>
                <w:color w:val="000000"/>
                <w:kern w:val="2"/>
                <w:sz w:val="21"/>
              </w:rPr>
              <w:t>可能相信小，完全意外</w:t>
            </w:r>
          </w:p>
        </w:tc>
      </w:tr>
      <w:tr w14:paraId="22CF2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481051E9">
            <w:pPr>
              <w:pStyle w:val="144"/>
              <w:outlineLvl w:val="3"/>
              <w:rPr>
                <w:color w:val="000000"/>
                <w:kern w:val="2"/>
                <w:sz w:val="21"/>
              </w:rPr>
            </w:pPr>
            <w:r>
              <w:rPr>
                <w:rFonts w:hint="eastAsia"/>
                <w:color w:val="000000"/>
                <w:kern w:val="2"/>
                <w:sz w:val="21"/>
              </w:rPr>
              <w:t>0.5</w:t>
            </w:r>
          </w:p>
        </w:tc>
        <w:tc>
          <w:tcPr>
            <w:tcW w:w="2536" w:type="pct"/>
            <w:vAlign w:val="center"/>
          </w:tcPr>
          <w:p w14:paraId="352335AE">
            <w:pPr>
              <w:pStyle w:val="144"/>
              <w:outlineLvl w:val="3"/>
              <w:rPr>
                <w:color w:val="000000"/>
                <w:kern w:val="2"/>
                <w:sz w:val="21"/>
              </w:rPr>
            </w:pPr>
            <w:r>
              <w:rPr>
                <w:rFonts w:hint="eastAsia"/>
                <w:color w:val="000000"/>
                <w:kern w:val="2"/>
                <w:sz w:val="21"/>
              </w:rPr>
              <w:t>很不可能，可以设想</w:t>
            </w:r>
          </w:p>
        </w:tc>
      </w:tr>
      <w:tr w14:paraId="2BA7B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00EA1D1D">
            <w:pPr>
              <w:pStyle w:val="144"/>
              <w:outlineLvl w:val="3"/>
              <w:rPr>
                <w:color w:val="000000"/>
                <w:kern w:val="2"/>
                <w:sz w:val="21"/>
              </w:rPr>
            </w:pPr>
            <w:r>
              <w:rPr>
                <w:rFonts w:hint="eastAsia"/>
                <w:color w:val="000000"/>
                <w:kern w:val="2"/>
                <w:sz w:val="21"/>
              </w:rPr>
              <w:t>0.2</w:t>
            </w:r>
          </w:p>
        </w:tc>
        <w:tc>
          <w:tcPr>
            <w:tcW w:w="2536" w:type="pct"/>
            <w:vAlign w:val="center"/>
          </w:tcPr>
          <w:p w14:paraId="306B9E61">
            <w:pPr>
              <w:pStyle w:val="144"/>
              <w:outlineLvl w:val="3"/>
              <w:rPr>
                <w:color w:val="000000"/>
                <w:kern w:val="2"/>
                <w:sz w:val="21"/>
              </w:rPr>
            </w:pPr>
            <w:r>
              <w:rPr>
                <w:rFonts w:hint="eastAsia"/>
                <w:color w:val="000000"/>
                <w:kern w:val="2"/>
                <w:sz w:val="21"/>
              </w:rPr>
              <w:t>极不可能</w:t>
            </w:r>
          </w:p>
        </w:tc>
      </w:tr>
      <w:tr w14:paraId="36BED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5BEE8310">
            <w:pPr>
              <w:pStyle w:val="144"/>
              <w:outlineLvl w:val="3"/>
              <w:rPr>
                <w:color w:val="000000"/>
                <w:kern w:val="2"/>
                <w:sz w:val="21"/>
              </w:rPr>
            </w:pPr>
            <w:r>
              <w:rPr>
                <w:rFonts w:hint="eastAsia"/>
                <w:color w:val="000000"/>
                <w:kern w:val="2"/>
                <w:sz w:val="21"/>
              </w:rPr>
              <w:t>0.1</w:t>
            </w:r>
          </w:p>
        </w:tc>
        <w:tc>
          <w:tcPr>
            <w:tcW w:w="2536" w:type="pct"/>
            <w:vAlign w:val="center"/>
          </w:tcPr>
          <w:p w14:paraId="6826E227">
            <w:pPr>
              <w:pStyle w:val="144"/>
              <w:outlineLvl w:val="3"/>
              <w:rPr>
                <w:color w:val="000000"/>
                <w:kern w:val="2"/>
                <w:sz w:val="21"/>
              </w:rPr>
            </w:pPr>
            <w:r>
              <w:rPr>
                <w:rFonts w:hint="eastAsia"/>
                <w:color w:val="000000"/>
                <w:kern w:val="2"/>
                <w:sz w:val="21"/>
              </w:rPr>
              <w:t>实际不可能</w:t>
            </w:r>
          </w:p>
        </w:tc>
      </w:tr>
    </w:tbl>
    <w:p w14:paraId="519F4F25">
      <w:pPr>
        <w:pStyle w:val="123"/>
        <w:rPr>
          <w:rStyle w:val="124"/>
          <w:b/>
        </w:rPr>
      </w:pPr>
      <w:r>
        <w:rPr>
          <w:rStyle w:val="124"/>
          <w:rFonts w:hint="eastAsia"/>
          <w:b/>
        </w:rPr>
        <w:t>表7.</w:t>
      </w:r>
      <w:r>
        <w:rPr>
          <w:rStyle w:val="124"/>
          <w:b/>
        </w:rPr>
        <w:t>3-2</w:t>
      </w:r>
      <w:r>
        <w:rPr>
          <w:rStyle w:val="124"/>
          <w:rFonts w:hint="eastAsia"/>
          <w:b/>
        </w:rPr>
        <w:t>暴露于危险环境的频繁程度（</w:t>
      </w:r>
      <w:r>
        <w:rPr>
          <w:rStyle w:val="124"/>
          <w:b/>
        </w:rPr>
        <w:t>E</w:t>
      </w:r>
      <w:r>
        <w:rPr>
          <w:rStyle w:val="124"/>
          <w:rFonts w:hint="eastAsia"/>
          <w:b/>
        </w:rPr>
        <w:t>）</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9"/>
        <w:gridCol w:w="4682"/>
      </w:tblGrid>
      <w:tr w14:paraId="0816D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67AC30EE">
            <w:pPr>
              <w:pStyle w:val="144"/>
              <w:outlineLvl w:val="3"/>
              <w:rPr>
                <w:color w:val="000000"/>
                <w:kern w:val="2"/>
                <w:sz w:val="21"/>
              </w:rPr>
            </w:pPr>
            <w:r>
              <w:rPr>
                <w:rFonts w:hint="eastAsia"/>
                <w:color w:val="000000"/>
                <w:kern w:val="2"/>
                <w:sz w:val="21"/>
              </w:rPr>
              <w:t>分数值</w:t>
            </w:r>
          </w:p>
        </w:tc>
        <w:tc>
          <w:tcPr>
            <w:tcW w:w="2536" w:type="pct"/>
            <w:vAlign w:val="center"/>
          </w:tcPr>
          <w:p w14:paraId="53DE0947">
            <w:pPr>
              <w:pStyle w:val="144"/>
              <w:outlineLvl w:val="3"/>
              <w:rPr>
                <w:color w:val="000000"/>
                <w:kern w:val="2"/>
                <w:sz w:val="21"/>
              </w:rPr>
            </w:pPr>
            <w:r>
              <w:rPr>
                <w:rFonts w:hint="eastAsia"/>
                <w:color w:val="000000"/>
                <w:kern w:val="2"/>
                <w:sz w:val="21"/>
              </w:rPr>
              <w:t>暴露于危险环境的频繁程度</w:t>
            </w:r>
          </w:p>
        </w:tc>
      </w:tr>
      <w:tr w14:paraId="0DDF4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6FED07B7">
            <w:pPr>
              <w:pStyle w:val="144"/>
              <w:outlineLvl w:val="3"/>
              <w:rPr>
                <w:color w:val="000000"/>
                <w:kern w:val="2"/>
                <w:sz w:val="21"/>
              </w:rPr>
            </w:pPr>
            <w:r>
              <w:rPr>
                <w:rFonts w:hint="eastAsia"/>
                <w:color w:val="000000"/>
                <w:kern w:val="2"/>
                <w:sz w:val="21"/>
              </w:rPr>
              <w:t>10</w:t>
            </w:r>
          </w:p>
        </w:tc>
        <w:tc>
          <w:tcPr>
            <w:tcW w:w="2536" w:type="pct"/>
            <w:vAlign w:val="center"/>
          </w:tcPr>
          <w:p w14:paraId="734DE1E0">
            <w:pPr>
              <w:pStyle w:val="144"/>
              <w:outlineLvl w:val="3"/>
              <w:rPr>
                <w:color w:val="000000"/>
                <w:kern w:val="2"/>
                <w:sz w:val="21"/>
              </w:rPr>
            </w:pPr>
            <w:r>
              <w:rPr>
                <w:rFonts w:hint="eastAsia"/>
                <w:color w:val="000000"/>
                <w:kern w:val="2"/>
                <w:sz w:val="21"/>
              </w:rPr>
              <w:t>连续暴露</w:t>
            </w:r>
          </w:p>
        </w:tc>
      </w:tr>
      <w:tr w14:paraId="3C748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4A6EDA2B">
            <w:pPr>
              <w:pStyle w:val="144"/>
              <w:outlineLvl w:val="3"/>
              <w:rPr>
                <w:color w:val="000000"/>
                <w:kern w:val="2"/>
                <w:sz w:val="21"/>
              </w:rPr>
            </w:pPr>
            <w:r>
              <w:rPr>
                <w:rFonts w:hint="eastAsia"/>
                <w:color w:val="000000"/>
                <w:kern w:val="2"/>
                <w:sz w:val="21"/>
              </w:rPr>
              <w:t>6</w:t>
            </w:r>
          </w:p>
        </w:tc>
        <w:tc>
          <w:tcPr>
            <w:tcW w:w="2536" w:type="pct"/>
            <w:vAlign w:val="center"/>
          </w:tcPr>
          <w:p w14:paraId="19B47EE3">
            <w:pPr>
              <w:pStyle w:val="144"/>
              <w:outlineLvl w:val="3"/>
              <w:rPr>
                <w:color w:val="000000"/>
                <w:kern w:val="2"/>
                <w:sz w:val="21"/>
              </w:rPr>
            </w:pPr>
            <w:r>
              <w:rPr>
                <w:rFonts w:hint="eastAsia"/>
                <w:color w:val="000000"/>
                <w:kern w:val="2"/>
                <w:sz w:val="21"/>
              </w:rPr>
              <w:t>每天工作时间内暴露</w:t>
            </w:r>
          </w:p>
        </w:tc>
      </w:tr>
      <w:tr w14:paraId="32D93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5D6F0872">
            <w:pPr>
              <w:pStyle w:val="144"/>
              <w:outlineLvl w:val="3"/>
              <w:rPr>
                <w:color w:val="000000"/>
                <w:kern w:val="2"/>
                <w:sz w:val="21"/>
              </w:rPr>
            </w:pPr>
            <w:r>
              <w:rPr>
                <w:rFonts w:hint="eastAsia"/>
                <w:color w:val="000000"/>
                <w:kern w:val="2"/>
                <w:sz w:val="21"/>
              </w:rPr>
              <w:t>3</w:t>
            </w:r>
          </w:p>
        </w:tc>
        <w:tc>
          <w:tcPr>
            <w:tcW w:w="2536" w:type="pct"/>
            <w:vAlign w:val="center"/>
          </w:tcPr>
          <w:p w14:paraId="07A3D2C3">
            <w:pPr>
              <w:pStyle w:val="144"/>
              <w:outlineLvl w:val="3"/>
              <w:rPr>
                <w:color w:val="000000"/>
                <w:kern w:val="2"/>
                <w:sz w:val="21"/>
              </w:rPr>
            </w:pPr>
            <w:r>
              <w:rPr>
                <w:rFonts w:hint="eastAsia"/>
                <w:color w:val="000000"/>
                <w:kern w:val="2"/>
                <w:sz w:val="21"/>
              </w:rPr>
              <w:t>每周一次或偶然暴露</w:t>
            </w:r>
          </w:p>
        </w:tc>
      </w:tr>
      <w:tr w14:paraId="5B9FB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5161BA78">
            <w:pPr>
              <w:pStyle w:val="144"/>
              <w:outlineLvl w:val="3"/>
              <w:rPr>
                <w:color w:val="000000"/>
                <w:kern w:val="2"/>
                <w:sz w:val="21"/>
              </w:rPr>
            </w:pPr>
            <w:r>
              <w:rPr>
                <w:rFonts w:hint="eastAsia"/>
                <w:color w:val="000000"/>
                <w:kern w:val="2"/>
                <w:sz w:val="21"/>
              </w:rPr>
              <w:t>2</w:t>
            </w:r>
          </w:p>
        </w:tc>
        <w:tc>
          <w:tcPr>
            <w:tcW w:w="2536" w:type="pct"/>
            <w:vAlign w:val="center"/>
          </w:tcPr>
          <w:p w14:paraId="2D3B6BB5">
            <w:pPr>
              <w:pStyle w:val="144"/>
              <w:outlineLvl w:val="3"/>
              <w:rPr>
                <w:color w:val="000000"/>
                <w:kern w:val="2"/>
                <w:sz w:val="21"/>
              </w:rPr>
            </w:pPr>
            <w:r>
              <w:rPr>
                <w:rFonts w:hint="eastAsia"/>
                <w:color w:val="000000"/>
                <w:kern w:val="2"/>
                <w:sz w:val="21"/>
              </w:rPr>
              <w:t>每月一次暴露</w:t>
            </w:r>
          </w:p>
        </w:tc>
      </w:tr>
      <w:tr w14:paraId="7BA15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195449CC">
            <w:pPr>
              <w:pStyle w:val="144"/>
              <w:outlineLvl w:val="3"/>
              <w:rPr>
                <w:color w:val="000000"/>
                <w:kern w:val="2"/>
                <w:sz w:val="21"/>
              </w:rPr>
            </w:pPr>
            <w:r>
              <w:rPr>
                <w:rFonts w:hint="eastAsia"/>
                <w:color w:val="000000"/>
                <w:kern w:val="2"/>
                <w:sz w:val="21"/>
              </w:rPr>
              <w:t>1</w:t>
            </w:r>
          </w:p>
        </w:tc>
        <w:tc>
          <w:tcPr>
            <w:tcW w:w="2536" w:type="pct"/>
            <w:vAlign w:val="center"/>
          </w:tcPr>
          <w:p w14:paraId="519FD453">
            <w:pPr>
              <w:pStyle w:val="144"/>
              <w:outlineLvl w:val="3"/>
              <w:rPr>
                <w:color w:val="000000"/>
                <w:kern w:val="2"/>
                <w:sz w:val="21"/>
              </w:rPr>
            </w:pPr>
            <w:r>
              <w:rPr>
                <w:rFonts w:hint="eastAsia"/>
                <w:color w:val="000000"/>
                <w:kern w:val="2"/>
                <w:sz w:val="21"/>
              </w:rPr>
              <w:t>每年几次暴露</w:t>
            </w:r>
          </w:p>
        </w:tc>
      </w:tr>
      <w:tr w14:paraId="19BB4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7887206E">
            <w:pPr>
              <w:pStyle w:val="144"/>
              <w:outlineLvl w:val="3"/>
              <w:rPr>
                <w:color w:val="000000"/>
                <w:kern w:val="2"/>
                <w:sz w:val="21"/>
              </w:rPr>
            </w:pPr>
            <w:r>
              <w:rPr>
                <w:rFonts w:hint="eastAsia"/>
                <w:color w:val="000000"/>
                <w:kern w:val="2"/>
                <w:sz w:val="21"/>
              </w:rPr>
              <w:t>0.5</w:t>
            </w:r>
          </w:p>
        </w:tc>
        <w:tc>
          <w:tcPr>
            <w:tcW w:w="2536" w:type="pct"/>
            <w:vAlign w:val="center"/>
          </w:tcPr>
          <w:p w14:paraId="72F41AF6">
            <w:pPr>
              <w:pStyle w:val="144"/>
              <w:outlineLvl w:val="3"/>
              <w:rPr>
                <w:color w:val="000000"/>
                <w:kern w:val="2"/>
                <w:sz w:val="21"/>
              </w:rPr>
            </w:pPr>
            <w:r>
              <w:rPr>
                <w:rFonts w:hint="eastAsia"/>
                <w:color w:val="000000"/>
                <w:kern w:val="2"/>
                <w:sz w:val="21"/>
              </w:rPr>
              <w:t>非常罕见暴露</w:t>
            </w:r>
          </w:p>
        </w:tc>
      </w:tr>
    </w:tbl>
    <w:p w14:paraId="413BED8C">
      <w:pPr>
        <w:pStyle w:val="123"/>
        <w:rPr>
          <w:rStyle w:val="124"/>
          <w:b/>
        </w:rPr>
      </w:pPr>
      <w:r>
        <w:rPr>
          <w:rStyle w:val="124"/>
          <w:rFonts w:hint="eastAsia"/>
          <w:b/>
        </w:rPr>
        <w:t>表7.</w:t>
      </w:r>
      <w:r>
        <w:rPr>
          <w:rStyle w:val="124"/>
          <w:b/>
        </w:rPr>
        <w:t>3-3</w:t>
      </w:r>
      <w:r>
        <w:rPr>
          <w:rStyle w:val="124"/>
          <w:rFonts w:hint="eastAsia"/>
          <w:b/>
        </w:rPr>
        <w:t>发生事故产生的后果（</w:t>
      </w:r>
      <w:r>
        <w:rPr>
          <w:rStyle w:val="124"/>
          <w:b/>
        </w:rPr>
        <w:t>C</w:t>
      </w:r>
      <w:r>
        <w:rPr>
          <w:rStyle w:val="124"/>
          <w:rFonts w:hint="eastAsia"/>
          <w:b/>
        </w:rPr>
        <w:t>）</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9"/>
        <w:gridCol w:w="4682"/>
      </w:tblGrid>
      <w:tr w14:paraId="601DD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3314DEF0">
            <w:pPr>
              <w:pStyle w:val="144"/>
              <w:outlineLvl w:val="3"/>
              <w:rPr>
                <w:color w:val="000000"/>
                <w:kern w:val="2"/>
                <w:sz w:val="21"/>
              </w:rPr>
            </w:pPr>
            <w:r>
              <w:rPr>
                <w:rFonts w:hint="eastAsia"/>
                <w:color w:val="000000"/>
                <w:kern w:val="2"/>
                <w:sz w:val="21"/>
              </w:rPr>
              <w:t>分数值</w:t>
            </w:r>
          </w:p>
        </w:tc>
        <w:tc>
          <w:tcPr>
            <w:tcW w:w="2536" w:type="pct"/>
            <w:vAlign w:val="center"/>
          </w:tcPr>
          <w:p w14:paraId="42B9772D">
            <w:pPr>
              <w:pStyle w:val="144"/>
              <w:outlineLvl w:val="3"/>
              <w:rPr>
                <w:color w:val="000000"/>
                <w:kern w:val="2"/>
                <w:sz w:val="21"/>
              </w:rPr>
            </w:pPr>
            <w:r>
              <w:rPr>
                <w:rFonts w:hint="eastAsia"/>
                <w:color w:val="000000"/>
                <w:kern w:val="2"/>
                <w:sz w:val="21"/>
              </w:rPr>
              <w:t>发生事故产生的后果</w:t>
            </w:r>
          </w:p>
        </w:tc>
      </w:tr>
      <w:tr w14:paraId="5243F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74190026">
            <w:pPr>
              <w:pStyle w:val="144"/>
              <w:outlineLvl w:val="3"/>
              <w:rPr>
                <w:color w:val="000000"/>
                <w:kern w:val="2"/>
                <w:sz w:val="21"/>
              </w:rPr>
            </w:pPr>
            <w:r>
              <w:rPr>
                <w:rFonts w:hint="eastAsia"/>
                <w:color w:val="000000"/>
                <w:kern w:val="2"/>
                <w:sz w:val="21"/>
              </w:rPr>
              <w:t>100</w:t>
            </w:r>
          </w:p>
        </w:tc>
        <w:tc>
          <w:tcPr>
            <w:tcW w:w="2536" w:type="pct"/>
            <w:vAlign w:val="center"/>
          </w:tcPr>
          <w:p w14:paraId="7E27A724">
            <w:pPr>
              <w:pStyle w:val="144"/>
              <w:outlineLvl w:val="3"/>
              <w:rPr>
                <w:color w:val="000000"/>
                <w:kern w:val="2"/>
                <w:sz w:val="21"/>
              </w:rPr>
            </w:pPr>
            <w:r>
              <w:rPr>
                <w:rFonts w:hint="eastAsia"/>
                <w:color w:val="000000"/>
                <w:kern w:val="2"/>
                <w:sz w:val="21"/>
              </w:rPr>
              <w:t>10人以上死亡</w:t>
            </w:r>
          </w:p>
        </w:tc>
      </w:tr>
      <w:tr w14:paraId="3C607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150C901E">
            <w:pPr>
              <w:pStyle w:val="144"/>
              <w:outlineLvl w:val="3"/>
              <w:rPr>
                <w:color w:val="000000"/>
                <w:kern w:val="2"/>
                <w:sz w:val="21"/>
              </w:rPr>
            </w:pPr>
            <w:r>
              <w:rPr>
                <w:rFonts w:hint="eastAsia"/>
                <w:color w:val="000000"/>
                <w:kern w:val="2"/>
                <w:sz w:val="21"/>
              </w:rPr>
              <w:t>40</w:t>
            </w:r>
          </w:p>
        </w:tc>
        <w:tc>
          <w:tcPr>
            <w:tcW w:w="2536" w:type="pct"/>
            <w:vAlign w:val="center"/>
          </w:tcPr>
          <w:p w14:paraId="1E018BE4">
            <w:pPr>
              <w:pStyle w:val="144"/>
              <w:outlineLvl w:val="3"/>
              <w:rPr>
                <w:color w:val="000000"/>
                <w:kern w:val="2"/>
                <w:sz w:val="21"/>
              </w:rPr>
            </w:pPr>
            <w:r>
              <w:rPr>
                <w:rFonts w:hint="eastAsia"/>
                <w:color w:val="000000"/>
                <w:kern w:val="2"/>
                <w:sz w:val="21"/>
              </w:rPr>
              <w:t>2~9人死亡</w:t>
            </w:r>
          </w:p>
        </w:tc>
      </w:tr>
      <w:tr w14:paraId="00CF3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5CD3525D">
            <w:pPr>
              <w:pStyle w:val="144"/>
              <w:outlineLvl w:val="3"/>
              <w:rPr>
                <w:color w:val="000000"/>
                <w:kern w:val="2"/>
                <w:sz w:val="21"/>
              </w:rPr>
            </w:pPr>
            <w:r>
              <w:rPr>
                <w:rFonts w:hint="eastAsia"/>
                <w:color w:val="000000"/>
                <w:kern w:val="2"/>
                <w:sz w:val="21"/>
              </w:rPr>
              <w:t>15</w:t>
            </w:r>
          </w:p>
        </w:tc>
        <w:tc>
          <w:tcPr>
            <w:tcW w:w="2536" w:type="pct"/>
            <w:vAlign w:val="center"/>
          </w:tcPr>
          <w:p w14:paraId="320B913A">
            <w:pPr>
              <w:pStyle w:val="144"/>
              <w:outlineLvl w:val="3"/>
              <w:rPr>
                <w:color w:val="000000"/>
                <w:kern w:val="2"/>
                <w:sz w:val="21"/>
              </w:rPr>
            </w:pPr>
            <w:r>
              <w:rPr>
                <w:rFonts w:hint="eastAsia"/>
                <w:color w:val="000000"/>
                <w:kern w:val="2"/>
                <w:sz w:val="21"/>
              </w:rPr>
              <w:t>非常严重，1人死亡</w:t>
            </w:r>
          </w:p>
        </w:tc>
      </w:tr>
      <w:tr w14:paraId="14125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287B5900">
            <w:pPr>
              <w:pStyle w:val="144"/>
              <w:outlineLvl w:val="3"/>
              <w:rPr>
                <w:color w:val="000000"/>
                <w:kern w:val="2"/>
                <w:sz w:val="21"/>
              </w:rPr>
            </w:pPr>
            <w:r>
              <w:rPr>
                <w:rFonts w:hint="eastAsia"/>
                <w:color w:val="000000"/>
                <w:kern w:val="2"/>
                <w:sz w:val="21"/>
              </w:rPr>
              <w:t>7</w:t>
            </w:r>
          </w:p>
        </w:tc>
        <w:tc>
          <w:tcPr>
            <w:tcW w:w="2536" w:type="pct"/>
            <w:vAlign w:val="center"/>
          </w:tcPr>
          <w:p w14:paraId="1F12173D">
            <w:pPr>
              <w:pStyle w:val="144"/>
              <w:outlineLvl w:val="3"/>
              <w:rPr>
                <w:color w:val="000000"/>
                <w:kern w:val="2"/>
                <w:sz w:val="21"/>
              </w:rPr>
            </w:pPr>
            <w:r>
              <w:rPr>
                <w:rFonts w:hint="eastAsia"/>
                <w:color w:val="000000"/>
                <w:kern w:val="2"/>
                <w:sz w:val="21"/>
              </w:rPr>
              <w:t>重大，伤残</w:t>
            </w:r>
          </w:p>
        </w:tc>
      </w:tr>
      <w:tr w14:paraId="4FBE2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1E2DFF46">
            <w:pPr>
              <w:pStyle w:val="144"/>
              <w:outlineLvl w:val="3"/>
              <w:rPr>
                <w:color w:val="000000"/>
                <w:kern w:val="2"/>
                <w:sz w:val="21"/>
              </w:rPr>
            </w:pPr>
            <w:r>
              <w:rPr>
                <w:rFonts w:hint="eastAsia"/>
                <w:color w:val="000000"/>
                <w:kern w:val="2"/>
                <w:sz w:val="21"/>
              </w:rPr>
              <w:t>3</w:t>
            </w:r>
          </w:p>
        </w:tc>
        <w:tc>
          <w:tcPr>
            <w:tcW w:w="2536" w:type="pct"/>
            <w:vAlign w:val="center"/>
          </w:tcPr>
          <w:p w14:paraId="65A6EC25">
            <w:pPr>
              <w:pStyle w:val="144"/>
              <w:outlineLvl w:val="3"/>
              <w:rPr>
                <w:color w:val="000000"/>
                <w:kern w:val="2"/>
                <w:sz w:val="21"/>
              </w:rPr>
            </w:pPr>
            <w:r>
              <w:rPr>
                <w:rFonts w:hint="eastAsia"/>
                <w:color w:val="000000"/>
                <w:kern w:val="2"/>
                <w:sz w:val="21"/>
              </w:rPr>
              <w:t>严重，重伤</w:t>
            </w:r>
          </w:p>
        </w:tc>
      </w:tr>
      <w:tr w14:paraId="16E69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4C56059F">
            <w:pPr>
              <w:pStyle w:val="144"/>
              <w:outlineLvl w:val="3"/>
              <w:rPr>
                <w:color w:val="000000"/>
                <w:kern w:val="2"/>
                <w:sz w:val="21"/>
              </w:rPr>
            </w:pPr>
            <w:r>
              <w:rPr>
                <w:rFonts w:hint="eastAsia"/>
                <w:color w:val="000000"/>
                <w:kern w:val="2"/>
                <w:sz w:val="21"/>
              </w:rPr>
              <w:t>1</w:t>
            </w:r>
          </w:p>
        </w:tc>
        <w:tc>
          <w:tcPr>
            <w:tcW w:w="2536" w:type="pct"/>
            <w:vAlign w:val="center"/>
          </w:tcPr>
          <w:p w14:paraId="1B2288CB">
            <w:pPr>
              <w:pStyle w:val="144"/>
              <w:outlineLvl w:val="3"/>
              <w:rPr>
                <w:color w:val="000000"/>
                <w:kern w:val="2"/>
                <w:sz w:val="21"/>
              </w:rPr>
            </w:pPr>
            <w:r>
              <w:rPr>
                <w:rFonts w:hint="eastAsia"/>
                <w:color w:val="000000"/>
                <w:kern w:val="2"/>
                <w:sz w:val="21"/>
              </w:rPr>
              <w:t>轻伤（引人注意，需要救护）</w:t>
            </w:r>
          </w:p>
        </w:tc>
      </w:tr>
    </w:tbl>
    <w:p w14:paraId="27AFE6EB">
      <w:pPr>
        <w:pStyle w:val="123"/>
        <w:rPr>
          <w:rStyle w:val="124"/>
          <w:b/>
        </w:rPr>
      </w:pPr>
      <w:r>
        <w:rPr>
          <w:rStyle w:val="124"/>
          <w:rFonts w:hint="eastAsia"/>
          <w:b/>
        </w:rPr>
        <w:t>表7.</w:t>
      </w:r>
      <w:r>
        <w:rPr>
          <w:rStyle w:val="124"/>
          <w:b/>
        </w:rPr>
        <w:t>3-4</w:t>
      </w:r>
      <w:r>
        <w:rPr>
          <w:rStyle w:val="124"/>
          <w:rFonts w:hint="eastAsia"/>
          <w:b/>
        </w:rPr>
        <w:t>风险等级划分（</w:t>
      </w:r>
      <w:r>
        <w:rPr>
          <w:rStyle w:val="124"/>
          <w:b/>
        </w:rPr>
        <w:t>D</w:t>
      </w:r>
      <w:r>
        <w:rPr>
          <w:rStyle w:val="124"/>
          <w:rFonts w:hint="eastAsia"/>
          <w:b/>
        </w:rPr>
        <w:t>）</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9"/>
        <w:gridCol w:w="2374"/>
        <w:gridCol w:w="2308"/>
      </w:tblGrid>
      <w:tr w14:paraId="3A169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223AA030">
            <w:pPr>
              <w:pStyle w:val="144"/>
              <w:outlineLvl w:val="3"/>
              <w:rPr>
                <w:rStyle w:val="100"/>
                <w:rFonts w:hAnsi="Times New Roman" w:eastAsia="宋体"/>
                <w:color w:val="000000"/>
                <w:kern w:val="2"/>
                <w:sz w:val="21"/>
              </w:rPr>
            </w:pPr>
            <w:r>
              <w:rPr>
                <w:rStyle w:val="100"/>
                <w:rFonts w:hint="eastAsia" w:hAnsi="Times New Roman"/>
                <w:color w:val="000000"/>
                <w:kern w:val="2"/>
              </w:rPr>
              <w:t>D值</w:t>
            </w:r>
          </w:p>
        </w:tc>
        <w:tc>
          <w:tcPr>
            <w:tcW w:w="1286" w:type="pct"/>
            <w:vAlign w:val="center"/>
          </w:tcPr>
          <w:p w14:paraId="3E200A9C">
            <w:pPr>
              <w:pStyle w:val="144"/>
              <w:outlineLvl w:val="3"/>
              <w:rPr>
                <w:rStyle w:val="100"/>
                <w:rFonts w:hAnsi="Times New Roman" w:eastAsia="宋体"/>
                <w:color w:val="000000"/>
                <w:kern w:val="2"/>
                <w:sz w:val="21"/>
              </w:rPr>
            </w:pPr>
            <w:r>
              <w:rPr>
                <w:rStyle w:val="100"/>
                <w:rFonts w:hint="eastAsia" w:hAnsi="Times New Roman"/>
                <w:color w:val="000000"/>
                <w:kern w:val="2"/>
              </w:rPr>
              <w:t>风险程度</w:t>
            </w:r>
          </w:p>
        </w:tc>
        <w:tc>
          <w:tcPr>
            <w:tcW w:w="1250" w:type="pct"/>
            <w:vAlign w:val="center"/>
          </w:tcPr>
          <w:p w14:paraId="6E43CCD9">
            <w:pPr>
              <w:pStyle w:val="144"/>
              <w:outlineLvl w:val="3"/>
              <w:rPr>
                <w:rStyle w:val="100"/>
                <w:rFonts w:hAnsi="Times New Roman" w:eastAsia="宋体"/>
                <w:color w:val="000000"/>
                <w:kern w:val="2"/>
                <w:sz w:val="21"/>
              </w:rPr>
            </w:pPr>
            <w:r>
              <w:rPr>
                <w:rStyle w:val="100"/>
                <w:rFonts w:hint="eastAsia" w:hAnsi="Times New Roman"/>
                <w:color w:val="000000"/>
                <w:kern w:val="2"/>
              </w:rPr>
              <w:t>风险等级</w:t>
            </w:r>
          </w:p>
        </w:tc>
      </w:tr>
      <w:tr w14:paraId="53F8F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1029F3A9">
            <w:pPr>
              <w:pStyle w:val="144"/>
              <w:outlineLvl w:val="3"/>
              <w:rPr>
                <w:rStyle w:val="100"/>
                <w:rFonts w:hAnsi="Times New Roman" w:eastAsia="宋体"/>
                <w:color w:val="000000"/>
                <w:kern w:val="2"/>
                <w:sz w:val="21"/>
              </w:rPr>
            </w:pPr>
            <w:r>
              <w:rPr>
                <w:rStyle w:val="100"/>
                <w:rFonts w:hint="eastAsia" w:hAnsi="Times New Roman"/>
                <w:color w:val="000000"/>
                <w:kern w:val="2"/>
              </w:rPr>
              <w:t>＞320</w:t>
            </w:r>
          </w:p>
        </w:tc>
        <w:tc>
          <w:tcPr>
            <w:tcW w:w="1286" w:type="pct"/>
            <w:vAlign w:val="center"/>
          </w:tcPr>
          <w:p w14:paraId="347547A7">
            <w:pPr>
              <w:pStyle w:val="144"/>
              <w:outlineLvl w:val="3"/>
              <w:rPr>
                <w:rStyle w:val="100"/>
                <w:rFonts w:hAnsi="Times New Roman" w:eastAsia="宋体"/>
                <w:color w:val="000000"/>
                <w:kern w:val="2"/>
                <w:sz w:val="21"/>
              </w:rPr>
            </w:pPr>
            <w:r>
              <w:rPr>
                <w:rStyle w:val="100"/>
                <w:rFonts w:hint="eastAsia" w:hAnsi="Times New Roman"/>
                <w:color w:val="000000"/>
                <w:kern w:val="2"/>
              </w:rPr>
              <w:t>极其危险</w:t>
            </w:r>
          </w:p>
        </w:tc>
        <w:tc>
          <w:tcPr>
            <w:tcW w:w="1250" w:type="pct"/>
            <w:vAlign w:val="center"/>
          </w:tcPr>
          <w:p w14:paraId="124AA06C">
            <w:pPr>
              <w:pStyle w:val="144"/>
              <w:outlineLvl w:val="3"/>
              <w:rPr>
                <w:rStyle w:val="100"/>
                <w:rFonts w:hAnsi="Times New Roman" w:eastAsia="宋体"/>
                <w:color w:val="000000"/>
                <w:kern w:val="2"/>
                <w:sz w:val="21"/>
              </w:rPr>
            </w:pPr>
            <w:r>
              <w:rPr>
                <w:rStyle w:val="100"/>
                <w:rFonts w:hAnsi="Times New Roman"/>
                <w:color w:val="000000"/>
                <w:kern w:val="2"/>
              </w:rPr>
              <w:t>5</w:t>
            </w:r>
          </w:p>
        </w:tc>
      </w:tr>
      <w:tr w14:paraId="5BAD8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125CF821">
            <w:pPr>
              <w:pStyle w:val="144"/>
              <w:outlineLvl w:val="3"/>
              <w:rPr>
                <w:rStyle w:val="100"/>
                <w:rFonts w:hAnsi="Times New Roman" w:eastAsia="宋体"/>
                <w:color w:val="000000"/>
                <w:kern w:val="2"/>
                <w:sz w:val="21"/>
              </w:rPr>
            </w:pPr>
            <w:r>
              <w:rPr>
                <w:rStyle w:val="100"/>
                <w:rFonts w:hAnsi="Times New Roman"/>
                <w:color w:val="000000"/>
                <w:kern w:val="2"/>
              </w:rPr>
              <w:t>160-320</w:t>
            </w:r>
          </w:p>
        </w:tc>
        <w:tc>
          <w:tcPr>
            <w:tcW w:w="1286" w:type="pct"/>
            <w:vAlign w:val="center"/>
          </w:tcPr>
          <w:p w14:paraId="13A7C722">
            <w:pPr>
              <w:pStyle w:val="144"/>
              <w:outlineLvl w:val="3"/>
              <w:rPr>
                <w:rStyle w:val="100"/>
                <w:rFonts w:hAnsi="Times New Roman" w:eastAsia="宋体"/>
                <w:color w:val="000000"/>
                <w:kern w:val="2"/>
                <w:sz w:val="21"/>
              </w:rPr>
            </w:pPr>
            <w:r>
              <w:rPr>
                <w:rStyle w:val="100"/>
                <w:rFonts w:hint="eastAsia" w:hAnsi="Times New Roman"/>
                <w:color w:val="000000"/>
                <w:kern w:val="2"/>
              </w:rPr>
              <w:t>高度危险</w:t>
            </w:r>
          </w:p>
        </w:tc>
        <w:tc>
          <w:tcPr>
            <w:tcW w:w="1250" w:type="pct"/>
            <w:vAlign w:val="center"/>
          </w:tcPr>
          <w:p w14:paraId="268F1F39">
            <w:pPr>
              <w:pStyle w:val="144"/>
              <w:outlineLvl w:val="3"/>
              <w:rPr>
                <w:rStyle w:val="100"/>
                <w:rFonts w:hAnsi="Times New Roman" w:eastAsia="宋体"/>
                <w:color w:val="000000"/>
                <w:kern w:val="2"/>
                <w:sz w:val="21"/>
              </w:rPr>
            </w:pPr>
            <w:r>
              <w:rPr>
                <w:rStyle w:val="100"/>
                <w:rFonts w:hAnsi="Times New Roman"/>
                <w:color w:val="000000"/>
                <w:kern w:val="2"/>
              </w:rPr>
              <w:t>4</w:t>
            </w:r>
          </w:p>
        </w:tc>
      </w:tr>
      <w:tr w14:paraId="296D0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2B025115">
            <w:pPr>
              <w:pStyle w:val="144"/>
              <w:outlineLvl w:val="3"/>
              <w:rPr>
                <w:rStyle w:val="100"/>
                <w:rFonts w:hAnsi="Times New Roman" w:eastAsia="宋体"/>
                <w:color w:val="000000"/>
                <w:kern w:val="2"/>
                <w:sz w:val="21"/>
              </w:rPr>
            </w:pPr>
            <w:r>
              <w:rPr>
                <w:rStyle w:val="100"/>
                <w:rFonts w:hAnsi="Times New Roman"/>
                <w:color w:val="000000"/>
                <w:kern w:val="2"/>
              </w:rPr>
              <w:t>70-160</w:t>
            </w:r>
          </w:p>
        </w:tc>
        <w:tc>
          <w:tcPr>
            <w:tcW w:w="1286" w:type="pct"/>
            <w:vAlign w:val="center"/>
          </w:tcPr>
          <w:p w14:paraId="12ED6474">
            <w:pPr>
              <w:pStyle w:val="144"/>
              <w:outlineLvl w:val="3"/>
              <w:rPr>
                <w:rStyle w:val="100"/>
                <w:rFonts w:hAnsi="Times New Roman" w:eastAsia="宋体"/>
                <w:color w:val="000000"/>
                <w:kern w:val="2"/>
                <w:sz w:val="21"/>
              </w:rPr>
            </w:pPr>
            <w:r>
              <w:rPr>
                <w:rStyle w:val="100"/>
                <w:rFonts w:hint="eastAsia" w:hAnsi="Times New Roman"/>
                <w:color w:val="000000"/>
                <w:kern w:val="2"/>
              </w:rPr>
              <w:t>显著危险</w:t>
            </w:r>
          </w:p>
        </w:tc>
        <w:tc>
          <w:tcPr>
            <w:tcW w:w="1250" w:type="pct"/>
            <w:vAlign w:val="center"/>
          </w:tcPr>
          <w:p w14:paraId="3833771B">
            <w:pPr>
              <w:pStyle w:val="144"/>
              <w:outlineLvl w:val="3"/>
              <w:rPr>
                <w:rStyle w:val="100"/>
                <w:rFonts w:hAnsi="Times New Roman" w:eastAsia="宋体"/>
                <w:color w:val="000000"/>
                <w:kern w:val="2"/>
                <w:sz w:val="21"/>
              </w:rPr>
            </w:pPr>
            <w:r>
              <w:rPr>
                <w:rStyle w:val="100"/>
                <w:rFonts w:hAnsi="Times New Roman"/>
                <w:color w:val="000000"/>
                <w:kern w:val="2"/>
              </w:rPr>
              <w:t>3</w:t>
            </w:r>
          </w:p>
        </w:tc>
      </w:tr>
      <w:tr w14:paraId="75CFC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5790943F">
            <w:pPr>
              <w:pStyle w:val="144"/>
              <w:outlineLvl w:val="3"/>
              <w:rPr>
                <w:rStyle w:val="100"/>
                <w:rFonts w:hAnsi="Times New Roman" w:eastAsia="宋体"/>
                <w:color w:val="000000"/>
                <w:kern w:val="2"/>
                <w:sz w:val="21"/>
              </w:rPr>
            </w:pPr>
            <w:r>
              <w:rPr>
                <w:rStyle w:val="100"/>
                <w:rFonts w:hAnsi="Times New Roman"/>
                <w:color w:val="000000"/>
                <w:kern w:val="2"/>
              </w:rPr>
              <w:t>20-70</w:t>
            </w:r>
          </w:p>
        </w:tc>
        <w:tc>
          <w:tcPr>
            <w:tcW w:w="1286" w:type="pct"/>
            <w:vAlign w:val="center"/>
          </w:tcPr>
          <w:p w14:paraId="6094202F">
            <w:pPr>
              <w:pStyle w:val="144"/>
              <w:outlineLvl w:val="3"/>
              <w:rPr>
                <w:rStyle w:val="100"/>
                <w:rFonts w:hAnsi="Times New Roman" w:eastAsia="宋体"/>
                <w:color w:val="000000"/>
                <w:kern w:val="2"/>
                <w:sz w:val="21"/>
              </w:rPr>
            </w:pPr>
            <w:r>
              <w:rPr>
                <w:rStyle w:val="100"/>
                <w:rFonts w:hint="eastAsia" w:hAnsi="Times New Roman"/>
                <w:color w:val="000000"/>
                <w:kern w:val="2"/>
              </w:rPr>
              <w:t>一般危险</w:t>
            </w:r>
          </w:p>
        </w:tc>
        <w:tc>
          <w:tcPr>
            <w:tcW w:w="1250" w:type="pct"/>
            <w:vAlign w:val="center"/>
          </w:tcPr>
          <w:p w14:paraId="2DA3891C">
            <w:pPr>
              <w:pStyle w:val="144"/>
              <w:outlineLvl w:val="3"/>
              <w:rPr>
                <w:rStyle w:val="100"/>
                <w:rFonts w:hAnsi="Times New Roman" w:eastAsia="宋体"/>
                <w:color w:val="000000"/>
                <w:kern w:val="2"/>
                <w:sz w:val="21"/>
              </w:rPr>
            </w:pPr>
            <w:r>
              <w:rPr>
                <w:rStyle w:val="100"/>
                <w:rFonts w:hAnsi="Times New Roman"/>
                <w:color w:val="000000"/>
                <w:kern w:val="2"/>
              </w:rPr>
              <w:t>2</w:t>
            </w:r>
          </w:p>
        </w:tc>
      </w:tr>
      <w:tr w14:paraId="390AE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4055D47A">
            <w:pPr>
              <w:pStyle w:val="144"/>
              <w:outlineLvl w:val="3"/>
              <w:rPr>
                <w:rStyle w:val="100"/>
                <w:rFonts w:hAnsi="Times New Roman" w:eastAsia="宋体"/>
                <w:color w:val="000000"/>
                <w:kern w:val="2"/>
                <w:sz w:val="21"/>
              </w:rPr>
            </w:pPr>
            <w:r>
              <w:rPr>
                <w:rStyle w:val="100"/>
                <w:rFonts w:hint="eastAsia" w:hAnsi="Times New Roman"/>
                <w:color w:val="000000"/>
                <w:kern w:val="2"/>
              </w:rPr>
              <w:t>＜20</w:t>
            </w:r>
          </w:p>
        </w:tc>
        <w:tc>
          <w:tcPr>
            <w:tcW w:w="1286" w:type="pct"/>
            <w:vAlign w:val="center"/>
          </w:tcPr>
          <w:p w14:paraId="37C52F9A">
            <w:pPr>
              <w:pStyle w:val="144"/>
              <w:outlineLvl w:val="3"/>
              <w:rPr>
                <w:rStyle w:val="100"/>
                <w:rFonts w:hAnsi="Times New Roman" w:eastAsia="宋体"/>
                <w:color w:val="000000"/>
                <w:kern w:val="2"/>
                <w:sz w:val="21"/>
              </w:rPr>
            </w:pPr>
            <w:r>
              <w:rPr>
                <w:rStyle w:val="100"/>
                <w:rFonts w:hint="eastAsia" w:hAnsi="Times New Roman"/>
                <w:color w:val="000000"/>
                <w:kern w:val="2"/>
              </w:rPr>
              <w:t>稍有危险</w:t>
            </w:r>
          </w:p>
        </w:tc>
        <w:tc>
          <w:tcPr>
            <w:tcW w:w="1250" w:type="pct"/>
            <w:vAlign w:val="center"/>
          </w:tcPr>
          <w:p w14:paraId="22BFF446">
            <w:pPr>
              <w:pStyle w:val="144"/>
              <w:outlineLvl w:val="3"/>
              <w:rPr>
                <w:rStyle w:val="100"/>
                <w:rFonts w:hAnsi="Times New Roman" w:eastAsia="宋体"/>
                <w:color w:val="000000"/>
                <w:kern w:val="2"/>
                <w:sz w:val="21"/>
              </w:rPr>
            </w:pPr>
            <w:r>
              <w:rPr>
                <w:rStyle w:val="100"/>
                <w:rFonts w:hAnsi="Times New Roman"/>
                <w:color w:val="000000"/>
                <w:kern w:val="2"/>
              </w:rPr>
              <w:t>1</w:t>
            </w:r>
          </w:p>
        </w:tc>
      </w:tr>
    </w:tbl>
    <w:p w14:paraId="72317BF2">
      <w:pPr>
        <w:pStyle w:val="123"/>
        <w:rPr>
          <w:rStyle w:val="124"/>
          <w:b/>
        </w:rPr>
      </w:pPr>
      <w:r>
        <w:rPr>
          <w:rStyle w:val="124"/>
          <w:rFonts w:hint="eastAsia"/>
          <w:b/>
        </w:rPr>
        <w:t>表7.</w:t>
      </w:r>
      <w:r>
        <w:rPr>
          <w:rStyle w:val="124"/>
          <w:b/>
        </w:rPr>
        <w:t>3-6</w:t>
      </w:r>
      <w:r>
        <w:rPr>
          <w:rStyle w:val="124"/>
          <w:rFonts w:hint="eastAsia"/>
          <w:b/>
        </w:rPr>
        <w:t>风险评估表</w:t>
      </w:r>
    </w:p>
    <w:tbl>
      <w:tblPr>
        <w:tblStyle w:val="41"/>
        <w:tblW w:w="9164"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74"/>
        <w:gridCol w:w="2440"/>
        <w:gridCol w:w="1549"/>
        <w:gridCol w:w="657"/>
        <w:gridCol w:w="705"/>
        <w:gridCol w:w="705"/>
        <w:gridCol w:w="1374"/>
        <w:gridCol w:w="1060"/>
      </w:tblGrid>
      <w:tr w14:paraId="0BA91A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restart"/>
            <w:tcBorders>
              <w:top w:val="double" w:color="auto" w:sz="4" w:space="0"/>
            </w:tcBorders>
            <w:vAlign w:val="center"/>
          </w:tcPr>
          <w:p w14:paraId="6F6CF5A9">
            <w:pPr>
              <w:pStyle w:val="168"/>
              <w:rPr>
                <w:rFonts w:ascii="仿宋" w:hAnsi="仿宋" w:eastAsia="仿宋" w:cs="微软雅黑"/>
                <w:sz w:val="24"/>
                <w:szCs w:val="24"/>
              </w:rPr>
            </w:pPr>
            <w:r>
              <w:rPr>
                <w:rFonts w:hint="eastAsia" w:ascii="仿宋" w:hAnsi="仿宋" w:eastAsia="仿宋" w:cs="微软雅黑"/>
                <w:sz w:val="24"/>
                <w:szCs w:val="24"/>
              </w:rPr>
              <w:t>序号</w:t>
            </w:r>
          </w:p>
        </w:tc>
        <w:tc>
          <w:tcPr>
            <w:tcW w:w="2440" w:type="dxa"/>
            <w:vMerge w:val="restart"/>
            <w:tcBorders>
              <w:top w:val="double" w:color="auto" w:sz="4" w:space="0"/>
            </w:tcBorders>
            <w:vAlign w:val="center"/>
          </w:tcPr>
          <w:p w14:paraId="42195340">
            <w:pPr>
              <w:pStyle w:val="168"/>
              <w:rPr>
                <w:rFonts w:ascii="仿宋" w:hAnsi="仿宋" w:eastAsia="仿宋" w:cs="微软雅黑"/>
                <w:sz w:val="24"/>
                <w:szCs w:val="24"/>
              </w:rPr>
            </w:pPr>
            <w:r>
              <w:rPr>
                <w:rFonts w:hint="eastAsia" w:ascii="仿宋" w:hAnsi="仿宋" w:eastAsia="仿宋"/>
                <w:sz w:val="24"/>
                <w:szCs w:val="24"/>
              </w:rPr>
              <w:t>施工内容</w:t>
            </w:r>
          </w:p>
        </w:tc>
        <w:tc>
          <w:tcPr>
            <w:tcW w:w="1549" w:type="dxa"/>
            <w:vMerge w:val="restart"/>
            <w:tcBorders>
              <w:top w:val="double" w:color="auto" w:sz="4" w:space="0"/>
            </w:tcBorders>
            <w:vAlign w:val="center"/>
          </w:tcPr>
          <w:p w14:paraId="609B85A8">
            <w:pPr>
              <w:pStyle w:val="168"/>
              <w:rPr>
                <w:rFonts w:ascii="仿宋" w:hAnsi="仿宋" w:eastAsia="仿宋"/>
                <w:sz w:val="24"/>
                <w:szCs w:val="24"/>
              </w:rPr>
            </w:pPr>
            <w:r>
              <w:rPr>
                <w:rFonts w:hint="eastAsia" w:ascii="仿宋" w:hAnsi="仿宋" w:eastAsia="仿宋"/>
                <w:sz w:val="24"/>
                <w:szCs w:val="24"/>
              </w:rPr>
              <w:t>潜在的事故类型及危害</w:t>
            </w:r>
          </w:p>
        </w:tc>
        <w:tc>
          <w:tcPr>
            <w:tcW w:w="3441" w:type="dxa"/>
            <w:gridSpan w:val="4"/>
            <w:tcBorders>
              <w:top w:val="double" w:color="auto" w:sz="4" w:space="0"/>
            </w:tcBorders>
            <w:vAlign w:val="center"/>
          </w:tcPr>
          <w:p w14:paraId="49635BD7">
            <w:pPr>
              <w:pStyle w:val="168"/>
              <w:rPr>
                <w:rFonts w:ascii="仿宋" w:hAnsi="仿宋" w:eastAsia="仿宋"/>
                <w:sz w:val="24"/>
                <w:szCs w:val="24"/>
              </w:rPr>
            </w:pPr>
            <w:r>
              <w:rPr>
                <w:rFonts w:hint="eastAsia" w:ascii="仿宋" w:hAnsi="仿宋" w:eastAsia="仿宋"/>
                <w:sz w:val="24"/>
                <w:szCs w:val="24"/>
              </w:rPr>
              <w:t>风险评估</w:t>
            </w:r>
          </w:p>
        </w:tc>
        <w:tc>
          <w:tcPr>
            <w:tcW w:w="1060" w:type="dxa"/>
            <w:vMerge w:val="restart"/>
            <w:tcBorders>
              <w:top w:val="double" w:color="auto" w:sz="4" w:space="0"/>
            </w:tcBorders>
            <w:vAlign w:val="center"/>
          </w:tcPr>
          <w:p w14:paraId="03C730D5">
            <w:pPr>
              <w:pStyle w:val="168"/>
              <w:rPr>
                <w:rFonts w:ascii="仿宋" w:hAnsi="仿宋" w:eastAsia="仿宋"/>
                <w:sz w:val="24"/>
                <w:szCs w:val="24"/>
              </w:rPr>
            </w:pPr>
            <w:r>
              <w:rPr>
                <w:rFonts w:hint="eastAsia" w:ascii="仿宋" w:hAnsi="仿宋" w:eastAsia="仿宋"/>
                <w:sz w:val="24"/>
                <w:szCs w:val="24"/>
              </w:rPr>
              <w:t>风险等级</w:t>
            </w:r>
          </w:p>
        </w:tc>
      </w:tr>
      <w:tr w14:paraId="71CB44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715DC5B3">
            <w:pPr>
              <w:pStyle w:val="168"/>
              <w:rPr>
                <w:rFonts w:ascii="仿宋" w:hAnsi="仿宋" w:eastAsia="仿宋"/>
                <w:sz w:val="24"/>
                <w:szCs w:val="24"/>
              </w:rPr>
            </w:pPr>
          </w:p>
        </w:tc>
        <w:tc>
          <w:tcPr>
            <w:tcW w:w="2440" w:type="dxa"/>
            <w:vMerge w:val="continue"/>
            <w:vAlign w:val="center"/>
          </w:tcPr>
          <w:p w14:paraId="35765B50">
            <w:pPr>
              <w:pStyle w:val="168"/>
              <w:rPr>
                <w:rFonts w:ascii="仿宋" w:hAnsi="仿宋" w:eastAsia="仿宋"/>
                <w:sz w:val="24"/>
                <w:szCs w:val="24"/>
              </w:rPr>
            </w:pPr>
          </w:p>
        </w:tc>
        <w:tc>
          <w:tcPr>
            <w:tcW w:w="1549" w:type="dxa"/>
            <w:vMerge w:val="continue"/>
            <w:vAlign w:val="center"/>
          </w:tcPr>
          <w:p w14:paraId="1899EC7F">
            <w:pPr>
              <w:pStyle w:val="168"/>
              <w:rPr>
                <w:rFonts w:ascii="仿宋" w:hAnsi="仿宋" w:eastAsia="仿宋"/>
                <w:sz w:val="24"/>
                <w:szCs w:val="24"/>
              </w:rPr>
            </w:pPr>
          </w:p>
        </w:tc>
        <w:tc>
          <w:tcPr>
            <w:tcW w:w="657" w:type="dxa"/>
            <w:vAlign w:val="center"/>
          </w:tcPr>
          <w:p w14:paraId="64129535">
            <w:pPr>
              <w:pStyle w:val="168"/>
              <w:rPr>
                <w:rFonts w:ascii="仿宋" w:hAnsi="仿宋" w:eastAsia="仿宋"/>
                <w:sz w:val="24"/>
                <w:szCs w:val="24"/>
              </w:rPr>
            </w:pPr>
            <w:r>
              <w:rPr>
                <w:rFonts w:ascii="仿宋" w:hAnsi="仿宋" w:eastAsia="仿宋"/>
                <w:sz w:val="24"/>
                <w:szCs w:val="24"/>
              </w:rPr>
              <w:t>L</w:t>
            </w:r>
          </w:p>
        </w:tc>
        <w:tc>
          <w:tcPr>
            <w:tcW w:w="705" w:type="dxa"/>
            <w:vAlign w:val="center"/>
          </w:tcPr>
          <w:p w14:paraId="37F300A0">
            <w:pPr>
              <w:pStyle w:val="168"/>
              <w:rPr>
                <w:rFonts w:ascii="仿宋" w:hAnsi="仿宋" w:eastAsia="仿宋"/>
                <w:sz w:val="24"/>
                <w:szCs w:val="24"/>
              </w:rPr>
            </w:pPr>
            <w:r>
              <w:rPr>
                <w:rFonts w:ascii="仿宋" w:hAnsi="仿宋" w:eastAsia="仿宋"/>
                <w:sz w:val="24"/>
                <w:szCs w:val="24"/>
              </w:rPr>
              <w:t>E</w:t>
            </w:r>
          </w:p>
        </w:tc>
        <w:tc>
          <w:tcPr>
            <w:tcW w:w="705" w:type="dxa"/>
            <w:vAlign w:val="center"/>
          </w:tcPr>
          <w:p w14:paraId="006BC2F6">
            <w:pPr>
              <w:pStyle w:val="168"/>
              <w:rPr>
                <w:rFonts w:ascii="仿宋" w:hAnsi="仿宋" w:eastAsia="仿宋"/>
                <w:sz w:val="24"/>
                <w:szCs w:val="24"/>
              </w:rPr>
            </w:pPr>
            <w:r>
              <w:rPr>
                <w:rFonts w:ascii="仿宋" w:hAnsi="仿宋" w:eastAsia="仿宋"/>
                <w:sz w:val="24"/>
                <w:szCs w:val="24"/>
              </w:rPr>
              <w:t>C</w:t>
            </w:r>
          </w:p>
        </w:tc>
        <w:tc>
          <w:tcPr>
            <w:tcW w:w="1374" w:type="dxa"/>
            <w:vAlign w:val="center"/>
          </w:tcPr>
          <w:p w14:paraId="4122F9C2">
            <w:pPr>
              <w:pStyle w:val="168"/>
              <w:rPr>
                <w:rFonts w:ascii="仿宋" w:hAnsi="仿宋" w:eastAsia="仿宋"/>
                <w:sz w:val="24"/>
                <w:szCs w:val="24"/>
              </w:rPr>
            </w:pPr>
            <w:r>
              <w:rPr>
                <w:rFonts w:ascii="仿宋" w:hAnsi="仿宋" w:eastAsia="仿宋"/>
                <w:sz w:val="24"/>
                <w:szCs w:val="24"/>
              </w:rPr>
              <w:t>D=LEC</w:t>
            </w:r>
          </w:p>
        </w:tc>
        <w:tc>
          <w:tcPr>
            <w:tcW w:w="1060" w:type="dxa"/>
            <w:vMerge w:val="continue"/>
            <w:vAlign w:val="center"/>
          </w:tcPr>
          <w:p w14:paraId="75D46FA0">
            <w:pPr>
              <w:pStyle w:val="168"/>
              <w:rPr>
                <w:rFonts w:ascii="仿宋" w:hAnsi="仿宋" w:eastAsia="仿宋"/>
                <w:sz w:val="24"/>
                <w:szCs w:val="24"/>
              </w:rPr>
            </w:pPr>
          </w:p>
        </w:tc>
      </w:tr>
      <w:tr w14:paraId="3C8D02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1E1D8FF4">
            <w:pPr>
              <w:pStyle w:val="168"/>
              <w:rPr>
                <w:rFonts w:ascii="仿宋" w:hAnsi="仿宋" w:eastAsia="仿宋"/>
                <w:sz w:val="24"/>
                <w:szCs w:val="24"/>
              </w:rPr>
            </w:pPr>
            <w:r>
              <w:rPr>
                <w:rFonts w:ascii="仿宋" w:hAnsi="仿宋" w:eastAsia="仿宋"/>
                <w:sz w:val="24"/>
                <w:szCs w:val="24"/>
              </w:rPr>
              <w:t>1</w:t>
            </w:r>
          </w:p>
        </w:tc>
        <w:tc>
          <w:tcPr>
            <w:tcW w:w="2440" w:type="dxa"/>
            <w:vMerge w:val="restart"/>
            <w:vAlign w:val="center"/>
          </w:tcPr>
          <w:p w14:paraId="6F2849FF">
            <w:pPr>
              <w:pStyle w:val="168"/>
              <w:rPr>
                <w:rFonts w:ascii="仿宋" w:hAnsi="仿宋" w:eastAsia="仿宋"/>
                <w:sz w:val="24"/>
                <w:szCs w:val="24"/>
              </w:rPr>
            </w:pPr>
            <w:r>
              <w:rPr>
                <w:rFonts w:hint="eastAsia" w:ascii="仿宋" w:hAnsi="仿宋" w:eastAsia="仿宋"/>
                <w:sz w:val="24"/>
                <w:szCs w:val="24"/>
              </w:rPr>
              <w:t>塔吊安装与拆除</w:t>
            </w:r>
          </w:p>
        </w:tc>
        <w:tc>
          <w:tcPr>
            <w:tcW w:w="1549" w:type="dxa"/>
            <w:vAlign w:val="center"/>
          </w:tcPr>
          <w:p w14:paraId="77ABAAFA">
            <w:pPr>
              <w:pStyle w:val="168"/>
              <w:jc w:val="left"/>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、坍塌</w:t>
            </w:r>
          </w:p>
        </w:tc>
        <w:tc>
          <w:tcPr>
            <w:tcW w:w="657" w:type="dxa"/>
            <w:vAlign w:val="center"/>
          </w:tcPr>
          <w:p w14:paraId="0FCB3607">
            <w:pPr>
              <w:pStyle w:val="168"/>
              <w:rPr>
                <w:rFonts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01E4721B">
            <w:pPr>
              <w:pStyle w:val="168"/>
              <w:rPr>
                <w:rFonts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33FA14D4">
            <w:pPr>
              <w:pStyle w:val="168"/>
              <w:rPr>
                <w:rFonts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1BFDEA81">
            <w:pPr>
              <w:pStyle w:val="168"/>
              <w:rPr>
                <w:rFonts w:ascii="仿宋" w:hAnsi="仿宋" w:eastAsia="仿宋"/>
                <w:color w:val="000000"/>
                <w:sz w:val="24"/>
                <w:szCs w:val="24"/>
              </w:rPr>
            </w:pPr>
            <w:r>
              <w:rPr>
                <w:rFonts w:hint="eastAsia" w:ascii="仿宋" w:hAnsi="仿宋" w:eastAsia="仿宋"/>
                <w:color w:val="000000"/>
                <w:sz w:val="24"/>
                <w:szCs w:val="24"/>
              </w:rPr>
              <w:t>90</w:t>
            </w:r>
          </w:p>
        </w:tc>
        <w:tc>
          <w:tcPr>
            <w:tcW w:w="1060" w:type="dxa"/>
            <w:vAlign w:val="center"/>
          </w:tcPr>
          <w:p w14:paraId="771A070A">
            <w:pPr>
              <w:pStyle w:val="168"/>
              <w:rPr>
                <w:rFonts w:ascii="仿宋" w:hAnsi="仿宋" w:eastAsia="仿宋"/>
                <w:color w:val="000000"/>
                <w:sz w:val="24"/>
                <w:szCs w:val="24"/>
              </w:rPr>
            </w:pPr>
            <w:r>
              <w:rPr>
                <w:rFonts w:ascii="仿宋" w:hAnsi="仿宋" w:eastAsia="仿宋"/>
                <w:color w:val="000000"/>
                <w:sz w:val="24"/>
                <w:szCs w:val="24"/>
              </w:rPr>
              <w:t>3</w:t>
            </w:r>
          </w:p>
        </w:tc>
      </w:tr>
      <w:tr w14:paraId="3A02AC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08B7B326">
            <w:pPr>
              <w:pStyle w:val="168"/>
              <w:rPr>
                <w:rFonts w:ascii="仿宋" w:hAnsi="仿宋" w:eastAsia="仿宋"/>
                <w:sz w:val="24"/>
                <w:szCs w:val="24"/>
              </w:rPr>
            </w:pPr>
            <w:r>
              <w:rPr>
                <w:rFonts w:ascii="仿宋" w:hAnsi="仿宋" w:eastAsia="仿宋"/>
                <w:sz w:val="24"/>
                <w:szCs w:val="24"/>
              </w:rPr>
              <w:t>2</w:t>
            </w:r>
          </w:p>
        </w:tc>
        <w:tc>
          <w:tcPr>
            <w:tcW w:w="2440" w:type="dxa"/>
            <w:vMerge w:val="continue"/>
            <w:vAlign w:val="center"/>
          </w:tcPr>
          <w:p w14:paraId="0A605E1F">
            <w:pPr>
              <w:pStyle w:val="168"/>
              <w:rPr>
                <w:rFonts w:ascii="仿宋" w:hAnsi="仿宋" w:eastAsia="仿宋"/>
                <w:sz w:val="24"/>
                <w:szCs w:val="24"/>
              </w:rPr>
            </w:pPr>
          </w:p>
        </w:tc>
        <w:tc>
          <w:tcPr>
            <w:tcW w:w="1549" w:type="dxa"/>
            <w:vAlign w:val="center"/>
          </w:tcPr>
          <w:p w14:paraId="2E079046">
            <w:pPr>
              <w:pStyle w:val="168"/>
              <w:jc w:val="left"/>
              <w:rPr>
                <w:rFonts w:ascii="仿宋" w:hAnsi="仿宋" w:eastAsia="仿宋"/>
                <w:sz w:val="24"/>
                <w:szCs w:val="24"/>
              </w:rPr>
            </w:pPr>
            <w:r>
              <w:rPr>
                <w:rFonts w:ascii="仿宋" w:hAnsi="仿宋" w:eastAsia="仿宋"/>
                <w:sz w:val="24"/>
                <w:szCs w:val="24"/>
              </w:rPr>
              <w:t>2</w:t>
            </w:r>
            <w:r>
              <w:rPr>
                <w:rFonts w:hint="eastAsia" w:ascii="仿宋" w:hAnsi="仿宋" w:eastAsia="仿宋"/>
                <w:sz w:val="24"/>
                <w:szCs w:val="24"/>
              </w:rPr>
              <w:t>、起重伤害</w:t>
            </w:r>
          </w:p>
        </w:tc>
        <w:tc>
          <w:tcPr>
            <w:tcW w:w="657" w:type="dxa"/>
            <w:vAlign w:val="center"/>
          </w:tcPr>
          <w:p w14:paraId="73368C11">
            <w:pPr>
              <w:pStyle w:val="168"/>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0EA862B0">
            <w:pPr>
              <w:pStyle w:val="168"/>
              <w:rPr>
                <w:rFonts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6CDEACD0">
            <w:pPr>
              <w:pStyle w:val="168"/>
              <w:rPr>
                <w:rFonts w:ascii="仿宋" w:hAnsi="仿宋" w:eastAsia="仿宋"/>
                <w:color w:val="000000"/>
                <w:sz w:val="24"/>
                <w:szCs w:val="24"/>
              </w:rPr>
            </w:pPr>
            <w:r>
              <w:rPr>
                <w:rFonts w:ascii="仿宋" w:hAnsi="仿宋" w:eastAsia="仿宋"/>
                <w:color w:val="000000"/>
                <w:sz w:val="24"/>
                <w:szCs w:val="24"/>
              </w:rPr>
              <w:t>7</w:t>
            </w:r>
          </w:p>
        </w:tc>
        <w:tc>
          <w:tcPr>
            <w:tcW w:w="1374" w:type="dxa"/>
            <w:vAlign w:val="center"/>
          </w:tcPr>
          <w:p w14:paraId="35988E37">
            <w:pPr>
              <w:pStyle w:val="168"/>
              <w:rPr>
                <w:rFonts w:ascii="仿宋" w:hAnsi="仿宋" w:eastAsia="仿宋"/>
                <w:color w:val="000000"/>
                <w:sz w:val="24"/>
                <w:szCs w:val="24"/>
              </w:rPr>
            </w:pPr>
            <w:r>
              <w:rPr>
                <w:rFonts w:ascii="仿宋" w:hAnsi="仿宋" w:eastAsia="仿宋"/>
                <w:color w:val="000000"/>
                <w:sz w:val="24"/>
                <w:szCs w:val="24"/>
              </w:rPr>
              <w:t>126</w:t>
            </w:r>
          </w:p>
        </w:tc>
        <w:tc>
          <w:tcPr>
            <w:tcW w:w="1060" w:type="dxa"/>
            <w:vAlign w:val="center"/>
          </w:tcPr>
          <w:p w14:paraId="3894A820">
            <w:pPr>
              <w:pStyle w:val="168"/>
              <w:rPr>
                <w:rFonts w:ascii="仿宋" w:hAnsi="仿宋" w:eastAsia="仿宋"/>
                <w:color w:val="000000"/>
                <w:sz w:val="24"/>
                <w:szCs w:val="24"/>
              </w:rPr>
            </w:pPr>
            <w:r>
              <w:rPr>
                <w:rFonts w:ascii="仿宋" w:hAnsi="仿宋" w:eastAsia="仿宋"/>
                <w:color w:val="000000"/>
                <w:sz w:val="24"/>
                <w:szCs w:val="24"/>
              </w:rPr>
              <w:t>3</w:t>
            </w:r>
          </w:p>
        </w:tc>
      </w:tr>
      <w:tr w14:paraId="6F502E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13ABA112">
            <w:pPr>
              <w:pStyle w:val="168"/>
              <w:rPr>
                <w:rFonts w:ascii="仿宋" w:hAnsi="仿宋" w:eastAsia="仿宋"/>
                <w:sz w:val="24"/>
                <w:szCs w:val="24"/>
              </w:rPr>
            </w:pPr>
            <w:r>
              <w:rPr>
                <w:rFonts w:ascii="仿宋" w:hAnsi="仿宋" w:eastAsia="仿宋"/>
                <w:sz w:val="24"/>
                <w:szCs w:val="24"/>
              </w:rPr>
              <w:t>3</w:t>
            </w:r>
          </w:p>
        </w:tc>
        <w:tc>
          <w:tcPr>
            <w:tcW w:w="2440" w:type="dxa"/>
            <w:vMerge w:val="continue"/>
            <w:vAlign w:val="center"/>
          </w:tcPr>
          <w:p w14:paraId="3A4EE14B">
            <w:pPr>
              <w:pStyle w:val="168"/>
              <w:rPr>
                <w:rFonts w:ascii="仿宋" w:hAnsi="仿宋" w:eastAsia="仿宋"/>
                <w:sz w:val="24"/>
                <w:szCs w:val="24"/>
              </w:rPr>
            </w:pPr>
          </w:p>
        </w:tc>
        <w:tc>
          <w:tcPr>
            <w:tcW w:w="1549" w:type="dxa"/>
            <w:vAlign w:val="center"/>
          </w:tcPr>
          <w:p w14:paraId="7F25C519">
            <w:pPr>
              <w:pStyle w:val="168"/>
              <w:jc w:val="left"/>
              <w:rPr>
                <w:rFonts w:ascii="仿宋" w:hAnsi="仿宋" w:eastAsia="仿宋"/>
                <w:sz w:val="24"/>
                <w:szCs w:val="24"/>
              </w:rPr>
            </w:pPr>
            <w:r>
              <w:rPr>
                <w:rFonts w:ascii="仿宋" w:hAnsi="仿宋" w:eastAsia="仿宋"/>
                <w:sz w:val="24"/>
                <w:szCs w:val="24"/>
              </w:rPr>
              <w:t>3</w:t>
            </w:r>
            <w:r>
              <w:rPr>
                <w:rFonts w:hint="eastAsia" w:ascii="仿宋" w:hAnsi="仿宋" w:eastAsia="仿宋"/>
                <w:sz w:val="24"/>
                <w:szCs w:val="24"/>
              </w:rPr>
              <w:t>、物体打击</w:t>
            </w:r>
          </w:p>
        </w:tc>
        <w:tc>
          <w:tcPr>
            <w:tcW w:w="657" w:type="dxa"/>
            <w:vAlign w:val="center"/>
          </w:tcPr>
          <w:p w14:paraId="67073B87">
            <w:pPr>
              <w:pStyle w:val="168"/>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1B83962B">
            <w:pPr>
              <w:pStyle w:val="168"/>
              <w:rPr>
                <w:rFonts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2224A738">
            <w:pPr>
              <w:pStyle w:val="168"/>
              <w:rPr>
                <w:rFonts w:ascii="仿宋" w:hAnsi="仿宋" w:eastAsia="仿宋"/>
                <w:color w:val="000000"/>
                <w:sz w:val="24"/>
                <w:szCs w:val="24"/>
              </w:rPr>
            </w:pPr>
            <w:r>
              <w:rPr>
                <w:rFonts w:ascii="仿宋" w:hAnsi="仿宋" w:eastAsia="仿宋"/>
                <w:color w:val="000000"/>
                <w:sz w:val="24"/>
                <w:szCs w:val="24"/>
              </w:rPr>
              <w:t>3</w:t>
            </w:r>
          </w:p>
        </w:tc>
        <w:tc>
          <w:tcPr>
            <w:tcW w:w="1374" w:type="dxa"/>
            <w:vAlign w:val="center"/>
          </w:tcPr>
          <w:p w14:paraId="732FE0A3">
            <w:pPr>
              <w:pStyle w:val="168"/>
              <w:rPr>
                <w:rFonts w:ascii="仿宋" w:hAnsi="仿宋" w:eastAsia="仿宋"/>
                <w:color w:val="000000"/>
                <w:sz w:val="24"/>
                <w:szCs w:val="24"/>
              </w:rPr>
            </w:pPr>
            <w:r>
              <w:rPr>
                <w:rFonts w:ascii="仿宋" w:hAnsi="仿宋" w:eastAsia="仿宋"/>
                <w:color w:val="000000"/>
                <w:sz w:val="24"/>
                <w:szCs w:val="24"/>
              </w:rPr>
              <w:t>54</w:t>
            </w:r>
          </w:p>
        </w:tc>
        <w:tc>
          <w:tcPr>
            <w:tcW w:w="1060" w:type="dxa"/>
            <w:vAlign w:val="center"/>
          </w:tcPr>
          <w:p w14:paraId="0EC9D07E">
            <w:pPr>
              <w:pStyle w:val="168"/>
              <w:rPr>
                <w:rFonts w:ascii="仿宋" w:hAnsi="仿宋" w:eastAsia="仿宋"/>
                <w:color w:val="000000"/>
                <w:sz w:val="24"/>
                <w:szCs w:val="24"/>
              </w:rPr>
            </w:pPr>
            <w:r>
              <w:rPr>
                <w:rFonts w:ascii="仿宋" w:hAnsi="仿宋" w:eastAsia="仿宋"/>
                <w:color w:val="000000"/>
                <w:sz w:val="24"/>
                <w:szCs w:val="24"/>
              </w:rPr>
              <w:t>2</w:t>
            </w:r>
          </w:p>
        </w:tc>
      </w:tr>
      <w:tr w14:paraId="4BA6C8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720ACA66">
            <w:pPr>
              <w:pStyle w:val="168"/>
              <w:rPr>
                <w:rFonts w:ascii="仿宋" w:hAnsi="仿宋" w:eastAsia="仿宋"/>
                <w:sz w:val="24"/>
                <w:szCs w:val="24"/>
              </w:rPr>
            </w:pPr>
            <w:r>
              <w:rPr>
                <w:rFonts w:ascii="仿宋" w:hAnsi="仿宋" w:eastAsia="仿宋"/>
                <w:sz w:val="24"/>
                <w:szCs w:val="24"/>
              </w:rPr>
              <w:t>4</w:t>
            </w:r>
          </w:p>
        </w:tc>
        <w:tc>
          <w:tcPr>
            <w:tcW w:w="2440" w:type="dxa"/>
            <w:vMerge w:val="continue"/>
            <w:vAlign w:val="center"/>
          </w:tcPr>
          <w:p w14:paraId="2303AF28">
            <w:pPr>
              <w:pStyle w:val="168"/>
              <w:rPr>
                <w:rFonts w:ascii="仿宋" w:hAnsi="仿宋" w:eastAsia="仿宋"/>
                <w:sz w:val="24"/>
                <w:szCs w:val="24"/>
              </w:rPr>
            </w:pPr>
          </w:p>
        </w:tc>
        <w:tc>
          <w:tcPr>
            <w:tcW w:w="1549" w:type="dxa"/>
            <w:vAlign w:val="center"/>
          </w:tcPr>
          <w:p w14:paraId="5F634DFF">
            <w:pPr>
              <w:pStyle w:val="168"/>
              <w:jc w:val="left"/>
              <w:rPr>
                <w:rFonts w:ascii="仿宋" w:hAnsi="仿宋" w:eastAsia="仿宋"/>
                <w:sz w:val="24"/>
                <w:szCs w:val="24"/>
              </w:rPr>
            </w:pPr>
            <w:r>
              <w:rPr>
                <w:rFonts w:ascii="仿宋" w:hAnsi="仿宋" w:eastAsia="仿宋"/>
                <w:sz w:val="24"/>
                <w:szCs w:val="24"/>
              </w:rPr>
              <w:t>4</w:t>
            </w:r>
            <w:r>
              <w:rPr>
                <w:rFonts w:hint="eastAsia" w:ascii="仿宋" w:hAnsi="仿宋" w:eastAsia="仿宋"/>
                <w:sz w:val="24"/>
                <w:szCs w:val="24"/>
              </w:rPr>
              <w:t>、高处坠落</w:t>
            </w:r>
          </w:p>
        </w:tc>
        <w:tc>
          <w:tcPr>
            <w:tcW w:w="657" w:type="dxa"/>
            <w:vAlign w:val="center"/>
          </w:tcPr>
          <w:p w14:paraId="7FB41FE0">
            <w:pPr>
              <w:pStyle w:val="168"/>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3C37D853">
            <w:pPr>
              <w:pStyle w:val="168"/>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4572BD0C">
            <w:pPr>
              <w:pStyle w:val="168"/>
              <w:rPr>
                <w:rFonts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5DCB477B">
            <w:pPr>
              <w:pStyle w:val="168"/>
              <w:rPr>
                <w:rFonts w:ascii="仿宋" w:hAnsi="仿宋" w:eastAsia="仿宋"/>
                <w:color w:val="000000"/>
                <w:sz w:val="24"/>
                <w:szCs w:val="24"/>
              </w:rPr>
            </w:pPr>
            <w:r>
              <w:rPr>
                <w:rFonts w:ascii="仿宋" w:hAnsi="仿宋" w:eastAsia="仿宋"/>
                <w:color w:val="000000"/>
                <w:sz w:val="24"/>
                <w:szCs w:val="24"/>
              </w:rPr>
              <w:t>135</w:t>
            </w:r>
          </w:p>
        </w:tc>
        <w:tc>
          <w:tcPr>
            <w:tcW w:w="1060" w:type="dxa"/>
            <w:vAlign w:val="center"/>
          </w:tcPr>
          <w:p w14:paraId="5A821685">
            <w:pPr>
              <w:pStyle w:val="168"/>
              <w:rPr>
                <w:rFonts w:ascii="仿宋" w:hAnsi="仿宋" w:eastAsia="仿宋"/>
                <w:color w:val="000000"/>
                <w:sz w:val="24"/>
                <w:szCs w:val="24"/>
              </w:rPr>
            </w:pPr>
            <w:r>
              <w:rPr>
                <w:rFonts w:ascii="仿宋" w:hAnsi="仿宋" w:eastAsia="仿宋"/>
                <w:color w:val="000000"/>
                <w:sz w:val="24"/>
                <w:szCs w:val="24"/>
              </w:rPr>
              <w:t>3</w:t>
            </w:r>
          </w:p>
        </w:tc>
      </w:tr>
      <w:tr w14:paraId="761B67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585A5AB6">
            <w:pPr>
              <w:pStyle w:val="168"/>
              <w:rPr>
                <w:rFonts w:ascii="仿宋" w:hAnsi="仿宋" w:eastAsia="仿宋"/>
                <w:sz w:val="24"/>
                <w:szCs w:val="24"/>
              </w:rPr>
            </w:pPr>
            <w:r>
              <w:rPr>
                <w:rFonts w:ascii="仿宋" w:hAnsi="仿宋" w:eastAsia="仿宋"/>
                <w:sz w:val="24"/>
                <w:szCs w:val="24"/>
              </w:rPr>
              <w:t>5</w:t>
            </w:r>
          </w:p>
        </w:tc>
        <w:tc>
          <w:tcPr>
            <w:tcW w:w="2440" w:type="dxa"/>
            <w:vMerge w:val="continue"/>
            <w:vAlign w:val="center"/>
          </w:tcPr>
          <w:p w14:paraId="1D56D555">
            <w:pPr>
              <w:pStyle w:val="168"/>
              <w:rPr>
                <w:rFonts w:ascii="仿宋" w:hAnsi="仿宋" w:eastAsia="仿宋"/>
                <w:sz w:val="24"/>
                <w:szCs w:val="24"/>
              </w:rPr>
            </w:pPr>
          </w:p>
        </w:tc>
        <w:tc>
          <w:tcPr>
            <w:tcW w:w="1549" w:type="dxa"/>
            <w:vAlign w:val="center"/>
          </w:tcPr>
          <w:p w14:paraId="2742CFDC">
            <w:pPr>
              <w:pStyle w:val="168"/>
              <w:jc w:val="left"/>
              <w:rPr>
                <w:rFonts w:ascii="仿宋" w:hAnsi="仿宋" w:eastAsia="仿宋"/>
                <w:sz w:val="24"/>
                <w:szCs w:val="24"/>
              </w:rPr>
            </w:pPr>
            <w:r>
              <w:rPr>
                <w:rFonts w:ascii="仿宋" w:hAnsi="仿宋" w:eastAsia="仿宋"/>
                <w:sz w:val="24"/>
                <w:szCs w:val="24"/>
              </w:rPr>
              <w:t>5</w:t>
            </w:r>
            <w:r>
              <w:rPr>
                <w:rFonts w:hint="eastAsia" w:ascii="仿宋" w:hAnsi="仿宋" w:eastAsia="仿宋"/>
                <w:sz w:val="24"/>
                <w:szCs w:val="24"/>
              </w:rPr>
              <w:t>、车辆伤害</w:t>
            </w:r>
          </w:p>
        </w:tc>
        <w:tc>
          <w:tcPr>
            <w:tcW w:w="657" w:type="dxa"/>
            <w:vAlign w:val="center"/>
          </w:tcPr>
          <w:p w14:paraId="492CE451">
            <w:pPr>
              <w:pStyle w:val="168"/>
              <w:rPr>
                <w:rFonts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5A3FD682">
            <w:pPr>
              <w:pStyle w:val="168"/>
              <w:rPr>
                <w:rFonts w:ascii="仿宋" w:hAnsi="仿宋" w:eastAsia="仿宋"/>
                <w:color w:val="000000"/>
                <w:sz w:val="24"/>
                <w:szCs w:val="24"/>
              </w:rPr>
            </w:pPr>
            <w:r>
              <w:rPr>
                <w:rFonts w:ascii="仿宋" w:hAnsi="仿宋" w:eastAsia="仿宋"/>
                <w:color w:val="000000"/>
                <w:sz w:val="24"/>
                <w:szCs w:val="24"/>
              </w:rPr>
              <w:t>2</w:t>
            </w:r>
          </w:p>
        </w:tc>
        <w:tc>
          <w:tcPr>
            <w:tcW w:w="705" w:type="dxa"/>
            <w:vAlign w:val="center"/>
          </w:tcPr>
          <w:p w14:paraId="5E152652">
            <w:pPr>
              <w:pStyle w:val="168"/>
              <w:rPr>
                <w:rFonts w:ascii="仿宋" w:hAnsi="仿宋" w:eastAsia="仿宋"/>
                <w:color w:val="000000"/>
                <w:sz w:val="24"/>
                <w:szCs w:val="24"/>
              </w:rPr>
            </w:pPr>
            <w:r>
              <w:rPr>
                <w:rFonts w:ascii="仿宋" w:hAnsi="仿宋" w:eastAsia="仿宋"/>
                <w:color w:val="000000"/>
                <w:sz w:val="24"/>
                <w:szCs w:val="24"/>
              </w:rPr>
              <w:t>7</w:t>
            </w:r>
          </w:p>
        </w:tc>
        <w:tc>
          <w:tcPr>
            <w:tcW w:w="1374" w:type="dxa"/>
            <w:vAlign w:val="center"/>
          </w:tcPr>
          <w:p w14:paraId="6C6C039C">
            <w:pPr>
              <w:pStyle w:val="168"/>
              <w:rPr>
                <w:rFonts w:ascii="仿宋" w:hAnsi="仿宋" w:eastAsia="仿宋"/>
                <w:color w:val="000000"/>
                <w:sz w:val="24"/>
                <w:szCs w:val="24"/>
              </w:rPr>
            </w:pPr>
            <w:r>
              <w:rPr>
                <w:rFonts w:ascii="仿宋" w:hAnsi="仿宋" w:eastAsia="仿宋"/>
                <w:color w:val="000000"/>
                <w:sz w:val="24"/>
                <w:szCs w:val="24"/>
              </w:rPr>
              <w:t>14</w:t>
            </w:r>
          </w:p>
        </w:tc>
        <w:tc>
          <w:tcPr>
            <w:tcW w:w="1060" w:type="dxa"/>
            <w:vAlign w:val="center"/>
          </w:tcPr>
          <w:p w14:paraId="06D36020">
            <w:pPr>
              <w:pStyle w:val="168"/>
              <w:rPr>
                <w:rFonts w:ascii="仿宋" w:hAnsi="仿宋" w:eastAsia="仿宋"/>
                <w:color w:val="000000"/>
                <w:sz w:val="24"/>
                <w:szCs w:val="24"/>
              </w:rPr>
            </w:pPr>
            <w:r>
              <w:rPr>
                <w:rFonts w:ascii="仿宋" w:hAnsi="仿宋" w:eastAsia="仿宋"/>
                <w:color w:val="000000"/>
                <w:sz w:val="24"/>
                <w:szCs w:val="24"/>
              </w:rPr>
              <w:t>1</w:t>
            </w:r>
          </w:p>
        </w:tc>
      </w:tr>
      <w:tr w14:paraId="046AD1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1452AC27">
            <w:pPr>
              <w:pStyle w:val="168"/>
              <w:rPr>
                <w:rFonts w:ascii="仿宋" w:hAnsi="仿宋" w:eastAsia="仿宋"/>
                <w:sz w:val="24"/>
                <w:szCs w:val="24"/>
              </w:rPr>
            </w:pPr>
            <w:r>
              <w:rPr>
                <w:rFonts w:ascii="仿宋" w:hAnsi="仿宋" w:eastAsia="仿宋"/>
                <w:sz w:val="24"/>
                <w:szCs w:val="24"/>
              </w:rPr>
              <w:t>6</w:t>
            </w:r>
          </w:p>
        </w:tc>
        <w:tc>
          <w:tcPr>
            <w:tcW w:w="2440" w:type="dxa"/>
            <w:vMerge w:val="continue"/>
            <w:vAlign w:val="center"/>
          </w:tcPr>
          <w:p w14:paraId="42A316A1">
            <w:pPr>
              <w:pStyle w:val="168"/>
              <w:rPr>
                <w:rFonts w:ascii="仿宋" w:hAnsi="仿宋" w:eastAsia="仿宋"/>
                <w:sz w:val="24"/>
                <w:szCs w:val="24"/>
              </w:rPr>
            </w:pPr>
          </w:p>
        </w:tc>
        <w:tc>
          <w:tcPr>
            <w:tcW w:w="1549" w:type="dxa"/>
            <w:vAlign w:val="center"/>
          </w:tcPr>
          <w:p w14:paraId="05A7FCC1">
            <w:pPr>
              <w:pStyle w:val="168"/>
              <w:jc w:val="left"/>
              <w:rPr>
                <w:rFonts w:ascii="仿宋" w:hAnsi="仿宋" w:eastAsia="仿宋"/>
                <w:sz w:val="24"/>
                <w:szCs w:val="24"/>
              </w:rPr>
            </w:pPr>
            <w:r>
              <w:rPr>
                <w:rFonts w:ascii="仿宋" w:hAnsi="仿宋" w:eastAsia="仿宋"/>
                <w:sz w:val="24"/>
                <w:szCs w:val="24"/>
              </w:rPr>
              <w:t>6</w:t>
            </w:r>
            <w:r>
              <w:rPr>
                <w:rFonts w:hint="eastAsia" w:ascii="仿宋" w:hAnsi="仿宋" w:eastAsia="仿宋"/>
                <w:sz w:val="24"/>
                <w:szCs w:val="24"/>
              </w:rPr>
              <w:t>、触电</w:t>
            </w:r>
          </w:p>
        </w:tc>
        <w:tc>
          <w:tcPr>
            <w:tcW w:w="657" w:type="dxa"/>
            <w:vAlign w:val="center"/>
          </w:tcPr>
          <w:p w14:paraId="1898188F">
            <w:pPr>
              <w:pStyle w:val="168"/>
              <w:rPr>
                <w:rFonts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1DF2F261">
            <w:pPr>
              <w:pStyle w:val="168"/>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0C493135">
            <w:pPr>
              <w:pStyle w:val="168"/>
              <w:rPr>
                <w:rFonts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6EF17A0B">
            <w:pPr>
              <w:pStyle w:val="168"/>
              <w:rPr>
                <w:rFonts w:ascii="仿宋" w:hAnsi="仿宋" w:eastAsia="仿宋"/>
                <w:color w:val="000000"/>
                <w:sz w:val="24"/>
                <w:szCs w:val="24"/>
              </w:rPr>
            </w:pPr>
            <w:r>
              <w:rPr>
                <w:rFonts w:ascii="仿宋" w:hAnsi="仿宋" w:eastAsia="仿宋"/>
                <w:color w:val="000000"/>
                <w:sz w:val="24"/>
                <w:szCs w:val="24"/>
              </w:rPr>
              <w:t>45</w:t>
            </w:r>
          </w:p>
        </w:tc>
        <w:tc>
          <w:tcPr>
            <w:tcW w:w="1060" w:type="dxa"/>
            <w:vAlign w:val="center"/>
          </w:tcPr>
          <w:p w14:paraId="40E3F640">
            <w:pPr>
              <w:pStyle w:val="168"/>
              <w:rPr>
                <w:rFonts w:ascii="仿宋" w:hAnsi="仿宋" w:eastAsia="仿宋"/>
                <w:color w:val="000000"/>
                <w:sz w:val="24"/>
                <w:szCs w:val="24"/>
              </w:rPr>
            </w:pPr>
            <w:r>
              <w:rPr>
                <w:rFonts w:ascii="仿宋" w:hAnsi="仿宋" w:eastAsia="仿宋"/>
                <w:color w:val="000000"/>
                <w:sz w:val="24"/>
                <w:szCs w:val="24"/>
              </w:rPr>
              <w:t>2</w:t>
            </w:r>
          </w:p>
        </w:tc>
      </w:tr>
      <w:tr w14:paraId="5AA943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10F932A2">
            <w:pPr>
              <w:pStyle w:val="168"/>
              <w:rPr>
                <w:rFonts w:ascii="仿宋" w:hAnsi="仿宋" w:eastAsia="仿宋"/>
                <w:sz w:val="24"/>
                <w:szCs w:val="24"/>
              </w:rPr>
            </w:pPr>
            <w:r>
              <w:rPr>
                <w:rFonts w:ascii="仿宋" w:hAnsi="仿宋" w:eastAsia="仿宋"/>
                <w:sz w:val="24"/>
                <w:szCs w:val="24"/>
              </w:rPr>
              <w:t>7</w:t>
            </w:r>
          </w:p>
        </w:tc>
        <w:tc>
          <w:tcPr>
            <w:tcW w:w="2440" w:type="dxa"/>
            <w:vMerge w:val="restart"/>
            <w:vAlign w:val="center"/>
          </w:tcPr>
          <w:p w14:paraId="43183137">
            <w:pPr>
              <w:pStyle w:val="168"/>
              <w:rPr>
                <w:rFonts w:ascii="仿宋" w:hAnsi="仿宋" w:eastAsia="仿宋"/>
                <w:sz w:val="24"/>
                <w:szCs w:val="24"/>
              </w:rPr>
            </w:pPr>
            <w:r>
              <w:rPr>
                <w:rFonts w:hint="eastAsia" w:ascii="仿宋" w:hAnsi="仿宋" w:eastAsia="仿宋"/>
                <w:sz w:val="24"/>
                <w:szCs w:val="24"/>
              </w:rPr>
              <w:t>立体交叉作业</w:t>
            </w:r>
          </w:p>
        </w:tc>
        <w:tc>
          <w:tcPr>
            <w:tcW w:w="1549" w:type="dxa"/>
            <w:vAlign w:val="center"/>
          </w:tcPr>
          <w:p w14:paraId="1224E5F2">
            <w:pPr>
              <w:pStyle w:val="168"/>
              <w:jc w:val="left"/>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、物体打击</w:t>
            </w:r>
          </w:p>
        </w:tc>
        <w:tc>
          <w:tcPr>
            <w:tcW w:w="657" w:type="dxa"/>
            <w:vAlign w:val="center"/>
          </w:tcPr>
          <w:p w14:paraId="2C963C06">
            <w:pPr>
              <w:pStyle w:val="168"/>
              <w:rPr>
                <w:rFonts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1A89741F">
            <w:pPr>
              <w:pStyle w:val="168"/>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263876BF">
            <w:pPr>
              <w:pStyle w:val="168"/>
              <w:rPr>
                <w:rFonts w:ascii="仿宋" w:hAnsi="仿宋" w:eastAsia="仿宋"/>
                <w:color w:val="000000"/>
                <w:sz w:val="24"/>
                <w:szCs w:val="24"/>
              </w:rPr>
            </w:pPr>
            <w:r>
              <w:rPr>
                <w:rFonts w:ascii="仿宋" w:hAnsi="仿宋" w:eastAsia="仿宋"/>
                <w:color w:val="000000"/>
                <w:sz w:val="24"/>
                <w:szCs w:val="24"/>
              </w:rPr>
              <w:t>7</w:t>
            </w:r>
          </w:p>
        </w:tc>
        <w:tc>
          <w:tcPr>
            <w:tcW w:w="1374" w:type="dxa"/>
            <w:vAlign w:val="center"/>
          </w:tcPr>
          <w:p w14:paraId="5F303AAD">
            <w:pPr>
              <w:pStyle w:val="168"/>
              <w:rPr>
                <w:rFonts w:ascii="仿宋" w:hAnsi="仿宋" w:eastAsia="仿宋"/>
                <w:color w:val="000000"/>
                <w:sz w:val="24"/>
                <w:szCs w:val="24"/>
              </w:rPr>
            </w:pPr>
            <w:r>
              <w:rPr>
                <w:rFonts w:ascii="仿宋" w:hAnsi="仿宋" w:eastAsia="仿宋"/>
                <w:color w:val="000000"/>
                <w:sz w:val="24"/>
                <w:szCs w:val="24"/>
              </w:rPr>
              <w:t>21</w:t>
            </w:r>
          </w:p>
        </w:tc>
        <w:tc>
          <w:tcPr>
            <w:tcW w:w="1060" w:type="dxa"/>
            <w:vAlign w:val="center"/>
          </w:tcPr>
          <w:p w14:paraId="5847EF04">
            <w:pPr>
              <w:pStyle w:val="168"/>
              <w:rPr>
                <w:rFonts w:ascii="仿宋" w:hAnsi="仿宋" w:eastAsia="仿宋"/>
                <w:color w:val="000000"/>
                <w:sz w:val="24"/>
                <w:szCs w:val="24"/>
              </w:rPr>
            </w:pPr>
            <w:r>
              <w:rPr>
                <w:rFonts w:ascii="仿宋" w:hAnsi="仿宋" w:eastAsia="仿宋"/>
                <w:color w:val="000000"/>
                <w:sz w:val="24"/>
                <w:szCs w:val="24"/>
              </w:rPr>
              <w:t>2</w:t>
            </w:r>
          </w:p>
        </w:tc>
      </w:tr>
      <w:tr w14:paraId="5F0FD6D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2A7EE27B">
            <w:pPr>
              <w:pStyle w:val="168"/>
              <w:rPr>
                <w:rFonts w:ascii="仿宋" w:hAnsi="仿宋" w:eastAsia="仿宋"/>
                <w:sz w:val="24"/>
                <w:szCs w:val="24"/>
              </w:rPr>
            </w:pPr>
            <w:r>
              <w:rPr>
                <w:rFonts w:ascii="仿宋" w:hAnsi="仿宋" w:eastAsia="仿宋"/>
                <w:sz w:val="24"/>
                <w:szCs w:val="24"/>
              </w:rPr>
              <w:t>8</w:t>
            </w:r>
          </w:p>
        </w:tc>
        <w:tc>
          <w:tcPr>
            <w:tcW w:w="2440" w:type="dxa"/>
            <w:vMerge w:val="continue"/>
            <w:vAlign w:val="center"/>
          </w:tcPr>
          <w:p w14:paraId="60C35376">
            <w:pPr>
              <w:pStyle w:val="168"/>
              <w:rPr>
                <w:rFonts w:ascii="仿宋" w:hAnsi="仿宋" w:eastAsia="仿宋"/>
                <w:sz w:val="24"/>
                <w:szCs w:val="24"/>
              </w:rPr>
            </w:pPr>
          </w:p>
        </w:tc>
        <w:tc>
          <w:tcPr>
            <w:tcW w:w="1549" w:type="dxa"/>
            <w:vAlign w:val="center"/>
          </w:tcPr>
          <w:p w14:paraId="4065BA59">
            <w:pPr>
              <w:pStyle w:val="168"/>
              <w:jc w:val="left"/>
              <w:rPr>
                <w:rFonts w:ascii="仿宋" w:hAnsi="仿宋" w:eastAsia="仿宋"/>
                <w:sz w:val="24"/>
                <w:szCs w:val="24"/>
              </w:rPr>
            </w:pPr>
            <w:r>
              <w:rPr>
                <w:rFonts w:ascii="仿宋" w:hAnsi="仿宋" w:eastAsia="仿宋"/>
                <w:sz w:val="24"/>
                <w:szCs w:val="24"/>
              </w:rPr>
              <w:t>2</w:t>
            </w:r>
            <w:r>
              <w:rPr>
                <w:rFonts w:hint="eastAsia" w:ascii="仿宋" w:hAnsi="仿宋" w:eastAsia="仿宋"/>
                <w:sz w:val="24"/>
                <w:szCs w:val="24"/>
              </w:rPr>
              <w:t>、高处坠落</w:t>
            </w:r>
          </w:p>
        </w:tc>
        <w:tc>
          <w:tcPr>
            <w:tcW w:w="657" w:type="dxa"/>
            <w:vAlign w:val="center"/>
          </w:tcPr>
          <w:p w14:paraId="19AAB210">
            <w:pPr>
              <w:pStyle w:val="168"/>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447DDF76">
            <w:pPr>
              <w:pStyle w:val="168"/>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2BF28EEE">
            <w:pPr>
              <w:pStyle w:val="168"/>
              <w:rPr>
                <w:rFonts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13620ADE">
            <w:pPr>
              <w:pStyle w:val="168"/>
              <w:rPr>
                <w:rFonts w:ascii="仿宋" w:hAnsi="仿宋" w:eastAsia="仿宋"/>
                <w:color w:val="000000"/>
                <w:sz w:val="24"/>
                <w:szCs w:val="24"/>
              </w:rPr>
            </w:pPr>
            <w:r>
              <w:rPr>
                <w:rFonts w:ascii="仿宋" w:hAnsi="仿宋" w:eastAsia="仿宋"/>
                <w:color w:val="000000"/>
                <w:sz w:val="24"/>
                <w:szCs w:val="24"/>
              </w:rPr>
              <w:t>135</w:t>
            </w:r>
          </w:p>
        </w:tc>
        <w:tc>
          <w:tcPr>
            <w:tcW w:w="1060" w:type="dxa"/>
            <w:vAlign w:val="center"/>
          </w:tcPr>
          <w:p w14:paraId="3347A849">
            <w:pPr>
              <w:pStyle w:val="168"/>
              <w:rPr>
                <w:rFonts w:ascii="仿宋" w:hAnsi="仿宋" w:eastAsia="仿宋"/>
                <w:color w:val="000000"/>
                <w:sz w:val="24"/>
                <w:szCs w:val="24"/>
              </w:rPr>
            </w:pPr>
            <w:r>
              <w:rPr>
                <w:rFonts w:ascii="仿宋" w:hAnsi="仿宋" w:eastAsia="仿宋"/>
                <w:color w:val="000000"/>
                <w:sz w:val="24"/>
                <w:szCs w:val="24"/>
              </w:rPr>
              <w:t>3</w:t>
            </w:r>
          </w:p>
        </w:tc>
      </w:tr>
      <w:tr w14:paraId="2B4B58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7DB25D55">
            <w:pPr>
              <w:pStyle w:val="168"/>
              <w:rPr>
                <w:rFonts w:ascii="仿宋" w:hAnsi="仿宋" w:eastAsia="仿宋"/>
                <w:sz w:val="24"/>
                <w:szCs w:val="24"/>
              </w:rPr>
            </w:pPr>
            <w:r>
              <w:rPr>
                <w:rFonts w:ascii="仿宋" w:hAnsi="仿宋" w:eastAsia="仿宋"/>
                <w:sz w:val="24"/>
                <w:szCs w:val="24"/>
              </w:rPr>
              <w:t>9</w:t>
            </w:r>
          </w:p>
        </w:tc>
        <w:tc>
          <w:tcPr>
            <w:tcW w:w="2440" w:type="dxa"/>
            <w:vMerge w:val="restart"/>
            <w:vAlign w:val="center"/>
          </w:tcPr>
          <w:p w14:paraId="3EB3748C">
            <w:pPr>
              <w:pStyle w:val="168"/>
              <w:rPr>
                <w:rFonts w:ascii="仿宋" w:hAnsi="仿宋" w:eastAsia="仿宋"/>
                <w:sz w:val="24"/>
                <w:szCs w:val="24"/>
              </w:rPr>
            </w:pPr>
            <w:r>
              <w:rPr>
                <w:rFonts w:hint="eastAsia" w:ascii="仿宋" w:hAnsi="仿宋" w:eastAsia="仿宋"/>
                <w:sz w:val="24"/>
                <w:szCs w:val="24"/>
              </w:rPr>
              <w:t>恶劣天气（雷电、大风、大雨等）</w:t>
            </w:r>
          </w:p>
        </w:tc>
        <w:tc>
          <w:tcPr>
            <w:tcW w:w="1549" w:type="dxa"/>
            <w:vAlign w:val="center"/>
          </w:tcPr>
          <w:p w14:paraId="058B03A4">
            <w:pPr>
              <w:pStyle w:val="168"/>
              <w:jc w:val="left"/>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、起重伤害</w:t>
            </w:r>
          </w:p>
        </w:tc>
        <w:tc>
          <w:tcPr>
            <w:tcW w:w="657" w:type="dxa"/>
            <w:vAlign w:val="center"/>
          </w:tcPr>
          <w:p w14:paraId="411769D1">
            <w:pPr>
              <w:pStyle w:val="168"/>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3A435C74">
            <w:pPr>
              <w:pStyle w:val="168"/>
              <w:rPr>
                <w:rFonts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453EACB3">
            <w:pPr>
              <w:pStyle w:val="168"/>
              <w:rPr>
                <w:rFonts w:ascii="仿宋" w:hAnsi="仿宋" w:eastAsia="仿宋"/>
                <w:color w:val="000000"/>
                <w:sz w:val="24"/>
                <w:szCs w:val="24"/>
              </w:rPr>
            </w:pPr>
            <w:r>
              <w:rPr>
                <w:rFonts w:ascii="仿宋" w:hAnsi="仿宋" w:eastAsia="仿宋"/>
                <w:color w:val="000000"/>
                <w:sz w:val="24"/>
                <w:szCs w:val="24"/>
              </w:rPr>
              <w:t>7</w:t>
            </w:r>
          </w:p>
        </w:tc>
        <w:tc>
          <w:tcPr>
            <w:tcW w:w="1374" w:type="dxa"/>
            <w:vAlign w:val="center"/>
          </w:tcPr>
          <w:p w14:paraId="107431B6">
            <w:pPr>
              <w:pStyle w:val="168"/>
              <w:rPr>
                <w:rFonts w:ascii="仿宋" w:hAnsi="仿宋" w:eastAsia="仿宋"/>
                <w:color w:val="000000"/>
                <w:sz w:val="24"/>
                <w:szCs w:val="24"/>
              </w:rPr>
            </w:pPr>
            <w:r>
              <w:rPr>
                <w:rFonts w:ascii="仿宋" w:hAnsi="仿宋" w:eastAsia="仿宋"/>
                <w:color w:val="000000"/>
                <w:sz w:val="24"/>
                <w:szCs w:val="24"/>
              </w:rPr>
              <w:t>126</w:t>
            </w:r>
          </w:p>
        </w:tc>
        <w:tc>
          <w:tcPr>
            <w:tcW w:w="1060" w:type="dxa"/>
            <w:vAlign w:val="center"/>
          </w:tcPr>
          <w:p w14:paraId="54A3CF0F">
            <w:pPr>
              <w:pStyle w:val="168"/>
              <w:rPr>
                <w:rFonts w:ascii="仿宋" w:hAnsi="仿宋" w:eastAsia="仿宋"/>
                <w:color w:val="000000"/>
                <w:sz w:val="24"/>
                <w:szCs w:val="24"/>
              </w:rPr>
            </w:pPr>
            <w:r>
              <w:rPr>
                <w:rFonts w:ascii="仿宋" w:hAnsi="仿宋" w:eastAsia="仿宋"/>
                <w:color w:val="000000"/>
                <w:sz w:val="24"/>
                <w:szCs w:val="24"/>
              </w:rPr>
              <w:t>3</w:t>
            </w:r>
          </w:p>
        </w:tc>
      </w:tr>
      <w:tr w14:paraId="6FDD283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04866FDE">
            <w:pPr>
              <w:pStyle w:val="168"/>
              <w:rPr>
                <w:rFonts w:ascii="仿宋" w:hAnsi="仿宋" w:eastAsia="仿宋"/>
                <w:sz w:val="24"/>
                <w:szCs w:val="24"/>
              </w:rPr>
            </w:pPr>
            <w:r>
              <w:rPr>
                <w:rFonts w:ascii="仿宋" w:hAnsi="仿宋" w:eastAsia="仿宋"/>
                <w:sz w:val="24"/>
                <w:szCs w:val="24"/>
              </w:rPr>
              <w:t>10</w:t>
            </w:r>
          </w:p>
        </w:tc>
        <w:tc>
          <w:tcPr>
            <w:tcW w:w="2440" w:type="dxa"/>
            <w:vMerge w:val="continue"/>
            <w:vAlign w:val="center"/>
          </w:tcPr>
          <w:p w14:paraId="347E437C">
            <w:pPr>
              <w:pStyle w:val="168"/>
              <w:rPr>
                <w:rFonts w:ascii="仿宋" w:hAnsi="仿宋" w:eastAsia="仿宋"/>
                <w:sz w:val="24"/>
                <w:szCs w:val="24"/>
              </w:rPr>
            </w:pPr>
          </w:p>
        </w:tc>
        <w:tc>
          <w:tcPr>
            <w:tcW w:w="1549" w:type="dxa"/>
            <w:vAlign w:val="center"/>
          </w:tcPr>
          <w:p w14:paraId="6AEFA97C">
            <w:pPr>
              <w:pStyle w:val="168"/>
              <w:jc w:val="left"/>
              <w:rPr>
                <w:rFonts w:ascii="仿宋" w:hAnsi="仿宋" w:eastAsia="仿宋"/>
                <w:sz w:val="24"/>
                <w:szCs w:val="24"/>
              </w:rPr>
            </w:pPr>
            <w:r>
              <w:rPr>
                <w:rFonts w:ascii="仿宋" w:hAnsi="仿宋" w:eastAsia="仿宋"/>
                <w:sz w:val="24"/>
                <w:szCs w:val="24"/>
              </w:rPr>
              <w:t>2</w:t>
            </w:r>
            <w:r>
              <w:rPr>
                <w:rFonts w:hint="eastAsia" w:ascii="仿宋" w:hAnsi="仿宋" w:eastAsia="仿宋"/>
                <w:sz w:val="24"/>
                <w:szCs w:val="24"/>
              </w:rPr>
              <w:t>、物体打击</w:t>
            </w:r>
          </w:p>
        </w:tc>
        <w:tc>
          <w:tcPr>
            <w:tcW w:w="657" w:type="dxa"/>
            <w:vAlign w:val="center"/>
          </w:tcPr>
          <w:p w14:paraId="0745F828">
            <w:pPr>
              <w:pStyle w:val="168"/>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224DBE9F">
            <w:pPr>
              <w:pStyle w:val="168"/>
              <w:rPr>
                <w:rFonts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1B96940F">
            <w:pPr>
              <w:pStyle w:val="168"/>
              <w:rPr>
                <w:rFonts w:ascii="仿宋" w:hAnsi="仿宋" w:eastAsia="仿宋"/>
                <w:color w:val="000000"/>
                <w:sz w:val="24"/>
                <w:szCs w:val="24"/>
              </w:rPr>
            </w:pPr>
            <w:r>
              <w:rPr>
                <w:rFonts w:ascii="仿宋" w:hAnsi="仿宋" w:eastAsia="仿宋"/>
                <w:color w:val="000000"/>
                <w:sz w:val="24"/>
                <w:szCs w:val="24"/>
              </w:rPr>
              <w:t>3</w:t>
            </w:r>
          </w:p>
        </w:tc>
        <w:tc>
          <w:tcPr>
            <w:tcW w:w="1374" w:type="dxa"/>
            <w:vAlign w:val="center"/>
          </w:tcPr>
          <w:p w14:paraId="7ABAC30F">
            <w:pPr>
              <w:pStyle w:val="168"/>
              <w:rPr>
                <w:rFonts w:ascii="仿宋" w:hAnsi="仿宋" w:eastAsia="仿宋"/>
                <w:color w:val="000000"/>
                <w:sz w:val="24"/>
                <w:szCs w:val="24"/>
              </w:rPr>
            </w:pPr>
            <w:r>
              <w:rPr>
                <w:rFonts w:ascii="仿宋" w:hAnsi="仿宋" w:eastAsia="仿宋"/>
                <w:color w:val="000000"/>
                <w:sz w:val="24"/>
                <w:szCs w:val="24"/>
              </w:rPr>
              <w:t>54</w:t>
            </w:r>
          </w:p>
        </w:tc>
        <w:tc>
          <w:tcPr>
            <w:tcW w:w="1060" w:type="dxa"/>
            <w:vAlign w:val="center"/>
          </w:tcPr>
          <w:p w14:paraId="69DA1ED1">
            <w:pPr>
              <w:pStyle w:val="168"/>
              <w:rPr>
                <w:rFonts w:ascii="仿宋" w:hAnsi="仿宋" w:eastAsia="仿宋"/>
                <w:color w:val="000000"/>
                <w:sz w:val="24"/>
                <w:szCs w:val="24"/>
              </w:rPr>
            </w:pPr>
            <w:r>
              <w:rPr>
                <w:rFonts w:ascii="仿宋" w:hAnsi="仿宋" w:eastAsia="仿宋"/>
                <w:color w:val="000000"/>
                <w:sz w:val="24"/>
                <w:szCs w:val="24"/>
              </w:rPr>
              <w:t>2</w:t>
            </w:r>
          </w:p>
        </w:tc>
      </w:tr>
      <w:tr w14:paraId="42BAC4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125DB715">
            <w:pPr>
              <w:pStyle w:val="168"/>
              <w:rPr>
                <w:rFonts w:ascii="仿宋" w:hAnsi="仿宋" w:eastAsia="仿宋"/>
                <w:sz w:val="24"/>
                <w:szCs w:val="24"/>
              </w:rPr>
            </w:pPr>
            <w:r>
              <w:rPr>
                <w:rFonts w:ascii="仿宋" w:hAnsi="仿宋" w:eastAsia="仿宋"/>
                <w:sz w:val="24"/>
                <w:szCs w:val="24"/>
              </w:rPr>
              <w:t>11</w:t>
            </w:r>
          </w:p>
        </w:tc>
        <w:tc>
          <w:tcPr>
            <w:tcW w:w="2440" w:type="dxa"/>
            <w:vMerge w:val="continue"/>
            <w:vAlign w:val="center"/>
          </w:tcPr>
          <w:p w14:paraId="30454B1D">
            <w:pPr>
              <w:pStyle w:val="168"/>
              <w:rPr>
                <w:rFonts w:ascii="仿宋" w:hAnsi="仿宋" w:eastAsia="仿宋"/>
                <w:sz w:val="24"/>
                <w:szCs w:val="24"/>
              </w:rPr>
            </w:pPr>
          </w:p>
        </w:tc>
        <w:tc>
          <w:tcPr>
            <w:tcW w:w="1549" w:type="dxa"/>
            <w:vAlign w:val="center"/>
          </w:tcPr>
          <w:p w14:paraId="6D5F70FF">
            <w:pPr>
              <w:pStyle w:val="168"/>
              <w:jc w:val="left"/>
              <w:rPr>
                <w:rFonts w:ascii="仿宋" w:hAnsi="仿宋" w:eastAsia="仿宋"/>
                <w:sz w:val="24"/>
                <w:szCs w:val="24"/>
              </w:rPr>
            </w:pPr>
            <w:r>
              <w:rPr>
                <w:rFonts w:ascii="仿宋" w:hAnsi="仿宋" w:eastAsia="仿宋"/>
                <w:sz w:val="24"/>
                <w:szCs w:val="24"/>
              </w:rPr>
              <w:t>3</w:t>
            </w:r>
            <w:r>
              <w:rPr>
                <w:rFonts w:hint="eastAsia" w:ascii="仿宋" w:hAnsi="仿宋" w:eastAsia="仿宋"/>
                <w:sz w:val="24"/>
                <w:szCs w:val="24"/>
              </w:rPr>
              <w:t>、高处坠落</w:t>
            </w:r>
          </w:p>
        </w:tc>
        <w:tc>
          <w:tcPr>
            <w:tcW w:w="657" w:type="dxa"/>
            <w:vAlign w:val="center"/>
          </w:tcPr>
          <w:p w14:paraId="017EE233">
            <w:pPr>
              <w:pStyle w:val="168"/>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7BB85FDE">
            <w:pPr>
              <w:pStyle w:val="168"/>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6B42C155">
            <w:pPr>
              <w:pStyle w:val="168"/>
              <w:rPr>
                <w:rFonts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7AFFBEA7">
            <w:pPr>
              <w:pStyle w:val="168"/>
              <w:rPr>
                <w:rFonts w:ascii="仿宋" w:hAnsi="仿宋" w:eastAsia="仿宋"/>
                <w:color w:val="000000"/>
                <w:sz w:val="24"/>
                <w:szCs w:val="24"/>
              </w:rPr>
            </w:pPr>
            <w:r>
              <w:rPr>
                <w:rFonts w:ascii="仿宋" w:hAnsi="仿宋" w:eastAsia="仿宋"/>
                <w:color w:val="000000"/>
                <w:sz w:val="24"/>
                <w:szCs w:val="24"/>
              </w:rPr>
              <w:t>135</w:t>
            </w:r>
          </w:p>
        </w:tc>
        <w:tc>
          <w:tcPr>
            <w:tcW w:w="1060" w:type="dxa"/>
            <w:vAlign w:val="center"/>
          </w:tcPr>
          <w:p w14:paraId="404218B6">
            <w:pPr>
              <w:pStyle w:val="168"/>
              <w:rPr>
                <w:rFonts w:ascii="仿宋" w:hAnsi="仿宋" w:eastAsia="仿宋"/>
                <w:color w:val="000000"/>
                <w:sz w:val="24"/>
                <w:szCs w:val="24"/>
              </w:rPr>
            </w:pPr>
            <w:r>
              <w:rPr>
                <w:rFonts w:ascii="仿宋" w:hAnsi="仿宋" w:eastAsia="仿宋"/>
                <w:color w:val="000000"/>
                <w:sz w:val="24"/>
                <w:szCs w:val="24"/>
              </w:rPr>
              <w:t>3</w:t>
            </w:r>
          </w:p>
        </w:tc>
      </w:tr>
      <w:tr w14:paraId="4CECBA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120A8590">
            <w:pPr>
              <w:pStyle w:val="168"/>
              <w:rPr>
                <w:rFonts w:ascii="仿宋" w:hAnsi="仿宋" w:eastAsia="仿宋"/>
                <w:sz w:val="24"/>
                <w:szCs w:val="24"/>
              </w:rPr>
            </w:pPr>
            <w:r>
              <w:rPr>
                <w:rFonts w:ascii="仿宋" w:hAnsi="仿宋" w:eastAsia="仿宋"/>
                <w:sz w:val="24"/>
                <w:szCs w:val="24"/>
              </w:rPr>
              <w:t>12</w:t>
            </w:r>
          </w:p>
        </w:tc>
        <w:tc>
          <w:tcPr>
            <w:tcW w:w="2440" w:type="dxa"/>
            <w:vMerge w:val="continue"/>
            <w:vAlign w:val="center"/>
          </w:tcPr>
          <w:p w14:paraId="38B29DE2">
            <w:pPr>
              <w:pStyle w:val="168"/>
              <w:rPr>
                <w:rFonts w:ascii="仿宋" w:hAnsi="仿宋" w:eastAsia="仿宋"/>
                <w:sz w:val="24"/>
                <w:szCs w:val="24"/>
              </w:rPr>
            </w:pPr>
          </w:p>
        </w:tc>
        <w:tc>
          <w:tcPr>
            <w:tcW w:w="1549" w:type="dxa"/>
            <w:vAlign w:val="center"/>
          </w:tcPr>
          <w:p w14:paraId="375FC643">
            <w:pPr>
              <w:pStyle w:val="168"/>
              <w:jc w:val="left"/>
              <w:rPr>
                <w:rFonts w:ascii="仿宋" w:hAnsi="仿宋" w:eastAsia="仿宋"/>
                <w:sz w:val="24"/>
                <w:szCs w:val="24"/>
              </w:rPr>
            </w:pPr>
            <w:r>
              <w:rPr>
                <w:rFonts w:ascii="仿宋" w:hAnsi="仿宋" w:eastAsia="仿宋"/>
                <w:sz w:val="24"/>
                <w:szCs w:val="24"/>
              </w:rPr>
              <w:t>4</w:t>
            </w:r>
            <w:r>
              <w:rPr>
                <w:rFonts w:hint="eastAsia" w:ascii="仿宋" w:hAnsi="仿宋" w:eastAsia="仿宋"/>
                <w:sz w:val="24"/>
                <w:szCs w:val="24"/>
              </w:rPr>
              <w:t>、坍塌</w:t>
            </w:r>
          </w:p>
        </w:tc>
        <w:tc>
          <w:tcPr>
            <w:tcW w:w="657" w:type="dxa"/>
            <w:vAlign w:val="center"/>
          </w:tcPr>
          <w:p w14:paraId="7045C60A">
            <w:pPr>
              <w:pStyle w:val="168"/>
              <w:rPr>
                <w:rFonts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3FCB5555">
            <w:pPr>
              <w:pStyle w:val="168"/>
              <w:rPr>
                <w:rFonts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769586B3">
            <w:pPr>
              <w:pStyle w:val="168"/>
              <w:rPr>
                <w:rFonts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615D85A6">
            <w:pPr>
              <w:pStyle w:val="168"/>
              <w:rPr>
                <w:rFonts w:ascii="仿宋" w:hAnsi="仿宋" w:eastAsia="仿宋"/>
                <w:color w:val="000000"/>
                <w:sz w:val="24"/>
                <w:szCs w:val="24"/>
              </w:rPr>
            </w:pPr>
            <w:r>
              <w:rPr>
                <w:rFonts w:hint="eastAsia" w:ascii="仿宋" w:hAnsi="仿宋" w:eastAsia="仿宋"/>
                <w:color w:val="000000"/>
                <w:sz w:val="24"/>
                <w:szCs w:val="24"/>
              </w:rPr>
              <w:t>90</w:t>
            </w:r>
          </w:p>
        </w:tc>
        <w:tc>
          <w:tcPr>
            <w:tcW w:w="1060" w:type="dxa"/>
            <w:vAlign w:val="center"/>
          </w:tcPr>
          <w:p w14:paraId="5BDD1EA0">
            <w:pPr>
              <w:pStyle w:val="168"/>
              <w:rPr>
                <w:rFonts w:ascii="仿宋" w:hAnsi="仿宋" w:eastAsia="仿宋"/>
                <w:color w:val="000000"/>
                <w:sz w:val="24"/>
                <w:szCs w:val="24"/>
              </w:rPr>
            </w:pPr>
            <w:r>
              <w:rPr>
                <w:rFonts w:ascii="仿宋" w:hAnsi="仿宋" w:eastAsia="仿宋"/>
                <w:color w:val="000000"/>
                <w:sz w:val="24"/>
                <w:szCs w:val="24"/>
              </w:rPr>
              <w:t>3</w:t>
            </w:r>
          </w:p>
        </w:tc>
      </w:tr>
      <w:tr w14:paraId="3CFF619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30BB2980">
            <w:pPr>
              <w:pStyle w:val="168"/>
              <w:rPr>
                <w:rFonts w:ascii="仿宋" w:hAnsi="仿宋" w:eastAsia="仿宋"/>
                <w:sz w:val="24"/>
                <w:szCs w:val="24"/>
              </w:rPr>
            </w:pPr>
            <w:r>
              <w:rPr>
                <w:rFonts w:ascii="仿宋" w:hAnsi="仿宋" w:eastAsia="仿宋"/>
                <w:sz w:val="24"/>
                <w:szCs w:val="24"/>
              </w:rPr>
              <w:t>13</w:t>
            </w:r>
          </w:p>
        </w:tc>
        <w:tc>
          <w:tcPr>
            <w:tcW w:w="2440" w:type="dxa"/>
            <w:vMerge w:val="continue"/>
            <w:vAlign w:val="center"/>
          </w:tcPr>
          <w:p w14:paraId="1733D00B">
            <w:pPr>
              <w:pStyle w:val="168"/>
              <w:rPr>
                <w:rFonts w:ascii="仿宋" w:hAnsi="仿宋" w:eastAsia="仿宋"/>
                <w:sz w:val="24"/>
                <w:szCs w:val="24"/>
              </w:rPr>
            </w:pPr>
          </w:p>
        </w:tc>
        <w:tc>
          <w:tcPr>
            <w:tcW w:w="1549" w:type="dxa"/>
            <w:vAlign w:val="center"/>
          </w:tcPr>
          <w:p w14:paraId="39C106D8">
            <w:pPr>
              <w:pStyle w:val="168"/>
              <w:jc w:val="left"/>
              <w:rPr>
                <w:rFonts w:ascii="仿宋" w:hAnsi="仿宋" w:eastAsia="仿宋"/>
                <w:sz w:val="24"/>
                <w:szCs w:val="24"/>
              </w:rPr>
            </w:pPr>
            <w:r>
              <w:rPr>
                <w:rFonts w:hint="eastAsia" w:ascii="仿宋" w:hAnsi="仿宋" w:eastAsia="仿宋"/>
                <w:sz w:val="24"/>
                <w:szCs w:val="24"/>
              </w:rPr>
              <w:t>5、其他伤害</w:t>
            </w:r>
          </w:p>
        </w:tc>
        <w:tc>
          <w:tcPr>
            <w:tcW w:w="657" w:type="dxa"/>
            <w:vAlign w:val="center"/>
          </w:tcPr>
          <w:p w14:paraId="3D3065EF">
            <w:pPr>
              <w:pStyle w:val="168"/>
              <w:rPr>
                <w:rFonts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04C35706">
            <w:pPr>
              <w:pStyle w:val="168"/>
              <w:rPr>
                <w:rFonts w:ascii="仿宋" w:hAnsi="仿宋" w:eastAsia="仿宋"/>
                <w:color w:val="000000"/>
                <w:sz w:val="24"/>
                <w:szCs w:val="24"/>
              </w:rPr>
            </w:pPr>
            <w:r>
              <w:rPr>
                <w:rFonts w:ascii="仿宋" w:hAnsi="仿宋" w:eastAsia="仿宋"/>
                <w:color w:val="000000"/>
                <w:sz w:val="24"/>
                <w:szCs w:val="24"/>
              </w:rPr>
              <w:t>2</w:t>
            </w:r>
          </w:p>
        </w:tc>
        <w:tc>
          <w:tcPr>
            <w:tcW w:w="705" w:type="dxa"/>
            <w:vAlign w:val="center"/>
          </w:tcPr>
          <w:p w14:paraId="54EE2272">
            <w:pPr>
              <w:pStyle w:val="168"/>
              <w:rPr>
                <w:rFonts w:ascii="仿宋" w:hAnsi="仿宋" w:eastAsia="仿宋"/>
                <w:color w:val="000000"/>
                <w:sz w:val="24"/>
                <w:szCs w:val="24"/>
              </w:rPr>
            </w:pPr>
            <w:r>
              <w:rPr>
                <w:rFonts w:ascii="仿宋" w:hAnsi="仿宋" w:eastAsia="仿宋"/>
                <w:color w:val="000000"/>
                <w:sz w:val="24"/>
                <w:szCs w:val="24"/>
              </w:rPr>
              <w:t>7</w:t>
            </w:r>
          </w:p>
        </w:tc>
        <w:tc>
          <w:tcPr>
            <w:tcW w:w="1374" w:type="dxa"/>
            <w:vAlign w:val="center"/>
          </w:tcPr>
          <w:p w14:paraId="4EAC6221">
            <w:pPr>
              <w:pStyle w:val="168"/>
              <w:rPr>
                <w:rFonts w:ascii="仿宋" w:hAnsi="仿宋" w:eastAsia="仿宋"/>
                <w:color w:val="000000"/>
                <w:sz w:val="24"/>
                <w:szCs w:val="24"/>
              </w:rPr>
            </w:pPr>
            <w:r>
              <w:rPr>
                <w:rFonts w:ascii="仿宋" w:hAnsi="仿宋" w:eastAsia="仿宋"/>
                <w:color w:val="000000"/>
                <w:sz w:val="24"/>
                <w:szCs w:val="24"/>
              </w:rPr>
              <w:t>14</w:t>
            </w:r>
          </w:p>
        </w:tc>
        <w:tc>
          <w:tcPr>
            <w:tcW w:w="1060" w:type="dxa"/>
            <w:vAlign w:val="center"/>
          </w:tcPr>
          <w:p w14:paraId="463D6959">
            <w:pPr>
              <w:pStyle w:val="168"/>
              <w:rPr>
                <w:rFonts w:ascii="仿宋" w:hAnsi="仿宋" w:eastAsia="仿宋"/>
                <w:color w:val="000000"/>
                <w:sz w:val="24"/>
                <w:szCs w:val="24"/>
              </w:rPr>
            </w:pPr>
            <w:r>
              <w:rPr>
                <w:rFonts w:ascii="仿宋" w:hAnsi="仿宋" w:eastAsia="仿宋"/>
                <w:color w:val="000000"/>
                <w:sz w:val="24"/>
                <w:szCs w:val="24"/>
              </w:rPr>
              <w:t>1</w:t>
            </w:r>
          </w:p>
        </w:tc>
      </w:tr>
    </w:tbl>
    <w:p w14:paraId="2C507531">
      <w:pPr>
        <w:pStyle w:val="168"/>
        <w:rPr>
          <w:highlight w:val="yellow"/>
        </w:rPr>
      </w:pPr>
    </w:p>
    <w:p w14:paraId="25AC9246">
      <w:pPr>
        <w:ind w:firstLine="560"/>
      </w:pPr>
      <w:r>
        <w:rPr>
          <w:rFonts w:hint="eastAsia"/>
        </w:rPr>
        <w:t>根据以上分析，高处坠落、起重伤害、坍塌的D值在70～160之间，属于3级风险源，属显著危险，应采取有效措施，予以重点控制。</w:t>
      </w:r>
    </w:p>
    <w:p w14:paraId="6874471E">
      <w:pPr>
        <w:ind w:firstLine="560"/>
      </w:pPr>
      <w:r>
        <w:rPr>
          <w:rFonts w:hint="eastAsia"/>
        </w:rPr>
        <w:t>物体打击、机械伤害、触电、火灾爆炸的D值在20～70之间，属于一般风险源，比较危险，需要注意，用项目部现有制度进行预防和控制。</w:t>
      </w:r>
    </w:p>
    <w:p w14:paraId="4FD932DF">
      <w:pPr>
        <w:ind w:firstLine="560"/>
      </w:pPr>
      <w:r>
        <w:rPr>
          <w:rFonts w:hint="eastAsia"/>
        </w:rPr>
        <w:t>车辆伤害、中毒窒息和其他伤害的D值小于20，属Ⅰ级风险源，稍有危险，利用项目部现有制度进行预防和控制即可。</w:t>
      </w:r>
    </w:p>
    <w:p w14:paraId="5A818135">
      <w:pPr>
        <w:ind w:firstLine="0" w:firstLineChars="0"/>
      </w:pPr>
    </w:p>
    <w:p w14:paraId="3546B32F">
      <w:pPr>
        <w:pStyle w:val="2"/>
      </w:pPr>
      <w:bookmarkStart w:id="384" w:name="_Toc24360"/>
      <w:bookmarkStart w:id="385" w:name="_Toc6301"/>
      <w:bookmarkStart w:id="386" w:name="_Toc9448"/>
      <w:bookmarkStart w:id="387" w:name="_Toc17296"/>
      <w:bookmarkStart w:id="388" w:name="_Toc8938"/>
      <w:bookmarkStart w:id="389" w:name="_Toc14087"/>
      <w:bookmarkStart w:id="390" w:name="_Toc30599"/>
      <w:r>
        <w:rPr>
          <w:rFonts w:hint="eastAsia"/>
        </w:rPr>
        <w:t>第八章 施工安全技术保障措施</w:t>
      </w:r>
      <w:bookmarkEnd w:id="384"/>
      <w:bookmarkEnd w:id="385"/>
      <w:bookmarkEnd w:id="386"/>
      <w:bookmarkEnd w:id="387"/>
      <w:bookmarkEnd w:id="388"/>
      <w:bookmarkEnd w:id="389"/>
      <w:bookmarkEnd w:id="390"/>
    </w:p>
    <w:p w14:paraId="7454DF3F">
      <w:pPr>
        <w:pStyle w:val="3"/>
        <w:spacing w:before="120" w:after="120"/>
        <w:rPr>
          <w:color w:val="171717"/>
        </w:rPr>
      </w:pPr>
      <w:bookmarkStart w:id="391" w:name="_Toc15664"/>
      <w:bookmarkStart w:id="392" w:name="_Toc15696"/>
      <w:bookmarkStart w:id="393" w:name="_Toc29854"/>
      <w:bookmarkStart w:id="394" w:name="_Toc7888"/>
      <w:bookmarkStart w:id="395" w:name="_Toc16384"/>
      <w:bookmarkStart w:id="396" w:name="_Toc24284"/>
      <w:bookmarkStart w:id="397" w:name="_Toc3117"/>
      <w:bookmarkStart w:id="398" w:name="_Toc24025"/>
      <w:bookmarkStart w:id="399" w:name="_Toc7721"/>
      <w:r>
        <w:rPr>
          <w:rFonts w:hint="eastAsia"/>
          <w:color w:val="171717"/>
        </w:rPr>
        <w:t>8.1健康</w:t>
      </w:r>
      <w:bookmarkEnd w:id="391"/>
      <w:bookmarkEnd w:id="392"/>
      <w:bookmarkEnd w:id="393"/>
      <w:bookmarkEnd w:id="394"/>
      <w:bookmarkEnd w:id="395"/>
      <w:bookmarkEnd w:id="396"/>
      <w:bookmarkEnd w:id="397"/>
      <w:bookmarkEnd w:id="398"/>
      <w:bookmarkEnd w:id="399"/>
    </w:p>
    <w:p w14:paraId="77057788">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8.1.1 健康管理目标</w:t>
      </w:r>
    </w:p>
    <w:p w14:paraId="27C7A228">
      <w:pPr>
        <w:ind w:firstLine="560"/>
        <w:rPr>
          <w:rFonts w:ascii="宋体" w:hAnsi="宋体"/>
          <w:color w:val="171717"/>
        </w:rPr>
      </w:pPr>
      <w:r>
        <w:rPr>
          <w:rFonts w:hint="eastAsia" w:ascii="宋体" w:hAnsi="宋体"/>
          <w:color w:val="171717"/>
        </w:rPr>
        <w:t>1、不发生轻伤以上的人身伤害事故。</w:t>
      </w:r>
    </w:p>
    <w:p w14:paraId="30A494DA">
      <w:pPr>
        <w:ind w:firstLine="560"/>
        <w:rPr>
          <w:rFonts w:ascii="宋体" w:hAnsi="宋体"/>
          <w:color w:val="171717"/>
        </w:rPr>
      </w:pPr>
      <w:r>
        <w:rPr>
          <w:rFonts w:hint="eastAsia" w:ascii="宋体" w:hAnsi="宋体"/>
          <w:color w:val="171717"/>
        </w:rPr>
        <w:t>2、不发生因天气原因造成的中暑现象。</w:t>
      </w:r>
    </w:p>
    <w:p w14:paraId="34EF2B24">
      <w:pPr>
        <w:ind w:firstLine="560"/>
        <w:rPr>
          <w:rFonts w:ascii="宋体" w:hAnsi="宋体"/>
          <w:color w:val="171717"/>
        </w:rPr>
      </w:pPr>
      <w:r>
        <w:rPr>
          <w:rFonts w:hint="eastAsia" w:ascii="宋体" w:hAnsi="宋体"/>
          <w:color w:val="171717"/>
        </w:rPr>
        <w:t>3、不发生施工过程中的职业病伤害。</w:t>
      </w:r>
    </w:p>
    <w:p w14:paraId="5656C38B">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8.1.2 健康管理措施</w:t>
      </w:r>
    </w:p>
    <w:p w14:paraId="59987F90">
      <w:pPr>
        <w:ind w:firstLine="560"/>
        <w:rPr>
          <w:rFonts w:ascii="宋体" w:hAnsi="宋体"/>
          <w:color w:val="171717"/>
        </w:rPr>
      </w:pPr>
      <w:r>
        <w:rPr>
          <w:rFonts w:hint="eastAsia" w:ascii="宋体" w:hAnsi="宋体"/>
          <w:color w:val="171717"/>
        </w:rPr>
        <w:t>1、施工前应检查确保每个施工人员均投保了意外伤害保险。</w:t>
      </w:r>
    </w:p>
    <w:p w14:paraId="4A62AFDF">
      <w:pPr>
        <w:ind w:firstLine="560"/>
        <w:rPr>
          <w:rFonts w:ascii="宋体" w:hAnsi="宋体"/>
          <w:color w:val="171717"/>
        </w:rPr>
      </w:pPr>
      <w:r>
        <w:rPr>
          <w:rFonts w:hint="eastAsia" w:ascii="宋体" w:hAnsi="宋体"/>
          <w:color w:val="171717"/>
        </w:rPr>
        <w:t>2、入场前施工人员应进行体验，确保每个人都没有不能进行高空作业的职业病。</w:t>
      </w:r>
    </w:p>
    <w:p w14:paraId="4701E1D1">
      <w:pPr>
        <w:ind w:firstLine="560"/>
        <w:rPr>
          <w:rFonts w:ascii="宋体" w:hAnsi="宋体"/>
          <w:color w:val="171717"/>
        </w:rPr>
      </w:pPr>
      <w:r>
        <w:rPr>
          <w:rFonts w:hint="eastAsia" w:ascii="宋体" w:hAnsi="宋体"/>
          <w:color w:val="171717"/>
        </w:rPr>
        <w:t>3、每日施工前检查施工人员身体状况，身体不适者严禁进行安装作业。</w:t>
      </w:r>
    </w:p>
    <w:p w14:paraId="2E40E6AB">
      <w:pPr>
        <w:ind w:firstLine="560"/>
        <w:rPr>
          <w:rFonts w:ascii="宋体" w:hAnsi="宋体"/>
          <w:color w:val="171717"/>
        </w:rPr>
      </w:pPr>
      <w:r>
        <w:rPr>
          <w:rFonts w:hint="eastAsia" w:ascii="宋体" w:hAnsi="宋体"/>
          <w:color w:val="171717"/>
        </w:rPr>
        <w:t>4、冬季施工注意防寒保暖，防止冻伤。</w:t>
      </w:r>
    </w:p>
    <w:p w14:paraId="0ADDFC80">
      <w:pPr>
        <w:ind w:firstLine="560"/>
        <w:rPr>
          <w:rFonts w:ascii="宋体" w:hAnsi="宋体"/>
          <w:color w:val="171717"/>
        </w:rPr>
      </w:pPr>
      <w:r>
        <w:rPr>
          <w:rFonts w:hint="eastAsia" w:ascii="宋体" w:hAnsi="宋体"/>
          <w:color w:val="171717"/>
        </w:rPr>
        <w:t>5、检查确认每位施工人员都配备足够的劳动防护用品，以杜绝施工过程中的人身伤害及高处坠落事故发生。</w:t>
      </w:r>
    </w:p>
    <w:p w14:paraId="012C6DD4">
      <w:pPr>
        <w:ind w:firstLine="560"/>
        <w:rPr>
          <w:rFonts w:ascii="宋体" w:hAnsi="宋体"/>
          <w:color w:val="171717"/>
        </w:rPr>
      </w:pPr>
      <w:r>
        <w:rPr>
          <w:rFonts w:hint="eastAsia" w:ascii="宋体" w:hAnsi="宋体"/>
          <w:color w:val="171717"/>
        </w:rPr>
        <w:t>6、配备常用救急药箱。</w:t>
      </w:r>
    </w:p>
    <w:p w14:paraId="207E21C1">
      <w:pPr>
        <w:pStyle w:val="3"/>
        <w:spacing w:before="120" w:after="120"/>
      </w:pPr>
      <w:bookmarkStart w:id="400" w:name="_Toc29506"/>
      <w:bookmarkStart w:id="401" w:name="_Toc15726"/>
      <w:bookmarkStart w:id="402" w:name="_Toc12490"/>
      <w:bookmarkStart w:id="403" w:name="_Toc19090"/>
      <w:bookmarkStart w:id="404" w:name="_Toc22950"/>
      <w:bookmarkStart w:id="405" w:name="_Toc2328"/>
      <w:bookmarkStart w:id="406" w:name="_Toc32172"/>
      <w:bookmarkStart w:id="407" w:name="_Toc8432"/>
      <w:r>
        <w:rPr>
          <w:rFonts w:hint="eastAsia"/>
          <w:color w:val="171717"/>
        </w:rPr>
        <w:t>8.2环境</w:t>
      </w:r>
      <w:bookmarkEnd w:id="400"/>
      <w:bookmarkEnd w:id="401"/>
      <w:bookmarkEnd w:id="402"/>
      <w:bookmarkEnd w:id="403"/>
      <w:bookmarkEnd w:id="404"/>
      <w:bookmarkEnd w:id="405"/>
      <w:bookmarkEnd w:id="406"/>
      <w:bookmarkEnd w:id="407"/>
    </w:p>
    <w:p w14:paraId="21E1A463">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8.2.1环境管理目标</w:t>
      </w:r>
    </w:p>
    <w:p w14:paraId="686C1C94">
      <w:pPr>
        <w:ind w:firstLine="560"/>
        <w:rPr>
          <w:rFonts w:ascii="宋体" w:hAnsi="宋体"/>
          <w:color w:val="171717"/>
        </w:rPr>
      </w:pPr>
      <w:r>
        <w:rPr>
          <w:rFonts w:hint="eastAsia" w:ascii="宋体" w:hAnsi="宋体"/>
          <w:color w:val="171717"/>
        </w:rPr>
        <w:t>1、施工现场固体废弃物分类收集安全处置。</w:t>
      </w:r>
    </w:p>
    <w:p w14:paraId="16913B36">
      <w:pPr>
        <w:ind w:firstLine="560"/>
        <w:rPr>
          <w:rFonts w:ascii="宋体" w:hAnsi="宋体"/>
          <w:color w:val="171717"/>
        </w:rPr>
      </w:pPr>
      <w:r>
        <w:rPr>
          <w:rFonts w:hint="eastAsia" w:ascii="宋体" w:hAnsi="宋体"/>
          <w:color w:val="171717"/>
        </w:rPr>
        <w:t>2、施工现场噪声达标排放。</w:t>
      </w:r>
    </w:p>
    <w:p w14:paraId="5C9955E4">
      <w:pPr>
        <w:ind w:firstLine="560"/>
        <w:rPr>
          <w:rFonts w:ascii="宋体" w:hAnsi="宋体"/>
          <w:color w:val="171717"/>
        </w:rPr>
      </w:pPr>
      <w:r>
        <w:rPr>
          <w:rFonts w:hint="eastAsia" w:ascii="宋体" w:hAnsi="宋体"/>
          <w:color w:val="171717"/>
        </w:rPr>
        <w:t>3、相关方无环境问题投诉。</w:t>
      </w:r>
    </w:p>
    <w:p w14:paraId="0180EC6A">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8.2.2 环境管理措施</w:t>
      </w:r>
    </w:p>
    <w:p w14:paraId="49FA5727">
      <w:pPr>
        <w:ind w:firstLine="560"/>
        <w:rPr>
          <w:rFonts w:ascii="宋体" w:hAnsi="宋体"/>
          <w:color w:val="171717"/>
        </w:rPr>
      </w:pPr>
      <w:r>
        <w:rPr>
          <w:rFonts w:hint="eastAsia" w:ascii="宋体" w:hAnsi="宋体"/>
          <w:color w:val="171717"/>
        </w:rPr>
        <w:t>1、噪声：安装过程中使用的机械设备必须是低噪声设备，施工过程中也应避免噪声污染。</w:t>
      </w:r>
    </w:p>
    <w:p w14:paraId="23EE594C">
      <w:pPr>
        <w:ind w:firstLine="560"/>
        <w:rPr>
          <w:rFonts w:ascii="宋体" w:hAnsi="宋体"/>
          <w:color w:val="171717"/>
        </w:rPr>
      </w:pPr>
      <w:r>
        <w:rPr>
          <w:rFonts w:hint="eastAsia" w:ascii="宋体" w:hAnsi="宋体"/>
          <w:color w:val="171717"/>
        </w:rPr>
        <w:t>2、垃圾：安装过程中产生的生活垃圾和生产垃圾要分类堆放，并及时清理，特别是饭盒等生活垃圾一定要归类处理，严禁随意丢弃。</w:t>
      </w:r>
    </w:p>
    <w:p w14:paraId="09E48DA8">
      <w:pPr>
        <w:ind w:firstLine="560"/>
        <w:rPr>
          <w:rFonts w:ascii="宋体" w:hAnsi="宋体"/>
          <w:color w:val="171717"/>
        </w:rPr>
      </w:pPr>
      <w:r>
        <w:rPr>
          <w:rFonts w:hint="eastAsia" w:ascii="宋体" w:hAnsi="宋体"/>
          <w:color w:val="171717"/>
        </w:rPr>
        <w:t>3、污水：不得在施工现场排放生产、生活污水。</w:t>
      </w:r>
    </w:p>
    <w:p w14:paraId="201B1FBA">
      <w:pPr>
        <w:ind w:firstLine="560"/>
        <w:rPr>
          <w:rFonts w:ascii="宋体" w:hAnsi="宋体"/>
          <w:color w:val="171717"/>
        </w:rPr>
      </w:pPr>
      <w:r>
        <w:rPr>
          <w:rFonts w:hint="eastAsia" w:ascii="宋体" w:hAnsi="宋体"/>
          <w:color w:val="171717"/>
        </w:rPr>
        <w:t>4、危险化学品：油漆、机油等应在指定地点存放，并配置相应的消防措施。</w:t>
      </w:r>
    </w:p>
    <w:p w14:paraId="4B9CF72A">
      <w:pPr>
        <w:ind w:firstLine="560"/>
        <w:rPr>
          <w:rFonts w:ascii="宋体" w:hAnsi="宋体"/>
          <w:color w:val="171717"/>
        </w:rPr>
      </w:pPr>
      <w:r>
        <w:rPr>
          <w:rFonts w:hint="eastAsia" w:ascii="宋体" w:hAnsi="宋体"/>
          <w:color w:val="171717"/>
        </w:rPr>
        <w:t>5、对氧气和乙炔气体的贮存、使用，应确保安全可靠，考虑安全间距，按安全规程操作，配备足够数量的消防器材。</w:t>
      </w:r>
    </w:p>
    <w:p w14:paraId="5FC2E2DE">
      <w:pPr>
        <w:ind w:firstLine="560"/>
        <w:rPr>
          <w:rFonts w:ascii="宋体" w:hAnsi="宋体"/>
          <w:color w:val="171717"/>
        </w:rPr>
      </w:pPr>
      <w:r>
        <w:rPr>
          <w:rFonts w:hint="eastAsia" w:ascii="宋体" w:hAnsi="宋体"/>
          <w:color w:val="171717"/>
        </w:rPr>
        <w:t>6、含油棉纱、手套、废机油应集中收集，按规定统一处置；严格控制设备漏油，防止对土壤污染。</w:t>
      </w:r>
    </w:p>
    <w:p w14:paraId="52864BF8">
      <w:pPr>
        <w:ind w:firstLine="560"/>
        <w:rPr>
          <w:rFonts w:ascii="宋体" w:hAnsi="宋体"/>
          <w:color w:val="171717"/>
        </w:rPr>
      </w:pPr>
      <w:r>
        <w:rPr>
          <w:rFonts w:hint="eastAsia" w:ascii="宋体" w:hAnsi="宋体"/>
          <w:color w:val="171717"/>
        </w:rPr>
        <w:t>7、防止电气线路老化引起火灾，加强安全检查。</w:t>
      </w:r>
    </w:p>
    <w:p w14:paraId="051D4376">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8.2.3环水保突发事件应急处置措施</w:t>
      </w:r>
    </w:p>
    <w:p w14:paraId="4EB1BB97">
      <w:pPr>
        <w:numPr>
          <w:ilvl w:val="0"/>
          <w:numId w:val="6"/>
        </w:numPr>
        <w:ind w:firstLineChars="0"/>
      </w:pPr>
      <w:r>
        <w:rPr>
          <w:rFonts w:hint="eastAsia"/>
        </w:rPr>
        <w:t>吸入：如果大量吸入，立即转移到新鲜空气充足的地方。</w:t>
      </w:r>
    </w:p>
    <w:p w14:paraId="137672C4">
      <w:pPr>
        <w:numPr>
          <w:ilvl w:val="0"/>
          <w:numId w:val="6"/>
        </w:numPr>
        <w:ind w:firstLineChars="0"/>
      </w:pPr>
      <w:r>
        <w:rPr>
          <w:rFonts w:hint="eastAsia"/>
        </w:rPr>
        <w:t>吞食：在医护人员指导下催吐，不要给意识不清的人吃东西。</w:t>
      </w:r>
    </w:p>
    <w:p w14:paraId="421D73B0">
      <w:pPr>
        <w:numPr>
          <w:ilvl w:val="0"/>
          <w:numId w:val="6"/>
        </w:numPr>
        <w:ind w:firstLineChars="0"/>
      </w:pPr>
      <w:r>
        <w:rPr>
          <w:rFonts w:hint="eastAsia"/>
        </w:rPr>
        <w:t>皮肤接触：如果接触，立即用肥皂和大量清水冲洗至少15分钟。眼睛接触：立即用清水冲洗至少15分钟。</w:t>
      </w:r>
    </w:p>
    <w:p w14:paraId="7EEC0066">
      <w:pPr>
        <w:numPr>
          <w:ilvl w:val="0"/>
          <w:numId w:val="6"/>
        </w:numPr>
        <w:ind w:firstLineChars="0"/>
      </w:pPr>
      <w:r>
        <w:rPr>
          <w:rFonts w:hint="eastAsia"/>
        </w:rPr>
        <w:t>事故现场设立警戒区域，设珞警戒标识及注意事项。</w:t>
      </w:r>
    </w:p>
    <w:p w14:paraId="3ED8449D">
      <w:pPr>
        <w:numPr>
          <w:ilvl w:val="0"/>
          <w:numId w:val="6"/>
        </w:numPr>
        <w:ind w:firstLineChars="0"/>
      </w:pPr>
      <w:r>
        <w:rPr>
          <w:rFonts w:hint="eastAsia"/>
        </w:rPr>
        <w:t>进入事故现场救援的人员应做好统一标识区分。</w:t>
      </w:r>
    </w:p>
    <w:p w14:paraId="09CD02BF">
      <w:pPr>
        <w:numPr>
          <w:ilvl w:val="0"/>
          <w:numId w:val="6"/>
        </w:numPr>
        <w:ind w:firstLineChars="0"/>
      </w:pPr>
      <w:r>
        <w:rPr>
          <w:rFonts w:hint="eastAsia"/>
        </w:rPr>
        <w:t>事故单位应当无条件配合现场指挥的工作，提供必要的协助。</w:t>
      </w:r>
    </w:p>
    <w:p w14:paraId="18EF0659">
      <w:pPr>
        <w:numPr>
          <w:ilvl w:val="0"/>
          <w:numId w:val="6"/>
        </w:numPr>
        <w:ind w:firstLineChars="0"/>
      </w:pPr>
      <w:r>
        <w:rPr>
          <w:rFonts w:hint="eastAsia"/>
        </w:rPr>
        <w:t>事故产生的危险废物必须到环保部门办理《危险废物转移许可证》，并委托有资质的处丽单位进行合法安全处理。</w:t>
      </w:r>
    </w:p>
    <w:p w14:paraId="24D33736">
      <w:pPr>
        <w:numPr>
          <w:ilvl w:val="0"/>
          <w:numId w:val="6"/>
        </w:numPr>
        <w:ind w:firstLineChars="0"/>
      </w:pPr>
      <w:r>
        <w:rPr>
          <w:rFonts w:hint="eastAsia"/>
        </w:rPr>
        <w:t>废物处理完成后，对周围土壤、水质进行环境监测。</w:t>
      </w:r>
    </w:p>
    <w:p w14:paraId="55F9D2E8">
      <w:pPr>
        <w:pStyle w:val="3"/>
        <w:spacing w:before="120" w:after="120"/>
        <w:rPr>
          <w:color w:val="171717"/>
        </w:rPr>
      </w:pPr>
      <w:bookmarkStart w:id="408" w:name="_Toc3227"/>
      <w:bookmarkStart w:id="409" w:name="_Toc25431"/>
      <w:bookmarkStart w:id="410" w:name="_Toc9705"/>
      <w:bookmarkStart w:id="411" w:name="_Toc29387"/>
      <w:bookmarkStart w:id="412" w:name="_Toc533610110"/>
      <w:bookmarkStart w:id="413" w:name="_Toc6732"/>
      <w:bookmarkStart w:id="414" w:name="_Toc21956"/>
      <w:bookmarkStart w:id="415" w:name="_Toc3911"/>
      <w:bookmarkStart w:id="416" w:name="_Toc26350"/>
      <w:bookmarkStart w:id="417" w:name="_Toc326854326"/>
      <w:bookmarkStart w:id="418" w:name="_Toc29475"/>
      <w:bookmarkStart w:id="419" w:name="_Toc14249"/>
      <w:bookmarkStart w:id="420" w:name="_Toc29765"/>
      <w:r>
        <w:rPr>
          <w:rFonts w:hint="eastAsia"/>
          <w:color w:val="171717"/>
        </w:rPr>
        <w:t>8.3 安全</w:t>
      </w:r>
      <w:bookmarkEnd w:id="408"/>
      <w:bookmarkEnd w:id="409"/>
      <w:bookmarkEnd w:id="410"/>
      <w:bookmarkEnd w:id="411"/>
      <w:bookmarkEnd w:id="412"/>
      <w:bookmarkEnd w:id="413"/>
      <w:bookmarkEnd w:id="414"/>
      <w:bookmarkEnd w:id="415"/>
      <w:bookmarkEnd w:id="416"/>
      <w:bookmarkEnd w:id="417"/>
      <w:bookmarkEnd w:id="418"/>
      <w:bookmarkEnd w:id="419"/>
      <w:bookmarkEnd w:id="420"/>
    </w:p>
    <w:p w14:paraId="6C1CE246">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8.3.1 安全管理控制指标</w:t>
      </w:r>
    </w:p>
    <w:p w14:paraId="2B218906">
      <w:pPr>
        <w:ind w:firstLine="560"/>
        <w:rPr>
          <w:rFonts w:ascii="宋体" w:hAnsi="宋体"/>
          <w:color w:val="171717"/>
        </w:rPr>
      </w:pPr>
      <w:r>
        <w:rPr>
          <w:rFonts w:hint="eastAsia" w:ascii="宋体" w:hAnsi="宋体"/>
          <w:color w:val="171717"/>
        </w:rPr>
        <w:t>1、特种作业人员持证上岗率</w:t>
      </w:r>
      <w:r>
        <w:rPr>
          <w:rFonts w:ascii="宋体" w:hAnsi="宋体"/>
          <w:color w:val="171717"/>
        </w:rPr>
        <w:t>100%</w:t>
      </w:r>
      <w:r>
        <w:rPr>
          <w:rFonts w:hint="eastAsia" w:ascii="宋体" w:hAnsi="宋体"/>
          <w:color w:val="171717"/>
        </w:rPr>
        <w:t>。</w:t>
      </w:r>
    </w:p>
    <w:p w14:paraId="40926CBE">
      <w:pPr>
        <w:ind w:firstLine="560"/>
        <w:rPr>
          <w:rFonts w:ascii="宋体" w:hAnsi="宋体"/>
          <w:color w:val="171717"/>
        </w:rPr>
      </w:pPr>
      <w:r>
        <w:rPr>
          <w:rFonts w:hint="eastAsia" w:ascii="宋体" w:hAnsi="宋体"/>
          <w:color w:val="171717"/>
        </w:rPr>
        <w:t>2、安全防护用品正确配备率</w:t>
      </w:r>
      <w:r>
        <w:rPr>
          <w:rFonts w:ascii="宋体" w:hAnsi="宋体"/>
          <w:color w:val="171717"/>
        </w:rPr>
        <w:t>100%</w:t>
      </w:r>
      <w:r>
        <w:rPr>
          <w:rFonts w:hint="eastAsia" w:ascii="宋体" w:hAnsi="宋体"/>
          <w:color w:val="171717"/>
        </w:rPr>
        <w:t>。</w:t>
      </w:r>
    </w:p>
    <w:p w14:paraId="4C628C64">
      <w:pPr>
        <w:ind w:firstLine="560"/>
        <w:rPr>
          <w:rFonts w:ascii="宋体" w:hAnsi="宋体"/>
          <w:color w:val="171717"/>
        </w:rPr>
      </w:pPr>
      <w:r>
        <w:rPr>
          <w:rFonts w:hint="eastAsia" w:ascii="宋体" w:hAnsi="宋体"/>
          <w:color w:val="171717"/>
        </w:rPr>
        <w:t>3、无高空坠落事故、触电事故、起重设备坍塌事故及重伤事故的发生。</w:t>
      </w:r>
    </w:p>
    <w:p w14:paraId="7BB0AA39">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8.3.2 安全管理措施</w:t>
      </w:r>
    </w:p>
    <w:p w14:paraId="437F3B00">
      <w:pPr>
        <w:ind w:firstLine="560"/>
        <w:rPr>
          <w:rFonts w:ascii="宋体" w:hAnsi="宋体"/>
          <w:color w:val="171717"/>
        </w:rPr>
      </w:pPr>
      <w:r>
        <w:rPr>
          <w:rFonts w:hint="eastAsia" w:ascii="宋体" w:hAnsi="宋体"/>
          <w:color w:val="171717"/>
        </w:rPr>
        <w:t>1、塔吊安装操作和指挥人员必须经过技术和安全培训，每一个作业人员必须熟悉说明书，熟知施工程序和塔机基本性能。</w:t>
      </w:r>
    </w:p>
    <w:p w14:paraId="0307573B">
      <w:pPr>
        <w:ind w:firstLine="560"/>
        <w:rPr>
          <w:rFonts w:ascii="宋体" w:hAnsi="宋体"/>
          <w:color w:val="171717"/>
        </w:rPr>
      </w:pPr>
      <w:r>
        <w:rPr>
          <w:rFonts w:hint="eastAsia" w:ascii="宋体" w:hAnsi="宋体"/>
          <w:color w:val="171717"/>
        </w:rPr>
        <w:t>2、现场作业人员必须持省市劳动部门颁发的有效特殊工种上岗操作证件，确保</w:t>
      </w:r>
      <w:r>
        <w:rPr>
          <w:rFonts w:ascii="宋体" w:hAnsi="宋体"/>
          <w:color w:val="171717"/>
        </w:rPr>
        <w:t>100%</w:t>
      </w:r>
      <w:r>
        <w:rPr>
          <w:rFonts w:hint="eastAsia" w:ascii="宋体" w:hAnsi="宋体"/>
          <w:color w:val="171717"/>
        </w:rPr>
        <w:t>持证上岗。</w:t>
      </w:r>
    </w:p>
    <w:p w14:paraId="4BAA18F2">
      <w:pPr>
        <w:ind w:firstLine="560"/>
        <w:rPr>
          <w:rFonts w:ascii="宋体" w:hAnsi="宋体"/>
          <w:color w:val="171717"/>
        </w:rPr>
      </w:pPr>
      <w:r>
        <w:rPr>
          <w:rFonts w:hint="eastAsia" w:ascii="宋体" w:hAnsi="宋体"/>
          <w:color w:val="171717"/>
        </w:rPr>
        <w:t>3、安装作业由专人指挥，参加作业人员应听从现场指挥人员统一指挥，严格按安装方案中的分工执行。</w:t>
      </w:r>
    </w:p>
    <w:p w14:paraId="578BE3B1">
      <w:pPr>
        <w:ind w:firstLine="560"/>
        <w:rPr>
          <w:rFonts w:ascii="宋体" w:hAnsi="宋体"/>
          <w:color w:val="171717"/>
        </w:rPr>
      </w:pPr>
      <w:r>
        <w:rPr>
          <w:rFonts w:hint="eastAsia" w:ascii="宋体" w:hAnsi="宋体"/>
          <w:color w:val="171717"/>
        </w:rPr>
        <w:t>4、所有作业人员应接受三级安全教育，在作业前，必须接受安全技术交底工作，明确分工，确定指挥信号及统一口令。</w:t>
      </w:r>
    </w:p>
    <w:p w14:paraId="2CAADDBC">
      <w:pPr>
        <w:ind w:firstLine="560"/>
        <w:rPr>
          <w:rFonts w:ascii="宋体" w:hAnsi="宋体"/>
          <w:color w:val="171717"/>
        </w:rPr>
      </w:pPr>
      <w:r>
        <w:rPr>
          <w:rFonts w:hint="eastAsia" w:ascii="宋体" w:hAnsi="宋体"/>
          <w:color w:val="171717"/>
        </w:rPr>
        <w:t>5、安装前检验电气设备是否安全可靠。</w:t>
      </w:r>
    </w:p>
    <w:p w14:paraId="3209465F">
      <w:pPr>
        <w:ind w:firstLine="560"/>
        <w:rPr>
          <w:rFonts w:ascii="宋体" w:hAnsi="宋体"/>
          <w:color w:val="171717"/>
        </w:rPr>
      </w:pPr>
      <w:r>
        <w:rPr>
          <w:rFonts w:hint="eastAsia" w:ascii="宋体" w:hAnsi="宋体"/>
          <w:color w:val="171717"/>
        </w:rPr>
        <w:t>6、检验钢丝绳及吊索、吊具、履带吊站位地基是否符合要求。</w:t>
      </w:r>
    </w:p>
    <w:p w14:paraId="28DD7285">
      <w:pPr>
        <w:ind w:firstLine="560"/>
        <w:rPr>
          <w:rFonts w:ascii="宋体" w:hAnsi="宋体"/>
          <w:color w:val="171717"/>
        </w:rPr>
      </w:pPr>
      <w:r>
        <w:rPr>
          <w:rFonts w:hint="eastAsia" w:ascii="宋体" w:hAnsi="宋体"/>
          <w:color w:val="171717"/>
        </w:rPr>
        <w:t>7、吊点选择应牢固可靠，起吊保持平稳。</w:t>
      </w:r>
    </w:p>
    <w:p w14:paraId="527F2125">
      <w:pPr>
        <w:ind w:firstLine="560"/>
        <w:rPr>
          <w:rFonts w:ascii="宋体" w:hAnsi="宋体"/>
          <w:color w:val="171717"/>
        </w:rPr>
      </w:pPr>
      <w:r>
        <w:rPr>
          <w:rFonts w:hint="eastAsia" w:ascii="宋体" w:hAnsi="宋体"/>
          <w:color w:val="171717"/>
        </w:rPr>
        <w:t>8、安装起吊过程中，吊物下严禁站人，高空作业戴好安全帽，挂系好安全带，扣好保险钩，穿安全防滑胶鞋，同时必须将工具螺栓等物放置系挂牢靠，严防高空坠落。</w:t>
      </w:r>
    </w:p>
    <w:p w14:paraId="7227778F">
      <w:pPr>
        <w:ind w:firstLine="560"/>
        <w:rPr>
          <w:rFonts w:ascii="宋体" w:hAnsi="宋体"/>
          <w:color w:val="171717"/>
        </w:rPr>
      </w:pPr>
      <w:r>
        <w:rPr>
          <w:rFonts w:hint="eastAsia" w:ascii="宋体" w:hAnsi="宋体"/>
          <w:color w:val="171717"/>
        </w:rPr>
        <w:t>9、临边作业区域要搭设围栏，防止施工过程中人员从边坡滚落。</w:t>
      </w:r>
    </w:p>
    <w:p w14:paraId="6F229119">
      <w:pPr>
        <w:ind w:firstLine="560"/>
        <w:rPr>
          <w:rFonts w:ascii="宋体" w:hAnsi="宋体"/>
          <w:color w:val="171717"/>
        </w:rPr>
      </w:pPr>
      <w:r>
        <w:rPr>
          <w:rFonts w:hint="eastAsia" w:ascii="宋体" w:hAnsi="宋体"/>
          <w:color w:val="171717"/>
        </w:rPr>
        <w:t>10严禁酒后上岗，作业时不得打闹、玩笑，不得向地面抛物件。</w:t>
      </w:r>
    </w:p>
    <w:p w14:paraId="1C255881">
      <w:pPr>
        <w:ind w:firstLine="560"/>
        <w:rPr>
          <w:rFonts w:ascii="宋体" w:hAnsi="宋体"/>
          <w:color w:val="171717"/>
        </w:rPr>
      </w:pPr>
      <w:r>
        <w:rPr>
          <w:rFonts w:hint="eastAsia" w:ascii="宋体" w:hAnsi="宋体"/>
          <w:color w:val="171717"/>
        </w:rPr>
        <w:t>11、作业前，塔机安装</w:t>
      </w:r>
      <w:r>
        <w:rPr>
          <w:rFonts w:ascii="宋体" w:hAnsi="宋体"/>
          <w:color w:val="171717"/>
        </w:rPr>
        <w:t>20</w:t>
      </w:r>
      <w:r>
        <w:rPr>
          <w:rFonts w:hint="eastAsia" w:ascii="宋体" w:hAnsi="宋体"/>
          <w:color w:val="171717"/>
        </w:rPr>
        <w:t>米范围内应划出安全警戒线，现场专职安全监护人员负责，严禁非作业人员入内逗留。</w:t>
      </w:r>
    </w:p>
    <w:p w14:paraId="5FC12068">
      <w:pPr>
        <w:ind w:firstLine="560"/>
        <w:rPr>
          <w:rFonts w:ascii="宋体" w:hAnsi="宋体"/>
          <w:color w:val="171717"/>
        </w:rPr>
      </w:pPr>
      <w:r>
        <w:rPr>
          <w:rFonts w:hint="eastAsia" w:ascii="宋体" w:hAnsi="宋体"/>
          <w:color w:val="171717"/>
        </w:rPr>
        <w:t>12、夜间作业照明应充足，看不清楚不得作业。</w:t>
      </w:r>
    </w:p>
    <w:p w14:paraId="0F0523EE">
      <w:pPr>
        <w:ind w:firstLine="560"/>
        <w:rPr>
          <w:rFonts w:ascii="宋体" w:hAnsi="宋体"/>
          <w:color w:val="171717"/>
        </w:rPr>
      </w:pPr>
      <w:r>
        <w:rPr>
          <w:rFonts w:hint="eastAsia" w:ascii="宋体" w:hAnsi="宋体"/>
          <w:color w:val="171717"/>
        </w:rPr>
        <w:t>13、所有参加作业人员必须遵守施工现场各项安全规定和本工种安全操作规程。</w:t>
      </w:r>
    </w:p>
    <w:p w14:paraId="53401563">
      <w:pPr>
        <w:ind w:firstLine="560"/>
        <w:rPr>
          <w:rFonts w:ascii="宋体" w:hAnsi="宋体"/>
          <w:color w:val="171717"/>
        </w:rPr>
      </w:pPr>
      <w:r>
        <w:rPr>
          <w:rFonts w:hint="eastAsia" w:ascii="宋体" w:hAnsi="宋体"/>
          <w:color w:val="171717"/>
        </w:rPr>
        <w:t>14、作业前，明确分工，指定专人统一指挥，并在作业范围设明显的安全标志及警戒线，并派专人看护，严禁非塔吊装拆工作人员进入施工区。</w:t>
      </w:r>
    </w:p>
    <w:p w14:paraId="5C814C15">
      <w:pPr>
        <w:ind w:firstLine="560"/>
        <w:rPr>
          <w:rFonts w:ascii="宋体" w:hAnsi="宋体"/>
          <w:color w:val="171717"/>
        </w:rPr>
      </w:pPr>
      <w:r>
        <w:rPr>
          <w:rFonts w:hint="eastAsia" w:ascii="宋体" w:hAnsi="宋体"/>
          <w:color w:val="171717"/>
        </w:rPr>
        <w:t>15、塔机顶升作业过程中，严禁回转起重臂。标准节连接销及其他连接销必须规范。</w:t>
      </w:r>
    </w:p>
    <w:p w14:paraId="6750A8A7">
      <w:pPr>
        <w:ind w:firstLine="560"/>
        <w:rPr>
          <w:rFonts w:ascii="宋体" w:hAnsi="宋体"/>
          <w:color w:val="171717"/>
        </w:rPr>
      </w:pPr>
      <w:r>
        <w:rPr>
          <w:rFonts w:hint="eastAsia" w:ascii="宋体" w:hAnsi="宋体"/>
          <w:color w:val="171717"/>
        </w:rPr>
        <w:t>16、安装和顶升作业必须明确油泵操作人员和作业观察人员，没有明确指令任何人均不可随意操作。</w:t>
      </w:r>
    </w:p>
    <w:p w14:paraId="1C630582">
      <w:pPr>
        <w:ind w:firstLine="560"/>
        <w:rPr>
          <w:rFonts w:ascii="宋体" w:hAnsi="宋体"/>
          <w:color w:val="171717"/>
        </w:rPr>
      </w:pPr>
      <w:r>
        <w:rPr>
          <w:rFonts w:hint="eastAsia" w:ascii="宋体" w:hAnsi="宋体"/>
          <w:color w:val="171717"/>
        </w:rPr>
        <w:t>17、吊装作业时由专人负责指挥，严格遵守“十不吊”规定，严禁乱指挥。</w:t>
      </w:r>
    </w:p>
    <w:p w14:paraId="1DD702DA">
      <w:pPr>
        <w:ind w:firstLine="560"/>
        <w:rPr>
          <w:rFonts w:ascii="宋体" w:hAnsi="宋体"/>
          <w:color w:val="171717"/>
        </w:rPr>
      </w:pPr>
      <w:r>
        <w:rPr>
          <w:rFonts w:hint="eastAsia" w:ascii="宋体" w:hAnsi="宋体"/>
          <w:color w:val="171717"/>
        </w:rPr>
        <w:t>18、安装和顶升人员必须正确使用规定的安全防护用具（安全帽、安全带、劳保鞋），并正确佩带。</w:t>
      </w:r>
    </w:p>
    <w:p w14:paraId="5C9528A1">
      <w:pPr>
        <w:ind w:firstLine="560"/>
        <w:rPr>
          <w:rFonts w:ascii="宋体" w:hAnsi="宋体"/>
          <w:color w:val="171717"/>
        </w:rPr>
      </w:pPr>
      <w:r>
        <w:rPr>
          <w:rFonts w:hint="eastAsia" w:ascii="宋体" w:hAnsi="宋体"/>
          <w:color w:val="171717"/>
        </w:rPr>
        <w:t>19、作业前，施工工长必须熟悉现场，注意运输中塔机部件与现场的电线、管线碰触问题。</w:t>
      </w:r>
    </w:p>
    <w:p w14:paraId="6144949C">
      <w:pPr>
        <w:ind w:firstLine="560"/>
        <w:rPr>
          <w:rFonts w:ascii="宋体" w:hAnsi="宋体"/>
          <w:color w:val="171717"/>
        </w:rPr>
      </w:pPr>
      <w:r>
        <w:rPr>
          <w:rFonts w:hint="eastAsia" w:ascii="宋体" w:hAnsi="宋体"/>
          <w:color w:val="171717"/>
        </w:rPr>
        <w:t>20、必须安装漏电保护器，作业前接地电阻测试应合格。</w:t>
      </w:r>
    </w:p>
    <w:p w14:paraId="1F0602A2">
      <w:pPr>
        <w:ind w:firstLine="560"/>
        <w:rPr>
          <w:rFonts w:ascii="宋体" w:hAnsi="宋体"/>
          <w:color w:val="171717"/>
        </w:rPr>
      </w:pPr>
      <w:r>
        <w:rPr>
          <w:rFonts w:hint="eastAsia" w:ascii="宋体" w:hAnsi="宋体"/>
          <w:color w:val="171717"/>
        </w:rPr>
        <w:t>21、作业时所有工具和连接件必须系挂在身上或放到工具袋内，严防物品坠落，严禁向下抛掷。</w:t>
      </w:r>
    </w:p>
    <w:p w14:paraId="449FD226">
      <w:pPr>
        <w:ind w:firstLine="560"/>
        <w:rPr>
          <w:rFonts w:ascii="宋体" w:hAnsi="宋体"/>
          <w:color w:val="171717"/>
        </w:rPr>
      </w:pPr>
      <w:r>
        <w:rPr>
          <w:rFonts w:hint="eastAsia" w:ascii="宋体" w:hAnsi="宋体"/>
          <w:color w:val="171717"/>
        </w:rPr>
        <w:t>22、施工负责人对塔吊运输、安装过程进行检查，及时制止并纠正违章操作行为，防止事故发生。</w:t>
      </w:r>
    </w:p>
    <w:p w14:paraId="424DD8B7">
      <w:pPr>
        <w:ind w:firstLine="560"/>
        <w:rPr>
          <w:rFonts w:ascii="宋体" w:hAnsi="宋体"/>
          <w:color w:val="171717"/>
        </w:rPr>
      </w:pPr>
      <w:r>
        <w:rPr>
          <w:rFonts w:hint="eastAsia" w:ascii="宋体" w:hAnsi="宋体"/>
          <w:color w:val="171717"/>
        </w:rPr>
        <w:t>23、驾驶室必须配备灭火器、对讲机。</w:t>
      </w:r>
    </w:p>
    <w:p w14:paraId="3F7FC750">
      <w:pPr>
        <w:ind w:firstLine="560"/>
        <w:rPr>
          <w:rFonts w:ascii="宋体" w:hAnsi="宋体"/>
          <w:color w:val="171717"/>
        </w:rPr>
      </w:pPr>
      <w:r>
        <w:rPr>
          <w:rFonts w:hint="eastAsia" w:ascii="宋体" w:hAnsi="宋体"/>
          <w:color w:val="171717"/>
        </w:rPr>
        <w:t>24、五级以上大风及较大雨天禁止作业。</w:t>
      </w:r>
    </w:p>
    <w:p w14:paraId="240E11F2">
      <w:pPr>
        <w:pStyle w:val="12"/>
        <w:ind w:firstLine="560"/>
        <w:rPr>
          <w:rFonts w:hint="default"/>
        </w:rPr>
      </w:pPr>
      <w:r>
        <w:rPr>
          <w:rFonts w:hAnsi="宋体"/>
          <w:color w:val="171717"/>
        </w:rPr>
        <w:t>25、</w:t>
      </w:r>
      <w:r>
        <w:rPr>
          <w:rFonts w:cs="宋体"/>
          <w:kern w:val="0"/>
          <w:szCs w:val="21"/>
        </w:rPr>
        <w:t>安装作业人员需随身携带工具包，移动时需将工具收纳至工具包内。大锤需有防滑措施。</w:t>
      </w:r>
    </w:p>
    <w:p w14:paraId="4AD32823">
      <w:pPr>
        <w:pStyle w:val="3"/>
        <w:spacing w:before="120" w:after="120"/>
        <w:rPr>
          <w:color w:val="171717"/>
        </w:rPr>
      </w:pPr>
      <w:bookmarkStart w:id="421" w:name="_Toc20367"/>
      <w:bookmarkStart w:id="422" w:name="_Toc28627"/>
      <w:bookmarkStart w:id="423" w:name="_Toc14743"/>
      <w:bookmarkStart w:id="424" w:name="_Toc13237"/>
      <w:bookmarkStart w:id="425" w:name="_Toc11211"/>
      <w:bookmarkStart w:id="426" w:name="_Toc27814"/>
      <w:bookmarkStart w:id="427" w:name="_Toc174"/>
      <w:bookmarkStart w:id="428" w:name="_Toc26677"/>
      <w:r>
        <w:rPr>
          <w:rFonts w:hint="eastAsia"/>
          <w:color w:val="171717"/>
        </w:rPr>
        <w:t>8.4质量监测与监控</w:t>
      </w:r>
      <w:bookmarkEnd w:id="421"/>
      <w:bookmarkEnd w:id="422"/>
      <w:bookmarkEnd w:id="423"/>
      <w:bookmarkEnd w:id="424"/>
      <w:bookmarkEnd w:id="425"/>
      <w:bookmarkEnd w:id="426"/>
      <w:bookmarkEnd w:id="427"/>
      <w:bookmarkEnd w:id="428"/>
    </w:p>
    <w:p w14:paraId="21B79B89">
      <w:pPr>
        <w:ind w:firstLine="560"/>
        <w:rPr>
          <w:rFonts w:ascii="宋体" w:hAnsi="宋体"/>
          <w:color w:val="171717"/>
        </w:rPr>
      </w:pPr>
      <w:r>
        <w:rPr>
          <w:rFonts w:hint="eastAsia" w:ascii="宋体" w:hAnsi="宋体"/>
          <w:color w:val="171717"/>
        </w:rPr>
        <w:t>安装完成后和项目部相关人员和安装负责人按下表进行安装质量监测监控</w:t>
      </w:r>
    </w:p>
    <w:p w14:paraId="1BD6A1ED">
      <w:pPr>
        <w:ind w:firstLine="560"/>
        <w:rPr>
          <w:rFonts w:ascii="宋体" w:hAnsi="宋体"/>
          <w:color w:val="171717"/>
        </w:rPr>
      </w:pPr>
      <w:r>
        <w:rPr>
          <w:rFonts w:ascii="宋体" w:hAnsi="宋体"/>
          <w:color w:val="171717"/>
        </w:rPr>
        <w:t>1</w:t>
      </w:r>
      <w:r>
        <w:rPr>
          <w:rFonts w:hint="eastAsia" w:ascii="宋体" w:hAnsi="宋体"/>
          <w:color w:val="171717"/>
        </w:rPr>
        <w:t>、监测监控单位和人员</w:t>
      </w:r>
    </w:p>
    <w:p w14:paraId="140EBBB2">
      <w:pPr>
        <w:ind w:firstLine="560"/>
        <w:rPr>
          <w:rFonts w:ascii="宋体" w:hAnsi="宋体"/>
          <w:color w:val="171717"/>
        </w:rPr>
      </w:pPr>
      <w:r>
        <w:rPr>
          <w:rFonts w:hint="eastAsia" w:ascii="宋体" w:hAnsi="宋体"/>
          <w:color w:val="171717"/>
        </w:rPr>
        <w:t>监测监控小组应由安质部、工程部部及机械部等相关技术监督部门组成，负责对整个安装施工过程的监督，以保证塔机的安装质量。</w:t>
      </w:r>
    </w:p>
    <w:p w14:paraId="144350CB">
      <w:pPr>
        <w:ind w:firstLine="560"/>
        <w:rPr>
          <w:rFonts w:ascii="宋体" w:hAnsi="宋体"/>
          <w:color w:val="171717"/>
        </w:rPr>
      </w:pPr>
      <w:r>
        <w:rPr>
          <w:rFonts w:ascii="宋体" w:hAnsi="宋体"/>
          <w:color w:val="171717"/>
        </w:rPr>
        <w:t>2</w:t>
      </w:r>
      <w:r>
        <w:rPr>
          <w:rFonts w:hint="eastAsia" w:ascii="宋体" w:hAnsi="宋体"/>
          <w:color w:val="171717"/>
        </w:rPr>
        <w:t>、监测监控管理目标</w:t>
      </w:r>
    </w:p>
    <w:p w14:paraId="757F26E7">
      <w:pPr>
        <w:ind w:firstLine="560"/>
        <w:rPr>
          <w:rFonts w:ascii="宋体" w:hAnsi="宋体"/>
          <w:color w:val="171717"/>
        </w:rPr>
      </w:pPr>
      <w:r>
        <w:rPr>
          <w:rFonts w:hint="eastAsia" w:ascii="宋体" w:hAnsi="宋体"/>
          <w:color w:val="171717"/>
        </w:rPr>
        <w:t>施工工艺执行率</w:t>
      </w:r>
      <w:r>
        <w:rPr>
          <w:rFonts w:ascii="宋体" w:hAnsi="宋体"/>
          <w:color w:val="171717"/>
        </w:rPr>
        <w:t>100%</w:t>
      </w:r>
      <w:r>
        <w:rPr>
          <w:rFonts w:hint="eastAsia" w:ascii="宋体" w:hAnsi="宋体"/>
          <w:color w:val="171717"/>
        </w:rPr>
        <w:t>。</w:t>
      </w:r>
    </w:p>
    <w:p w14:paraId="2A045DBC">
      <w:pPr>
        <w:ind w:firstLine="560"/>
        <w:rPr>
          <w:rFonts w:ascii="宋体" w:hAnsi="宋体"/>
          <w:color w:val="171717"/>
        </w:rPr>
      </w:pPr>
      <w:r>
        <w:rPr>
          <w:rFonts w:hint="eastAsia" w:ascii="宋体" w:hAnsi="宋体"/>
          <w:color w:val="171717"/>
        </w:rPr>
        <w:t>工程竣工一次验收合格率</w:t>
      </w:r>
      <w:r>
        <w:rPr>
          <w:rFonts w:ascii="宋体" w:hAnsi="宋体"/>
          <w:color w:val="171717"/>
        </w:rPr>
        <w:t>100%</w:t>
      </w:r>
      <w:r>
        <w:rPr>
          <w:rFonts w:hint="eastAsia" w:ascii="宋体" w:hAnsi="宋体"/>
          <w:color w:val="171717"/>
        </w:rPr>
        <w:t>。</w:t>
      </w:r>
    </w:p>
    <w:p w14:paraId="048CCBD8">
      <w:pPr>
        <w:ind w:firstLine="560"/>
        <w:rPr>
          <w:rFonts w:ascii="宋体" w:hAnsi="宋体"/>
          <w:color w:val="171717"/>
        </w:rPr>
      </w:pPr>
      <w:r>
        <w:rPr>
          <w:rFonts w:hint="eastAsia" w:ascii="宋体" w:hAnsi="宋体"/>
          <w:color w:val="171717"/>
        </w:rPr>
        <w:t>确保设备安全无故障运行，现场服务满意率</w:t>
      </w:r>
      <w:r>
        <w:rPr>
          <w:rFonts w:ascii="宋体" w:hAnsi="宋体"/>
          <w:color w:val="171717"/>
        </w:rPr>
        <w:t>100%</w:t>
      </w:r>
      <w:r>
        <w:rPr>
          <w:rFonts w:hint="eastAsia" w:ascii="宋体" w:hAnsi="宋体"/>
          <w:color w:val="171717"/>
        </w:rPr>
        <w:t>。</w:t>
      </w:r>
    </w:p>
    <w:p w14:paraId="2874C914">
      <w:pPr>
        <w:ind w:firstLine="560"/>
        <w:rPr>
          <w:rFonts w:ascii="宋体" w:hAnsi="宋体"/>
          <w:color w:val="171717"/>
        </w:rPr>
      </w:pPr>
      <w:r>
        <w:rPr>
          <w:rFonts w:ascii="宋体" w:hAnsi="宋体"/>
          <w:color w:val="171717"/>
        </w:rPr>
        <w:t>3</w:t>
      </w:r>
      <w:r>
        <w:rPr>
          <w:rFonts w:hint="eastAsia" w:ascii="宋体" w:hAnsi="宋体"/>
          <w:color w:val="171717"/>
        </w:rPr>
        <w:t>、监测监控管理措施</w:t>
      </w:r>
    </w:p>
    <w:p w14:paraId="2352D32B">
      <w:pPr>
        <w:ind w:firstLine="560"/>
        <w:rPr>
          <w:rFonts w:ascii="宋体" w:hAnsi="宋体"/>
          <w:color w:val="171717"/>
        </w:rPr>
      </w:pPr>
      <w:r>
        <w:rPr>
          <w:rFonts w:hint="eastAsia" w:ascii="宋体" w:hAnsi="宋体"/>
          <w:color w:val="171717"/>
        </w:rPr>
        <w:t>塔机进场时必须经质保、安全、技术等相关部门验收合格，方可进行安装。</w:t>
      </w:r>
    </w:p>
    <w:p w14:paraId="3B7BD65D">
      <w:pPr>
        <w:ind w:firstLine="560"/>
        <w:rPr>
          <w:rFonts w:ascii="宋体" w:hAnsi="宋体"/>
          <w:color w:val="171717"/>
        </w:rPr>
      </w:pPr>
      <w:r>
        <w:rPr>
          <w:rFonts w:hint="eastAsia" w:ascii="宋体" w:hAnsi="宋体"/>
          <w:color w:val="171717"/>
        </w:rPr>
        <w:t>塔机进场后必须提交各部件出厂合格证，整机第三方检验证明等质保文件。</w:t>
      </w:r>
    </w:p>
    <w:p w14:paraId="18DB7B0A">
      <w:pPr>
        <w:ind w:firstLine="560"/>
        <w:rPr>
          <w:rFonts w:ascii="宋体" w:hAnsi="宋体"/>
          <w:color w:val="171717"/>
        </w:rPr>
      </w:pPr>
      <w:r>
        <w:rPr>
          <w:rFonts w:hint="eastAsia" w:ascii="宋体" w:hAnsi="宋体"/>
          <w:color w:val="171717"/>
        </w:rPr>
        <w:t>塔机安装的每一个步骤均应有机械化施工分公司质保人员见证验收，验收合格后方可进行下一步的安装工作。</w:t>
      </w:r>
    </w:p>
    <w:p w14:paraId="370BEC86">
      <w:pPr>
        <w:ind w:firstLine="560"/>
        <w:rPr>
          <w:rFonts w:ascii="宋体" w:hAnsi="宋体"/>
          <w:color w:val="171717"/>
        </w:rPr>
      </w:pPr>
      <w:r>
        <w:rPr>
          <w:rFonts w:hint="eastAsia" w:ascii="宋体" w:hAnsi="宋体"/>
          <w:color w:val="171717"/>
        </w:rPr>
        <w:t>塔机的安装工作必须严格按照安装技术方案来执行。</w:t>
      </w:r>
    </w:p>
    <w:p w14:paraId="5F7DABDE">
      <w:pPr>
        <w:ind w:firstLine="560"/>
        <w:rPr>
          <w:rFonts w:ascii="宋体" w:hAnsi="宋体"/>
          <w:color w:val="171717"/>
        </w:rPr>
      </w:pPr>
      <w:r>
        <w:rPr>
          <w:rFonts w:hint="eastAsia" w:ascii="宋体" w:hAnsi="宋体"/>
          <w:color w:val="171717"/>
        </w:rPr>
        <w:t>安拆施工技术人员编制出的安拆施工方案，必须履行审批手续，经项目部审核、监理单位批准后实施。</w:t>
      </w:r>
    </w:p>
    <w:p w14:paraId="73373FA8">
      <w:pPr>
        <w:ind w:firstLine="560"/>
        <w:rPr>
          <w:rFonts w:ascii="宋体" w:hAnsi="宋体"/>
          <w:color w:val="171717"/>
        </w:rPr>
      </w:pPr>
      <w:r>
        <w:rPr>
          <w:rFonts w:hint="eastAsia" w:ascii="宋体" w:hAnsi="宋体"/>
          <w:color w:val="171717"/>
        </w:rPr>
        <w:t>安装工序做好自检，安装完毕应根据《安装质量验收制度》要求做好调试、检查各机构运转正常、安全装置和各安全限位齐全、灵敏、可靠，</w:t>
      </w:r>
      <w:r>
        <w:rPr>
          <w:rFonts w:hint="eastAsia" w:ascii="宋体" w:hAnsi="宋体"/>
          <w:color w:val="1E1C11"/>
        </w:rPr>
        <w:t>做好安装检查验收记录。</w:t>
      </w:r>
    </w:p>
    <w:p w14:paraId="29921255">
      <w:pPr>
        <w:ind w:firstLine="560"/>
        <w:rPr>
          <w:rFonts w:ascii="宋体" w:hAnsi="宋体"/>
          <w:color w:val="171717"/>
        </w:rPr>
      </w:pPr>
      <w:r>
        <w:rPr>
          <w:rFonts w:hint="eastAsia" w:ascii="宋体" w:hAnsi="宋体"/>
          <w:color w:val="171717"/>
        </w:rPr>
        <w:t>吊安装工长负责贯彻执行每道作业程序，确保施工工艺执行率</w:t>
      </w:r>
      <w:r>
        <w:rPr>
          <w:rFonts w:ascii="宋体" w:hAnsi="宋体"/>
          <w:color w:val="171717"/>
        </w:rPr>
        <w:t>100%</w:t>
      </w:r>
      <w:r>
        <w:rPr>
          <w:rFonts w:hint="eastAsia" w:ascii="宋体" w:hAnsi="宋体"/>
          <w:color w:val="171717"/>
        </w:rPr>
        <w:t>。</w:t>
      </w:r>
    </w:p>
    <w:p w14:paraId="63D61BEC">
      <w:pPr>
        <w:ind w:firstLine="560"/>
        <w:rPr>
          <w:rFonts w:ascii="宋体" w:hAnsi="宋体"/>
          <w:color w:val="171717"/>
        </w:rPr>
      </w:pPr>
      <w:r>
        <w:rPr>
          <w:rFonts w:hint="eastAsia" w:ascii="宋体" w:hAnsi="宋体"/>
          <w:color w:val="171717"/>
        </w:rPr>
        <w:t>安拆单位负责塔机基础的施工质量，项目部配合塔吊安装过程中垂直度进行测量和记录。</w:t>
      </w:r>
    </w:p>
    <w:p w14:paraId="27FA0CCB">
      <w:pPr>
        <w:ind w:firstLine="560"/>
        <w:rPr>
          <w:rFonts w:ascii="宋体" w:hAnsi="宋体"/>
          <w:color w:val="171717"/>
        </w:rPr>
      </w:pPr>
      <w:r>
        <w:rPr>
          <w:rFonts w:hint="eastAsia" w:ascii="宋体" w:hAnsi="宋体"/>
          <w:color w:val="171717"/>
        </w:rPr>
        <w:t>实施对施工设备、工具、索具每日安全检查、维护保养，确保设备安全无故障运行。</w:t>
      </w:r>
    </w:p>
    <w:p w14:paraId="3EC99C57">
      <w:pPr>
        <w:ind w:firstLine="560"/>
        <w:rPr>
          <w:rFonts w:ascii="宋体" w:hAnsi="宋体"/>
          <w:color w:val="171717"/>
        </w:rPr>
      </w:pPr>
      <w:r>
        <w:rPr>
          <w:rFonts w:hint="eastAsia" w:ascii="宋体" w:hAnsi="宋体"/>
          <w:color w:val="171717"/>
        </w:rPr>
        <w:t>设备安装完毕，必须经安全检查部门检验合格，或所有缺陷均整改合格，取得安全使用合格证后，才能移交使用。</w:t>
      </w:r>
    </w:p>
    <w:p w14:paraId="577F9237">
      <w:pPr>
        <w:ind w:firstLine="560"/>
        <w:rPr>
          <w:rFonts w:ascii="宋体" w:hAnsi="宋体"/>
          <w:color w:val="171717"/>
        </w:rPr>
      </w:pPr>
      <w:r>
        <w:rPr>
          <w:rFonts w:hint="eastAsia" w:ascii="宋体" w:hAnsi="宋体"/>
          <w:color w:val="171717"/>
        </w:rPr>
        <w:t>施工服务人员、维修人员严格执行劳动纪律，保持良好的服务态度，虚心听取建设单位意见，确保服务质量满足客户要求。</w:t>
      </w:r>
    </w:p>
    <w:p w14:paraId="5419354D">
      <w:pPr>
        <w:ind w:firstLine="560"/>
        <w:rPr>
          <w:rFonts w:ascii="宋体" w:hAnsi="宋体"/>
          <w:color w:val="171717"/>
        </w:rPr>
      </w:pPr>
      <w:r>
        <w:rPr>
          <w:rFonts w:ascii="宋体" w:hAnsi="宋体"/>
          <w:color w:val="171717"/>
        </w:rPr>
        <w:t>4</w:t>
      </w:r>
      <w:r>
        <w:rPr>
          <w:rFonts w:hint="eastAsia" w:ascii="宋体" w:hAnsi="宋体"/>
          <w:color w:val="171717"/>
        </w:rPr>
        <w:t>、垂直度测量措施</w:t>
      </w:r>
    </w:p>
    <w:p w14:paraId="661EA556">
      <w:pPr>
        <w:ind w:firstLine="560"/>
      </w:pPr>
      <w:r>
        <w:rPr>
          <w:rFonts w:hint="eastAsia" w:ascii="宋体" w:hAnsi="宋体"/>
          <w:color w:val="171717"/>
        </w:rPr>
        <w:t>侧向垂直度在最大独立安装高度、空载状态、臂架相对于塔身</w:t>
      </w:r>
      <w:r>
        <w:rPr>
          <w:rFonts w:ascii="宋体" w:hAnsi="宋体"/>
          <w:color w:val="171717"/>
        </w:rPr>
        <w:t>0</w:t>
      </w:r>
      <w:r>
        <w:rPr>
          <w:rFonts w:hint="eastAsia" w:ascii="宋体" w:hAnsi="宋体"/>
          <w:color w:val="171717"/>
        </w:rPr>
        <w:t>°和</w:t>
      </w:r>
      <w:r>
        <w:rPr>
          <w:rFonts w:ascii="宋体" w:hAnsi="宋体"/>
          <w:color w:val="171717"/>
        </w:rPr>
        <w:t>90</w:t>
      </w:r>
      <w:r>
        <w:rPr>
          <w:rFonts w:hint="eastAsia" w:ascii="宋体" w:hAnsi="宋体"/>
          <w:color w:val="171717"/>
        </w:rPr>
        <w:t>°时由项目部测量人员使用全站仪分别沿臂架方向测量，标尺贴靠在塔身结构中心的最低处和最高处，用经纬仪测量两处的值，连续测量三次取平均值，计算塔身垂直度。要求垂直度误差≤</w:t>
      </w:r>
      <w:r>
        <w:rPr>
          <w:rFonts w:ascii="宋体" w:hAnsi="宋体"/>
          <w:color w:val="171717"/>
        </w:rPr>
        <w:t>4/1000</w:t>
      </w:r>
      <w:r>
        <w:rPr>
          <w:rFonts w:hint="eastAsia" w:ascii="宋体" w:hAnsi="宋体"/>
          <w:color w:val="171717"/>
        </w:rPr>
        <w:t>；</w:t>
      </w:r>
    </w:p>
    <w:p w14:paraId="40B9B054">
      <w:pPr>
        <w:pStyle w:val="2"/>
        <w:rPr>
          <w:color w:val="000000"/>
        </w:rPr>
      </w:pPr>
      <w:bookmarkStart w:id="429" w:name="_Toc9689"/>
      <w:bookmarkStart w:id="430" w:name="_Toc16563"/>
      <w:bookmarkStart w:id="431" w:name="_Toc30554"/>
      <w:bookmarkStart w:id="432" w:name="_Toc14047"/>
      <w:bookmarkStart w:id="433" w:name="_Toc6494"/>
      <w:bookmarkStart w:id="434" w:name="_Toc32609"/>
      <w:bookmarkStart w:id="435" w:name="_Toc32717"/>
      <w:r>
        <w:rPr>
          <w:rFonts w:hint="eastAsia"/>
          <w:color w:val="000000"/>
        </w:rPr>
        <w:t>第九章 安全管理措施</w:t>
      </w:r>
      <w:bookmarkEnd w:id="354"/>
      <w:bookmarkEnd w:id="355"/>
      <w:bookmarkEnd w:id="356"/>
      <w:bookmarkEnd w:id="357"/>
      <w:bookmarkEnd w:id="358"/>
      <w:bookmarkEnd w:id="359"/>
      <w:bookmarkEnd w:id="360"/>
      <w:bookmarkEnd w:id="361"/>
      <w:bookmarkEnd w:id="429"/>
      <w:bookmarkEnd w:id="430"/>
      <w:bookmarkEnd w:id="431"/>
      <w:bookmarkEnd w:id="432"/>
      <w:bookmarkEnd w:id="433"/>
      <w:bookmarkEnd w:id="434"/>
      <w:bookmarkEnd w:id="435"/>
    </w:p>
    <w:p w14:paraId="2EAE696C">
      <w:pPr>
        <w:pStyle w:val="3"/>
        <w:rPr>
          <w:color w:val="000000"/>
        </w:rPr>
      </w:pPr>
      <w:bookmarkStart w:id="436" w:name="_Toc11936"/>
      <w:bookmarkStart w:id="437" w:name="_Toc10746"/>
      <w:bookmarkStart w:id="438" w:name="_Toc1159"/>
      <w:bookmarkStart w:id="439" w:name="_Toc7305"/>
      <w:bookmarkStart w:id="440" w:name="_Toc87114081"/>
      <w:bookmarkStart w:id="441" w:name="_Toc10342"/>
      <w:bookmarkStart w:id="442" w:name="_Toc20054"/>
      <w:bookmarkStart w:id="443" w:name="_Toc24020"/>
      <w:bookmarkStart w:id="444" w:name="_Toc13990"/>
      <w:bookmarkStart w:id="445" w:name="_Toc28976"/>
      <w:bookmarkStart w:id="446" w:name="_Toc4288"/>
      <w:bookmarkStart w:id="447" w:name="_Toc5695"/>
      <w:bookmarkStart w:id="448" w:name="_Toc6010"/>
      <w:bookmarkStart w:id="449" w:name="_Toc22032"/>
      <w:bookmarkStart w:id="450" w:name="_Toc26430"/>
      <w:r>
        <w:rPr>
          <w:rFonts w:hint="eastAsia"/>
          <w:color w:val="000000"/>
        </w:rPr>
        <w:t>9.</w:t>
      </w:r>
      <w:r>
        <w:rPr>
          <w:color w:val="000000"/>
        </w:rPr>
        <w:t xml:space="preserve">1 </w:t>
      </w:r>
      <w:r>
        <w:rPr>
          <w:rFonts w:hint="eastAsia"/>
          <w:color w:val="000000"/>
        </w:rPr>
        <w:t>安全保证措施</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740F2514">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9.1.1安全管理目标</w:t>
      </w:r>
    </w:p>
    <w:p w14:paraId="040E7019">
      <w:pPr>
        <w:ind w:firstLine="560"/>
      </w:pPr>
      <w:r>
        <w:rPr>
          <w:rFonts w:hint="eastAsia"/>
        </w:rPr>
        <w:t>杜绝一般事故，确保零死亡。无责任事故。无重大安全隐患。不得因施工对周边环境、建筑、设施等造成破坏。无刑事案件发生。</w:t>
      </w:r>
    </w:p>
    <w:p w14:paraId="38EF1E10">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9.1.2 组织机构</w:t>
      </w:r>
    </w:p>
    <w:p w14:paraId="48612161">
      <w:pPr>
        <w:ind w:firstLine="560"/>
        <w:rPr>
          <w:color w:val="000000"/>
        </w:rPr>
      </w:pPr>
      <w:r>
        <w:rPr>
          <w:rFonts w:hint="eastAsia"/>
          <w:color w:val="000000"/>
        </w:rPr>
        <w:t>项目经理部成立以项目经理为组长，安全总监、总工程师、副经理、总经济师为副组长，职能部门负责人为组员的安全管理领导小组。项目部设置安环部，配备专职安全工程师，专门负责本单位日常安全生产监督管理工作。</w:t>
      </w:r>
    </w:p>
    <w:p w14:paraId="514A70B6">
      <w:pPr>
        <w:spacing w:line="240" w:lineRule="auto"/>
        <w:ind w:firstLine="0" w:firstLineChars="0"/>
        <w:jc w:val="center"/>
        <w:rPr>
          <w:color w:val="000000"/>
        </w:rPr>
      </w:pPr>
      <w:r>
        <w:rPr>
          <w:color w:val="000000"/>
        </w:rPr>
        <w:drawing>
          <wp:inline distT="0" distB="0" distL="114300" distR="114300">
            <wp:extent cx="4145280" cy="4037330"/>
            <wp:effectExtent l="0" t="0" r="0" b="1270"/>
            <wp:docPr id="5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6"/>
                    <pic:cNvPicPr>
                      <a:picLocks noChangeAspect="1"/>
                    </pic:cNvPicPr>
                  </pic:nvPicPr>
                  <pic:blipFill>
                    <a:blip r:embed="rId69"/>
                    <a:stretch>
                      <a:fillRect/>
                    </a:stretch>
                  </pic:blipFill>
                  <pic:spPr>
                    <a:xfrm>
                      <a:off x="0" y="0"/>
                      <a:ext cx="4145280" cy="4037330"/>
                    </a:xfrm>
                    <a:prstGeom prst="rect">
                      <a:avLst/>
                    </a:prstGeom>
                    <a:noFill/>
                    <a:ln>
                      <a:noFill/>
                    </a:ln>
                  </pic:spPr>
                </pic:pic>
              </a:graphicData>
            </a:graphic>
          </wp:inline>
        </w:drawing>
      </w:r>
    </w:p>
    <w:p w14:paraId="2FD2D43A">
      <w:pPr>
        <w:pStyle w:val="123"/>
        <w:rPr>
          <w:rStyle w:val="124"/>
          <w:b/>
        </w:rPr>
      </w:pPr>
      <w:r>
        <w:rPr>
          <w:rStyle w:val="124"/>
          <w:rFonts w:hint="eastAsia"/>
          <w:b/>
        </w:rPr>
        <w:t>图9.</w:t>
      </w:r>
      <w:r>
        <w:rPr>
          <w:rStyle w:val="124"/>
          <w:b/>
        </w:rPr>
        <w:t xml:space="preserve">1-1 </w:t>
      </w:r>
      <w:r>
        <w:rPr>
          <w:rStyle w:val="124"/>
          <w:rFonts w:hint="eastAsia"/>
          <w:b/>
        </w:rPr>
        <w:t>安全管理组织机构框图</w:t>
      </w:r>
    </w:p>
    <w:p w14:paraId="4624944E">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9.1.3 保证体系</w:t>
      </w:r>
    </w:p>
    <w:p w14:paraId="045A4902">
      <w:pPr>
        <w:ind w:firstLine="560"/>
        <w:rPr>
          <w:color w:val="000000"/>
        </w:rPr>
      </w:pPr>
      <w:r>
        <w:rPr>
          <w:rFonts w:hint="eastAsia"/>
          <w:color w:val="000000"/>
        </w:rPr>
        <w:t>施工安全目标保证体系如下图:</w:t>
      </w:r>
    </w:p>
    <w:p w14:paraId="16AF8EF2">
      <w:pPr>
        <w:spacing w:line="240" w:lineRule="auto"/>
        <w:ind w:firstLine="0" w:firstLineChars="0"/>
        <w:jc w:val="center"/>
        <w:rPr>
          <w:rFonts w:cs="仿宋"/>
          <w:color w:val="000000"/>
          <w:sz w:val="18"/>
        </w:rPr>
      </w:pPr>
      <w:r>
        <w:rPr>
          <w:rFonts w:cs="仿宋"/>
          <w:color w:val="000000"/>
          <w:sz w:val="18"/>
        </w:rPr>
        <w:drawing>
          <wp:inline distT="0" distB="0" distL="114300" distR="114300">
            <wp:extent cx="5725160" cy="6306820"/>
            <wp:effectExtent l="0" t="0" r="5080" b="2540"/>
            <wp:docPr id="52"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21"/>
                    <pic:cNvPicPr>
                      <a:picLocks noChangeAspect="1"/>
                    </pic:cNvPicPr>
                  </pic:nvPicPr>
                  <pic:blipFill>
                    <a:blip r:embed="rId70"/>
                    <a:stretch>
                      <a:fillRect/>
                    </a:stretch>
                  </pic:blipFill>
                  <pic:spPr>
                    <a:xfrm>
                      <a:off x="0" y="0"/>
                      <a:ext cx="5725160" cy="6306820"/>
                    </a:xfrm>
                    <a:prstGeom prst="rect">
                      <a:avLst/>
                    </a:prstGeom>
                    <a:noFill/>
                    <a:ln>
                      <a:noFill/>
                    </a:ln>
                  </pic:spPr>
                </pic:pic>
              </a:graphicData>
            </a:graphic>
          </wp:inline>
        </w:drawing>
      </w:r>
    </w:p>
    <w:p w14:paraId="680B9CBF">
      <w:pPr>
        <w:pStyle w:val="123"/>
        <w:spacing w:before="29" w:line="360" w:lineRule="auto"/>
        <w:ind w:right="159"/>
        <w:rPr>
          <w:rStyle w:val="124"/>
          <w:b/>
        </w:rPr>
      </w:pPr>
      <w:bookmarkStart w:id="451" w:name="_Toc4879"/>
      <w:bookmarkStart w:id="452" w:name="_Toc27540"/>
      <w:bookmarkStart w:id="453" w:name="_Toc25451"/>
      <w:r>
        <w:rPr>
          <w:rStyle w:val="124"/>
          <w:rFonts w:hint="eastAsia"/>
          <w:b/>
        </w:rPr>
        <w:t>图9.1-2 安全生产保证体系框图</w:t>
      </w:r>
      <w:bookmarkEnd w:id="451"/>
      <w:bookmarkEnd w:id="452"/>
      <w:bookmarkEnd w:id="453"/>
    </w:p>
    <w:p w14:paraId="20894C7E">
      <w:pPr>
        <w:pStyle w:val="3"/>
        <w:spacing w:before="120" w:after="120"/>
      </w:pPr>
      <w:bookmarkStart w:id="454" w:name="_Toc20533"/>
      <w:bookmarkStart w:id="455" w:name="_Toc5351"/>
      <w:bookmarkStart w:id="456" w:name="_Toc17725"/>
      <w:bookmarkStart w:id="457" w:name="_Toc31815"/>
      <w:bookmarkStart w:id="458" w:name="_Toc14256"/>
      <w:bookmarkStart w:id="459" w:name="_Toc19695"/>
      <w:bookmarkStart w:id="460" w:name="_Toc10569"/>
      <w:bookmarkStart w:id="461" w:name="_Toc16185041"/>
      <w:bookmarkStart w:id="462" w:name="_Toc511375423"/>
      <w:bookmarkStart w:id="463" w:name="_Toc96868107"/>
      <w:r>
        <w:rPr>
          <w:rFonts w:hint="eastAsia" w:ascii="Times New Roman" w:hAnsi="Times New Roman"/>
        </w:rPr>
        <w:t>9.2危险源安全监控措施</w:t>
      </w:r>
      <w:bookmarkEnd w:id="454"/>
      <w:bookmarkEnd w:id="455"/>
      <w:bookmarkEnd w:id="456"/>
      <w:bookmarkEnd w:id="457"/>
      <w:bookmarkEnd w:id="458"/>
      <w:bookmarkEnd w:id="459"/>
      <w:bookmarkEnd w:id="460"/>
    </w:p>
    <w:p w14:paraId="4E482FFA">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9.2.1高处坠落安全控制措施</w:t>
      </w:r>
    </w:p>
    <w:p w14:paraId="4265581F">
      <w:pPr>
        <w:ind w:firstLine="560"/>
        <w:rPr>
          <w:szCs w:val="22"/>
        </w:rPr>
      </w:pPr>
      <w:r>
        <w:rPr>
          <w:rFonts w:hint="eastAsia"/>
          <w:szCs w:val="22"/>
        </w:rPr>
        <w:t>1、一般控制措施</w:t>
      </w:r>
    </w:p>
    <w:p w14:paraId="44F26FFC">
      <w:pPr>
        <w:ind w:firstLine="560"/>
      </w:pPr>
      <w:r>
        <w:rPr>
          <w:rFonts w:hint="eastAsia"/>
        </w:rPr>
        <w:t>（1）从事登高作业人员，必须进行体格检查，检查不合格不得从事高空作业。</w:t>
      </w:r>
    </w:p>
    <w:p w14:paraId="23BEDE68">
      <w:pPr>
        <w:ind w:firstLine="560"/>
      </w:pPr>
      <w:r>
        <w:rPr>
          <w:rFonts w:hint="eastAsia"/>
        </w:rPr>
        <w:t>（2）定期对个人安全防护用品、安全帽、安全带、防滑鞋的检查。</w:t>
      </w:r>
    </w:p>
    <w:p w14:paraId="6C66F6AC">
      <w:pPr>
        <w:ind w:firstLine="560"/>
      </w:pPr>
      <w:r>
        <w:rPr>
          <w:rFonts w:hint="eastAsia"/>
        </w:rPr>
        <w:t>（3）每日上岗前，必须对高处作业安全防护设施逐一加以检查，发现有松动、变形、损坏或脱落等现象，立即修理完善。</w:t>
      </w:r>
    </w:p>
    <w:p w14:paraId="45121BD8">
      <w:pPr>
        <w:ind w:firstLine="560"/>
      </w:pPr>
      <w:r>
        <w:rPr>
          <w:rFonts w:hint="eastAsia"/>
        </w:rPr>
        <w:t>（4）对高处作业的安全防护设施，做好安全监控，发现有缺陷和隐患时必须及时解决。</w:t>
      </w:r>
    </w:p>
    <w:p w14:paraId="62C314F1">
      <w:pPr>
        <w:ind w:firstLine="560"/>
      </w:pPr>
      <w:r>
        <w:rPr>
          <w:rFonts w:hint="eastAsia"/>
        </w:rPr>
        <w:t>（5）在没有安全防护设施时，禁止在高处支架操作平台上支撑、挑架或未固定的构件上行走或作业。高处作业与地面的联系，必须采用通讯装置，并设专人负责。</w:t>
      </w:r>
    </w:p>
    <w:p w14:paraId="71075BD5">
      <w:pPr>
        <w:ind w:firstLine="560"/>
      </w:pPr>
      <w:r>
        <w:rPr>
          <w:rFonts w:hint="eastAsia"/>
        </w:rPr>
        <w:t>（6）高处作业施工临边防护均采用标准1.2m防护栏杆，18cm高踢脚板。</w:t>
      </w:r>
    </w:p>
    <w:p w14:paraId="425AE501">
      <w:pPr>
        <w:ind w:firstLine="560"/>
      </w:pPr>
      <w:r>
        <w:rPr>
          <w:rFonts w:hint="eastAsia"/>
        </w:rPr>
        <w:t>2、施工现场高处坠落控制措施</w:t>
      </w:r>
    </w:p>
    <w:p w14:paraId="34101D1F">
      <w:pPr>
        <w:ind w:firstLine="560"/>
      </w:pPr>
      <w:r>
        <w:rPr>
          <w:rFonts w:hint="eastAsia"/>
        </w:rPr>
        <w:t>（1）塔机施工人员必须穿防滑鞋，危险部位作业必须系好安全带。</w:t>
      </w:r>
    </w:p>
    <w:p w14:paraId="693A0C38">
      <w:pPr>
        <w:ind w:firstLine="560"/>
      </w:pPr>
      <w:r>
        <w:rPr>
          <w:rFonts w:hint="eastAsia"/>
        </w:rPr>
        <w:t>（2）夜间工作必须有足够的照明灯光。</w:t>
      </w:r>
    </w:p>
    <w:p w14:paraId="72F3B800">
      <w:pPr>
        <w:ind w:firstLine="560"/>
      </w:pPr>
      <w:r>
        <w:rPr>
          <w:rFonts w:hint="eastAsia"/>
        </w:rPr>
        <w:t>（3）安装期间一律禁止饮酒。</w:t>
      </w:r>
    </w:p>
    <w:p w14:paraId="0AE6DB47">
      <w:pPr>
        <w:ind w:firstLine="560"/>
      </w:pPr>
      <w:r>
        <w:rPr>
          <w:rFonts w:hint="eastAsia"/>
        </w:rPr>
        <w:t>（4）所有作业吊车必须严格遵守安全操作规程。</w:t>
      </w:r>
    </w:p>
    <w:p w14:paraId="5576EF42">
      <w:pPr>
        <w:ind w:firstLine="560"/>
      </w:pPr>
      <w:r>
        <w:rPr>
          <w:rFonts w:hint="eastAsia"/>
        </w:rPr>
        <w:t>（5）工作中集中精力，不得随意开玩笑和打闹。</w:t>
      </w:r>
    </w:p>
    <w:p w14:paraId="4EC5A738">
      <w:pPr>
        <w:ind w:firstLine="560"/>
      </w:pPr>
      <w:r>
        <w:rPr>
          <w:rFonts w:hint="eastAsia"/>
        </w:rPr>
        <w:t>（6）凡大雨、大雪、大雾、大风（风力六级以上）等天气禁止安装塔吊。</w:t>
      </w:r>
    </w:p>
    <w:p w14:paraId="0FACECEF">
      <w:pPr>
        <w:pStyle w:val="12"/>
        <w:ind w:firstLine="560"/>
        <w:rPr>
          <w:rFonts w:hint="default"/>
        </w:rPr>
      </w:pPr>
      <w:r>
        <w:t>（7）</w:t>
      </w:r>
      <w:r>
        <w:rPr>
          <w:rFonts w:cs="宋体"/>
          <w:kern w:val="0"/>
          <w:szCs w:val="21"/>
        </w:rPr>
        <w:t>销轴时安装人员应站站塔机平台上，挂好安全带。</w:t>
      </w:r>
    </w:p>
    <w:p w14:paraId="780A3B47">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9.2.2 起重伤害安全控制措施</w:t>
      </w:r>
    </w:p>
    <w:p w14:paraId="3B91044F">
      <w:pPr>
        <w:ind w:firstLine="560"/>
      </w:pPr>
      <w:r>
        <w:rPr>
          <w:rFonts w:hint="eastAsia"/>
        </w:rPr>
        <w:t>1、严格执行机械管理要求，性能不满足要求</w:t>
      </w:r>
      <w:r>
        <w:t>、</w:t>
      </w:r>
      <w:r>
        <w:rPr>
          <w:rFonts w:hint="eastAsia"/>
        </w:rPr>
        <w:t>状态差、车辆和操作人员证件不齐或无效的严禁进场。</w:t>
      </w:r>
    </w:p>
    <w:p w14:paraId="455F2BBB">
      <w:pPr>
        <w:ind w:firstLine="560"/>
      </w:pPr>
      <w:r>
        <w:rPr>
          <w:rFonts w:hint="eastAsia"/>
        </w:rPr>
        <w:t>2、起重机司机、起重指挥等操作人员必须正确佩戴防护用品。</w:t>
      </w:r>
    </w:p>
    <w:p w14:paraId="6F1D8763">
      <w:pPr>
        <w:ind w:firstLine="560"/>
      </w:pPr>
      <w:r>
        <w:rPr>
          <w:rFonts w:hint="eastAsia"/>
        </w:rPr>
        <w:t>3、起重吊装作业应设警戒区域，设置警示标牌，安排专人统一指挥，严禁闲杂人员进入吊装施工现场。</w:t>
      </w:r>
    </w:p>
    <w:p w14:paraId="5ADFD4BA">
      <w:pPr>
        <w:ind w:firstLine="560"/>
      </w:pPr>
      <w:r>
        <w:rPr>
          <w:rFonts w:hint="eastAsia"/>
        </w:rPr>
        <w:t>4、吊装作业如遇到停电或其他特殊情况，应将重物落在地面，不得悬在空中。</w:t>
      </w:r>
    </w:p>
    <w:p w14:paraId="57F0D5D6">
      <w:pPr>
        <w:ind w:firstLine="560"/>
      </w:pPr>
      <w:r>
        <w:rPr>
          <w:rFonts w:hint="eastAsia"/>
        </w:rPr>
        <w:t>5、大雨、大雾及风力六级以上（含六级）等恶劣天气，必须停止露天起重吊装作业。</w:t>
      </w:r>
    </w:p>
    <w:p w14:paraId="4D484CA8">
      <w:pPr>
        <w:ind w:firstLine="560"/>
      </w:pPr>
      <w:r>
        <w:rPr>
          <w:rFonts w:hint="eastAsia"/>
        </w:rPr>
        <w:t>7、严格遵守起重安全操作规程及“十不吊”要求，严禁违章操作、违章指挥。</w:t>
      </w:r>
    </w:p>
    <w:p w14:paraId="69B1A1AB">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9.2.3 预防坍塌安全控制措施</w:t>
      </w:r>
    </w:p>
    <w:p w14:paraId="5E9418C0">
      <w:pPr>
        <w:ind w:firstLine="560"/>
        <w:rPr>
          <w:szCs w:val="22"/>
        </w:rPr>
      </w:pPr>
      <w:r>
        <w:rPr>
          <w:rFonts w:hint="eastAsia"/>
          <w:szCs w:val="22"/>
        </w:rPr>
        <w:t>1、 一般控制措施</w:t>
      </w:r>
    </w:p>
    <w:p w14:paraId="728672B6">
      <w:pPr>
        <w:ind w:firstLine="560"/>
      </w:pPr>
      <w:r>
        <w:rPr>
          <w:rFonts w:hint="eastAsia"/>
        </w:rPr>
        <w:t>（1）在塔式起重机的塔吊顶及机臂架上设置爆闪警示灯及其他警示标志。</w:t>
      </w:r>
    </w:p>
    <w:p w14:paraId="2AEB9EB7">
      <w:pPr>
        <w:ind w:firstLine="560"/>
      </w:pPr>
      <w:r>
        <w:rPr>
          <w:rFonts w:hint="eastAsia"/>
        </w:rPr>
        <w:t>（2）塔式起重机安装时其自由高度严禁超过设计要求</w:t>
      </w:r>
    </w:p>
    <w:p w14:paraId="2C3489DB">
      <w:pPr>
        <w:ind w:firstLine="560"/>
        <w:rPr>
          <w:szCs w:val="22"/>
        </w:rPr>
      </w:pPr>
      <w:r>
        <w:rPr>
          <w:rFonts w:hint="eastAsia"/>
          <w:szCs w:val="22"/>
        </w:rPr>
        <w:t>2、施工现场防止坍塌控制措施</w:t>
      </w:r>
    </w:p>
    <w:p w14:paraId="769952F3">
      <w:pPr>
        <w:ind w:firstLine="560"/>
      </w:pPr>
      <w:r>
        <w:rPr>
          <w:rFonts w:hint="eastAsia"/>
        </w:rPr>
        <w:t>（1）各类施工机械距基坑（槽）、边坡和基础桩孔的距离， 应 根据设备重量、基坑（槽）、边坡和基础桩的支护、土质情况确定， 并不得小于 1.5m。</w:t>
      </w:r>
    </w:p>
    <w:p w14:paraId="73101D8C">
      <w:pPr>
        <w:ind w:firstLine="560"/>
      </w:pPr>
      <w:r>
        <w:rPr>
          <w:rFonts w:hint="eastAsia"/>
        </w:rPr>
        <w:t>（2）断点后拆下电磁离合器的电刷，观察磨损是否过度，内部弹簧有无伸缩劲，如不行或者不灵活就必须中心更换。用万能表测量离合器线圈是否在规定值内，在认真观察吸片是否烧坏，线圈工作时是否产生磁场，并检查夹谷吸片的卡簧是否有效。待确认正常后恢复使用。</w:t>
      </w:r>
    </w:p>
    <w:p w14:paraId="4C4A8C01">
      <w:pPr>
        <w:ind w:firstLine="560"/>
      </w:pPr>
      <w:r>
        <w:rPr>
          <w:rFonts w:hint="eastAsia"/>
        </w:rPr>
        <w:t>（3）检查钢丝绳、卸夹、吊钩、吊索等，严格执行钢丝绳的磨损规定，发现绳股断裂、纤维芯损坏或者钢芯断裂而造成绳径显著减小、笼状畸变、严重扭结等问题立即更换，杜绝事故发生。</w:t>
      </w:r>
    </w:p>
    <w:p w14:paraId="62E9DDD9">
      <w:pPr>
        <w:ind w:firstLine="560"/>
      </w:pPr>
      <w:r>
        <w:rPr>
          <w:rFonts w:hint="eastAsia"/>
        </w:rPr>
        <w:t>（4）定期用扳手检查标准节连接螺栓紧固。</w:t>
      </w:r>
    </w:p>
    <w:p w14:paraId="40F0C5B8">
      <w:pPr>
        <w:ind w:firstLine="560"/>
      </w:pPr>
      <w:r>
        <w:rPr>
          <w:rFonts w:hint="eastAsia"/>
        </w:rPr>
        <w:t>（5）定期对限位器进行试验，并调试确认灵敏后作业。</w:t>
      </w:r>
    </w:p>
    <w:p w14:paraId="6FDDEF4B">
      <w:pPr>
        <w:ind w:firstLine="560"/>
      </w:pPr>
      <w:bookmarkStart w:id="464" w:name="_Toc2425"/>
      <w:bookmarkStart w:id="465" w:name="_Toc3197"/>
      <w:bookmarkStart w:id="466" w:name="_Toc6070"/>
      <w:bookmarkStart w:id="467" w:name="_Toc529200610"/>
      <w:bookmarkStart w:id="468" w:name="_Toc5122"/>
      <w:bookmarkStart w:id="469" w:name="_Toc26093"/>
      <w:bookmarkStart w:id="470" w:name="_Toc533610116"/>
      <w:r>
        <w:rPr>
          <w:rFonts w:hint="eastAsia"/>
        </w:rPr>
        <w:t>一般风险源控制措施</w:t>
      </w:r>
      <w:bookmarkEnd w:id="464"/>
      <w:bookmarkEnd w:id="465"/>
      <w:bookmarkEnd w:id="466"/>
      <w:bookmarkEnd w:id="467"/>
      <w:bookmarkEnd w:id="468"/>
      <w:bookmarkEnd w:id="469"/>
      <w:bookmarkEnd w:id="470"/>
    </w:p>
    <w:p w14:paraId="30320D14">
      <w:pPr>
        <w:ind w:firstLine="560"/>
      </w:pPr>
      <w:r>
        <w:rPr>
          <w:rFonts w:hint="eastAsia"/>
        </w:rPr>
        <w:t>安全管理人员或安全管理方案规定的其他负有监控职责的人员，必须对已开工的工程实施工地安全标准或安全管理方案的情况和相关目标、指标的完成情况进行定期检查，并将情况填入安全日志。对已存在的与工地安全标准和安全管理方案不符合或对目标、指标的实现有影响的缺陷，应及时向有关人员指出，并按规定的时限向分管领导报告；对于严重威胁操作人员安全的，有权要求立即停工。</w:t>
      </w:r>
    </w:p>
    <w:p w14:paraId="0B2C836C">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9.2.4 常规安全控制措施</w:t>
      </w:r>
    </w:p>
    <w:p w14:paraId="45BA80D4">
      <w:pPr>
        <w:ind w:firstLine="560"/>
      </w:pPr>
      <w:r>
        <w:rPr>
          <w:rFonts w:hint="eastAsia"/>
        </w:rPr>
        <w:t>1、严格按照有关安全生产的各项规定组织施工，做到安全生产，文明施工，必须认真贯彻“安全第一、预防为主、综合治理”的方针。</w:t>
      </w:r>
    </w:p>
    <w:p w14:paraId="1EED2081">
      <w:pPr>
        <w:ind w:firstLine="560"/>
      </w:pPr>
      <w:r>
        <w:rPr>
          <w:rFonts w:hint="eastAsia"/>
        </w:rPr>
        <w:t>2、操作人员必须持证上岗，对新进场的工人进行安全生产的教育和培训，方准许其进入操作岗位。</w:t>
      </w:r>
    </w:p>
    <w:p w14:paraId="0A04C664">
      <w:pPr>
        <w:ind w:firstLine="560"/>
      </w:pPr>
      <w:r>
        <w:rPr>
          <w:rFonts w:hint="eastAsia"/>
        </w:rPr>
        <w:t>3、施工现场设立安全警示标志和守卫人员，闲杂人员一律不得进入施工现场参观、逗留，施工现场严禁嬉戏打闹。</w:t>
      </w:r>
    </w:p>
    <w:p w14:paraId="743B8F6A">
      <w:pPr>
        <w:ind w:firstLine="560"/>
      </w:pPr>
      <w:r>
        <w:rPr>
          <w:rFonts w:hint="eastAsia"/>
        </w:rPr>
        <w:t>4、施工操作人员进入现场时必须正确佩戴安全帽。</w:t>
      </w:r>
    </w:p>
    <w:p w14:paraId="2BF9D257">
      <w:pPr>
        <w:ind w:firstLine="560"/>
      </w:pPr>
      <w:r>
        <w:rPr>
          <w:rFonts w:hint="eastAsia"/>
        </w:rPr>
        <w:t>5、各工种严格执行相应的操作规程，不得违章作业。严格执行交接班制度。</w:t>
      </w:r>
    </w:p>
    <w:p w14:paraId="2A071EC3">
      <w:pPr>
        <w:ind w:firstLine="560"/>
      </w:pPr>
      <w:r>
        <w:rPr>
          <w:rFonts w:hint="eastAsia"/>
        </w:rPr>
        <w:t>6、现场施工为多工种协调作业，必须统一指挥，信号明确，通讯迅达，指令正确。各操作人员在意图不明时严禁进行作业，发现问题应及时向上级反映。</w:t>
      </w:r>
    </w:p>
    <w:p w14:paraId="6E33D96E">
      <w:pPr>
        <w:ind w:firstLine="560"/>
      </w:pPr>
      <w:r>
        <w:rPr>
          <w:rFonts w:hint="eastAsia"/>
        </w:rPr>
        <w:t>7、大风、大雨和浓雾天气必须停止吊装作业；夜间作业必须有良好的照明设施，否则不得夜间作业。</w:t>
      </w:r>
    </w:p>
    <w:p w14:paraId="562952D0">
      <w:pPr>
        <w:ind w:firstLine="560"/>
      </w:pPr>
      <w:r>
        <w:rPr>
          <w:rFonts w:hint="eastAsia"/>
        </w:rPr>
        <w:t>8、每天上下班时对劳动用品、机械设备及机具、吊具、索具等进行检查，确保用具在完好的情况下进行施工，消除隐患，确保安全施工。</w:t>
      </w:r>
    </w:p>
    <w:p w14:paraId="0A5AC72A">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9.2.5物体打击安全控制措施</w:t>
      </w:r>
    </w:p>
    <w:p w14:paraId="57974251">
      <w:pPr>
        <w:ind w:firstLine="560"/>
      </w:pPr>
      <w:r>
        <w:rPr>
          <w:rFonts w:hint="eastAsia"/>
        </w:rPr>
        <w:t>1、塔机结构件吊装过程中必须专人指挥，统一管理。</w:t>
      </w:r>
    </w:p>
    <w:p w14:paraId="60D7EFC5">
      <w:pPr>
        <w:ind w:firstLine="560"/>
      </w:pPr>
      <w:r>
        <w:rPr>
          <w:rFonts w:hint="eastAsia"/>
        </w:rPr>
        <w:t>2、高处施工作业人员必须配备工具袋并按要求正确佩戴使用个体安全防护用品，防止个人物品从高处掉落。</w:t>
      </w:r>
    </w:p>
    <w:p w14:paraId="57164A4E">
      <w:pPr>
        <w:ind w:firstLine="560"/>
      </w:pPr>
      <w:r>
        <w:rPr>
          <w:rFonts w:hint="eastAsia"/>
        </w:rPr>
        <w:t>3、尽量避免交叉作业，无法避开交叉作业时，应设置安全防护措施，防止发生物体打击事故。</w:t>
      </w:r>
    </w:p>
    <w:p w14:paraId="0D2D8834">
      <w:pPr>
        <w:ind w:firstLine="560"/>
        <w:rPr>
          <w:rFonts w:ascii="宋体" w:hAnsi="宋体" w:cs="宋体"/>
        </w:rPr>
      </w:pPr>
      <w:r>
        <w:rPr>
          <w:rFonts w:hint="eastAsia" w:ascii="宋体" w:hAnsi="宋体" w:cs="宋体"/>
        </w:rPr>
        <w:t>4、加强安全检查，高处临边严禁堆放物件，施工作业时严禁上下抛掷物件。</w:t>
      </w:r>
    </w:p>
    <w:p w14:paraId="26CEDBA7">
      <w:pPr>
        <w:ind w:firstLine="560"/>
        <w:rPr>
          <w:rFonts w:ascii="宋体" w:hAnsi="宋体" w:cs="宋体"/>
        </w:rPr>
      </w:pPr>
      <w:r>
        <w:rPr>
          <w:rFonts w:hint="eastAsia" w:ascii="宋体" w:hAnsi="宋体" w:cs="宋体"/>
        </w:rPr>
        <w:t>5、高空临边作业做好安全防护，护栏高度达到1.2m，设置踢脚板，防止物件掉落；高空操作范围全封闭，通道及操作平台满铺脚手板，设置防滑条。</w:t>
      </w:r>
    </w:p>
    <w:p w14:paraId="68CD6850">
      <w:pPr>
        <w:ind w:firstLine="560"/>
        <w:rPr>
          <w:rFonts w:ascii="宋体" w:hAnsi="宋体" w:cs="宋体"/>
        </w:rPr>
      </w:pPr>
      <w:r>
        <w:rPr>
          <w:rFonts w:hint="eastAsia" w:ascii="宋体" w:hAnsi="宋体" w:cs="宋体"/>
        </w:rPr>
        <w:t>6、大型结构安装、拆除等高空操作时设置临时警戒区，下方人员撤离并拉设警戒线。安装、拆除完成后及时清理现场，做到工完料尽场地清。</w:t>
      </w:r>
    </w:p>
    <w:p w14:paraId="2B27AC51">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9.2.6机械伤害安全控制措施</w:t>
      </w:r>
    </w:p>
    <w:p w14:paraId="2C0A5E71">
      <w:pPr>
        <w:ind w:firstLine="560"/>
      </w:pPr>
      <w:r>
        <w:rPr>
          <w:rFonts w:hint="eastAsia"/>
        </w:rPr>
        <w:t>1、操作人员须经安全教育培训，考核合格取得操作证后方可持证上岗作业。</w:t>
      </w:r>
    </w:p>
    <w:p w14:paraId="24D5E5AD">
      <w:pPr>
        <w:ind w:firstLine="560"/>
      </w:pPr>
      <w:r>
        <w:t>2、</w:t>
      </w:r>
      <w:r>
        <w:rPr>
          <w:rFonts w:hint="eastAsia"/>
        </w:rPr>
        <w:t>特种设备安装、拆除必须由具备资质的专业化公司进行，并且使用前或使用后一个月内到当地部门登记备案。</w:t>
      </w:r>
    </w:p>
    <w:p w14:paraId="3CD8E268">
      <w:pPr>
        <w:ind w:firstLine="560"/>
      </w:pPr>
      <w:r>
        <w:rPr>
          <w:rFonts w:hint="eastAsia"/>
        </w:rPr>
        <w:t>3、操作人员要严格按照机械设备安全操作规程作业，并且佩戴使用必要的安全防护用品。</w:t>
      </w:r>
    </w:p>
    <w:p w14:paraId="67729156">
      <w:pPr>
        <w:ind w:firstLine="560"/>
      </w:pPr>
      <w:r>
        <w:rPr>
          <w:rFonts w:hint="eastAsia"/>
        </w:rPr>
        <w:t>4、要定期对机械设备进行保养和维护，做好维修保养记录保证机械性能良好。</w:t>
      </w:r>
    </w:p>
    <w:p w14:paraId="313E7D1D">
      <w:pPr>
        <w:ind w:firstLine="560"/>
      </w:pPr>
      <w:r>
        <w:rPr>
          <w:rFonts w:hint="eastAsia"/>
        </w:rPr>
        <w:t>5、极端恶劣天气来临前以及过后要全面对机械设备进行检查和维修。</w:t>
      </w:r>
    </w:p>
    <w:p w14:paraId="45529874">
      <w:pPr>
        <w:ind w:firstLine="560"/>
      </w:pPr>
      <w:r>
        <w:rPr>
          <w:rFonts w:hint="eastAsia"/>
        </w:rPr>
        <w:t>6、机械设备零部件必须符合设计及安全技术规范、标准要求。</w:t>
      </w:r>
    </w:p>
    <w:p w14:paraId="0CAF6898">
      <w:pPr>
        <w:ind w:firstLine="560"/>
      </w:pPr>
      <w:r>
        <w:rPr>
          <w:rFonts w:hint="eastAsia"/>
        </w:rPr>
        <w:t>7、机械设备电气装置必须符合安全要求。</w:t>
      </w:r>
    </w:p>
    <w:p w14:paraId="404C4983">
      <w:pPr>
        <w:ind w:firstLine="560"/>
      </w:pPr>
      <w:r>
        <w:rPr>
          <w:rFonts w:hint="eastAsia"/>
        </w:rPr>
        <w:t>8、机械设备应根据有关安全要求，装设合理、可靠的安全装置，保证不影响机械设备安全使用。</w:t>
      </w:r>
    </w:p>
    <w:p w14:paraId="49AD0C91">
      <w:pPr>
        <w:ind w:firstLine="560"/>
      </w:pPr>
      <w:r>
        <w:rPr>
          <w:rFonts w:hint="eastAsia"/>
        </w:rPr>
        <w:t>9、操作人员必须正确使用安全装置，不得随意破坏或拆除安全装置；</w:t>
      </w:r>
    </w:p>
    <w:p w14:paraId="0EC7F8AF">
      <w:pPr>
        <w:ind w:firstLine="560"/>
      </w:pPr>
      <w:r>
        <w:rPr>
          <w:rFonts w:hint="eastAsia"/>
        </w:rPr>
        <w:t>10、操作人员在机械设备运行前，必须按规定进行安全检查，严禁机械设备带病运行。</w:t>
      </w:r>
    </w:p>
    <w:p w14:paraId="289C1B88">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9.2.7 施工用电安全控制措施</w:t>
      </w:r>
    </w:p>
    <w:p w14:paraId="07D8EE9A">
      <w:pPr>
        <w:ind w:firstLine="560"/>
      </w:pPr>
      <w:r>
        <w:rPr>
          <w:rFonts w:hint="eastAsia"/>
        </w:rPr>
        <w:t>1、严格执行《施工现场临时用电安全技术规范》（JGJ</w:t>
      </w:r>
      <w:r>
        <w:t xml:space="preserve"> 46-2005</w:t>
      </w:r>
      <w:r>
        <w:rPr>
          <w:rFonts w:hint="eastAsia"/>
        </w:rPr>
        <w:t>）中的规定，并做好临时用电施工设计和安全用电技术措施的编制。</w:t>
      </w:r>
    </w:p>
    <w:p w14:paraId="28463448">
      <w:pPr>
        <w:ind w:firstLine="560"/>
      </w:pPr>
      <w:r>
        <w:rPr>
          <w:rFonts w:hint="eastAsia"/>
        </w:rPr>
        <w:t>2、施工用电必须符合“三相五线制”的要求，按“一机、一闸、一漏、一锁”和“动力线照明用电严禁搭接的规定落实”并设置醒目的警示标志。</w:t>
      </w:r>
    </w:p>
    <w:p w14:paraId="285079B0">
      <w:pPr>
        <w:ind w:firstLine="560"/>
      </w:pPr>
      <w:r>
        <w:rPr>
          <w:rFonts w:hint="eastAsia"/>
        </w:rPr>
        <w:t>3、专值电工必须做好临时用电安全检测制度，定期对临时用电工程进行检测，主要内容是：接地电阻值，电气设备绝缘电阻值，漏电保护器动作参数等，以监视临时用电工程是否安全可靠，并做好检测记录，有检测日期和检测人员签名。</w:t>
      </w:r>
    </w:p>
    <w:p w14:paraId="32590C03">
      <w:pPr>
        <w:ind w:firstLine="560"/>
      </w:pPr>
      <w:r>
        <w:rPr>
          <w:rFonts w:hint="eastAsia"/>
        </w:rPr>
        <w:t>4、做好临时用电维修制度，加强日常和定期维修工作，及时发现和消除隐患，并建立维修工作记录，记载维修时间、地点、设备、内容、技术措施、处理结果、维修人员、验收人员等。</w:t>
      </w:r>
    </w:p>
    <w:p w14:paraId="1D2E95F9">
      <w:pPr>
        <w:ind w:firstLine="560"/>
      </w:pPr>
      <w:r>
        <w:rPr>
          <w:rFonts w:hint="eastAsia"/>
        </w:rPr>
        <w:t>5、建立安全用电责任制，对临时用电工程各部位的操作、监护、维修分片、分块、分机落实到人，并辅以必要的严惩。</w:t>
      </w:r>
    </w:p>
    <w:p w14:paraId="1F3C44DB">
      <w:pPr>
        <w:ind w:firstLine="560"/>
      </w:pPr>
      <w:r>
        <w:rPr>
          <w:rFonts w:hint="eastAsia"/>
        </w:rPr>
        <w:t>6、建立安全教育和培训制度；定期对专业电工和各类用电人员进行用电安全教育和培训，凡上岗人员必须持有劳动部门核发的上岗证书，严禁无证上岗。</w:t>
      </w:r>
    </w:p>
    <w:p w14:paraId="662A3F67">
      <w:pPr>
        <w:ind w:firstLine="560"/>
      </w:pPr>
      <w:r>
        <w:rPr>
          <w:rFonts w:hint="eastAsia"/>
        </w:rPr>
        <w:t>7、电气操作人员要认真执行规范，正确连接电线，电线要完好无损，有良好的绝缘外皮。电线要压牢、压实，各种开关触头要压接牢固，多股导线要用端子与设备安装，以防加大电阻引起火灾。</w:t>
      </w:r>
    </w:p>
    <w:p w14:paraId="7DCF34F2">
      <w:pPr>
        <w:ind w:firstLine="560"/>
      </w:pPr>
      <w:r>
        <w:rPr>
          <w:rFonts w:hint="eastAsia"/>
        </w:rPr>
        <w:t>8、配电箱、开关箱内严禁存放杂物及易燃物体，并派专人负责定期清扫。</w:t>
      </w:r>
    </w:p>
    <w:p w14:paraId="112F22A6">
      <w:pPr>
        <w:ind w:firstLine="560"/>
      </w:pPr>
      <w:r>
        <w:rPr>
          <w:rFonts w:hint="eastAsia"/>
        </w:rPr>
        <w:t>9、临时用电维修时必须执行两人制度，一人在总控制柜值守并悬挂“维修中”警示牌，另一人在现场进行维修作业。</w:t>
      </w:r>
    </w:p>
    <w:p w14:paraId="58510229">
      <w:pPr>
        <w:ind w:firstLine="560"/>
      </w:pPr>
      <w:r>
        <w:rPr>
          <w:rFonts w:hint="eastAsia"/>
        </w:rPr>
        <w:t>10、施工现场变压器必须采用全封闭，二级配电柜采用隔离防护并做防水防触电漏电。三级配电距离现场用电设备不宜太远防止出现电线损坏漏电。</w:t>
      </w:r>
    </w:p>
    <w:p w14:paraId="36CCC027">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9.2.8 车辆伤害安全控制措施</w:t>
      </w:r>
    </w:p>
    <w:p w14:paraId="67F4692A">
      <w:pPr>
        <w:ind w:firstLine="560"/>
      </w:pPr>
      <w:r>
        <w:t>1</w:t>
      </w:r>
      <w:r>
        <w:rPr>
          <w:rFonts w:hint="eastAsia"/>
        </w:rPr>
        <w:t>车辆驾驶人员及车辆必须证件齐全并在有效时间内，车辆必须车检。</w:t>
      </w:r>
    </w:p>
    <w:p w14:paraId="267357A9">
      <w:pPr>
        <w:ind w:firstLine="560"/>
      </w:pPr>
      <w:r>
        <w:rPr>
          <w:rFonts w:hint="eastAsia"/>
        </w:rPr>
        <w:t>2、物机部、安环部、综合办公室制定车辆管理办法并督促落实车辆管理办法</w:t>
      </w:r>
    </w:p>
    <w:p w14:paraId="31F6BB59">
      <w:pPr>
        <w:ind w:firstLine="560"/>
      </w:pPr>
      <w:r>
        <w:rPr>
          <w:rFonts w:hint="eastAsia"/>
        </w:rPr>
        <w:t>3、驾驶员应严格执行项目有关安全规定，每天出车前应对车辆进行“三检”，对车辆进行安全性能方面的全面检查，并作好记录，杜绝病车上路。不得驾驶安全设施不全或者有安全隐患的机动车，确保行车安全。</w:t>
      </w:r>
    </w:p>
    <w:p w14:paraId="617E0DB6">
      <w:pPr>
        <w:ind w:firstLine="560"/>
      </w:pPr>
      <w:r>
        <w:rPr>
          <w:rFonts w:hint="eastAsia"/>
        </w:rPr>
        <w:t>4、现场施工区域道路上应在显眼、清晰的位置按规定设置限速交通标志、警示标志或者安全防护设施。在交叉路口、上下坡、转弯处、出入口等位置设置醒目标识。在便道两侧设置反光贴保证夜间行车安全。</w:t>
      </w:r>
    </w:p>
    <w:p w14:paraId="3BE0EACA">
      <w:pPr>
        <w:ind w:firstLine="560"/>
      </w:pPr>
      <w:r>
        <w:rPr>
          <w:rFonts w:hint="eastAsia"/>
        </w:rPr>
        <w:t>5、冬季、雨季做好防滑措施及警示标志，保证车辆行驶安全。</w:t>
      </w:r>
    </w:p>
    <w:p w14:paraId="3E9C21E6">
      <w:pPr>
        <w:ind w:firstLine="560"/>
      </w:pPr>
      <w:r>
        <w:rPr>
          <w:rFonts w:hint="eastAsia"/>
        </w:rPr>
        <w:t>6、机动车在保证安全的情况下，在施工便道行驶时，车速不得超过每小时15公里，汽车吊车行驶速度不超过每小时5公里。</w:t>
      </w:r>
    </w:p>
    <w:p w14:paraId="06CD3838">
      <w:pPr>
        <w:ind w:firstLine="560"/>
      </w:pPr>
      <w:r>
        <w:t>7</w:t>
      </w:r>
      <w:r>
        <w:rPr>
          <w:rFonts w:hint="eastAsia"/>
        </w:rPr>
        <w:t>、生产现场使用的车辆，如机械运输车、吊车、装载车等机械车辆，车辆驾驶人员定岗、定人、定则。并定期做好体检。</w:t>
      </w:r>
    </w:p>
    <w:bookmarkEnd w:id="461"/>
    <w:bookmarkEnd w:id="462"/>
    <w:bookmarkEnd w:id="463"/>
    <w:p w14:paraId="09F270A6">
      <w:pPr>
        <w:pStyle w:val="3"/>
        <w:rPr>
          <w:color w:val="000000"/>
        </w:rPr>
      </w:pPr>
      <w:bookmarkStart w:id="471" w:name="_Toc943"/>
      <w:bookmarkStart w:id="472" w:name="_Toc25745"/>
      <w:bookmarkStart w:id="473" w:name="_Toc21634"/>
      <w:bookmarkStart w:id="474" w:name="_Toc9016"/>
      <w:bookmarkStart w:id="475" w:name="_Toc14932"/>
      <w:bookmarkStart w:id="476" w:name="_Toc24088"/>
      <w:bookmarkStart w:id="477" w:name="_Toc5060"/>
      <w:r>
        <w:rPr>
          <w:rFonts w:hint="eastAsia"/>
          <w:color w:val="000000"/>
        </w:rPr>
        <w:t>9.3 施工安全保证措施</w:t>
      </w:r>
      <w:bookmarkEnd w:id="471"/>
      <w:bookmarkEnd w:id="472"/>
      <w:bookmarkEnd w:id="473"/>
      <w:bookmarkEnd w:id="474"/>
      <w:bookmarkEnd w:id="475"/>
      <w:bookmarkEnd w:id="476"/>
      <w:bookmarkEnd w:id="477"/>
    </w:p>
    <w:p w14:paraId="34D83B8A">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9.3.1 组织保证</w:t>
      </w:r>
    </w:p>
    <w:p w14:paraId="6670EF8D">
      <w:pPr>
        <w:ind w:firstLine="560"/>
        <w:rPr>
          <w:color w:val="000000"/>
        </w:rPr>
      </w:pPr>
      <w:r>
        <w:rPr>
          <w:rFonts w:hint="eastAsia"/>
          <w:color w:val="000000"/>
        </w:rPr>
        <w:t>1、建立安全保证体系组织机构，成立以项目经理为组长，安全总监、总工程师、副经理、总经济师为副组长，职能部门负责人为组员的安全领导小组。</w:t>
      </w:r>
    </w:p>
    <w:p w14:paraId="15A2ECEF">
      <w:pPr>
        <w:ind w:firstLine="560"/>
        <w:rPr>
          <w:color w:val="000000"/>
        </w:rPr>
      </w:pPr>
      <w:r>
        <w:rPr>
          <w:rFonts w:hint="eastAsia"/>
          <w:color w:val="000000"/>
        </w:rPr>
        <w:t>2、安全领导小组成立办公室，下设在项目部安全环保部，领导小组成员在施工期间，应保持手机通讯24小时畅通。</w:t>
      </w:r>
    </w:p>
    <w:p w14:paraId="26685834">
      <w:pPr>
        <w:ind w:firstLine="560"/>
        <w:rPr>
          <w:color w:val="000000"/>
        </w:rPr>
      </w:pPr>
      <w:r>
        <w:rPr>
          <w:rFonts w:hint="eastAsia"/>
          <w:color w:val="000000"/>
        </w:rPr>
        <w:t>3、健全自上而下、层层落实的安全管理体系，安全环保部配备足够的专职安全管理人员。</w:t>
      </w:r>
    </w:p>
    <w:p w14:paraId="0C0C9265">
      <w:pPr>
        <w:ind w:firstLine="560"/>
        <w:rPr>
          <w:color w:val="000000"/>
        </w:rPr>
      </w:pPr>
      <w:r>
        <w:rPr>
          <w:rFonts w:hint="eastAsia"/>
          <w:color w:val="000000"/>
        </w:rPr>
        <w:t>4、作业队配兼职安全员、群安员，建立各级网络，做到“专管成线，群管成片”。</w:t>
      </w:r>
    </w:p>
    <w:p w14:paraId="5958D574">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9.3.2 制度保证</w:t>
      </w:r>
    </w:p>
    <w:p w14:paraId="400195C9">
      <w:pPr>
        <w:ind w:firstLine="560"/>
        <w:rPr>
          <w:color w:val="000000"/>
        </w:rPr>
      </w:pPr>
      <w:r>
        <w:rPr>
          <w:rFonts w:hint="eastAsia"/>
          <w:color w:val="000000"/>
        </w:rPr>
        <w:t>1、安全检查制度</w:t>
      </w:r>
    </w:p>
    <w:p w14:paraId="17DC2746">
      <w:pPr>
        <w:ind w:firstLine="560"/>
        <w:rPr>
          <w:color w:val="000000"/>
        </w:rPr>
      </w:pPr>
      <w:r>
        <w:rPr>
          <w:rFonts w:hint="eastAsia"/>
          <w:color w:val="000000"/>
        </w:rPr>
        <w:t>（1）定期安全检查制度</w:t>
      </w:r>
    </w:p>
    <w:p w14:paraId="73DB6771">
      <w:pPr>
        <w:ind w:firstLine="560"/>
        <w:rPr>
          <w:color w:val="000000"/>
        </w:rPr>
      </w:pPr>
      <w:r>
        <w:rPr>
          <w:rFonts w:hint="eastAsia"/>
          <w:color w:val="000000"/>
        </w:rPr>
        <w:t>项目部每旬进行定期安全大检查，同时根据实际情况进行不定期安全检查或专项安全检查。</w:t>
      </w:r>
    </w:p>
    <w:p w14:paraId="431C5109">
      <w:pPr>
        <w:ind w:firstLine="560"/>
        <w:rPr>
          <w:color w:val="000000"/>
        </w:rPr>
      </w:pPr>
      <w:r>
        <w:rPr>
          <w:rFonts w:hint="eastAsia"/>
          <w:color w:val="000000"/>
        </w:rPr>
        <w:t>定期安全大检查由项目经理主持，安全环保部组织，安全生产领导小组成员及其他有关人员参加，检查人员在项目部会议室准时集合，根据检查范围进行分组检查。</w:t>
      </w:r>
    </w:p>
    <w:p w14:paraId="305DB132">
      <w:pPr>
        <w:ind w:firstLine="560"/>
        <w:rPr>
          <w:color w:val="000000"/>
        </w:rPr>
      </w:pPr>
      <w:r>
        <w:rPr>
          <w:rFonts w:hint="eastAsia"/>
          <w:color w:val="000000"/>
        </w:rPr>
        <w:t>（2）经常性安全检查</w:t>
      </w:r>
    </w:p>
    <w:p w14:paraId="1563865C">
      <w:pPr>
        <w:ind w:firstLine="560"/>
        <w:rPr>
          <w:color w:val="000000"/>
        </w:rPr>
      </w:pPr>
      <w:r>
        <w:rPr>
          <w:color w:val="000000"/>
        </w:rPr>
        <w:fldChar w:fldCharType="begin"/>
      </w:r>
      <w:r>
        <w:rPr>
          <w:rFonts w:hint="eastAsia"/>
          <w:color w:val="000000"/>
        </w:rPr>
        <w:instrText xml:space="preserve">= 1 \* GB3</w:instrText>
      </w:r>
      <w:r>
        <w:rPr>
          <w:color w:val="000000"/>
        </w:rPr>
        <w:fldChar w:fldCharType="separate"/>
      </w:r>
      <w:r>
        <w:rPr>
          <w:rFonts w:hint="eastAsia"/>
          <w:color w:val="000000"/>
        </w:rPr>
        <w:t>①</w:t>
      </w:r>
      <w:r>
        <w:rPr>
          <w:color w:val="000000"/>
        </w:rPr>
        <w:fldChar w:fldCharType="end"/>
      </w:r>
      <w:r>
        <w:rPr>
          <w:rFonts w:hint="eastAsia"/>
          <w:color w:val="000000"/>
        </w:rPr>
        <w:t>各作业班组长负责组织开展班前、班后、岗位安全检查并保留检查记录，项目部安全环保部将定期对活动开展情况进行检查。</w:t>
      </w:r>
    </w:p>
    <w:p w14:paraId="26263DEE">
      <w:pPr>
        <w:ind w:firstLine="560"/>
        <w:rPr>
          <w:color w:val="000000"/>
        </w:rPr>
      </w:pPr>
      <w:r>
        <w:rPr>
          <w:color w:val="000000"/>
        </w:rPr>
        <w:fldChar w:fldCharType="begin"/>
      </w:r>
      <w:r>
        <w:rPr>
          <w:rFonts w:hint="eastAsia"/>
          <w:color w:val="000000"/>
        </w:rPr>
        <w:instrText xml:space="preserve">= 2 \* GB3</w:instrText>
      </w:r>
      <w:r>
        <w:rPr>
          <w:color w:val="000000"/>
        </w:rPr>
        <w:fldChar w:fldCharType="separate"/>
      </w:r>
      <w:r>
        <w:rPr>
          <w:rFonts w:hint="eastAsia"/>
          <w:color w:val="000000"/>
        </w:rPr>
        <w:t>②</w:t>
      </w:r>
      <w:r>
        <w:rPr>
          <w:color w:val="000000"/>
        </w:rPr>
        <w:fldChar w:fldCharType="end"/>
      </w:r>
      <w:r>
        <w:rPr>
          <w:rFonts w:hint="eastAsia"/>
          <w:color w:val="000000"/>
        </w:rPr>
        <w:t>作业工序转换时安全检查。此项检查活动由安全员或现场技术人员实施，并将检查情况记入工程施工日志备查。</w:t>
      </w:r>
    </w:p>
    <w:p w14:paraId="2422AA61">
      <w:pPr>
        <w:ind w:firstLine="560"/>
        <w:rPr>
          <w:color w:val="000000"/>
        </w:rPr>
      </w:pPr>
      <w:r>
        <w:rPr>
          <w:color w:val="000000"/>
        </w:rPr>
        <w:fldChar w:fldCharType="begin"/>
      </w:r>
      <w:r>
        <w:rPr>
          <w:rFonts w:hint="eastAsia"/>
          <w:color w:val="000000"/>
        </w:rPr>
        <w:instrText xml:space="preserve">= 3 \* GB3</w:instrText>
      </w:r>
      <w:r>
        <w:rPr>
          <w:color w:val="000000"/>
        </w:rPr>
        <w:fldChar w:fldCharType="separate"/>
      </w:r>
      <w:r>
        <w:rPr>
          <w:rFonts w:hint="eastAsia"/>
          <w:color w:val="000000"/>
        </w:rPr>
        <w:t>③</w:t>
      </w:r>
      <w:r>
        <w:rPr>
          <w:color w:val="000000"/>
        </w:rPr>
        <w:fldChar w:fldCharType="end"/>
      </w:r>
      <w:r>
        <w:rPr>
          <w:rFonts w:hint="eastAsia"/>
          <w:color w:val="000000"/>
        </w:rPr>
        <w:t>各级安全员日常巡回安全检查。此项检查活动由专兼职安全员实施，并每天记录巡查日志。</w:t>
      </w:r>
    </w:p>
    <w:p w14:paraId="60EF19B0">
      <w:pPr>
        <w:ind w:firstLine="560"/>
        <w:rPr>
          <w:color w:val="000000"/>
        </w:rPr>
      </w:pPr>
      <w:r>
        <w:rPr>
          <w:color w:val="000000"/>
        </w:rPr>
        <w:fldChar w:fldCharType="begin"/>
      </w:r>
      <w:r>
        <w:rPr>
          <w:rFonts w:hint="eastAsia"/>
          <w:color w:val="000000"/>
        </w:rPr>
        <w:instrText xml:space="preserve">= 4 \* GB3</w:instrText>
      </w:r>
      <w:r>
        <w:rPr>
          <w:color w:val="000000"/>
        </w:rPr>
        <w:fldChar w:fldCharType="separate"/>
      </w:r>
      <w:r>
        <w:rPr>
          <w:rFonts w:hint="eastAsia"/>
          <w:color w:val="000000"/>
        </w:rPr>
        <w:t>④</w:t>
      </w:r>
      <w:r>
        <w:rPr>
          <w:color w:val="000000"/>
        </w:rPr>
        <w:fldChar w:fldCharType="end"/>
      </w:r>
      <w:r>
        <w:rPr>
          <w:rFonts w:hint="eastAsia"/>
          <w:color w:val="000000"/>
        </w:rPr>
        <w:t>各级管理人员在检查生产的同时检查安全施工。</w:t>
      </w:r>
    </w:p>
    <w:p w14:paraId="4FB95598">
      <w:pPr>
        <w:ind w:firstLine="560"/>
        <w:rPr>
          <w:color w:val="000000"/>
        </w:rPr>
      </w:pPr>
      <w:r>
        <w:rPr>
          <w:rFonts w:hint="eastAsia"/>
          <w:color w:val="000000"/>
        </w:rPr>
        <w:t>（3）专项安全生产检查</w:t>
      </w:r>
    </w:p>
    <w:p w14:paraId="14158E33">
      <w:pPr>
        <w:ind w:firstLine="560"/>
        <w:rPr>
          <w:color w:val="000000"/>
        </w:rPr>
      </w:pPr>
      <w:r>
        <w:rPr>
          <w:color w:val="000000"/>
        </w:rPr>
        <w:fldChar w:fldCharType="begin"/>
      </w:r>
      <w:r>
        <w:rPr>
          <w:rFonts w:hint="eastAsia"/>
          <w:color w:val="000000"/>
        </w:rPr>
        <w:instrText xml:space="preserve">= 1 \* GB3</w:instrText>
      </w:r>
      <w:r>
        <w:rPr>
          <w:color w:val="000000"/>
        </w:rPr>
        <w:fldChar w:fldCharType="separate"/>
      </w:r>
      <w:r>
        <w:rPr>
          <w:rFonts w:hint="eastAsia"/>
          <w:color w:val="000000"/>
        </w:rPr>
        <w:t>①</w:t>
      </w:r>
      <w:r>
        <w:rPr>
          <w:color w:val="000000"/>
        </w:rPr>
        <w:fldChar w:fldCharType="end"/>
      </w:r>
      <w:r>
        <w:rPr>
          <w:rFonts w:hint="eastAsia"/>
          <w:color w:val="000000"/>
        </w:rPr>
        <w:t>特殊气候条件下施工专项施工安全检查，包括雨（雷）季、大风等。</w:t>
      </w:r>
    </w:p>
    <w:p w14:paraId="19FCF62C">
      <w:pPr>
        <w:ind w:firstLine="560"/>
        <w:rPr>
          <w:color w:val="000000"/>
        </w:rPr>
      </w:pPr>
      <w:r>
        <w:rPr>
          <w:color w:val="000000"/>
        </w:rPr>
        <w:fldChar w:fldCharType="begin"/>
      </w:r>
      <w:r>
        <w:rPr>
          <w:rFonts w:hint="eastAsia"/>
          <w:color w:val="000000"/>
        </w:rPr>
        <w:instrText xml:space="preserve">= 2 \* GB3</w:instrText>
      </w:r>
      <w:r>
        <w:rPr>
          <w:color w:val="000000"/>
        </w:rPr>
        <w:fldChar w:fldCharType="separate"/>
      </w:r>
      <w:r>
        <w:rPr>
          <w:rFonts w:hint="eastAsia"/>
          <w:color w:val="000000"/>
        </w:rPr>
        <w:t>②</w:t>
      </w:r>
      <w:r>
        <w:rPr>
          <w:color w:val="000000"/>
        </w:rPr>
        <w:fldChar w:fldCharType="end"/>
      </w:r>
      <w:r>
        <w:rPr>
          <w:rFonts w:hint="eastAsia"/>
          <w:color w:val="000000"/>
        </w:rPr>
        <w:t>节假日前后专项安全生产检查。</w:t>
      </w:r>
    </w:p>
    <w:p w14:paraId="187CBFF1">
      <w:pPr>
        <w:ind w:firstLine="560"/>
        <w:rPr>
          <w:color w:val="000000"/>
        </w:rPr>
      </w:pPr>
      <w:r>
        <w:rPr>
          <w:color w:val="000000"/>
        </w:rPr>
        <w:fldChar w:fldCharType="begin"/>
      </w:r>
      <w:r>
        <w:rPr>
          <w:rFonts w:hint="eastAsia"/>
          <w:color w:val="000000"/>
        </w:rPr>
        <w:instrText xml:space="preserve">= 3 \* GB3</w:instrText>
      </w:r>
      <w:r>
        <w:rPr>
          <w:color w:val="000000"/>
        </w:rPr>
        <w:fldChar w:fldCharType="separate"/>
      </w:r>
      <w:r>
        <w:rPr>
          <w:rFonts w:hint="eastAsia"/>
          <w:color w:val="000000"/>
        </w:rPr>
        <w:t>③</w:t>
      </w:r>
      <w:r>
        <w:rPr>
          <w:color w:val="000000"/>
        </w:rPr>
        <w:fldChar w:fldCharType="end"/>
      </w:r>
      <w:r>
        <w:rPr>
          <w:rFonts w:hint="eastAsia"/>
          <w:color w:val="000000"/>
        </w:rPr>
        <w:t>临时停工后复工前专项安全生产检查。</w:t>
      </w:r>
    </w:p>
    <w:p w14:paraId="04DC3EBF">
      <w:pPr>
        <w:ind w:firstLine="560"/>
        <w:rPr>
          <w:color w:val="000000"/>
        </w:rPr>
      </w:pPr>
      <w:r>
        <w:rPr>
          <w:color w:val="000000"/>
        </w:rPr>
        <w:fldChar w:fldCharType="begin"/>
      </w:r>
      <w:r>
        <w:rPr>
          <w:rFonts w:hint="eastAsia"/>
          <w:color w:val="000000"/>
        </w:rPr>
        <w:instrText xml:space="preserve">= 4 \* GB3</w:instrText>
      </w:r>
      <w:r>
        <w:rPr>
          <w:color w:val="000000"/>
        </w:rPr>
        <w:fldChar w:fldCharType="separate"/>
      </w:r>
      <w:r>
        <w:rPr>
          <w:rFonts w:hint="eastAsia"/>
          <w:color w:val="000000"/>
        </w:rPr>
        <w:t>④</w:t>
      </w:r>
      <w:r>
        <w:rPr>
          <w:color w:val="000000"/>
        </w:rPr>
        <w:fldChar w:fldCharType="end"/>
      </w:r>
      <w:r>
        <w:rPr>
          <w:rFonts w:hint="eastAsia"/>
          <w:color w:val="000000"/>
        </w:rPr>
        <w:t>大型吊装前、大型结构体系转换前、特种设备、大型临时设备设施投入使用前专项安全生产检查。</w:t>
      </w:r>
    </w:p>
    <w:p w14:paraId="105FCFB9">
      <w:pPr>
        <w:ind w:firstLine="560"/>
        <w:rPr>
          <w:color w:val="000000"/>
        </w:rPr>
      </w:pPr>
      <w:r>
        <w:rPr>
          <w:color w:val="000000"/>
        </w:rPr>
        <w:fldChar w:fldCharType="begin"/>
      </w:r>
      <w:r>
        <w:rPr>
          <w:rFonts w:hint="eastAsia"/>
          <w:color w:val="000000"/>
        </w:rPr>
        <w:instrText xml:space="preserve">= 5 \* GB3</w:instrText>
      </w:r>
      <w:r>
        <w:rPr>
          <w:color w:val="000000"/>
        </w:rPr>
        <w:fldChar w:fldCharType="separate"/>
      </w:r>
      <w:r>
        <w:rPr>
          <w:rFonts w:hint="eastAsia"/>
          <w:color w:val="000000"/>
        </w:rPr>
        <w:t>⑤</w:t>
      </w:r>
      <w:r>
        <w:rPr>
          <w:color w:val="000000"/>
        </w:rPr>
        <w:fldChar w:fldCharType="end"/>
      </w:r>
      <w:r>
        <w:rPr>
          <w:rFonts w:hint="eastAsia"/>
          <w:color w:val="000000"/>
        </w:rPr>
        <w:t>上级要求的专项安全生产检查。</w:t>
      </w:r>
    </w:p>
    <w:p w14:paraId="46B0B7BC">
      <w:pPr>
        <w:ind w:firstLine="560"/>
        <w:rPr>
          <w:color w:val="000000"/>
        </w:rPr>
      </w:pPr>
      <w:r>
        <w:rPr>
          <w:rFonts w:hint="eastAsia"/>
          <w:color w:val="000000"/>
        </w:rPr>
        <w:t>（4）安全环保部做好各项检查记录，对重要隐患下发安全事故隐患通知单一式两份，按照“五定”（即：定整改措施、定整改时间、定整改负责人、定整改标准、定整改落实人）的原则，各部门或作业队分管负责人对隐患进行落实整改，整改完毕后书面及时返回安全环保部、质量管理部保存。</w:t>
      </w:r>
    </w:p>
    <w:p w14:paraId="048584BD">
      <w:pPr>
        <w:ind w:firstLine="560"/>
        <w:rPr>
          <w:color w:val="000000"/>
        </w:rPr>
      </w:pPr>
      <w:r>
        <w:rPr>
          <w:rFonts w:hint="eastAsia"/>
          <w:color w:val="000000"/>
        </w:rPr>
        <w:t>2、安全教育制度</w:t>
      </w:r>
    </w:p>
    <w:p w14:paraId="1141E72F">
      <w:pPr>
        <w:ind w:firstLine="560"/>
        <w:rPr>
          <w:color w:val="000000"/>
        </w:rPr>
      </w:pPr>
      <w:r>
        <w:rPr>
          <w:rFonts w:hint="eastAsia"/>
          <w:color w:val="000000"/>
          <w:lang w:val="zh-CN"/>
        </w:rPr>
        <w:t>（1）</w:t>
      </w:r>
      <w:r>
        <w:rPr>
          <w:rFonts w:hint="eastAsia"/>
          <w:color w:val="000000"/>
        </w:rPr>
        <w:t>项目部应对全体员工及参加项目所属各项工程施工的生产人员进行上岗前安全培训，并进行考核。</w:t>
      </w:r>
    </w:p>
    <w:p w14:paraId="284EA31C">
      <w:pPr>
        <w:ind w:firstLine="560"/>
        <w:rPr>
          <w:color w:val="000000"/>
        </w:rPr>
      </w:pPr>
      <w:r>
        <w:rPr>
          <w:rFonts w:hint="eastAsia"/>
          <w:color w:val="000000"/>
          <w:lang w:val="zh-CN"/>
        </w:rPr>
        <w:t>（2）</w:t>
      </w:r>
      <w:r>
        <w:rPr>
          <w:rFonts w:hint="eastAsia"/>
          <w:color w:val="000000"/>
        </w:rPr>
        <w:t>项目部全体员工及参加项目所属各项工程施工的生产人员应接受安全培训，熟悉有关安全生产规章制度和安全操作规程，具备必要的安全生产知识，掌握本岗位的安全操作技能，增强预防事故、控制职业危害和应急处理的能力。</w:t>
      </w:r>
    </w:p>
    <w:p w14:paraId="6BD42304">
      <w:pPr>
        <w:ind w:firstLine="560"/>
        <w:rPr>
          <w:color w:val="000000"/>
        </w:rPr>
      </w:pPr>
      <w:r>
        <w:rPr>
          <w:rFonts w:hint="eastAsia"/>
          <w:color w:val="000000"/>
          <w:lang w:val="zh-CN"/>
        </w:rPr>
        <w:t>（3）</w:t>
      </w:r>
      <w:r>
        <w:rPr>
          <w:rFonts w:hint="eastAsia"/>
          <w:color w:val="000000"/>
        </w:rPr>
        <w:t>未经安全生产培训、考核合格的从业人员，不得上岗或参与项目所属工程项目的施工生产。</w:t>
      </w:r>
    </w:p>
    <w:p w14:paraId="445032FC">
      <w:pPr>
        <w:ind w:firstLine="560"/>
        <w:rPr>
          <w:color w:val="000000"/>
        </w:rPr>
      </w:pPr>
      <w:r>
        <w:rPr>
          <w:rFonts w:hint="eastAsia"/>
          <w:color w:val="000000"/>
          <w:lang w:val="zh-CN"/>
        </w:rPr>
        <w:t>（4）</w:t>
      </w:r>
      <w:r>
        <w:rPr>
          <w:rFonts w:hint="eastAsia"/>
          <w:color w:val="000000"/>
        </w:rPr>
        <w:t>项目部经理和专职安全生产管理人员应积极参加公司、业主组织的安全生产再培训。</w:t>
      </w:r>
    </w:p>
    <w:p w14:paraId="53C0C1FD">
      <w:pPr>
        <w:ind w:firstLine="560"/>
        <w:rPr>
          <w:color w:val="000000"/>
        </w:rPr>
      </w:pPr>
      <w:r>
        <w:rPr>
          <w:rFonts w:hint="eastAsia"/>
          <w:color w:val="000000"/>
          <w:lang w:val="zh-CN"/>
        </w:rPr>
        <w:t>（5）</w:t>
      </w:r>
      <w:r>
        <w:rPr>
          <w:rFonts w:hint="eastAsia"/>
          <w:color w:val="000000"/>
        </w:rPr>
        <w:t>特种作业人员，必须按照国家有关法律、法规的规定接受专门的安全培训，经省、市级劳动安全部门考核合格，取得特种作业操作资格证书后，方可上岗作业。</w:t>
      </w:r>
    </w:p>
    <w:p w14:paraId="24DEFBF3">
      <w:pPr>
        <w:ind w:firstLine="560"/>
        <w:rPr>
          <w:color w:val="000000"/>
        </w:rPr>
      </w:pPr>
      <w:r>
        <w:rPr>
          <w:rFonts w:hint="eastAsia"/>
          <w:color w:val="000000"/>
          <w:lang w:val="zh-CN"/>
        </w:rPr>
        <w:t>（6）</w:t>
      </w:r>
      <w:r>
        <w:rPr>
          <w:rFonts w:hint="eastAsia"/>
          <w:color w:val="000000"/>
        </w:rPr>
        <w:t>实施新工艺、新技术或者使用新设备、新材料时，应当对有关作业人员重新进行有针对性的安全培训。</w:t>
      </w:r>
    </w:p>
    <w:p w14:paraId="1974687B">
      <w:pPr>
        <w:ind w:firstLine="560"/>
        <w:rPr>
          <w:color w:val="000000"/>
        </w:rPr>
      </w:pPr>
      <w:r>
        <w:rPr>
          <w:rFonts w:hint="eastAsia"/>
          <w:color w:val="000000"/>
        </w:rPr>
        <w:t>3、特种作业人员管理制度</w:t>
      </w:r>
    </w:p>
    <w:p w14:paraId="21D8E9F0">
      <w:pPr>
        <w:ind w:firstLine="560"/>
        <w:rPr>
          <w:color w:val="000000"/>
        </w:rPr>
      </w:pPr>
      <w:r>
        <w:rPr>
          <w:rFonts w:hint="eastAsia"/>
          <w:color w:val="000000"/>
          <w:lang w:val="zh-CN"/>
        </w:rPr>
        <w:t>（1）</w:t>
      </w:r>
      <w:r>
        <w:rPr>
          <w:rFonts w:hint="eastAsia"/>
          <w:color w:val="000000"/>
        </w:rPr>
        <w:t>特种作业人员（包括电工、焊工、起重工、场内机动车司机等），质量技术监督部门或建设行政主管部门组织的安全技术培训，经教育、考核、复验，考核合格取得合格证，获取操作证者方准上岗作业。</w:t>
      </w:r>
    </w:p>
    <w:p w14:paraId="199358F5">
      <w:pPr>
        <w:ind w:firstLine="560"/>
        <w:rPr>
          <w:color w:val="000000"/>
        </w:rPr>
      </w:pPr>
      <w:r>
        <w:rPr>
          <w:rFonts w:hint="eastAsia"/>
          <w:color w:val="000000"/>
          <w:lang w:val="zh-CN"/>
        </w:rPr>
        <w:t>（2）</w:t>
      </w:r>
      <w:r>
        <w:rPr>
          <w:rFonts w:hint="eastAsia"/>
          <w:color w:val="000000"/>
        </w:rPr>
        <w:t>取得操作证的特种作业人员，应定期进行复审，未按期复审或复审不合格者，其操作证自行失效，该特种工不准上岗作业。</w:t>
      </w:r>
    </w:p>
    <w:p w14:paraId="44C86E65">
      <w:pPr>
        <w:ind w:firstLine="560"/>
        <w:rPr>
          <w:color w:val="000000"/>
        </w:rPr>
      </w:pPr>
      <w:r>
        <w:rPr>
          <w:rFonts w:hint="eastAsia"/>
          <w:color w:val="000000"/>
        </w:rPr>
        <w:t>4、特种设备管理制度</w:t>
      </w:r>
    </w:p>
    <w:p w14:paraId="583FE5CB">
      <w:pPr>
        <w:ind w:firstLine="560"/>
        <w:rPr>
          <w:color w:val="000000"/>
        </w:rPr>
      </w:pPr>
      <w:r>
        <w:rPr>
          <w:rFonts w:hint="eastAsia"/>
          <w:color w:val="000000"/>
          <w:lang w:val="zh-CN"/>
        </w:rPr>
        <w:t>（1）</w:t>
      </w:r>
      <w:r>
        <w:rPr>
          <w:rFonts w:hint="eastAsia"/>
          <w:color w:val="000000"/>
        </w:rPr>
        <w:t>项目部设备物资部必须严格执行《中华人民共和国特种设备安全法》规定，保证特种设备的安全使用，并明确管理人员及每台设备的安全责任人。</w:t>
      </w:r>
    </w:p>
    <w:p w14:paraId="265F7311">
      <w:pPr>
        <w:ind w:firstLine="560"/>
        <w:rPr>
          <w:color w:val="000000"/>
        </w:rPr>
      </w:pPr>
      <w:r>
        <w:rPr>
          <w:rFonts w:hint="eastAsia"/>
          <w:color w:val="000000"/>
          <w:lang w:val="zh-CN"/>
        </w:rPr>
        <w:t>（2）</w:t>
      </w:r>
      <w:r>
        <w:rPr>
          <w:rFonts w:hint="eastAsia"/>
          <w:color w:val="000000"/>
        </w:rPr>
        <w:t>设备物资部、安全环保部、工程技术部等部门应对进场设备进行验收，验收合格后方可投入使用，并按“一机一档”的原则建立台帐，归档保存，并将《特种设备管理台账》报安全环保部备案；安装、使用和维修改造应符合相关规定要求。</w:t>
      </w:r>
    </w:p>
    <w:p w14:paraId="36CE103E">
      <w:pPr>
        <w:ind w:firstLine="560"/>
        <w:rPr>
          <w:color w:val="000000"/>
        </w:rPr>
      </w:pPr>
      <w:r>
        <w:rPr>
          <w:rFonts w:hint="eastAsia"/>
          <w:color w:val="000000"/>
          <w:lang w:val="zh-CN"/>
        </w:rPr>
        <w:t>（3）</w:t>
      </w:r>
      <w:r>
        <w:rPr>
          <w:rFonts w:hint="eastAsia"/>
          <w:color w:val="000000"/>
        </w:rPr>
        <w:t>进场特种设备应经国家特种设备安全监督管理部门检验检测合格后方可投入使用。</w:t>
      </w:r>
    </w:p>
    <w:p w14:paraId="1A51F5CA">
      <w:pPr>
        <w:ind w:firstLine="560"/>
        <w:rPr>
          <w:color w:val="000000"/>
        </w:rPr>
      </w:pPr>
      <w:r>
        <w:rPr>
          <w:rFonts w:hint="eastAsia"/>
          <w:color w:val="000000"/>
          <w:lang w:val="zh-CN"/>
        </w:rPr>
        <w:t>（4）</w:t>
      </w:r>
      <w:r>
        <w:rPr>
          <w:rFonts w:hint="eastAsia"/>
          <w:color w:val="000000"/>
        </w:rPr>
        <w:t>使用单位至少每月进行一次自行检查，对查出的问题必须及时处理，并按技术规范作定期检验。</w:t>
      </w:r>
    </w:p>
    <w:p w14:paraId="554F0300">
      <w:pPr>
        <w:ind w:firstLine="560"/>
        <w:rPr>
          <w:color w:val="000000"/>
        </w:rPr>
      </w:pPr>
      <w:r>
        <w:rPr>
          <w:rFonts w:hint="eastAsia"/>
          <w:color w:val="000000"/>
          <w:lang w:val="zh-CN"/>
        </w:rPr>
        <w:t>（5）</w:t>
      </w:r>
      <w:r>
        <w:rPr>
          <w:rFonts w:hint="eastAsia"/>
          <w:color w:val="000000"/>
        </w:rPr>
        <w:t>特种设备使用单位负责日常保养和维护工作并做好记录。</w:t>
      </w:r>
    </w:p>
    <w:p w14:paraId="5332EED1">
      <w:pPr>
        <w:ind w:firstLine="560"/>
        <w:rPr>
          <w:color w:val="000000"/>
        </w:rPr>
      </w:pPr>
      <w:r>
        <w:rPr>
          <w:rFonts w:hint="eastAsia"/>
          <w:color w:val="000000"/>
          <w:lang w:val="zh-CN"/>
        </w:rPr>
        <w:t>（6）</w:t>
      </w:r>
      <w:r>
        <w:rPr>
          <w:rFonts w:hint="eastAsia"/>
          <w:color w:val="000000"/>
        </w:rPr>
        <w:t>凡需持证操作的设备必须执行定人、定机、定岗位的“三定”制度。</w:t>
      </w:r>
    </w:p>
    <w:p w14:paraId="64009D44">
      <w:pPr>
        <w:ind w:firstLine="560"/>
        <w:rPr>
          <w:color w:val="000000"/>
        </w:rPr>
      </w:pPr>
      <w:r>
        <w:rPr>
          <w:rFonts w:hint="eastAsia"/>
          <w:color w:val="000000"/>
          <w:lang w:val="zh-CN"/>
        </w:rPr>
        <w:t>（7）</w:t>
      </w:r>
      <w:r>
        <w:rPr>
          <w:rFonts w:hint="eastAsia"/>
          <w:color w:val="000000"/>
        </w:rPr>
        <w:t>特种设备的操作人员必须持证上岗，严格执行特种设备的安全操作规程。</w:t>
      </w:r>
    </w:p>
    <w:p w14:paraId="069E35A3">
      <w:pPr>
        <w:ind w:firstLine="560"/>
        <w:rPr>
          <w:color w:val="000000"/>
        </w:rPr>
      </w:pPr>
      <w:r>
        <w:rPr>
          <w:rFonts w:hint="eastAsia"/>
          <w:color w:val="000000"/>
          <w:lang w:val="zh-CN"/>
        </w:rPr>
        <w:t>（8）</w:t>
      </w:r>
      <w:r>
        <w:rPr>
          <w:rFonts w:hint="eastAsia"/>
          <w:color w:val="000000"/>
        </w:rPr>
        <w:t>特种设备管理人员须持证上岗，方可从事相应管理工作。</w:t>
      </w:r>
    </w:p>
    <w:p w14:paraId="7E7C7252">
      <w:pPr>
        <w:ind w:firstLine="560"/>
        <w:rPr>
          <w:color w:val="000000"/>
        </w:rPr>
      </w:pPr>
      <w:r>
        <w:rPr>
          <w:rFonts w:hint="eastAsia"/>
          <w:color w:val="000000"/>
          <w:lang w:val="zh-CN"/>
        </w:rPr>
        <w:t>（9）</w:t>
      </w:r>
      <w:r>
        <w:rPr>
          <w:rFonts w:hint="eastAsia"/>
          <w:color w:val="000000"/>
        </w:rPr>
        <w:t>特种设备须在显著位置设置标识牌。</w:t>
      </w:r>
    </w:p>
    <w:p w14:paraId="073AB844">
      <w:pPr>
        <w:ind w:firstLine="560"/>
        <w:rPr>
          <w:color w:val="000000"/>
        </w:rPr>
      </w:pPr>
      <w:r>
        <w:rPr>
          <w:rFonts w:hint="eastAsia"/>
          <w:color w:val="000000"/>
        </w:rPr>
        <w:t>5、安全生产例会制度</w:t>
      </w:r>
    </w:p>
    <w:p w14:paraId="72BBC192">
      <w:pPr>
        <w:ind w:firstLine="560"/>
        <w:rPr>
          <w:color w:val="000000"/>
        </w:rPr>
      </w:pPr>
      <w:r>
        <w:rPr>
          <w:rFonts w:hint="eastAsia"/>
          <w:color w:val="000000"/>
          <w:lang w:val="zh-CN"/>
        </w:rPr>
        <w:t>（1）</w:t>
      </w:r>
      <w:r>
        <w:rPr>
          <w:rFonts w:hint="eastAsia"/>
          <w:color w:val="000000"/>
        </w:rPr>
        <w:t>项目部每月召开一次安全生产例会，根据情况，可以增加安全生产例会次数，或者召开专项安全生产例会。</w:t>
      </w:r>
    </w:p>
    <w:p w14:paraId="27FDF913">
      <w:pPr>
        <w:ind w:firstLine="560"/>
        <w:rPr>
          <w:color w:val="000000"/>
        </w:rPr>
      </w:pPr>
      <w:r>
        <w:rPr>
          <w:rFonts w:hint="eastAsia"/>
          <w:color w:val="000000"/>
          <w:lang w:val="zh-CN"/>
        </w:rPr>
        <w:t>（2）</w:t>
      </w:r>
      <w:r>
        <w:rPr>
          <w:rFonts w:hint="eastAsia"/>
          <w:color w:val="000000"/>
        </w:rPr>
        <w:t>安全生产例会由主管生产的副经理或安全总监召集并主持。一般在月度安全生产检查后及时召开，可以和生产例会同时召开。</w:t>
      </w:r>
    </w:p>
    <w:p w14:paraId="55490B45">
      <w:pPr>
        <w:ind w:firstLine="560"/>
        <w:rPr>
          <w:color w:val="000000"/>
        </w:rPr>
      </w:pPr>
      <w:r>
        <w:rPr>
          <w:rFonts w:hint="eastAsia"/>
          <w:color w:val="000000"/>
          <w:lang w:val="zh-CN"/>
        </w:rPr>
        <w:t>（3）</w:t>
      </w:r>
      <w:r>
        <w:rPr>
          <w:rFonts w:hint="eastAsia"/>
          <w:color w:val="000000"/>
        </w:rPr>
        <w:t>项目部安全生产领导小组成员、各工区经理和技术负责人、专职安全管理人员、安全保卫负责人、各劳务协作单位负责人、租赁机械设备单位管理人员应参加安全生产例会。</w:t>
      </w:r>
    </w:p>
    <w:p w14:paraId="6E4226D6">
      <w:pPr>
        <w:ind w:firstLine="560"/>
        <w:rPr>
          <w:color w:val="000000"/>
        </w:rPr>
      </w:pPr>
      <w:r>
        <w:rPr>
          <w:rFonts w:hint="eastAsia"/>
          <w:color w:val="000000"/>
          <w:lang w:val="zh-CN"/>
        </w:rPr>
        <w:t>（4）</w:t>
      </w:r>
      <w:r>
        <w:rPr>
          <w:rFonts w:hint="eastAsia"/>
          <w:color w:val="000000"/>
        </w:rPr>
        <w:t>项目部月度安全生产例会议程包括：</w:t>
      </w:r>
    </w:p>
    <w:p w14:paraId="7AD8D899">
      <w:pPr>
        <w:ind w:firstLine="560"/>
        <w:rPr>
          <w:color w:val="000000"/>
        </w:rPr>
      </w:pPr>
      <w:r>
        <w:rPr>
          <w:color w:val="000000"/>
        </w:rPr>
        <w:fldChar w:fldCharType="begin"/>
      </w:r>
      <w:r>
        <w:rPr>
          <w:rFonts w:hint="eastAsia"/>
          <w:color w:val="000000"/>
        </w:rPr>
        <w:instrText xml:space="preserve">= 1 \* GB3</w:instrText>
      </w:r>
      <w:r>
        <w:rPr>
          <w:color w:val="000000"/>
        </w:rPr>
        <w:fldChar w:fldCharType="separate"/>
      </w:r>
      <w:r>
        <w:rPr>
          <w:rFonts w:hint="eastAsia"/>
          <w:color w:val="000000"/>
        </w:rPr>
        <w:t>①</w:t>
      </w:r>
      <w:r>
        <w:rPr>
          <w:color w:val="000000"/>
        </w:rPr>
        <w:fldChar w:fldCharType="end"/>
      </w:r>
      <w:r>
        <w:rPr>
          <w:rFonts w:hint="eastAsia"/>
          <w:color w:val="000000"/>
        </w:rPr>
        <w:t>汇报上月项目部安全生产管理工作总体情况及安全生产大检查及日常安全巡查发现的情况。</w:t>
      </w:r>
    </w:p>
    <w:p w14:paraId="6BFA6555">
      <w:pPr>
        <w:ind w:firstLine="560"/>
        <w:rPr>
          <w:color w:val="000000"/>
        </w:rPr>
      </w:pPr>
      <w:r>
        <w:rPr>
          <w:color w:val="000000"/>
        </w:rPr>
        <w:fldChar w:fldCharType="begin"/>
      </w:r>
      <w:r>
        <w:rPr>
          <w:rFonts w:hint="eastAsia"/>
          <w:color w:val="000000"/>
        </w:rPr>
        <w:instrText xml:space="preserve">= 2 \* GB3</w:instrText>
      </w:r>
      <w:r>
        <w:rPr>
          <w:color w:val="000000"/>
        </w:rPr>
        <w:fldChar w:fldCharType="separate"/>
      </w:r>
      <w:r>
        <w:rPr>
          <w:rFonts w:hint="eastAsia"/>
          <w:color w:val="000000"/>
        </w:rPr>
        <w:t>②</w:t>
      </w:r>
      <w:r>
        <w:rPr>
          <w:color w:val="000000"/>
        </w:rPr>
        <w:fldChar w:fldCharType="end"/>
      </w:r>
      <w:r>
        <w:rPr>
          <w:rFonts w:hint="eastAsia"/>
          <w:color w:val="000000"/>
        </w:rPr>
        <w:t>上月项目部发生的生产安全事故分析。</w:t>
      </w:r>
    </w:p>
    <w:p w14:paraId="000E628C">
      <w:pPr>
        <w:ind w:firstLine="560"/>
        <w:rPr>
          <w:color w:val="000000"/>
        </w:rPr>
      </w:pPr>
      <w:r>
        <w:rPr>
          <w:color w:val="000000"/>
        </w:rPr>
        <w:fldChar w:fldCharType="begin"/>
      </w:r>
      <w:r>
        <w:rPr>
          <w:rFonts w:hint="eastAsia"/>
          <w:color w:val="000000"/>
        </w:rPr>
        <w:instrText xml:space="preserve">= 3 \* GB3</w:instrText>
      </w:r>
      <w:r>
        <w:rPr>
          <w:color w:val="000000"/>
        </w:rPr>
        <w:fldChar w:fldCharType="separate"/>
      </w:r>
      <w:r>
        <w:rPr>
          <w:rFonts w:hint="eastAsia"/>
          <w:color w:val="000000"/>
        </w:rPr>
        <w:t>③</w:t>
      </w:r>
      <w:r>
        <w:rPr>
          <w:color w:val="000000"/>
        </w:rPr>
        <w:fldChar w:fldCharType="end"/>
      </w:r>
      <w:r>
        <w:rPr>
          <w:rFonts w:hint="eastAsia"/>
          <w:color w:val="000000"/>
        </w:rPr>
        <w:t>项目部目前安全生产状况及当前需要做好的工作。</w:t>
      </w:r>
    </w:p>
    <w:p w14:paraId="42E7414B">
      <w:pPr>
        <w:ind w:firstLine="560"/>
        <w:rPr>
          <w:color w:val="000000"/>
        </w:rPr>
      </w:pPr>
      <w:r>
        <w:rPr>
          <w:color w:val="000000"/>
        </w:rPr>
        <w:fldChar w:fldCharType="begin"/>
      </w:r>
      <w:r>
        <w:rPr>
          <w:rFonts w:hint="eastAsia"/>
          <w:color w:val="000000"/>
        </w:rPr>
        <w:instrText xml:space="preserve">= 4 \* GB3</w:instrText>
      </w:r>
      <w:r>
        <w:rPr>
          <w:color w:val="000000"/>
        </w:rPr>
        <w:fldChar w:fldCharType="separate"/>
      </w:r>
      <w:r>
        <w:rPr>
          <w:rFonts w:hint="eastAsia"/>
          <w:color w:val="000000"/>
        </w:rPr>
        <w:t>④</w:t>
      </w:r>
      <w:r>
        <w:rPr>
          <w:color w:val="000000"/>
        </w:rPr>
        <w:fldChar w:fldCharType="end"/>
      </w:r>
      <w:r>
        <w:rPr>
          <w:rFonts w:hint="eastAsia"/>
          <w:color w:val="000000"/>
        </w:rPr>
        <w:t>国家、上级机关关于安全生产工作的新法律、规章制度和相关要求的学习通报。</w:t>
      </w:r>
    </w:p>
    <w:p w14:paraId="3CC0A913">
      <w:pPr>
        <w:ind w:firstLine="560"/>
        <w:rPr>
          <w:color w:val="000000"/>
        </w:rPr>
      </w:pPr>
      <w:r>
        <w:rPr>
          <w:color w:val="000000"/>
        </w:rPr>
        <w:fldChar w:fldCharType="begin"/>
      </w:r>
      <w:r>
        <w:rPr>
          <w:rFonts w:hint="eastAsia"/>
          <w:color w:val="000000"/>
        </w:rPr>
        <w:instrText xml:space="preserve">= 5 \* GB3</w:instrText>
      </w:r>
      <w:r>
        <w:rPr>
          <w:color w:val="000000"/>
        </w:rPr>
        <w:fldChar w:fldCharType="separate"/>
      </w:r>
      <w:r>
        <w:rPr>
          <w:rFonts w:hint="eastAsia"/>
          <w:color w:val="000000"/>
        </w:rPr>
        <w:t>⑤</w:t>
      </w:r>
      <w:r>
        <w:rPr>
          <w:color w:val="000000"/>
        </w:rPr>
        <w:fldChar w:fldCharType="end"/>
      </w:r>
      <w:r>
        <w:rPr>
          <w:rFonts w:hint="eastAsia"/>
          <w:color w:val="000000"/>
        </w:rPr>
        <w:t>分析确定下月项目部安全生产工作重点，确定安全生产重点监控部位。</w:t>
      </w:r>
    </w:p>
    <w:p w14:paraId="46230250">
      <w:pPr>
        <w:ind w:firstLine="560"/>
        <w:rPr>
          <w:color w:val="000000"/>
        </w:rPr>
      </w:pPr>
      <w:r>
        <w:rPr>
          <w:color w:val="000000"/>
        </w:rPr>
        <w:fldChar w:fldCharType="begin"/>
      </w:r>
      <w:r>
        <w:rPr>
          <w:rFonts w:hint="eastAsia"/>
          <w:color w:val="000000"/>
        </w:rPr>
        <w:instrText xml:space="preserve">= 6 \* GB3</w:instrText>
      </w:r>
      <w:r>
        <w:rPr>
          <w:color w:val="000000"/>
        </w:rPr>
        <w:fldChar w:fldCharType="separate"/>
      </w:r>
      <w:r>
        <w:rPr>
          <w:rFonts w:hint="eastAsia"/>
          <w:color w:val="000000"/>
        </w:rPr>
        <w:t>⑥</w:t>
      </w:r>
      <w:r>
        <w:rPr>
          <w:color w:val="000000"/>
        </w:rPr>
        <w:fldChar w:fldCharType="end"/>
      </w:r>
      <w:r>
        <w:rPr>
          <w:rFonts w:hint="eastAsia"/>
          <w:color w:val="000000"/>
        </w:rPr>
        <w:t>落实相关安全生产问题的解决方案和责任部门或人员。</w:t>
      </w:r>
    </w:p>
    <w:p w14:paraId="481C8AAF">
      <w:pPr>
        <w:ind w:firstLine="560"/>
        <w:rPr>
          <w:color w:val="000000"/>
        </w:rPr>
      </w:pPr>
      <w:r>
        <w:rPr>
          <w:color w:val="000000"/>
        </w:rPr>
        <w:fldChar w:fldCharType="begin"/>
      </w:r>
      <w:r>
        <w:rPr>
          <w:rFonts w:hint="eastAsia"/>
          <w:color w:val="000000"/>
        </w:rPr>
        <w:instrText xml:space="preserve">= 7 \* GB3</w:instrText>
      </w:r>
      <w:r>
        <w:rPr>
          <w:color w:val="000000"/>
        </w:rPr>
        <w:fldChar w:fldCharType="separate"/>
      </w:r>
      <w:r>
        <w:rPr>
          <w:rFonts w:hint="eastAsia"/>
          <w:color w:val="000000"/>
        </w:rPr>
        <w:t>⑦</w:t>
      </w:r>
      <w:r>
        <w:rPr>
          <w:color w:val="000000"/>
        </w:rPr>
        <w:fldChar w:fldCharType="end"/>
      </w:r>
      <w:r>
        <w:rPr>
          <w:rFonts w:hint="eastAsia"/>
          <w:color w:val="000000"/>
        </w:rPr>
        <w:t>其他需要解决的安全生产相关问题。</w:t>
      </w:r>
    </w:p>
    <w:p w14:paraId="0A012A54">
      <w:pPr>
        <w:ind w:firstLine="560"/>
        <w:rPr>
          <w:color w:val="000000"/>
        </w:rPr>
      </w:pPr>
      <w:r>
        <w:rPr>
          <w:rFonts w:hint="eastAsia"/>
          <w:color w:val="000000"/>
          <w:lang w:val="zh-CN"/>
        </w:rPr>
        <w:t>（5）</w:t>
      </w:r>
      <w:r>
        <w:rPr>
          <w:rFonts w:hint="eastAsia"/>
          <w:color w:val="000000"/>
        </w:rPr>
        <w:t>安全生产例会的内容要记录清楚，必要时要形成会议记要，会议形成的各项决议、有关部门和人员必须认真落实，安全环保部、质量管理部负责监督。</w:t>
      </w:r>
    </w:p>
    <w:p w14:paraId="69C18851">
      <w:pPr>
        <w:ind w:firstLine="560"/>
        <w:rPr>
          <w:color w:val="000000"/>
        </w:rPr>
      </w:pPr>
      <w:r>
        <w:rPr>
          <w:rFonts w:hint="eastAsia"/>
          <w:color w:val="000000"/>
          <w:lang w:val="zh-CN"/>
        </w:rPr>
        <w:t>（6）</w:t>
      </w:r>
      <w:r>
        <w:rPr>
          <w:rFonts w:hint="eastAsia"/>
          <w:color w:val="000000"/>
        </w:rPr>
        <w:t>安全生产例会会议记录由安全环保部、质量管理部记录并保存。</w:t>
      </w:r>
    </w:p>
    <w:p w14:paraId="40978748">
      <w:pPr>
        <w:ind w:firstLine="560"/>
        <w:rPr>
          <w:color w:val="000000"/>
        </w:rPr>
      </w:pPr>
      <w:r>
        <w:rPr>
          <w:rFonts w:hint="eastAsia"/>
          <w:color w:val="000000"/>
        </w:rPr>
        <w:t>6、职业健康管理制度</w:t>
      </w:r>
    </w:p>
    <w:p w14:paraId="102DB8AA">
      <w:pPr>
        <w:ind w:firstLine="560"/>
        <w:rPr>
          <w:color w:val="000000"/>
        </w:rPr>
      </w:pPr>
      <w:r>
        <w:rPr>
          <w:rFonts w:hint="eastAsia"/>
          <w:color w:val="000000"/>
          <w:lang w:val="zh-CN"/>
        </w:rPr>
        <w:t>（1）</w:t>
      </w:r>
      <w:r>
        <w:rPr>
          <w:rFonts w:hint="eastAsia"/>
          <w:color w:val="000000"/>
        </w:rPr>
        <w:t>劳动保护措施</w:t>
      </w:r>
    </w:p>
    <w:p w14:paraId="45120DA0">
      <w:pPr>
        <w:ind w:firstLine="560"/>
        <w:rPr>
          <w:color w:val="000000"/>
        </w:rPr>
      </w:pPr>
      <w:r>
        <w:rPr>
          <w:rFonts w:ascii="宋体" w:hAnsi="宋体" w:eastAsia="宋体" w:cs="宋体"/>
          <w:color w:val="000000"/>
        </w:rPr>
        <w:fldChar w:fldCharType="begin"/>
      </w:r>
      <w:r>
        <w:rPr>
          <w:rFonts w:hint="eastAsia" w:ascii="宋体" w:hAnsi="宋体" w:eastAsia="宋体" w:cs="宋体"/>
          <w:color w:val="000000"/>
        </w:rPr>
        <w:instrText xml:space="preserve">= 1 \* GB3</w:instrText>
      </w:r>
      <w:r>
        <w:rPr>
          <w:rFonts w:ascii="宋体" w:hAnsi="宋体" w:eastAsia="宋体" w:cs="宋体"/>
          <w:color w:val="000000"/>
        </w:rPr>
        <w:fldChar w:fldCharType="separate"/>
      </w:r>
      <w:r>
        <w:rPr>
          <w:rFonts w:hint="eastAsia" w:ascii="宋体" w:hAnsi="宋体" w:eastAsia="宋体" w:cs="宋体"/>
          <w:color w:val="000000"/>
        </w:rPr>
        <w:t>①</w:t>
      </w:r>
      <w:r>
        <w:rPr>
          <w:rFonts w:ascii="宋体" w:hAnsi="宋体" w:eastAsia="宋体" w:cs="宋体"/>
          <w:color w:val="000000"/>
        </w:rPr>
        <w:fldChar w:fldCharType="end"/>
      </w:r>
      <w:r>
        <w:rPr>
          <w:rFonts w:hint="eastAsia"/>
          <w:color w:val="000000"/>
        </w:rPr>
        <w:t xml:space="preserve">接触粉尘、有毒有害气体等有害、危险施工环境的作业职工，按有关规定发放个人劳动保护用品，并监督检查使用情况，以确保正常使用。  </w:t>
      </w:r>
    </w:p>
    <w:p w14:paraId="60A191FC">
      <w:pPr>
        <w:ind w:firstLine="560"/>
        <w:rPr>
          <w:color w:val="000000"/>
        </w:rPr>
      </w:pPr>
      <w:r>
        <w:rPr>
          <w:rFonts w:ascii="宋体" w:hAnsi="宋体" w:eastAsia="宋体" w:cs="宋体"/>
          <w:color w:val="000000"/>
        </w:rPr>
        <w:fldChar w:fldCharType="begin"/>
      </w:r>
      <w:r>
        <w:rPr>
          <w:rFonts w:hint="eastAsia" w:ascii="宋体" w:hAnsi="宋体" w:eastAsia="宋体" w:cs="宋体"/>
          <w:color w:val="000000"/>
        </w:rPr>
        <w:instrText xml:space="preserve">= 2 \* GB3</w:instrText>
      </w:r>
      <w:r>
        <w:rPr>
          <w:rFonts w:ascii="宋体" w:hAnsi="宋体" w:eastAsia="宋体" w:cs="宋体"/>
          <w:color w:val="000000"/>
        </w:rPr>
        <w:fldChar w:fldCharType="separate"/>
      </w:r>
      <w:r>
        <w:rPr>
          <w:rFonts w:hint="eastAsia" w:ascii="宋体" w:hAnsi="宋体" w:eastAsia="宋体" w:cs="宋体"/>
          <w:color w:val="000000"/>
        </w:rPr>
        <w:t>②</w:t>
      </w:r>
      <w:r>
        <w:rPr>
          <w:rFonts w:ascii="宋体" w:hAnsi="宋体" w:eastAsia="宋体" w:cs="宋体"/>
          <w:color w:val="000000"/>
        </w:rPr>
        <w:fldChar w:fldCharType="end"/>
      </w:r>
      <w:r>
        <w:rPr>
          <w:rFonts w:hint="eastAsia"/>
          <w:color w:val="000000"/>
        </w:rPr>
        <w:t xml:space="preserve">加强机械保养，减少施工机械不正常运转造成的噪音。 </w:t>
      </w:r>
    </w:p>
    <w:p w14:paraId="316A48BD">
      <w:pPr>
        <w:ind w:firstLine="560"/>
        <w:rPr>
          <w:color w:val="000000"/>
        </w:rPr>
      </w:pPr>
      <w:r>
        <w:rPr>
          <w:color w:val="000000"/>
        </w:rPr>
        <w:fldChar w:fldCharType="begin"/>
      </w:r>
      <w:r>
        <w:rPr>
          <w:rFonts w:hint="eastAsia"/>
          <w:color w:val="000000"/>
        </w:rPr>
        <w:instrText xml:space="preserve">= 3 \* GB3</w:instrText>
      </w:r>
      <w:r>
        <w:rPr>
          <w:color w:val="000000"/>
        </w:rPr>
        <w:fldChar w:fldCharType="separate"/>
      </w:r>
      <w:r>
        <w:rPr>
          <w:rFonts w:hint="eastAsia"/>
          <w:color w:val="000000"/>
        </w:rPr>
        <w:t>③</w:t>
      </w:r>
      <w:r>
        <w:rPr>
          <w:color w:val="000000"/>
        </w:rPr>
        <w:fldChar w:fldCharType="end"/>
      </w:r>
      <w:r>
        <w:rPr>
          <w:rFonts w:hint="eastAsia"/>
          <w:color w:val="000000"/>
        </w:rPr>
        <w:t>对于噪音超标的机械设备，采用消音器降低噪音。</w:t>
      </w:r>
    </w:p>
    <w:p w14:paraId="55754C7B">
      <w:pPr>
        <w:ind w:firstLine="560"/>
        <w:rPr>
          <w:color w:val="000000"/>
        </w:rPr>
      </w:pPr>
      <w:r>
        <w:rPr>
          <w:color w:val="000000"/>
        </w:rPr>
        <w:fldChar w:fldCharType="begin"/>
      </w:r>
      <w:r>
        <w:rPr>
          <w:rFonts w:hint="eastAsia"/>
          <w:color w:val="000000"/>
        </w:rPr>
        <w:instrText xml:space="preserve">= 4 \* GB3</w:instrText>
      </w:r>
      <w:r>
        <w:rPr>
          <w:color w:val="000000"/>
        </w:rPr>
        <w:fldChar w:fldCharType="separate"/>
      </w:r>
      <w:r>
        <w:rPr>
          <w:rFonts w:hint="eastAsia"/>
          <w:color w:val="000000"/>
        </w:rPr>
        <w:t>④</w:t>
      </w:r>
      <w:r>
        <w:rPr>
          <w:color w:val="000000"/>
        </w:rPr>
        <w:fldChar w:fldCharType="end"/>
      </w:r>
      <w:r>
        <w:rPr>
          <w:rFonts w:hint="eastAsia"/>
          <w:color w:val="000000"/>
        </w:rPr>
        <w:t>对经常接触有噪音的职工，加强个人防护，佩带耳塞消除影响。</w:t>
      </w:r>
    </w:p>
    <w:p w14:paraId="1003F203">
      <w:pPr>
        <w:ind w:firstLine="560"/>
        <w:rPr>
          <w:color w:val="000000"/>
        </w:rPr>
      </w:pPr>
      <w:r>
        <w:rPr>
          <w:rFonts w:ascii="宋体" w:hAnsi="宋体" w:eastAsia="宋体" w:cs="宋体"/>
          <w:color w:val="000000"/>
        </w:rPr>
        <w:fldChar w:fldCharType="begin"/>
      </w:r>
      <w:r>
        <w:rPr>
          <w:rFonts w:hint="eastAsia" w:ascii="宋体" w:hAnsi="宋体" w:eastAsia="宋体" w:cs="宋体"/>
          <w:color w:val="000000"/>
        </w:rPr>
        <w:instrText xml:space="preserve">= 5 \* GB3</w:instrText>
      </w:r>
      <w:r>
        <w:rPr>
          <w:rFonts w:ascii="宋体" w:hAnsi="宋体" w:eastAsia="宋体" w:cs="宋体"/>
          <w:color w:val="000000"/>
        </w:rPr>
        <w:fldChar w:fldCharType="separate"/>
      </w:r>
      <w:r>
        <w:rPr>
          <w:rFonts w:hint="eastAsia" w:ascii="宋体" w:hAnsi="宋体" w:eastAsia="宋体" w:cs="宋体"/>
          <w:color w:val="000000"/>
        </w:rPr>
        <w:t>⑤</w:t>
      </w:r>
      <w:r>
        <w:rPr>
          <w:rFonts w:ascii="宋体" w:hAnsi="宋体" w:eastAsia="宋体" w:cs="宋体"/>
          <w:color w:val="000000"/>
        </w:rPr>
        <w:fldChar w:fldCharType="end"/>
      </w:r>
      <w:r>
        <w:rPr>
          <w:rFonts w:hint="eastAsia"/>
          <w:color w:val="000000"/>
        </w:rPr>
        <w:t>按照劳动法的要求，做好本工程的劳动、保护装备工作，根据每个工种的人数以及劳动性质，由物机部门负责采购，配备充足而且必要的劳动保护用品。同时加强行政管理，落实劳动保护措施。</w:t>
      </w:r>
    </w:p>
    <w:p w14:paraId="02682314">
      <w:pPr>
        <w:ind w:firstLine="560"/>
        <w:rPr>
          <w:color w:val="000000"/>
        </w:rPr>
      </w:pPr>
      <w:r>
        <w:rPr>
          <w:rFonts w:cs="仿宋"/>
          <w:color w:val="000000"/>
        </w:rPr>
        <w:fldChar w:fldCharType="begin"/>
      </w:r>
      <w:r>
        <w:rPr>
          <w:rFonts w:hint="eastAsia" w:cs="仿宋"/>
          <w:color w:val="000000"/>
        </w:rPr>
        <w:instrText xml:space="preserve">= 6 \* GB3</w:instrText>
      </w:r>
      <w:r>
        <w:rPr>
          <w:rFonts w:cs="仿宋"/>
          <w:color w:val="000000"/>
        </w:rPr>
        <w:fldChar w:fldCharType="separate"/>
      </w:r>
      <w:r>
        <w:rPr>
          <w:rFonts w:hint="eastAsia" w:cs="仿宋"/>
          <w:color w:val="000000"/>
        </w:rPr>
        <w:t>⑥</w:t>
      </w:r>
      <w:r>
        <w:rPr>
          <w:rFonts w:cs="仿宋"/>
          <w:color w:val="000000"/>
        </w:rPr>
        <w:fldChar w:fldCharType="end"/>
      </w:r>
      <w:r>
        <w:rPr>
          <w:rFonts w:hint="eastAsia"/>
          <w:color w:val="000000"/>
        </w:rPr>
        <w:t>现场电焊作业人员，必须佩戴好护目镜。</w:t>
      </w:r>
    </w:p>
    <w:p w14:paraId="70165C67">
      <w:pPr>
        <w:ind w:firstLine="560"/>
        <w:rPr>
          <w:color w:val="000000"/>
        </w:rPr>
      </w:pPr>
      <w:r>
        <w:rPr>
          <w:color w:val="000000"/>
        </w:rPr>
        <w:fldChar w:fldCharType="begin"/>
      </w:r>
      <w:r>
        <w:rPr>
          <w:rFonts w:hint="eastAsia"/>
          <w:color w:val="000000"/>
        </w:rPr>
        <w:instrText xml:space="preserve">= 7 \* GB3</w:instrText>
      </w:r>
      <w:r>
        <w:rPr>
          <w:color w:val="000000"/>
        </w:rPr>
        <w:fldChar w:fldCharType="separate"/>
      </w:r>
      <w:r>
        <w:rPr>
          <w:rFonts w:hint="eastAsia"/>
          <w:color w:val="000000"/>
        </w:rPr>
        <w:t>⑦</w:t>
      </w:r>
      <w:r>
        <w:rPr>
          <w:color w:val="000000"/>
        </w:rPr>
        <w:fldChar w:fldCharType="end"/>
      </w:r>
      <w:r>
        <w:rPr>
          <w:rFonts w:hint="eastAsia"/>
          <w:color w:val="000000"/>
        </w:rPr>
        <w:t>劳动保护装备要符合以下要求：</w:t>
      </w:r>
    </w:p>
    <w:p w14:paraId="24E3C6B8">
      <w:pPr>
        <w:ind w:firstLine="560"/>
        <w:rPr>
          <w:color w:val="000000"/>
        </w:rPr>
      </w:pPr>
      <w:r>
        <w:rPr>
          <w:color w:val="000000"/>
        </w:rPr>
        <w:t>1</w:t>
      </w:r>
      <w:r>
        <w:rPr>
          <w:rFonts w:hint="eastAsia"/>
          <w:color w:val="000000"/>
        </w:rPr>
        <w:t>）采购劳动保护用品时，必须审核产品的生产许可证、产品合格证和安全鉴定证，确保产品的质量和使用安全；对于未列入国家生产许可证管理范围的劳动防护用品，按路用劳动防护用品许可证制度进行质量管理。</w:t>
      </w:r>
    </w:p>
    <w:p w14:paraId="514B4F98">
      <w:pPr>
        <w:ind w:firstLine="560"/>
        <w:rPr>
          <w:color w:val="000000"/>
        </w:rPr>
      </w:pPr>
      <w:r>
        <w:rPr>
          <w:rFonts w:ascii="宋体" w:hAnsi="宋体" w:eastAsia="宋体" w:cs="宋体"/>
          <w:color w:val="000000"/>
        </w:rPr>
        <w:t>2</w:t>
      </w:r>
      <w:r>
        <w:rPr>
          <w:rFonts w:hint="eastAsia" w:ascii="宋体" w:hAnsi="宋体" w:eastAsia="宋体" w:cs="宋体"/>
          <w:color w:val="000000"/>
        </w:rPr>
        <w:t>）</w:t>
      </w:r>
      <w:r>
        <w:rPr>
          <w:rFonts w:hint="eastAsia"/>
          <w:color w:val="000000"/>
        </w:rPr>
        <w:t>施工人员必须分工按规定配齐劳动保护用品，并配戴上岗。进入施工现场的其他人员必须配戴安全帽，闲杂人员不得出入施工现场；由安全领导小组负责对施工人员进行劳动保护方面的检查，对漏配、缺配劳动保护用品的施工人员，责令补发劳动保护用品；对不按规定配戴劳动保护用品上岗的人员，进行批评教育，并责令其改正，对累教不改的人员，将采取罚款、停岗等措施予以惩罚。</w:t>
      </w:r>
    </w:p>
    <w:p w14:paraId="51395063">
      <w:pPr>
        <w:ind w:firstLine="560"/>
        <w:rPr>
          <w:color w:val="000000"/>
        </w:rPr>
      </w:pPr>
      <w:r>
        <w:rPr>
          <w:rFonts w:hint="eastAsia"/>
          <w:color w:val="000000"/>
          <w:lang w:val="zh-CN"/>
        </w:rPr>
        <w:t>（2）</w:t>
      </w:r>
      <w:r>
        <w:rPr>
          <w:rFonts w:hint="eastAsia"/>
          <w:color w:val="000000"/>
        </w:rPr>
        <w:t xml:space="preserve">医疗保障措施  </w:t>
      </w:r>
    </w:p>
    <w:p w14:paraId="1ECDBB76">
      <w:pPr>
        <w:ind w:firstLine="560"/>
        <w:rPr>
          <w:color w:val="000000"/>
        </w:rPr>
      </w:pPr>
      <w:r>
        <w:rPr>
          <w:color w:val="000000"/>
        </w:rPr>
        <w:fldChar w:fldCharType="begin"/>
      </w:r>
      <w:r>
        <w:rPr>
          <w:rFonts w:hint="eastAsia"/>
          <w:color w:val="000000"/>
        </w:rPr>
        <w:instrText xml:space="preserve">= 1 \* GB3</w:instrText>
      </w:r>
      <w:r>
        <w:rPr>
          <w:color w:val="000000"/>
        </w:rPr>
        <w:fldChar w:fldCharType="separate"/>
      </w:r>
      <w:r>
        <w:rPr>
          <w:rFonts w:hint="eastAsia"/>
          <w:color w:val="000000"/>
        </w:rPr>
        <w:t>①</w:t>
      </w:r>
      <w:r>
        <w:rPr>
          <w:color w:val="000000"/>
        </w:rPr>
        <w:fldChar w:fldCharType="end"/>
      </w:r>
      <w:r>
        <w:rPr>
          <w:rFonts w:hint="eastAsia"/>
          <w:color w:val="000000"/>
        </w:rPr>
        <w:t>联系医院，全面负责医疗卫生和传染病、血吸虫病防治的监测监督工作，落实防治措施，做好职工的健康教育工作。对项目内出现的疫情信息，及时向上一级医疗卫生机构报告。对内规范管理、对外加强协调联系，营造一个良好的内外卫生防疫工作环境。</w:t>
      </w:r>
    </w:p>
    <w:p w14:paraId="559D5B02">
      <w:pPr>
        <w:ind w:firstLine="560"/>
        <w:rPr>
          <w:color w:val="000000"/>
        </w:rPr>
      </w:pPr>
      <w:r>
        <w:rPr>
          <w:color w:val="000000"/>
        </w:rPr>
        <w:fldChar w:fldCharType="begin"/>
      </w:r>
      <w:r>
        <w:rPr>
          <w:rFonts w:hint="eastAsia"/>
          <w:color w:val="000000"/>
        </w:rPr>
        <w:instrText xml:space="preserve">= 2 \* GB3</w:instrText>
      </w:r>
      <w:r>
        <w:rPr>
          <w:color w:val="000000"/>
        </w:rPr>
        <w:fldChar w:fldCharType="separate"/>
      </w:r>
      <w:r>
        <w:rPr>
          <w:rFonts w:hint="eastAsia"/>
          <w:color w:val="000000"/>
        </w:rPr>
        <w:t>②</w:t>
      </w:r>
      <w:r>
        <w:rPr>
          <w:color w:val="000000"/>
        </w:rPr>
        <w:fldChar w:fldCharType="end"/>
      </w:r>
      <w:r>
        <w:rPr>
          <w:rFonts w:hint="eastAsia"/>
          <w:color w:val="000000"/>
        </w:rPr>
        <w:t>夏季发放防暑药品，防止中暑。冬季发放防寒防冻药品，防止冻伤；春秋两季是传染病、病毒性疾病高发季节，医务人员将加强对职工的健康检查，做好预防接种工作，搞好环境卫生，切断蚊蝇等传媒生物孳生源，有效控制疾病的流行。</w:t>
      </w:r>
    </w:p>
    <w:p w14:paraId="10B93DF6">
      <w:pPr>
        <w:ind w:firstLine="560"/>
        <w:rPr>
          <w:color w:val="000000"/>
        </w:rPr>
      </w:pPr>
      <w:r>
        <w:rPr>
          <w:rFonts w:hint="eastAsia"/>
          <w:color w:val="000000"/>
        </w:rPr>
        <w:t>9、疫情防控安全保障措施</w:t>
      </w:r>
    </w:p>
    <w:p w14:paraId="2D8ABEDD">
      <w:pPr>
        <w:ind w:firstLine="560"/>
        <w:rPr>
          <w:color w:val="000000"/>
        </w:rPr>
      </w:pPr>
      <w:r>
        <w:rPr>
          <w:rFonts w:hint="eastAsia"/>
          <w:color w:val="000000"/>
          <w:lang w:val="zh-CN"/>
        </w:rPr>
        <w:t>（1）</w:t>
      </w:r>
      <w:r>
        <w:rPr>
          <w:rFonts w:hint="eastAsia"/>
          <w:color w:val="000000"/>
        </w:rPr>
        <w:t>进场人员管理</w:t>
      </w:r>
    </w:p>
    <w:p w14:paraId="3EC8FC7A">
      <w:pPr>
        <w:ind w:firstLine="560"/>
        <w:rPr>
          <w:color w:val="000000"/>
        </w:rPr>
      </w:pPr>
      <w:r>
        <w:rPr>
          <w:rFonts w:hint="eastAsia"/>
          <w:color w:val="000000"/>
        </w:rPr>
        <w:t>通过宣传栏、公告栏、专题讲座、线上培训、班前教育、技术交底等方式，加强对施工现场人员防疫政策、健康知识的宣传教育培训，引导施工现场人员养成勤洗手、常通风、科学佩戴口罩、使用公勺公筷等良好卫生习惯，着力提升从业人员的防范意识和防控能力。</w:t>
      </w:r>
    </w:p>
    <w:p w14:paraId="3F8AA624">
      <w:pPr>
        <w:ind w:firstLine="560"/>
        <w:rPr>
          <w:color w:val="000000"/>
        </w:rPr>
      </w:pPr>
      <w:r>
        <w:rPr>
          <w:rFonts w:hint="eastAsia"/>
          <w:color w:val="000000"/>
          <w:lang w:val="zh-CN"/>
        </w:rPr>
        <w:t>（2）</w:t>
      </w:r>
      <w:r>
        <w:rPr>
          <w:rFonts w:hint="eastAsia"/>
          <w:color w:val="000000"/>
        </w:rPr>
        <w:t>防疫消杀管理</w:t>
      </w:r>
    </w:p>
    <w:p w14:paraId="45149A67">
      <w:pPr>
        <w:ind w:firstLine="560"/>
        <w:rPr>
          <w:color w:val="000000"/>
        </w:rPr>
      </w:pPr>
      <w:r>
        <w:rPr>
          <w:color w:val="000000"/>
        </w:rPr>
        <w:t>1</w:t>
      </w:r>
      <w:r>
        <w:rPr>
          <w:rFonts w:hint="eastAsia"/>
          <w:color w:val="000000"/>
        </w:rPr>
        <w:t>）常态化管控期间，各部门、各单位每天早晨和中午上班后，请注意用消毒湿巾对办公时可能接触的物体表面进入擦拭（包括但不限于桌椅、电脑键盘、手机、文件夹、杯/茶具）。</w:t>
      </w:r>
    </w:p>
    <w:p w14:paraId="42744DC4">
      <w:pPr>
        <w:ind w:firstLine="560"/>
        <w:rPr>
          <w:color w:val="000000"/>
        </w:rPr>
      </w:pPr>
      <w:r>
        <w:rPr>
          <w:color w:val="000000"/>
        </w:rPr>
        <w:t>2</w:t>
      </w:r>
      <w:r>
        <w:rPr>
          <w:rFonts w:hint="eastAsia"/>
          <w:color w:val="000000"/>
        </w:rPr>
        <w:t>）公共区域消毒作业，由办公室安排相关人员组织实施并做好记录。包括食堂、卫生间、会议室、办公楼等聚集性地方，做到全方位、无死角消杀。</w:t>
      </w:r>
    </w:p>
    <w:p w14:paraId="02D824B5">
      <w:pPr>
        <w:ind w:firstLine="560"/>
        <w:rPr>
          <w:color w:val="000000"/>
        </w:rPr>
      </w:pPr>
      <w:r>
        <w:rPr>
          <w:rFonts w:hint="eastAsia"/>
          <w:color w:val="000000"/>
          <w:lang w:val="zh-CN"/>
        </w:rPr>
        <w:t>（3）</w:t>
      </w:r>
      <w:r>
        <w:rPr>
          <w:rFonts w:hint="eastAsia"/>
          <w:color w:val="000000"/>
        </w:rPr>
        <w:t>施工现场管控</w:t>
      </w:r>
    </w:p>
    <w:p w14:paraId="3904F8B0">
      <w:pPr>
        <w:ind w:firstLine="560"/>
        <w:rPr>
          <w:color w:val="000000"/>
        </w:rPr>
      </w:pPr>
      <w:r>
        <w:rPr>
          <w:rFonts w:hint="eastAsia"/>
          <w:color w:val="000000"/>
        </w:rPr>
        <w:t>必须储备充足的口罩、酒精、消毒液、防护服等物资，疫情防控工作小组要实时掌控物资储备情况，及时补充。</w:t>
      </w:r>
    </w:p>
    <w:p w14:paraId="0EC555FA">
      <w:pPr>
        <w:ind w:firstLine="560"/>
        <w:rPr>
          <w:color w:val="000000"/>
        </w:rPr>
      </w:pPr>
      <w:r>
        <w:rPr>
          <w:rFonts w:hint="eastAsia"/>
          <w:color w:val="000000"/>
          <w:lang w:val="zh-CN"/>
        </w:rPr>
        <w:t>（4）</w:t>
      </w:r>
      <w:r>
        <w:rPr>
          <w:rFonts w:hint="eastAsia"/>
          <w:color w:val="000000"/>
        </w:rPr>
        <w:t>教育培训</w:t>
      </w:r>
    </w:p>
    <w:p w14:paraId="438020BA">
      <w:pPr>
        <w:ind w:firstLine="560"/>
        <w:rPr>
          <w:color w:val="000000"/>
        </w:rPr>
      </w:pPr>
      <w:r>
        <w:rPr>
          <w:rFonts w:hint="eastAsia"/>
          <w:color w:val="000000"/>
        </w:rPr>
        <w:t>1）将新冠疫情防控教育纳入到每日岗前安全教育，创新教育和交底方式，减少人员聚集。</w:t>
      </w:r>
    </w:p>
    <w:p w14:paraId="25744F4C">
      <w:pPr>
        <w:ind w:firstLine="560"/>
        <w:rPr>
          <w:color w:val="000000"/>
        </w:rPr>
      </w:pPr>
      <w:r>
        <w:rPr>
          <w:rFonts w:hint="eastAsia"/>
          <w:color w:val="000000"/>
        </w:rPr>
        <w:t>2）指导从业人员注意个人卫生，保持勤洗手、多饮水，保持宿舍卫生整洁，多通风。</w:t>
      </w:r>
    </w:p>
    <w:p w14:paraId="7A12D446">
      <w:pPr>
        <w:pStyle w:val="3"/>
        <w:keepLines w:val="0"/>
        <w:widowControl/>
        <w:spacing w:beforeAutospacing="1" w:afterAutospacing="1"/>
        <w:rPr>
          <w:rFonts w:ascii="Times New Roman" w:hAnsi="Times New Roman"/>
          <w:color w:val="000000"/>
        </w:rPr>
      </w:pPr>
      <w:bookmarkStart w:id="478" w:name="_Toc20956"/>
      <w:bookmarkStart w:id="479" w:name="_Toc2392"/>
      <w:bookmarkStart w:id="480" w:name="_Toc32679"/>
      <w:bookmarkStart w:id="481" w:name="_Toc30343"/>
      <w:bookmarkStart w:id="482" w:name="_Toc12160"/>
      <w:bookmarkStart w:id="483" w:name="_Toc13241"/>
      <w:bookmarkStart w:id="484" w:name="_Toc87114083"/>
      <w:bookmarkStart w:id="485" w:name="_Toc30170"/>
      <w:bookmarkStart w:id="486" w:name="_Toc28071"/>
      <w:bookmarkStart w:id="487" w:name="_Toc8948"/>
      <w:bookmarkStart w:id="488" w:name="_Toc12630"/>
      <w:bookmarkStart w:id="489" w:name="_Toc12043"/>
      <w:bookmarkStart w:id="490" w:name="_Toc14949"/>
      <w:bookmarkStart w:id="491" w:name="_Toc31375"/>
      <w:bookmarkStart w:id="492" w:name="_Toc16910"/>
      <w:r>
        <w:rPr>
          <w:rFonts w:hint="eastAsia"/>
          <w:color w:val="000000"/>
        </w:rPr>
        <w:t>9.4</w:t>
      </w:r>
      <w:r>
        <w:rPr>
          <w:color w:val="000000"/>
        </w:rPr>
        <w:t xml:space="preserve"> 高处作业及临边防护安全技术措施</w:t>
      </w:r>
      <w:bookmarkEnd w:id="478"/>
      <w:bookmarkEnd w:id="479"/>
      <w:bookmarkEnd w:id="480"/>
      <w:bookmarkEnd w:id="481"/>
      <w:bookmarkEnd w:id="482"/>
      <w:bookmarkEnd w:id="483"/>
    </w:p>
    <w:p w14:paraId="3F666E13">
      <w:pPr>
        <w:ind w:firstLine="560"/>
        <w:rPr>
          <w:color w:val="000000"/>
        </w:rPr>
      </w:pPr>
      <w:r>
        <w:rPr>
          <w:color w:val="000000"/>
        </w:rPr>
        <w:t>1．施工前,要对操作者进行安全交底，落实安全技术措施和人身防护用品，未经落实不得进行施工</w:t>
      </w:r>
      <w:r>
        <w:rPr>
          <w:rFonts w:hint="eastAsia"/>
          <w:color w:val="000000"/>
        </w:rPr>
        <w:t>。</w:t>
      </w:r>
    </w:p>
    <w:p w14:paraId="5799B76D">
      <w:pPr>
        <w:ind w:firstLine="560"/>
        <w:rPr>
          <w:color w:val="000000"/>
        </w:rPr>
      </w:pPr>
      <w:r>
        <w:rPr>
          <w:color w:val="000000"/>
        </w:rPr>
        <w:t>2．高空作业中的工具设备和电气设施，必须在施工前加以检查，确认其完好，方能使用</w:t>
      </w:r>
      <w:r>
        <w:rPr>
          <w:rFonts w:hint="eastAsia"/>
          <w:color w:val="000000"/>
        </w:rPr>
        <w:t>。</w:t>
      </w:r>
    </w:p>
    <w:p w14:paraId="3F1EB959">
      <w:pPr>
        <w:ind w:firstLine="560"/>
        <w:rPr>
          <w:color w:val="000000"/>
        </w:rPr>
      </w:pPr>
      <w:r>
        <w:rPr>
          <w:color w:val="000000"/>
        </w:rPr>
        <w:t>3．攀登和悬空高处作业人员以及搭设高处作业安全设施人员,必须经过专业技术培训考试合格持证上岗.高处作业人员必须佩带安全带</w:t>
      </w:r>
      <w:r>
        <w:rPr>
          <w:rFonts w:hint="eastAsia"/>
          <w:color w:val="000000"/>
        </w:rPr>
        <w:t>。</w:t>
      </w:r>
    </w:p>
    <w:p w14:paraId="18B962A0">
      <w:pPr>
        <w:ind w:firstLine="560"/>
        <w:rPr>
          <w:color w:val="000000"/>
        </w:rPr>
      </w:pPr>
      <w:r>
        <w:rPr>
          <w:color w:val="000000"/>
        </w:rPr>
        <w:t>4．施工现场使用的防高处坠落安全防护用品，必须是经国家质量鉴定、审验手续的合格产品</w:t>
      </w:r>
      <w:r>
        <w:rPr>
          <w:rFonts w:hint="eastAsia"/>
          <w:color w:val="000000"/>
        </w:rPr>
        <w:t>。</w:t>
      </w:r>
    </w:p>
    <w:p w14:paraId="1B095F0E">
      <w:pPr>
        <w:ind w:firstLine="560"/>
        <w:rPr>
          <w:color w:val="000000"/>
        </w:rPr>
      </w:pPr>
      <w:r>
        <w:rPr>
          <w:color w:val="000000"/>
        </w:rPr>
        <w:t xml:space="preserve">5．高处作业平台四周围应有防护栏,并挂密目网防护，平台底部设置18cm挡脚板，平台设爬梯供工作人员上下。 </w:t>
      </w:r>
    </w:p>
    <w:p w14:paraId="51906823">
      <w:pPr>
        <w:ind w:firstLine="560"/>
        <w:rPr>
          <w:color w:val="000000"/>
        </w:rPr>
      </w:pPr>
      <w:r>
        <w:rPr>
          <w:color w:val="000000"/>
        </w:rPr>
        <w:t xml:space="preserve">6．在交叉作业时,不允许在上下同一垂直区域内进行作业，下层作业时应在上层物体落地区域外作业。 </w:t>
      </w:r>
    </w:p>
    <w:p w14:paraId="2BF7EE91">
      <w:pPr>
        <w:ind w:firstLine="560"/>
        <w:rPr>
          <w:color w:val="000000"/>
        </w:rPr>
      </w:pPr>
      <w:r>
        <w:rPr>
          <w:color w:val="000000"/>
        </w:rPr>
        <w:t>7．临边防护必须超出作业面1</w:t>
      </w:r>
      <w:r>
        <w:rPr>
          <w:rFonts w:hint="eastAsia"/>
          <w:color w:val="000000"/>
        </w:rPr>
        <w:t>.</w:t>
      </w:r>
      <w:r>
        <w:rPr>
          <w:color w:val="000000"/>
        </w:rPr>
        <w:t>2m,作业人员必须按规定系挂安全带。临边作业必须设防护栏杆（要求0</w:t>
      </w:r>
      <w:r>
        <w:rPr>
          <w:rFonts w:hint="eastAsia"/>
          <w:color w:val="000000"/>
        </w:rPr>
        <w:t>.</w:t>
      </w:r>
      <w:r>
        <w:rPr>
          <w:color w:val="000000"/>
        </w:rPr>
        <w:t xml:space="preserve">6m、1.2m各设一道)。 </w:t>
      </w:r>
    </w:p>
    <w:p w14:paraId="61880112">
      <w:pPr>
        <w:ind w:firstLine="560"/>
        <w:rPr>
          <w:color w:val="000000"/>
        </w:rPr>
      </w:pPr>
      <w:r>
        <w:rPr>
          <w:color w:val="000000"/>
        </w:rPr>
        <w:t xml:space="preserve">8．高处作业中所用的物料应该堆放平稳,不可置放在临边或洞口附近，也不可妨碍通行和装卸。 </w:t>
      </w:r>
    </w:p>
    <w:p w14:paraId="399E0BEC">
      <w:pPr>
        <w:ind w:firstLine="560"/>
        <w:rPr>
          <w:color w:val="000000"/>
        </w:rPr>
      </w:pPr>
      <w:r>
        <w:rPr>
          <w:color w:val="000000"/>
        </w:rPr>
        <w:t xml:space="preserve">9．现场操作人员上下楼时必须走专门的通道,不得在非规定的通道进行攀登,更不得任意利用吊车臂等施工设备进行攀登。 </w:t>
      </w:r>
    </w:p>
    <w:p w14:paraId="7F3C244A">
      <w:pPr>
        <w:ind w:firstLine="560"/>
        <w:rPr>
          <w:color w:val="000000"/>
        </w:rPr>
      </w:pPr>
      <w:r>
        <w:rPr>
          <w:color w:val="000000"/>
        </w:rPr>
        <w:t>10．对脚手架的搭设、拆除，安全网的支挂,安全带的使用，”四口”、”五临边"的防护要进行量化检查验收，合格后方准施工</w:t>
      </w:r>
      <w:r>
        <w:rPr>
          <w:rFonts w:hint="eastAsia"/>
          <w:color w:val="000000"/>
        </w:rPr>
        <w:t>。</w:t>
      </w:r>
    </w:p>
    <w:p w14:paraId="414916A1">
      <w:pPr>
        <w:ind w:firstLine="560"/>
        <w:rPr>
          <w:color w:val="000000"/>
        </w:rPr>
      </w:pPr>
      <w:r>
        <w:rPr>
          <w:color w:val="000000"/>
        </w:rPr>
        <w:t xml:space="preserve">11．冬季进行高处作业,要用可靠的防滑、防寒和防冻措施。 </w:t>
      </w:r>
    </w:p>
    <w:p w14:paraId="2BF6001F">
      <w:pPr>
        <w:ind w:firstLine="560"/>
        <w:rPr>
          <w:color w:val="000000"/>
        </w:rPr>
      </w:pPr>
      <w:r>
        <w:rPr>
          <w:color w:val="000000"/>
        </w:rPr>
        <w:t>12．进行高处作业时，应事先设置避雷设施，遇五级以上强风，不得进行露天攀登与悬空高处作业，大风及大雨过后，应对高处作业安全设施逐一加以检查,发现有松动、变形、损坏或脱落等现象立即修理完善。</w:t>
      </w:r>
    </w:p>
    <w:p w14:paraId="176F72BE">
      <w:pPr>
        <w:pStyle w:val="3"/>
        <w:rPr>
          <w:color w:val="000000"/>
        </w:rPr>
      </w:pPr>
      <w:bookmarkStart w:id="493" w:name="_Toc24035"/>
      <w:bookmarkStart w:id="494" w:name="_Toc18276"/>
      <w:bookmarkStart w:id="495" w:name="_Toc3683"/>
      <w:bookmarkStart w:id="496" w:name="_Toc23912"/>
      <w:bookmarkStart w:id="497" w:name="_Toc8552"/>
      <w:bookmarkStart w:id="498" w:name="_Toc8685"/>
      <w:r>
        <w:rPr>
          <w:rFonts w:hint="eastAsia"/>
          <w:color w:val="000000"/>
        </w:rPr>
        <w:t>9.5绿色施工保证措施</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Start w:id="499" w:name="_Toc54548765"/>
    </w:p>
    <w:p w14:paraId="29918F75">
      <w:pPr>
        <w:pStyle w:val="123"/>
        <w:rPr>
          <w:rStyle w:val="124"/>
          <w:b/>
        </w:rPr>
      </w:pPr>
      <w:r>
        <w:rPr>
          <w:rStyle w:val="124"/>
          <w:rFonts w:hint="eastAsia"/>
          <w:b/>
        </w:rPr>
        <w:t>表9.5</w:t>
      </w:r>
      <w:r>
        <w:rPr>
          <w:rStyle w:val="124"/>
          <w:b/>
        </w:rPr>
        <w:t>-1</w:t>
      </w:r>
      <w:r>
        <w:rPr>
          <w:rStyle w:val="124"/>
          <w:rFonts w:hint="eastAsia"/>
          <w:b/>
        </w:rPr>
        <w:t>环境敏感因素分析及防控措施表</w:t>
      </w:r>
    </w:p>
    <w:tbl>
      <w:tblPr>
        <w:tblStyle w:val="4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85"/>
        <w:gridCol w:w="1505"/>
        <w:gridCol w:w="6941"/>
      </w:tblGrid>
      <w:tr w14:paraId="44AE98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blHeader/>
          <w:jc w:val="center"/>
        </w:trPr>
        <w:tc>
          <w:tcPr>
            <w:tcW w:w="425" w:type="pct"/>
            <w:vAlign w:val="center"/>
          </w:tcPr>
          <w:p w14:paraId="50394A54">
            <w:pPr>
              <w:pStyle w:val="144"/>
              <w:rPr>
                <w:rFonts w:ascii="仿宋" w:hAnsi="仿宋"/>
                <w:color w:val="000000"/>
                <w:kern w:val="2"/>
                <w:sz w:val="24"/>
                <w:szCs w:val="24"/>
              </w:rPr>
            </w:pPr>
            <w:r>
              <w:rPr>
                <w:rFonts w:hint="eastAsia" w:ascii="仿宋" w:hAnsi="仿宋"/>
                <w:color w:val="000000"/>
                <w:kern w:val="2"/>
                <w:sz w:val="24"/>
                <w:szCs w:val="24"/>
              </w:rPr>
              <w:t>序号</w:t>
            </w:r>
          </w:p>
        </w:tc>
        <w:tc>
          <w:tcPr>
            <w:tcW w:w="815" w:type="pct"/>
            <w:vAlign w:val="center"/>
          </w:tcPr>
          <w:p w14:paraId="40E555A7">
            <w:pPr>
              <w:pStyle w:val="144"/>
              <w:rPr>
                <w:rFonts w:ascii="仿宋" w:hAnsi="仿宋"/>
                <w:color w:val="000000"/>
                <w:kern w:val="2"/>
                <w:sz w:val="24"/>
                <w:szCs w:val="24"/>
              </w:rPr>
            </w:pPr>
            <w:r>
              <w:rPr>
                <w:rFonts w:hint="eastAsia" w:ascii="仿宋" w:hAnsi="仿宋"/>
                <w:color w:val="000000"/>
                <w:kern w:val="2"/>
                <w:sz w:val="24"/>
                <w:szCs w:val="24"/>
              </w:rPr>
              <w:t>因素</w:t>
            </w:r>
          </w:p>
        </w:tc>
        <w:tc>
          <w:tcPr>
            <w:tcW w:w="3759" w:type="pct"/>
            <w:vAlign w:val="center"/>
          </w:tcPr>
          <w:p w14:paraId="3913B90A">
            <w:pPr>
              <w:pStyle w:val="144"/>
              <w:rPr>
                <w:rFonts w:ascii="仿宋" w:hAnsi="仿宋"/>
                <w:color w:val="000000"/>
                <w:kern w:val="2"/>
                <w:sz w:val="24"/>
                <w:szCs w:val="24"/>
              </w:rPr>
            </w:pPr>
            <w:r>
              <w:rPr>
                <w:rFonts w:hint="eastAsia" w:ascii="仿宋" w:hAnsi="仿宋"/>
                <w:color w:val="000000"/>
                <w:kern w:val="2"/>
                <w:sz w:val="24"/>
                <w:szCs w:val="24"/>
              </w:rPr>
              <w:t>防控措施</w:t>
            </w:r>
          </w:p>
        </w:tc>
      </w:tr>
      <w:tr w14:paraId="15A726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25" w:type="pct"/>
            <w:vAlign w:val="center"/>
          </w:tcPr>
          <w:p w14:paraId="791DB84C">
            <w:pPr>
              <w:pStyle w:val="144"/>
              <w:rPr>
                <w:rFonts w:ascii="仿宋" w:hAnsi="仿宋"/>
                <w:color w:val="000000"/>
                <w:kern w:val="2"/>
                <w:sz w:val="24"/>
                <w:szCs w:val="24"/>
              </w:rPr>
            </w:pPr>
            <w:r>
              <w:rPr>
                <w:rFonts w:ascii="仿宋" w:hAnsi="仿宋"/>
                <w:color w:val="000000"/>
                <w:kern w:val="2"/>
                <w:sz w:val="24"/>
                <w:szCs w:val="24"/>
              </w:rPr>
              <w:t>1</w:t>
            </w:r>
          </w:p>
        </w:tc>
        <w:tc>
          <w:tcPr>
            <w:tcW w:w="815" w:type="pct"/>
            <w:vAlign w:val="center"/>
          </w:tcPr>
          <w:p w14:paraId="04342C3B">
            <w:pPr>
              <w:pStyle w:val="144"/>
              <w:rPr>
                <w:rFonts w:ascii="仿宋" w:hAnsi="仿宋"/>
                <w:color w:val="000000"/>
                <w:kern w:val="2"/>
                <w:sz w:val="24"/>
                <w:szCs w:val="24"/>
              </w:rPr>
            </w:pPr>
            <w:r>
              <w:rPr>
                <w:rFonts w:hint="eastAsia" w:ascii="仿宋" w:hAnsi="仿宋"/>
                <w:color w:val="000000"/>
                <w:kern w:val="2"/>
                <w:sz w:val="24"/>
                <w:szCs w:val="24"/>
              </w:rPr>
              <w:t>废气</w:t>
            </w:r>
          </w:p>
        </w:tc>
        <w:tc>
          <w:tcPr>
            <w:tcW w:w="3759" w:type="pct"/>
            <w:vAlign w:val="center"/>
          </w:tcPr>
          <w:p w14:paraId="60918735">
            <w:pPr>
              <w:pStyle w:val="144"/>
              <w:jc w:val="left"/>
              <w:rPr>
                <w:rFonts w:ascii="仿宋" w:hAnsi="仿宋"/>
                <w:color w:val="000000"/>
                <w:kern w:val="2"/>
                <w:sz w:val="24"/>
                <w:szCs w:val="24"/>
              </w:rPr>
            </w:pPr>
            <w:r>
              <w:rPr>
                <w:rFonts w:ascii="仿宋" w:hAnsi="仿宋"/>
                <w:color w:val="000000"/>
                <w:kern w:val="2"/>
                <w:sz w:val="24"/>
                <w:szCs w:val="24"/>
              </w:rPr>
              <w:fldChar w:fldCharType="begin"/>
            </w:r>
            <w:r>
              <w:rPr>
                <w:rFonts w:ascii="仿宋" w:hAnsi="仿宋"/>
                <w:color w:val="000000"/>
                <w:kern w:val="2"/>
                <w:sz w:val="24"/>
                <w:szCs w:val="24"/>
              </w:rPr>
              <w:instrText xml:space="preserve"> = 1 \* GB2 </w:instrText>
            </w:r>
            <w:r>
              <w:rPr>
                <w:rFonts w:ascii="仿宋" w:hAnsi="仿宋"/>
                <w:color w:val="000000"/>
                <w:kern w:val="2"/>
                <w:sz w:val="24"/>
                <w:szCs w:val="24"/>
              </w:rPr>
              <w:fldChar w:fldCharType="separate"/>
            </w:r>
            <w:r>
              <w:rPr>
                <w:rFonts w:hint="eastAsia" w:ascii="仿宋" w:hAnsi="仿宋"/>
                <w:color w:val="000000"/>
                <w:kern w:val="2"/>
                <w:sz w:val="24"/>
                <w:szCs w:val="24"/>
              </w:rPr>
              <w:t>⑴</w:t>
            </w:r>
            <w:r>
              <w:rPr>
                <w:rFonts w:ascii="仿宋" w:hAnsi="仿宋"/>
                <w:color w:val="000000"/>
                <w:kern w:val="2"/>
                <w:sz w:val="24"/>
                <w:szCs w:val="24"/>
              </w:rPr>
              <w:fldChar w:fldCharType="end"/>
            </w:r>
            <w:r>
              <w:rPr>
                <w:rFonts w:hint="eastAsia" w:ascii="仿宋" w:hAnsi="仿宋"/>
                <w:color w:val="000000"/>
                <w:kern w:val="2"/>
                <w:sz w:val="24"/>
                <w:szCs w:val="24"/>
              </w:rPr>
              <w:t>施工车辆、机械设备的废气排放应符合国家现行标准规定；</w:t>
            </w:r>
          </w:p>
          <w:p w14:paraId="49FCE9CC">
            <w:pPr>
              <w:pStyle w:val="144"/>
              <w:jc w:val="left"/>
              <w:rPr>
                <w:rFonts w:ascii="仿宋" w:hAnsi="仿宋"/>
                <w:color w:val="000000"/>
                <w:kern w:val="2"/>
                <w:sz w:val="24"/>
                <w:szCs w:val="24"/>
              </w:rPr>
            </w:pPr>
            <w:r>
              <w:rPr>
                <w:rFonts w:ascii="仿宋" w:hAnsi="仿宋"/>
                <w:color w:val="000000"/>
                <w:kern w:val="2"/>
                <w:sz w:val="24"/>
                <w:szCs w:val="24"/>
              </w:rPr>
              <w:fldChar w:fldCharType="begin"/>
            </w:r>
            <w:r>
              <w:rPr>
                <w:rFonts w:ascii="仿宋" w:hAnsi="仿宋"/>
                <w:color w:val="000000"/>
                <w:kern w:val="2"/>
                <w:sz w:val="24"/>
                <w:szCs w:val="24"/>
              </w:rPr>
              <w:instrText xml:space="preserve"> = 2 \* GB2 </w:instrText>
            </w:r>
            <w:r>
              <w:rPr>
                <w:rFonts w:ascii="仿宋" w:hAnsi="仿宋"/>
                <w:color w:val="000000"/>
                <w:kern w:val="2"/>
                <w:sz w:val="24"/>
                <w:szCs w:val="24"/>
              </w:rPr>
              <w:fldChar w:fldCharType="separate"/>
            </w:r>
            <w:r>
              <w:rPr>
                <w:rFonts w:hint="eastAsia" w:ascii="仿宋" w:hAnsi="仿宋"/>
                <w:color w:val="000000"/>
                <w:kern w:val="2"/>
                <w:sz w:val="24"/>
                <w:szCs w:val="24"/>
              </w:rPr>
              <w:t>⑵</w:t>
            </w:r>
            <w:r>
              <w:rPr>
                <w:rFonts w:ascii="仿宋" w:hAnsi="仿宋"/>
                <w:color w:val="000000"/>
                <w:kern w:val="2"/>
                <w:sz w:val="24"/>
                <w:szCs w:val="24"/>
              </w:rPr>
              <w:fldChar w:fldCharType="end"/>
            </w:r>
            <w:r>
              <w:rPr>
                <w:rFonts w:hint="eastAsia" w:ascii="仿宋" w:hAnsi="仿宋"/>
                <w:color w:val="000000"/>
                <w:kern w:val="2"/>
                <w:sz w:val="24"/>
                <w:szCs w:val="24"/>
              </w:rPr>
              <w:t>施工现场应用无烟尘或少烟尘焊接工艺，提高焊接机械化和自动化程度；</w:t>
            </w:r>
          </w:p>
          <w:p w14:paraId="06A22662">
            <w:pPr>
              <w:pStyle w:val="144"/>
              <w:jc w:val="left"/>
              <w:rPr>
                <w:rFonts w:ascii="仿宋" w:hAnsi="仿宋"/>
                <w:color w:val="000000"/>
                <w:kern w:val="2"/>
                <w:sz w:val="24"/>
                <w:szCs w:val="24"/>
              </w:rPr>
            </w:pPr>
            <w:r>
              <w:rPr>
                <w:rFonts w:ascii="仿宋" w:hAnsi="仿宋"/>
                <w:color w:val="000000"/>
                <w:kern w:val="2"/>
                <w:sz w:val="24"/>
                <w:szCs w:val="24"/>
              </w:rPr>
              <w:fldChar w:fldCharType="begin"/>
            </w:r>
            <w:r>
              <w:rPr>
                <w:rFonts w:ascii="仿宋" w:hAnsi="仿宋"/>
                <w:color w:val="000000"/>
                <w:kern w:val="2"/>
                <w:sz w:val="24"/>
                <w:szCs w:val="24"/>
              </w:rPr>
              <w:instrText xml:space="preserve"> = 3 \* GB2 </w:instrText>
            </w:r>
            <w:r>
              <w:rPr>
                <w:rFonts w:ascii="仿宋" w:hAnsi="仿宋"/>
                <w:color w:val="000000"/>
                <w:kern w:val="2"/>
                <w:sz w:val="24"/>
                <w:szCs w:val="24"/>
              </w:rPr>
              <w:fldChar w:fldCharType="separate"/>
            </w:r>
            <w:r>
              <w:rPr>
                <w:rFonts w:hint="eastAsia" w:ascii="仿宋" w:hAnsi="仿宋"/>
                <w:color w:val="000000"/>
                <w:kern w:val="2"/>
                <w:sz w:val="24"/>
                <w:szCs w:val="24"/>
              </w:rPr>
              <w:t>⑶</w:t>
            </w:r>
            <w:r>
              <w:rPr>
                <w:rFonts w:ascii="仿宋" w:hAnsi="仿宋"/>
                <w:color w:val="000000"/>
                <w:kern w:val="2"/>
                <w:sz w:val="24"/>
                <w:szCs w:val="24"/>
              </w:rPr>
              <w:fldChar w:fldCharType="end"/>
            </w:r>
            <w:r>
              <w:rPr>
                <w:rFonts w:hint="eastAsia" w:ascii="仿宋" w:hAnsi="仿宋"/>
                <w:color w:val="000000"/>
                <w:kern w:val="2"/>
                <w:sz w:val="24"/>
                <w:szCs w:val="24"/>
              </w:rPr>
              <w:t>施工现场不得焚烧废弃物或橡胶制品。</w:t>
            </w:r>
          </w:p>
        </w:tc>
      </w:tr>
      <w:tr w14:paraId="61882F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25" w:type="pct"/>
            <w:vAlign w:val="center"/>
          </w:tcPr>
          <w:p w14:paraId="488E8F65">
            <w:pPr>
              <w:pStyle w:val="144"/>
              <w:rPr>
                <w:rFonts w:ascii="仿宋" w:hAnsi="仿宋"/>
                <w:color w:val="000000"/>
                <w:kern w:val="2"/>
                <w:sz w:val="24"/>
                <w:szCs w:val="24"/>
              </w:rPr>
            </w:pPr>
            <w:r>
              <w:rPr>
                <w:rFonts w:ascii="仿宋" w:hAnsi="仿宋"/>
                <w:color w:val="000000"/>
                <w:kern w:val="2"/>
                <w:sz w:val="24"/>
                <w:szCs w:val="24"/>
              </w:rPr>
              <w:t>2</w:t>
            </w:r>
          </w:p>
        </w:tc>
        <w:tc>
          <w:tcPr>
            <w:tcW w:w="815" w:type="pct"/>
            <w:vAlign w:val="center"/>
          </w:tcPr>
          <w:p w14:paraId="20200257">
            <w:pPr>
              <w:pStyle w:val="144"/>
              <w:rPr>
                <w:rFonts w:ascii="仿宋" w:hAnsi="仿宋"/>
                <w:color w:val="000000"/>
                <w:kern w:val="2"/>
                <w:sz w:val="24"/>
                <w:szCs w:val="24"/>
              </w:rPr>
            </w:pPr>
            <w:r>
              <w:rPr>
                <w:rFonts w:hint="eastAsia" w:ascii="仿宋" w:hAnsi="仿宋"/>
                <w:color w:val="000000"/>
                <w:kern w:val="2"/>
                <w:sz w:val="24"/>
                <w:szCs w:val="24"/>
              </w:rPr>
              <w:t>液体垃圾</w:t>
            </w:r>
          </w:p>
        </w:tc>
        <w:tc>
          <w:tcPr>
            <w:tcW w:w="3759" w:type="pct"/>
            <w:vAlign w:val="center"/>
          </w:tcPr>
          <w:p w14:paraId="0706859F">
            <w:pPr>
              <w:pStyle w:val="144"/>
              <w:jc w:val="left"/>
              <w:rPr>
                <w:rFonts w:ascii="仿宋" w:hAnsi="仿宋"/>
                <w:color w:val="000000"/>
                <w:kern w:val="2"/>
                <w:sz w:val="24"/>
                <w:szCs w:val="24"/>
              </w:rPr>
            </w:pPr>
            <w:r>
              <w:rPr>
                <w:rFonts w:ascii="仿宋" w:hAnsi="仿宋"/>
                <w:color w:val="000000"/>
                <w:kern w:val="2"/>
                <w:sz w:val="24"/>
                <w:szCs w:val="24"/>
              </w:rPr>
              <w:fldChar w:fldCharType="begin"/>
            </w:r>
            <w:r>
              <w:rPr>
                <w:rFonts w:hint="eastAsia" w:ascii="仿宋" w:hAnsi="仿宋"/>
                <w:color w:val="000000"/>
                <w:kern w:val="2"/>
                <w:sz w:val="24"/>
                <w:szCs w:val="24"/>
              </w:rPr>
              <w:instrText xml:space="preserve">= 1 \* GB2</w:instrText>
            </w:r>
            <w:r>
              <w:rPr>
                <w:rFonts w:ascii="仿宋" w:hAnsi="仿宋"/>
                <w:color w:val="000000"/>
                <w:kern w:val="2"/>
                <w:sz w:val="24"/>
                <w:szCs w:val="24"/>
              </w:rPr>
              <w:fldChar w:fldCharType="separate"/>
            </w:r>
            <w:r>
              <w:rPr>
                <w:rFonts w:hint="eastAsia" w:ascii="仿宋" w:hAnsi="仿宋"/>
                <w:color w:val="000000"/>
                <w:kern w:val="2"/>
                <w:sz w:val="24"/>
                <w:szCs w:val="24"/>
              </w:rPr>
              <w:t>⑴</w:t>
            </w:r>
            <w:r>
              <w:rPr>
                <w:rFonts w:ascii="仿宋" w:hAnsi="仿宋"/>
                <w:color w:val="000000"/>
                <w:kern w:val="2"/>
                <w:sz w:val="24"/>
                <w:szCs w:val="24"/>
              </w:rPr>
              <w:fldChar w:fldCharType="end"/>
            </w:r>
            <w:r>
              <w:rPr>
                <w:rFonts w:hint="eastAsia" w:ascii="仿宋" w:hAnsi="仿宋"/>
                <w:color w:val="000000"/>
                <w:kern w:val="2"/>
                <w:sz w:val="24"/>
                <w:szCs w:val="24"/>
              </w:rPr>
              <w:t>施工机械定期检修检查，防止漏油凿出污染；</w:t>
            </w:r>
          </w:p>
          <w:p w14:paraId="2040D937">
            <w:pPr>
              <w:pStyle w:val="144"/>
              <w:jc w:val="left"/>
              <w:rPr>
                <w:rFonts w:ascii="仿宋" w:hAnsi="仿宋"/>
                <w:color w:val="000000"/>
                <w:kern w:val="2"/>
                <w:sz w:val="24"/>
                <w:szCs w:val="24"/>
              </w:rPr>
            </w:pPr>
            <w:r>
              <w:rPr>
                <w:rFonts w:ascii="仿宋" w:hAnsi="仿宋"/>
                <w:color w:val="000000"/>
                <w:kern w:val="2"/>
                <w:sz w:val="24"/>
                <w:szCs w:val="24"/>
              </w:rPr>
              <w:fldChar w:fldCharType="begin"/>
            </w:r>
            <w:r>
              <w:rPr>
                <w:rFonts w:hint="eastAsia" w:ascii="仿宋" w:hAnsi="仿宋"/>
                <w:color w:val="000000"/>
                <w:kern w:val="2"/>
                <w:sz w:val="24"/>
                <w:szCs w:val="24"/>
              </w:rPr>
              <w:instrText xml:space="preserve">= 2 \* GB2</w:instrText>
            </w:r>
            <w:r>
              <w:rPr>
                <w:rFonts w:ascii="仿宋" w:hAnsi="仿宋"/>
                <w:color w:val="000000"/>
                <w:kern w:val="2"/>
                <w:sz w:val="24"/>
                <w:szCs w:val="24"/>
              </w:rPr>
              <w:fldChar w:fldCharType="separate"/>
            </w:r>
            <w:r>
              <w:rPr>
                <w:rFonts w:hint="eastAsia" w:ascii="仿宋" w:hAnsi="仿宋"/>
                <w:color w:val="000000"/>
                <w:kern w:val="2"/>
                <w:sz w:val="24"/>
                <w:szCs w:val="24"/>
              </w:rPr>
              <w:t>⑵</w:t>
            </w:r>
            <w:r>
              <w:rPr>
                <w:rFonts w:ascii="仿宋" w:hAnsi="仿宋"/>
                <w:color w:val="000000"/>
                <w:kern w:val="2"/>
                <w:sz w:val="24"/>
                <w:szCs w:val="24"/>
              </w:rPr>
              <w:fldChar w:fldCharType="end"/>
            </w:r>
            <w:r>
              <w:rPr>
                <w:rFonts w:hint="eastAsia" w:ascii="仿宋" w:hAnsi="仿宋"/>
                <w:color w:val="000000"/>
                <w:kern w:val="2"/>
                <w:sz w:val="24"/>
                <w:szCs w:val="24"/>
              </w:rPr>
              <w:t>所有的油品或危险的化学品，污染物品必须有防止泄露和防污染的措施；</w:t>
            </w:r>
          </w:p>
          <w:p w14:paraId="72D9CC26">
            <w:pPr>
              <w:pStyle w:val="144"/>
              <w:jc w:val="left"/>
              <w:rPr>
                <w:rFonts w:ascii="仿宋" w:hAnsi="仿宋"/>
                <w:color w:val="000000"/>
                <w:kern w:val="2"/>
                <w:sz w:val="24"/>
                <w:szCs w:val="24"/>
              </w:rPr>
            </w:pPr>
            <w:r>
              <w:rPr>
                <w:rFonts w:hint="eastAsia" w:ascii="仿宋" w:hAnsi="仿宋"/>
                <w:color w:val="000000"/>
                <w:kern w:val="2"/>
                <w:sz w:val="24"/>
                <w:szCs w:val="24"/>
              </w:rPr>
              <w:fldChar w:fldCharType="begin"/>
            </w:r>
            <w:r>
              <w:rPr>
                <w:rFonts w:ascii="仿宋" w:hAnsi="仿宋"/>
                <w:color w:val="000000"/>
                <w:kern w:val="2"/>
                <w:sz w:val="24"/>
                <w:szCs w:val="24"/>
              </w:rPr>
              <w:instrText xml:space="preserve"> = 4 \* GB2 \* MERGEFORMAT </w:instrText>
            </w:r>
            <w:r>
              <w:rPr>
                <w:rFonts w:hint="eastAsia" w:ascii="仿宋" w:hAnsi="仿宋"/>
                <w:color w:val="000000"/>
                <w:kern w:val="2"/>
                <w:sz w:val="24"/>
                <w:szCs w:val="24"/>
              </w:rPr>
              <w:fldChar w:fldCharType="separate"/>
            </w:r>
            <w:r>
              <w:rPr>
                <w:rFonts w:hint="eastAsia" w:ascii="仿宋" w:hAnsi="仿宋"/>
                <w:color w:val="000000"/>
                <w:kern w:val="2"/>
                <w:sz w:val="24"/>
                <w:szCs w:val="24"/>
              </w:rPr>
              <w:t>⑷</w:t>
            </w:r>
            <w:r>
              <w:rPr>
                <w:rFonts w:hint="eastAsia" w:ascii="仿宋" w:hAnsi="仿宋"/>
                <w:color w:val="000000"/>
                <w:kern w:val="2"/>
                <w:sz w:val="24"/>
                <w:szCs w:val="24"/>
              </w:rPr>
              <w:fldChar w:fldCharType="end"/>
            </w:r>
            <w:r>
              <w:rPr>
                <w:rFonts w:hint="eastAsia" w:ascii="仿宋" w:hAnsi="仿宋"/>
                <w:color w:val="000000"/>
                <w:kern w:val="2"/>
                <w:sz w:val="24"/>
                <w:szCs w:val="24"/>
              </w:rPr>
              <w:t>所有使用和存储油品的部位都必须要有防止溢油的围油托盘围挡；</w:t>
            </w:r>
          </w:p>
          <w:p w14:paraId="2879BE59">
            <w:pPr>
              <w:pStyle w:val="144"/>
              <w:jc w:val="left"/>
              <w:rPr>
                <w:rFonts w:ascii="仿宋" w:hAnsi="仿宋"/>
                <w:color w:val="000000"/>
                <w:kern w:val="2"/>
                <w:sz w:val="24"/>
                <w:szCs w:val="24"/>
              </w:rPr>
            </w:pPr>
            <w:r>
              <w:rPr>
                <w:rFonts w:hint="eastAsia" w:ascii="仿宋" w:hAnsi="仿宋"/>
                <w:color w:val="000000"/>
                <w:kern w:val="2"/>
                <w:sz w:val="24"/>
                <w:szCs w:val="24"/>
              </w:rPr>
              <w:fldChar w:fldCharType="begin"/>
            </w:r>
            <w:r>
              <w:rPr>
                <w:rFonts w:ascii="仿宋" w:hAnsi="仿宋"/>
                <w:color w:val="000000"/>
                <w:kern w:val="2"/>
                <w:sz w:val="24"/>
                <w:szCs w:val="24"/>
              </w:rPr>
              <w:instrText xml:space="preserve"> = 5 \* GB2 \* MERGEFORMAT </w:instrText>
            </w:r>
            <w:r>
              <w:rPr>
                <w:rFonts w:hint="eastAsia" w:ascii="仿宋" w:hAnsi="仿宋"/>
                <w:color w:val="000000"/>
                <w:kern w:val="2"/>
                <w:sz w:val="24"/>
                <w:szCs w:val="24"/>
              </w:rPr>
              <w:fldChar w:fldCharType="separate"/>
            </w:r>
            <w:r>
              <w:rPr>
                <w:rFonts w:hint="eastAsia" w:ascii="仿宋" w:hAnsi="仿宋"/>
                <w:color w:val="000000"/>
                <w:kern w:val="2"/>
                <w:sz w:val="24"/>
                <w:szCs w:val="24"/>
              </w:rPr>
              <w:t>⑸</w:t>
            </w:r>
            <w:r>
              <w:rPr>
                <w:rFonts w:hint="eastAsia" w:ascii="仿宋" w:hAnsi="仿宋"/>
                <w:color w:val="000000"/>
                <w:kern w:val="2"/>
                <w:sz w:val="24"/>
                <w:szCs w:val="24"/>
              </w:rPr>
              <w:fldChar w:fldCharType="end"/>
            </w:r>
            <w:r>
              <w:rPr>
                <w:rFonts w:hint="eastAsia" w:ascii="仿宋" w:hAnsi="仿宋"/>
                <w:color w:val="000000"/>
                <w:kern w:val="2"/>
                <w:sz w:val="24"/>
                <w:szCs w:val="24"/>
              </w:rPr>
              <w:t>所有设备都必须配备溢油应急物品，如围油索，吸油毡、干沙等。</w:t>
            </w:r>
          </w:p>
        </w:tc>
      </w:tr>
      <w:tr w14:paraId="4AFF6B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25" w:type="pct"/>
            <w:vAlign w:val="center"/>
          </w:tcPr>
          <w:p w14:paraId="4096130A">
            <w:pPr>
              <w:pStyle w:val="144"/>
              <w:rPr>
                <w:rFonts w:ascii="仿宋" w:hAnsi="仿宋"/>
                <w:color w:val="000000"/>
                <w:kern w:val="2"/>
                <w:sz w:val="24"/>
                <w:szCs w:val="24"/>
              </w:rPr>
            </w:pPr>
            <w:r>
              <w:rPr>
                <w:rFonts w:ascii="仿宋" w:hAnsi="仿宋"/>
                <w:color w:val="000000"/>
                <w:kern w:val="2"/>
                <w:sz w:val="24"/>
                <w:szCs w:val="24"/>
              </w:rPr>
              <w:t>3</w:t>
            </w:r>
          </w:p>
        </w:tc>
        <w:tc>
          <w:tcPr>
            <w:tcW w:w="815" w:type="pct"/>
            <w:vAlign w:val="center"/>
          </w:tcPr>
          <w:p w14:paraId="58652B0B">
            <w:pPr>
              <w:pStyle w:val="144"/>
              <w:rPr>
                <w:rFonts w:ascii="仿宋" w:hAnsi="仿宋"/>
                <w:color w:val="000000"/>
                <w:kern w:val="2"/>
                <w:sz w:val="24"/>
                <w:szCs w:val="24"/>
              </w:rPr>
            </w:pPr>
            <w:r>
              <w:rPr>
                <w:rFonts w:hint="eastAsia" w:ascii="仿宋" w:hAnsi="仿宋"/>
                <w:color w:val="000000"/>
                <w:kern w:val="2"/>
                <w:sz w:val="24"/>
                <w:szCs w:val="24"/>
              </w:rPr>
              <w:t>噪声</w:t>
            </w:r>
          </w:p>
        </w:tc>
        <w:tc>
          <w:tcPr>
            <w:tcW w:w="3759" w:type="pct"/>
            <w:vAlign w:val="center"/>
          </w:tcPr>
          <w:p w14:paraId="3C31189E">
            <w:pPr>
              <w:pStyle w:val="144"/>
              <w:jc w:val="left"/>
              <w:rPr>
                <w:rFonts w:ascii="仿宋" w:hAnsi="仿宋"/>
                <w:color w:val="000000"/>
                <w:kern w:val="2"/>
                <w:sz w:val="24"/>
                <w:szCs w:val="24"/>
              </w:rPr>
            </w:pPr>
            <w:r>
              <w:rPr>
                <w:rFonts w:hint="eastAsia" w:ascii="仿宋" w:hAnsi="仿宋"/>
                <w:color w:val="000000"/>
                <w:kern w:val="2"/>
                <w:sz w:val="24"/>
                <w:szCs w:val="24"/>
              </w:rPr>
              <w:fldChar w:fldCharType="begin"/>
            </w:r>
            <w:r>
              <w:rPr>
                <w:rFonts w:ascii="仿宋" w:hAnsi="仿宋"/>
                <w:color w:val="000000"/>
                <w:kern w:val="2"/>
                <w:sz w:val="24"/>
                <w:szCs w:val="24"/>
              </w:rPr>
              <w:instrText xml:space="preserve"> = 1 \* GB2 </w:instrText>
            </w:r>
            <w:r>
              <w:rPr>
                <w:rFonts w:hint="eastAsia" w:ascii="仿宋" w:hAnsi="仿宋"/>
                <w:color w:val="000000"/>
                <w:kern w:val="2"/>
                <w:sz w:val="24"/>
                <w:szCs w:val="24"/>
              </w:rPr>
              <w:fldChar w:fldCharType="separate"/>
            </w:r>
            <w:r>
              <w:rPr>
                <w:rFonts w:hint="eastAsia" w:ascii="仿宋" w:hAnsi="仿宋"/>
                <w:color w:val="000000"/>
                <w:kern w:val="2"/>
                <w:sz w:val="24"/>
                <w:szCs w:val="24"/>
              </w:rPr>
              <w:t>⑴</w:t>
            </w:r>
            <w:r>
              <w:rPr>
                <w:rFonts w:hint="eastAsia" w:ascii="仿宋" w:hAnsi="仿宋"/>
                <w:color w:val="000000"/>
                <w:kern w:val="2"/>
                <w:sz w:val="24"/>
                <w:szCs w:val="24"/>
              </w:rPr>
              <w:fldChar w:fldCharType="end"/>
            </w:r>
            <w:r>
              <w:rPr>
                <w:rFonts w:hint="eastAsia" w:ascii="仿宋" w:hAnsi="仿宋"/>
                <w:color w:val="000000"/>
                <w:kern w:val="2"/>
                <w:sz w:val="24"/>
                <w:szCs w:val="24"/>
              </w:rPr>
              <w:t>针对现场噪声源，采取隔声、隔振、吸声、消音等措施；</w:t>
            </w:r>
          </w:p>
          <w:p w14:paraId="428A3426">
            <w:pPr>
              <w:pStyle w:val="144"/>
              <w:jc w:val="left"/>
              <w:rPr>
                <w:rFonts w:ascii="仿宋" w:hAnsi="仿宋"/>
                <w:color w:val="000000"/>
                <w:kern w:val="2"/>
                <w:sz w:val="24"/>
                <w:szCs w:val="24"/>
              </w:rPr>
            </w:pPr>
            <w:r>
              <w:rPr>
                <w:rFonts w:ascii="仿宋" w:hAnsi="仿宋"/>
                <w:color w:val="000000"/>
                <w:kern w:val="2"/>
                <w:sz w:val="24"/>
                <w:szCs w:val="24"/>
              </w:rPr>
              <w:fldChar w:fldCharType="begin"/>
            </w:r>
            <w:r>
              <w:rPr>
                <w:rFonts w:ascii="仿宋" w:hAnsi="仿宋"/>
                <w:color w:val="000000"/>
                <w:kern w:val="2"/>
                <w:sz w:val="24"/>
                <w:szCs w:val="24"/>
              </w:rPr>
              <w:instrText xml:space="preserve"> = 2 \* GB2 </w:instrText>
            </w:r>
            <w:r>
              <w:rPr>
                <w:rFonts w:ascii="仿宋" w:hAnsi="仿宋"/>
                <w:color w:val="000000"/>
                <w:kern w:val="2"/>
                <w:sz w:val="24"/>
                <w:szCs w:val="24"/>
              </w:rPr>
              <w:fldChar w:fldCharType="separate"/>
            </w:r>
            <w:r>
              <w:rPr>
                <w:rFonts w:hint="eastAsia" w:ascii="仿宋" w:hAnsi="仿宋"/>
                <w:color w:val="000000"/>
                <w:kern w:val="2"/>
                <w:sz w:val="24"/>
                <w:szCs w:val="24"/>
              </w:rPr>
              <w:t>⑵</w:t>
            </w:r>
            <w:r>
              <w:rPr>
                <w:rFonts w:ascii="仿宋" w:hAnsi="仿宋"/>
                <w:color w:val="000000"/>
                <w:kern w:val="2"/>
                <w:sz w:val="24"/>
                <w:szCs w:val="24"/>
              </w:rPr>
              <w:fldChar w:fldCharType="end"/>
            </w:r>
            <w:r>
              <w:rPr>
                <w:rFonts w:hint="eastAsia" w:ascii="仿宋" w:hAnsi="仿宋"/>
                <w:color w:val="000000"/>
                <w:kern w:val="2"/>
                <w:sz w:val="24"/>
                <w:szCs w:val="24"/>
              </w:rPr>
              <w:t>施工机械作业时间尽量选择在</w:t>
            </w:r>
            <w:r>
              <w:rPr>
                <w:rFonts w:ascii="仿宋" w:hAnsi="仿宋"/>
                <w:color w:val="000000"/>
                <w:kern w:val="2"/>
                <w:sz w:val="24"/>
                <w:szCs w:val="24"/>
              </w:rPr>
              <w:t>6:00</w:t>
            </w:r>
            <w:r>
              <w:rPr>
                <w:rFonts w:hint="eastAsia" w:ascii="仿宋" w:hAnsi="仿宋"/>
                <w:color w:val="000000"/>
                <w:kern w:val="2"/>
                <w:sz w:val="24"/>
                <w:szCs w:val="24"/>
              </w:rPr>
              <w:t>～</w:t>
            </w:r>
            <w:r>
              <w:rPr>
                <w:rFonts w:ascii="仿宋" w:hAnsi="仿宋"/>
                <w:color w:val="000000"/>
                <w:kern w:val="2"/>
                <w:sz w:val="24"/>
                <w:szCs w:val="24"/>
              </w:rPr>
              <w:t>22:00</w:t>
            </w:r>
            <w:r>
              <w:rPr>
                <w:rFonts w:hint="eastAsia" w:ascii="仿宋" w:hAnsi="仿宋"/>
                <w:color w:val="000000"/>
                <w:kern w:val="2"/>
                <w:sz w:val="24"/>
                <w:szCs w:val="24"/>
              </w:rPr>
              <w:t>的时段内进行，昼间施工分贝不超过</w:t>
            </w:r>
            <w:r>
              <w:rPr>
                <w:rFonts w:ascii="仿宋" w:hAnsi="仿宋"/>
                <w:color w:val="000000"/>
                <w:kern w:val="2"/>
                <w:sz w:val="24"/>
                <w:szCs w:val="24"/>
              </w:rPr>
              <w:t>70</w:t>
            </w:r>
            <w:r>
              <w:rPr>
                <w:rFonts w:hint="eastAsia" w:ascii="仿宋" w:hAnsi="仿宋"/>
                <w:color w:val="000000"/>
                <w:kern w:val="2"/>
                <w:sz w:val="24"/>
                <w:szCs w:val="24"/>
              </w:rPr>
              <w:t>分贝，夜间（</w:t>
            </w:r>
            <w:r>
              <w:rPr>
                <w:rFonts w:ascii="仿宋" w:hAnsi="仿宋"/>
                <w:color w:val="000000"/>
                <w:kern w:val="2"/>
                <w:sz w:val="24"/>
                <w:szCs w:val="24"/>
              </w:rPr>
              <w:t>22:00</w:t>
            </w:r>
            <w:r>
              <w:rPr>
                <w:rFonts w:hint="eastAsia" w:ascii="仿宋" w:hAnsi="仿宋"/>
                <w:color w:val="000000"/>
                <w:kern w:val="2"/>
                <w:sz w:val="24"/>
                <w:szCs w:val="24"/>
              </w:rPr>
              <w:t>～</w:t>
            </w:r>
            <w:r>
              <w:rPr>
                <w:rFonts w:ascii="仿宋" w:hAnsi="仿宋"/>
                <w:color w:val="000000"/>
                <w:kern w:val="2"/>
                <w:sz w:val="24"/>
                <w:szCs w:val="24"/>
              </w:rPr>
              <w:t>6:00</w:t>
            </w:r>
            <w:r>
              <w:rPr>
                <w:rFonts w:hint="eastAsia" w:ascii="仿宋" w:hAnsi="仿宋"/>
                <w:color w:val="000000"/>
                <w:kern w:val="2"/>
                <w:sz w:val="24"/>
                <w:szCs w:val="24"/>
              </w:rPr>
              <w:t>）施工不超过</w:t>
            </w:r>
            <w:r>
              <w:rPr>
                <w:rFonts w:ascii="仿宋" w:hAnsi="仿宋"/>
                <w:color w:val="000000"/>
                <w:kern w:val="2"/>
                <w:sz w:val="24"/>
                <w:szCs w:val="24"/>
              </w:rPr>
              <w:t>55</w:t>
            </w:r>
            <w:r>
              <w:rPr>
                <w:rFonts w:hint="eastAsia" w:ascii="仿宋" w:hAnsi="仿宋"/>
                <w:color w:val="000000"/>
                <w:kern w:val="2"/>
                <w:sz w:val="24"/>
                <w:szCs w:val="24"/>
              </w:rPr>
              <w:t>分贝。</w:t>
            </w:r>
          </w:p>
        </w:tc>
      </w:tr>
      <w:tr w14:paraId="4D66AE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25" w:type="pct"/>
            <w:vAlign w:val="center"/>
          </w:tcPr>
          <w:p w14:paraId="43DE04F3">
            <w:pPr>
              <w:pStyle w:val="144"/>
              <w:rPr>
                <w:rFonts w:ascii="仿宋" w:hAnsi="仿宋"/>
                <w:color w:val="000000"/>
                <w:kern w:val="2"/>
                <w:sz w:val="24"/>
                <w:szCs w:val="24"/>
              </w:rPr>
            </w:pPr>
            <w:r>
              <w:rPr>
                <w:rFonts w:ascii="仿宋" w:hAnsi="仿宋"/>
                <w:color w:val="000000"/>
                <w:kern w:val="2"/>
                <w:sz w:val="24"/>
                <w:szCs w:val="24"/>
              </w:rPr>
              <w:t>5</w:t>
            </w:r>
          </w:p>
        </w:tc>
        <w:tc>
          <w:tcPr>
            <w:tcW w:w="815" w:type="pct"/>
            <w:vAlign w:val="center"/>
          </w:tcPr>
          <w:p w14:paraId="3770C1C8">
            <w:pPr>
              <w:pStyle w:val="144"/>
              <w:rPr>
                <w:rFonts w:ascii="仿宋" w:hAnsi="仿宋"/>
                <w:color w:val="000000"/>
                <w:kern w:val="2"/>
                <w:sz w:val="24"/>
                <w:szCs w:val="24"/>
              </w:rPr>
            </w:pPr>
            <w:r>
              <w:rPr>
                <w:rFonts w:hint="eastAsia" w:ascii="仿宋" w:hAnsi="仿宋"/>
                <w:color w:val="000000"/>
                <w:kern w:val="2"/>
                <w:sz w:val="24"/>
                <w:szCs w:val="24"/>
              </w:rPr>
              <w:t>固体垃圾</w:t>
            </w:r>
          </w:p>
        </w:tc>
        <w:tc>
          <w:tcPr>
            <w:tcW w:w="3759" w:type="pct"/>
            <w:vAlign w:val="center"/>
          </w:tcPr>
          <w:p w14:paraId="7BC6F7E2">
            <w:pPr>
              <w:pStyle w:val="144"/>
              <w:jc w:val="left"/>
              <w:rPr>
                <w:rFonts w:ascii="仿宋" w:hAnsi="仿宋"/>
                <w:color w:val="000000"/>
                <w:kern w:val="2"/>
                <w:sz w:val="24"/>
                <w:szCs w:val="24"/>
              </w:rPr>
            </w:pPr>
            <w:r>
              <w:rPr>
                <w:rFonts w:hint="eastAsia" w:ascii="仿宋" w:hAnsi="仿宋"/>
                <w:color w:val="000000"/>
                <w:kern w:val="2"/>
                <w:sz w:val="24"/>
                <w:szCs w:val="24"/>
              </w:rPr>
              <w:fldChar w:fldCharType="begin"/>
            </w:r>
            <w:r>
              <w:rPr>
                <w:rFonts w:ascii="仿宋" w:hAnsi="仿宋"/>
                <w:color w:val="000000"/>
                <w:kern w:val="2"/>
                <w:sz w:val="24"/>
                <w:szCs w:val="24"/>
              </w:rPr>
              <w:instrText xml:space="preserve"> = 1 \* GB2 \* MERGEFORMAT </w:instrText>
            </w:r>
            <w:r>
              <w:rPr>
                <w:rFonts w:hint="eastAsia" w:ascii="仿宋" w:hAnsi="仿宋"/>
                <w:color w:val="000000"/>
                <w:kern w:val="2"/>
                <w:sz w:val="24"/>
                <w:szCs w:val="24"/>
              </w:rPr>
              <w:fldChar w:fldCharType="separate"/>
            </w:r>
            <w:r>
              <w:rPr>
                <w:rFonts w:hint="eastAsia" w:ascii="仿宋" w:hAnsi="仿宋"/>
                <w:color w:val="000000"/>
                <w:kern w:val="2"/>
                <w:sz w:val="24"/>
                <w:szCs w:val="24"/>
              </w:rPr>
              <w:t>⑴</w:t>
            </w:r>
            <w:r>
              <w:rPr>
                <w:rFonts w:hint="eastAsia" w:ascii="仿宋" w:hAnsi="仿宋"/>
                <w:color w:val="000000"/>
                <w:kern w:val="2"/>
                <w:sz w:val="24"/>
                <w:szCs w:val="24"/>
              </w:rPr>
              <w:fldChar w:fldCharType="end"/>
            </w:r>
            <w:r>
              <w:rPr>
                <w:rFonts w:hint="eastAsia" w:ascii="仿宋" w:hAnsi="仿宋"/>
                <w:color w:val="000000"/>
                <w:kern w:val="2"/>
                <w:sz w:val="24"/>
                <w:szCs w:val="24"/>
              </w:rPr>
              <w:t>施工过程中的小型机具设备有条件的按照防坠绳，其余钢结构边角料及时回收处理。</w:t>
            </w:r>
          </w:p>
          <w:p w14:paraId="1B209E54">
            <w:pPr>
              <w:pStyle w:val="144"/>
              <w:jc w:val="left"/>
              <w:rPr>
                <w:rFonts w:ascii="仿宋" w:hAnsi="仿宋"/>
                <w:color w:val="000000"/>
                <w:kern w:val="2"/>
                <w:sz w:val="24"/>
                <w:szCs w:val="24"/>
              </w:rPr>
            </w:pPr>
            <w:r>
              <w:rPr>
                <w:rFonts w:hint="eastAsia" w:ascii="仿宋" w:hAnsi="仿宋"/>
                <w:color w:val="000000"/>
                <w:kern w:val="2"/>
                <w:sz w:val="24"/>
                <w:szCs w:val="24"/>
              </w:rPr>
              <w:fldChar w:fldCharType="begin"/>
            </w:r>
            <w:r>
              <w:rPr>
                <w:rFonts w:ascii="仿宋" w:hAnsi="仿宋"/>
                <w:color w:val="000000"/>
                <w:kern w:val="2"/>
                <w:sz w:val="24"/>
                <w:szCs w:val="24"/>
              </w:rPr>
              <w:instrText xml:space="preserve"> = 2 \* GB2 \* MERGEFORMAT </w:instrText>
            </w:r>
            <w:r>
              <w:rPr>
                <w:rFonts w:hint="eastAsia" w:ascii="仿宋" w:hAnsi="仿宋"/>
                <w:color w:val="000000"/>
                <w:kern w:val="2"/>
                <w:sz w:val="24"/>
                <w:szCs w:val="24"/>
              </w:rPr>
              <w:fldChar w:fldCharType="separate"/>
            </w:r>
            <w:r>
              <w:rPr>
                <w:rFonts w:hint="eastAsia" w:ascii="仿宋" w:hAnsi="仿宋"/>
                <w:color w:val="000000"/>
                <w:kern w:val="2"/>
                <w:sz w:val="24"/>
                <w:szCs w:val="24"/>
              </w:rPr>
              <w:t>⑵</w:t>
            </w:r>
            <w:r>
              <w:rPr>
                <w:rFonts w:hint="eastAsia" w:ascii="仿宋" w:hAnsi="仿宋"/>
                <w:color w:val="000000"/>
                <w:kern w:val="2"/>
                <w:sz w:val="24"/>
                <w:szCs w:val="24"/>
              </w:rPr>
              <w:fldChar w:fldCharType="end"/>
            </w:r>
            <w:r>
              <w:rPr>
                <w:rFonts w:hint="eastAsia" w:ascii="仿宋" w:hAnsi="仿宋"/>
                <w:color w:val="000000"/>
                <w:kern w:val="2"/>
                <w:sz w:val="24"/>
                <w:szCs w:val="24"/>
              </w:rPr>
              <w:t>施工过程中人员产生的废物垃圾集中收集，定期处理。</w:t>
            </w:r>
          </w:p>
        </w:tc>
      </w:tr>
      <w:bookmarkEnd w:id="499"/>
    </w:tbl>
    <w:p w14:paraId="7740F787">
      <w:pPr>
        <w:pStyle w:val="3"/>
      </w:pPr>
      <w:bookmarkStart w:id="500" w:name="_Toc27508"/>
      <w:bookmarkStart w:id="501" w:name="_Toc7261"/>
      <w:bookmarkStart w:id="502" w:name="_Toc22151"/>
      <w:bookmarkStart w:id="503" w:name="_Toc30252"/>
      <w:bookmarkStart w:id="504" w:name="_Toc7696"/>
      <w:bookmarkStart w:id="505" w:name="_Toc13220"/>
      <w:bookmarkStart w:id="506" w:name="_Toc10950"/>
      <w:bookmarkStart w:id="507" w:name="_Toc4987"/>
      <w:bookmarkStart w:id="508" w:name="_Toc3116"/>
      <w:bookmarkStart w:id="509" w:name="_Toc28125"/>
      <w:bookmarkStart w:id="510" w:name="_Toc1911"/>
      <w:bookmarkStart w:id="511" w:name="_Toc10738"/>
      <w:bookmarkStart w:id="512" w:name="_Toc1328"/>
      <w:bookmarkStart w:id="513" w:name="_Toc2309"/>
      <w:r>
        <w:rPr>
          <w:rFonts w:hint="eastAsia"/>
        </w:rPr>
        <w:t>9.6验收及日常检查维保</w:t>
      </w:r>
      <w:bookmarkEnd w:id="500"/>
      <w:bookmarkEnd w:id="501"/>
      <w:bookmarkEnd w:id="502"/>
      <w:bookmarkEnd w:id="503"/>
      <w:bookmarkEnd w:id="504"/>
      <w:bookmarkEnd w:id="505"/>
      <w:bookmarkEnd w:id="506"/>
    </w:p>
    <w:p w14:paraId="1264FB7E">
      <w:pPr>
        <w:ind w:firstLine="560"/>
      </w:pPr>
      <w:r>
        <w:rPr>
          <w:rFonts w:hint="eastAsia"/>
        </w:rPr>
        <w:t>塔机需在安装完毕后进行一次验收。</w:t>
      </w:r>
    </w:p>
    <w:p w14:paraId="4710D795">
      <w:pPr>
        <w:ind w:firstLine="560"/>
      </w:pPr>
      <w:r>
        <w:rPr>
          <w:rFonts w:hint="eastAsia"/>
        </w:rPr>
        <w:t>1、验收内容和验收标准</w:t>
      </w:r>
    </w:p>
    <w:p w14:paraId="6C2B3B8E">
      <w:pPr>
        <w:ind w:firstLine="560"/>
      </w:pPr>
      <w:r>
        <w:rPr>
          <w:rFonts w:hint="eastAsia"/>
        </w:rPr>
        <w:t>验收内容验收标准如下表</w:t>
      </w:r>
    </w:p>
    <w:p w14:paraId="51989AEA">
      <w:pPr>
        <w:pStyle w:val="123"/>
        <w:rPr>
          <w:rStyle w:val="124"/>
          <w:b/>
        </w:rPr>
      </w:pPr>
      <w:r>
        <w:rPr>
          <w:rStyle w:val="124"/>
          <w:rFonts w:hint="eastAsia"/>
          <w:b/>
        </w:rPr>
        <w:t>表9.6</w:t>
      </w:r>
      <w:r>
        <w:rPr>
          <w:rStyle w:val="124"/>
          <w:b/>
        </w:rPr>
        <w:t xml:space="preserve">-1 </w:t>
      </w:r>
      <w:r>
        <w:rPr>
          <w:rStyle w:val="124"/>
          <w:rFonts w:hint="eastAsia"/>
          <w:b/>
        </w:rPr>
        <w:t>塔式起重机安装完成验收表</w:t>
      </w:r>
    </w:p>
    <w:tbl>
      <w:tblPr>
        <w:tblStyle w:val="41"/>
        <w:tblpPr w:leftFromText="180" w:rightFromText="180" w:vertAnchor="text" w:horzAnchor="page" w:tblpX="1618" w:tblpY="450"/>
        <w:tblOverlap w:val="never"/>
        <w:tblW w:w="891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6"/>
        <w:gridCol w:w="2731"/>
        <w:gridCol w:w="5349"/>
      </w:tblGrid>
      <w:tr w14:paraId="3F602A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667BE53D">
            <w:pPr>
              <w:spacing w:line="240" w:lineRule="auto"/>
              <w:ind w:firstLine="0" w:firstLineChars="0"/>
              <w:jc w:val="center"/>
              <w:rPr>
                <w:rFonts w:ascii="仿宋" w:hAnsi="仿宋"/>
                <w:bCs/>
                <w:sz w:val="24"/>
                <w:szCs w:val="24"/>
              </w:rPr>
            </w:pPr>
            <w:r>
              <w:rPr>
                <w:rFonts w:hint="eastAsia" w:ascii="仿宋" w:hAnsi="仿宋"/>
                <w:bCs/>
                <w:sz w:val="24"/>
                <w:szCs w:val="24"/>
              </w:rPr>
              <w:t>序号</w:t>
            </w:r>
          </w:p>
        </w:tc>
        <w:tc>
          <w:tcPr>
            <w:tcW w:w="2731" w:type="dxa"/>
            <w:vAlign w:val="center"/>
          </w:tcPr>
          <w:p w14:paraId="3A163405">
            <w:pPr>
              <w:spacing w:line="240" w:lineRule="auto"/>
              <w:ind w:firstLine="0" w:firstLineChars="0"/>
              <w:jc w:val="center"/>
              <w:rPr>
                <w:rFonts w:ascii="仿宋" w:hAnsi="仿宋"/>
                <w:bCs/>
                <w:sz w:val="24"/>
                <w:szCs w:val="24"/>
              </w:rPr>
            </w:pPr>
            <w:r>
              <w:rPr>
                <w:rFonts w:hint="eastAsia" w:ascii="仿宋" w:hAnsi="仿宋"/>
                <w:bCs/>
                <w:sz w:val="24"/>
                <w:szCs w:val="24"/>
              </w:rPr>
              <w:t>验收项目</w:t>
            </w:r>
          </w:p>
        </w:tc>
        <w:tc>
          <w:tcPr>
            <w:tcW w:w="5349" w:type="dxa"/>
            <w:vAlign w:val="center"/>
          </w:tcPr>
          <w:p w14:paraId="00D67C03">
            <w:pPr>
              <w:spacing w:line="240" w:lineRule="auto"/>
              <w:ind w:firstLine="0" w:firstLineChars="0"/>
              <w:jc w:val="center"/>
              <w:rPr>
                <w:rFonts w:ascii="仿宋" w:hAnsi="仿宋"/>
                <w:bCs/>
                <w:sz w:val="24"/>
                <w:szCs w:val="24"/>
              </w:rPr>
            </w:pPr>
            <w:r>
              <w:rPr>
                <w:rFonts w:hint="eastAsia" w:ascii="仿宋" w:hAnsi="仿宋"/>
                <w:bCs/>
                <w:sz w:val="24"/>
                <w:szCs w:val="24"/>
              </w:rPr>
              <w:t>验收标准</w:t>
            </w:r>
          </w:p>
        </w:tc>
      </w:tr>
      <w:tr w14:paraId="67B132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674D242F">
            <w:pPr>
              <w:spacing w:line="240" w:lineRule="auto"/>
              <w:ind w:firstLine="0" w:firstLineChars="0"/>
              <w:jc w:val="center"/>
              <w:rPr>
                <w:rFonts w:ascii="仿宋" w:hAnsi="仿宋"/>
                <w:sz w:val="24"/>
                <w:szCs w:val="24"/>
              </w:rPr>
            </w:pPr>
            <w:r>
              <w:rPr>
                <w:rFonts w:ascii="仿宋" w:hAnsi="仿宋"/>
                <w:sz w:val="24"/>
                <w:szCs w:val="24"/>
              </w:rPr>
              <w:t>1</w:t>
            </w:r>
          </w:p>
        </w:tc>
        <w:tc>
          <w:tcPr>
            <w:tcW w:w="2731" w:type="dxa"/>
            <w:vAlign w:val="center"/>
          </w:tcPr>
          <w:p w14:paraId="157216E3">
            <w:pPr>
              <w:spacing w:line="240" w:lineRule="auto"/>
              <w:ind w:firstLine="0" w:firstLineChars="0"/>
              <w:jc w:val="center"/>
              <w:rPr>
                <w:rFonts w:ascii="仿宋" w:hAnsi="仿宋"/>
                <w:sz w:val="24"/>
                <w:szCs w:val="24"/>
              </w:rPr>
            </w:pPr>
            <w:r>
              <w:rPr>
                <w:rFonts w:hint="eastAsia" w:ascii="仿宋" w:hAnsi="仿宋"/>
                <w:sz w:val="24"/>
                <w:szCs w:val="24"/>
              </w:rPr>
              <w:t>塔身垂直度</w:t>
            </w:r>
          </w:p>
        </w:tc>
        <w:tc>
          <w:tcPr>
            <w:tcW w:w="5349" w:type="dxa"/>
            <w:vAlign w:val="center"/>
          </w:tcPr>
          <w:p w14:paraId="54E4C6F3">
            <w:pPr>
              <w:spacing w:line="240" w:lineRule="auto"/>
              <w:ind w:firstLine="0" w:firstLineChars="0"/>
              <w:jc w:val="center"/>
              <w:rPr>
                <w:rFonts w:ascii="仿宋" w:hAnsi="仿宋"/>
                <w:sz w:val="24"/>
                <w:szCs w:val="24"/>
              </w:rPr>
            </w:pPr>
            <w:r>
              <w:rPr>
                <w:rFonts w:hint="eastAsia" w:ascii="仿宋" w:hAnsi="仿宋"/>
                <w:sz w:val="24"/>
                <w:szCs w:val="24"/>
              </w:rPr>
              <w:t>独立高度≤</w:t>
            </w:r>
            <w:r>
              <w:rPr>
                <w:rFonts w:ascii="仿宋" w:hAnsi="仿宋"/>
                <w:sz w:val="24"/>
                <w:szCs w:val="24"/>
              </w:rPr>
              <w:t>4</w:t>
            </w:r>
            <w:r>
              <w:rPr>
                <w:rFonts w:hint="eastAsia" w:ascii="仿宋" w:hAnsi="仿宋"/>
                <w:sz w:val="24"/>
                <w:szCs w:val="24"/>
              </w:rPr>
              <w:t>‰</w:t>
            </w:r>
          </w:p>
        </w:tc>
      </w:tr>
      <w:tr w14:paraId="7830B4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13F93948">
            <w:pPr>
              <w:spacing w:line="240" w:lineRule="auto"/>
              <w:ind w:firstLine="0" w:firstLineChars="0"/>
              <w:jc w:val="center"/>
              <w:rPr>
                <w:rFonts w:ascii="仿宋" w:hAnsi="仿宋"/>
                <w:sz w:val="24"/>
                <w:szCs w:val="24"/>
              </w:rPr>
            </w:pPr>
            <w:r>
              <w:rPr>
                <w:rFonts w:ascii="仿宋" w:hAnsi="仿宋"/>
                <w:sz w:val="24"/>
                <w:szCs w:val="24"/>
              </w:rPr>
              <w:t>2</w:t>
            </w:r>
          </w:p>
        </w:tc>
        <w:tc>
          <w:tcPr>
            <w:tcW w:w="2731" w:type="dxa"/>
            <w:vAlign w:val="center"/>
          </w:tcPr>
          <w:p w14:paraId="5B172F55">
            <w:pPr>
              <w:spacing w:line="240" w:lineRule="auto"/>
              <w:ind w:firstLine="0" w:firstLineChars="0"/>
              <w:jc w:val="center"/>
              <w:rPr>
                <w:rFonts w:ascii="仿宋" w:hAnsi="仿宋"/>
                <w:sz w:val="24"/>
                <w:szCs w:val="24"/>
              </w:rPr>
            </w:pPr>
            <w:r>
              <w:rPr>
                <w:rFonts w:hint="eastAsia" w:ascii="仿宋" w:hAnsi="仿宋"/>
                <w:sz w:val="24"/>
                <w:szCs w:val="24"/>
              </w:rPr>
              <w:t>结构件</w:t>
            </w:r>
          </w:p>
        </w:tc>
        <w:tc>
          <w:tcPr>
            <w:tcW w:w="5349" w:type="dxa"/>
            <w:vAlign w:val="center"/>
          </w:tcPr>
          <w:p w14:paraId="237FC837">
            <w:pPr>
              <w:spacing w:line="240" w:lineRule="auto"/>
              <w:ind w:firstLine="0" w:firstLineChars="0"/>
              <w:jc w:val="center"/>
              <w:rPr>
                <w:rFonts w:ascii="仿宋" w:hAnsi="仿宋"/>
                <w:sz w:val="24"/>
                <w:szCs w:val="24"/>
              </w:rPr>
            </w:pPr>
            <w:r>
              <w:rPr>
                <w:rFonts w:hint="eastAsia" w:ascii="仿宋" w:hAnsi="仿宋"/>
                <w:sz w:val="24"/>
                <w:szCs w:val="24"/>
              </w:rPr>
              <w:t>无扭曲、变形、裂纹和严重锈蚀</w:t>
            </w:r>
          </w:p>
        </w:tc>
      </w:tr>
      <w:tr w14:paraId="28D673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7F97FFD7">
            <w:pPr>
              <w:spacing w:line="240" w:lineRule="auto"/>
              <w:ind w:firstLine="0" w:firstLineChars="0"/>
              <w:jc w:val="center"/>
              <w:rPr>
                <w:rFonts w:ascii="仿宋" w:hAnsi="仿宋"/>
                <w:sz w:val="24"/>
                <w:szCs w:val="24"/>
              </w:rPr>
            </w:pPr>
            <w:r>
              <w:rPr>
                <w:rFonts w:ascii="仿宋" w:hAnsi="仿宋"/>
                <w:sz w:val="24"/>
                <w:szCs w:val="24"/>
              </w:rPr>
              <w:t>3</w:t>
            </w:r>
          </w:p>
        </w:tc>
        <w:tc>
          <w:tcPr>
            <w:tcW w:w="2731" w:type="dxa"/>
            <w:vAlign w:val="center"/>
          </w:tcPr>
          <w:p w14:paraId="053ECEB9">
            <w:pPr>
              <w:spacing w:line="240" w:lineRule="auto"/>
              <w:ind w:firstLine="0" w:firstLineChars="0"/>
              <w:jc w:val="center"/>
              <w:rPr>
                <w:rFonts w:ascii="仿宋" w:hAnsi="仿宋"/>
                <w:sz w:val="24"/>
                <w:szCs w:val="24"/>
              </w:rPr>
            </w:pPr>
            <w:r>
              <w:rPr>
                <w:rFonts w:hint="eastAsia" w:ascii="仿宋" w:hAnsi="仿宋"/>
                <w:sz w:val="24"/>
                <w:szCs w:val="24"/>
              </w:rPr>
              <w:t>连接件、紧固件</w:t>
            </w:r>
          </w:p>
        </w:tc>
        <w:tc>
          <w:tcPr>
            <w:tcW w:w="5349" w:type="dxa"/>
            <w:vAlign w:val="center"/>
          </w:tcPr>
          <w:p w14:paraId="558D4D2C">
            <w:pPr>
              <w:spacing w:line="240" w:lineRule="auto"/>
              <w:ind w:firstLine="0" w:firstLineChars="0"/>
              <w:jc w:val="center"/>
              <w:rPr>
                <w:rFonts w:ascii="仿宋" w:hAnsi="仿宋"/>
                <w:sz w:val="24"/>
                <w:szCs w:val="24"/>
              </w:rPr>
            </w:pPr>
            <w:r>
              <w:rPr>
                <w:rFonts w:hint="eastAsia" w:ascii="仿宋" w:hAnsi="仿宋"/>
                <w:sz w:val="24"/>
                <w:szCs w:val="24"/>
              </w:rPr>
              <w:t>销轴齐全到位，有可靠轴向止动，正确使用开口销。螺栓连接齐全、坚固牢靠，均有防松措施，高强螺栓按要求预紧，螺栓高于螺母</w:t>
            </w:r>
            <w:r>
              <w:rPr>
                <w:rFonts w:ascii="仿宋" w:hAnsi="仿宋"/>
                <w:sz w:val="24"/>
                <w:szCs w:val="24"/>
              </w:rPr>
              <w:t>0-3</w:t>
            </w:r>
            <w:r>
              <w:rPr>
                <w:rFonts w:hint="eastAsia" w:ascii="仿宋" w:hAnsi="仿宋"/>
                <w:sz w:val="24"/>
                <w:szCs w:val="24"/>
              </w:rPr>
              <w:t>扣</w:t>
            </w:r>
          </w:p>
        </w:tc>
      </w:tr>
      <w:tr w14:paraId="27F9CB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460C03F8">
            <w:pPr>
              <w:spacing w:line="240" w:lineRule="auto"/>
              <w:ind w:firstLine="0" w:firstLineChars="0"/>
              <w:jc w:val="center"/>
              <w:rPr>
                <w:rFonts w:ascii="仿宋" w:hAnsi="仿宋"/>
                <w:sz w:val="24"/>
                <w:szCs w:val="24"/>
              </w:rPr>
            </w:pPr>
            <w:r>
              <w:rPr>
                <w:rFonts w:ascii="仿宋" w:hAnsi="仿宋"/>
                <w:sz w:val="24"/>
                <w:szCs w:val="24"/>
              </w:rPr>
              <w:t>4</w:t>
            </w:r>
          </w:p>
        </w:tc>
        <w:tc>
          <w:tcPr>
            <w:tcW w:w="2731" w:type="dxa"/>
            <w:vAlign w:val="center"/>
          </w:tcPr>
          <w:p w14:paraId="56011D68">
            <w:pPr>
              <w:spacing w:line="240" w:lineRule="auto"/>
              <w:ind w:firstLine="0" w:firstLineChars="0"/>
              <w:jc w:val="center"/>
              <w:rPr>
                <w:rFonts w:ascii="仿宋" w:hAnsi="仿宋"/>
                <w:sz w:val="24"/>
                <w:szCs w:val="24"/>
              </w:rPr>
            </w:pPr>
            <w:r>
              <w:rPr>
                <w:rFonts w:hint="eastAsia" w:ascii="仿宋" w:hAnsi="仿宋"/>
                <w:sz w:val="24"/>
                <w:szCs w:val="24"/>
              </w:rPr>
              <w:t>配重</w:t>
            </w:r>
          </w:p>
        </w:tc>
        <w:tc>
          <w:tcPr>
            <w:tcW w:w="5349" w:type="dxa"/>
            <w:vAlign w:val="center"/>
          </w:tcPr>
          <w:p w14:paraId="03D1F03B">
            <w:pPr>
              <w:spacing w:line="240" w:lineRule="auto"/>
              <w:ind w:firstLine="0" w:firstLineChars="0"/>
              <w:jc w:val="center"/>
              <w:rPr>
                <w:rFonts w:ascii="仿宋" w:hAnsi="仿宋"/>
                <w:sz w:val="24"/>
                <w:szCs w:val="24"/>
              </w:rPr>
            </w:pPr>
            <w:r>
              <w:rPr>
                <w:rFonts w:hint="eastAsia" w:ascii="仿宋" w:hAnsi="仿宋"/>
                <w:sz w:val="24"/>
                <w:szCs w:val="24"/>
              </w:rPr>
              <w:t>按规定堆放、固定连接正确可靠、重量符合设计要求</w:t>
            </w:r>
          </w:p>
        </w:tc>
      </w:tr>
      <w:tr w14:paraId="47A89E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3510D0F6">
            <w:pPr>
              <w:spacing w:line="240" w:lineRule="auto"/>
              <w:ind w:firstLine="0" w:firstLineChars="0"/>
              <w:jc w:val="center"/>
              <w:rPr>
                <w:rFonts w:ascii="仿宋" w:hAnsi="仿宋"/>
                <w:sz w:val="24"/>
                <w:szCs w:val="24"/>
              </w:rPr>
            </w:pPr>
            <w:r>
              <w:rPr>
                <w:rFonts w:ascii="仿宋" w:hAnsi="仿宋"/>
                <w:sz w:val="24"/>
                <w:szCs w:val="24"/>
              </w:rPr>
              <w:t>5</w:t>
            </w:r>
          </w:p>
        </w:tc>
        <w:tc>
          <w:tcPr>
            <w:tcW w:w="2731" w:type="dxa"/>
            <w:vAlign w:val="center"/>
          </w:tcPr>
          <w:p w14:paraId="612D37FE">
            <w:pPr>
              <w:spacing w:line="240" w:lineRule="auto"/>
              <w:ind w:firstLine="0" w:firstLineChars="0"/>
              <w:jc w:val="center"/>
              <w:rPr>
                <w:rFonts w:ascii="仿宋" w:hAnsi="仿宋"/>
                <w:sz w:val="24"/>
                <w:szCs w:val="24"/>
              </w:rPr>
            </w:pPr>
            <w:r>
              <w:rPr>
                <w:rFonts w:hint="eastAsia" w:ascii="仿宋" w:hAnsi="仿宋"/>
                <w:sz w:val="24"/>
                <w:szCs w:val="24"/>
              </w:rPr>
              <w:t>钢丝绳及其固结</w:t>
            </w:r>
          </w:p>
        </w:tc>
        <w:tc>
          <w:tcPr>
            <w:tcW w:w="5349" w:type="dxa"/>
            <w:vAlign w:val="center"/>
          </w:tcPr>
          <w:p w14:paraId="1ECA082E">
            <w:pPr>
              <w:spacing w:line="240" w:lineRule="auto"/>
              <w:ind w:firstLine="0" w:firstLineChars="0"/>
              <w:jc w:val="center"/>
              <w:rPr>
                <w:rFonts w:ascii="仿宋" w:hAnsi="仿宋"/>
                <w:sz w:val="24"/>
                <w:szCs w:val="24"/>
              </w:rPr>
            </w:pPr>
            <w:r>
              <w:rPr>
                <w:rFonts w:hint="eastAsia" w:ascii="仿宋" w:hAnsi="仿宋"/>
                <w:sz w:val="24"/>
                <w:szCs w:val="24"/>
              </w:rPr>
              <w:t>无严重损伤、变形、固结合理，符合</w:t>
            </w:r>
            <w:r>
              <w:rPr>
                <w:rFonts w:ascii="仿宋" w:hAnsi="仿宋"/>
                <w:sz w:val="24"/>
                <w:szCs w:val="24"/>
              </w:rPr>
              <w:t>JGJ33-2001</w:t>
            </w:r>
            <w:r>
              <w:rPr>
                <w:rFonts w:hint="eastAsia" w:ascii="仿宋" w:hAnsi="仿宋"/>
                <w:sz w:val="24"/>
                <w:szCs w:val="24"/>
              </w:rPr>
              <w:t>、</w:t>
            </w:r>
            <w:r>
              <w:rPr>
                <w:rFonts w:ascii="仿宋" w:hAnsi="仿宋"/>
                <w:sz w:val="24"/>
                <w:szCs w:val="24"/>
              </w:rPr>
              <w:t>GB5972-86</w:t>
            </w:r>
            <w:r>
              <w:rPr>
                <w:rFonts w:hint="eastAsia" w:ascii="仿宋" w:hAnsi="仿宋"/>
                <w:sz w:val="24"/>
                <w:szCs w:val="24"/>
              </w:rPr>
              <w:t>有关要求</w:t>
            </w:r>
          </w:p>
        </w:tc>
      </w:tr>
      <w:tr w14:paraId="142EAD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2ADC6E7A">
            <w:pPr>
              <w:spacing w:line="240" w:lineRule="auto"/>
              <w:ind w:firstLine="0" w:firstLineChars="0"/>
              <w:jc w:val="center"/>
              <w:rPr>
                <w:rFonts w:ascii="仿宋" w:hAnsi="仿宋"/>
                <w:sz w:val="24"/>
                <w:szCs w:val="24"/>
              </w:rPr>
            </w:pPr>
            <w:r>
              <w:rPr>
                <w:rFonts w:ascii="仿宋" w:hAnsi="仿宋"/>
                <w:sz w:val="24"/>
                <w:szCs w:val="24"/>
              </w:rPr>
              <w:t>6</w:t>
            </w:r>
          </w:p>
        </w:tc>
        <w:tc>
          <w:tcPr>
            <w:tcW w:w="2731" w:type="dxa"/>
            <w:vAlign w:val="center"/>
          </w:tcPr>
          <w:p w14:paraId="6586FC0F">
            <w:pPr>
              <w:spacing w:line="240" w:lineRule="auto"/>
              <w:ind w:firstLine="0" w:firstLineChars="0"/>
              <w:jc w:val="center"/>
              <w:rPr>
                <w:rFonts w:ascii="仿宋" w:hAnsi="仿宋"/>
                <w:sz w:val="24"/>
                <w:szCs w:val="24"/>
              </w:rPr>
            </w:pPr>
            <w:r>
              <w:rPr>
                <w:rFonts w:hint="eastAsia" w:ascii="仿宋" w:hAnsi="仿宋"/>
                <w:sz w:val="24"/>
                <w:szCs w:val="24"/>
              </w:rPr>
              <w:t>钢丝绳绳端的固定及安装情况</w:t>
            </w:r>
          </w:p>
        </w:tc>
        <w:tc>
          <w:tcPr>
            <w:tcW w:w="5349" w:type="dxa"/>
            <w:vAlign w:val="center"/>
          </w:tcPr>
          <w:p w14:paraId="0680BF11">
            <w:pPr>
              <w:spacing w:line="240" w:lineRule="auto"/>
              <w:ind w:firstLine="0" w:firstLineChars="0"/>
              <w:jc w:val="center"/>
              <w:rPr>
                <w:rFonts w:ascii="仿宋" w:hAnsi="仿宋"/>
                <w:sz w:val="24"/>
                <w:szCs w:val="24"/>
              </w:rPr>
            </w:pPr>
            <w:r>
              <w:rPr>
                <w:rFonts w:hint="eastAsia" w:ascii="仿宋" w:hAnsi="仿宋"/>
                <w:sz w:val="24"/>
                <w:szCs w:val="24"/>
              </w:rPr>
              <w:t>固定应牢固，在卷筒、滑轮中的缠绕方向应．正确</w:t>
            </w:r>
          </w:p>
        </w:tc>
      </w:tr>
      <w:tr w14:paraId="478D3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5DB2405D">
            <w:pPr>
              <w:spacing w:line="240" w:lineRule="auto"/>
              <w:ind w:firstLine="0" w:firstLineChars="0"/>
              <w:jc w:val="center"/>
              <w:rPr>
                <w:rFonts w:ascii="仿宋" w:hAnsi="仿宋"/>
                <w:sz w:val="24"/>
                <w:szCs w:val="24"/>
              </w:rPr>
            </w:pPr>
            <w:r>
              <w:rPr>
                <w:rFonts w:ascii="仿宋" w:hAnsi="仿宋"/>
                <w:sz w:val="24"/>
                <w:szCs w:val="24"/>
              </w:rPr>
              <w:t>7</w:t>
            </w:r>
          </w:p>
        </w:tc>
        <w:tc>
          <w:tcPr>
            <w:tcW w:w="2731" w:type="dxa"/>
            <w:vAlign w:val="center"/>
          </w:tcPr>
          <w:p w14:paraId="1A5C0BCD">
            <w:pPr>
              <w:spacing w:line="240" w:lineRule="auto"/>
              <w:ind w:firstLine="0" w:firstLineChars="0"/>
              <w:jc w:val="center"/>
              <w:rPr>
                <w:rFonts w:ascii="仿宋" w:hAnsi="仿宋"/>
                <w:sz w:val="24"/>
                <w:szCs w:val="24"/>
              </w:rPr>
            </w:pPr>
            <w:r>
              <w:rPr>
                <w:rFonts w:hint="eastAsia" w:ascii="仿宋" w:hAnsi="仿宋"/>
                <w:sz w:val="24"/>
                <w:szCs w:val="24"/>
              </w:rPr>
              <w:t>吊钩</w:t>
            </w:r>
          </w:p>
        </w:tc>
        <w:tc>
          <w:tcPr>
            <w:tcW w:w="5349" w:type="dxa"/>
            <w:vAlign w:val="center"/>
          </w:tcPr>
          <w:p w14:paraId="583D6D0C">
            <w:pPr>
              <w:spacing w:line="240" w:lineRule="auto"/>
              <w:ind w:firstLine="0" w:firstLineChars="0"/>
              <w:jc w:val="center"/>
              <w:rPr>
                <w:rFonts w:ascii="仿宋" w:hAnsi="仿宋"/>
                <w:sz w:val="24"/>
                <w:szCs w:val="24"/>
              </w:rPr>
            </w:pPr>
            <w:r>
              <w:rPr>
                <w:rFonts w:hint="eastAsia" w:ascii="仿宋" w:hAnsi="仿宋"/>
                <w:sz w:val="24"/>
                <w:szCs w:val="24"/>
              </w:rPr>
              <w:t>防脱钩装置完好。表面无破口、孔穴、裂纹、凹陷等，不得补焊，挂绳处断面磨损小于高度</w:t>
            </w:r>
            <w:r>
              <w:rPr>
                <w:rFonts w:ascii="仿宋" w:hAnsi="仿宋"/>
                <w:sz w:val="24"/>
                <w:szCs w:val="24"/>
              </w:rPr>
              <w:t>10%</w:t>
            </w:r>
            <w:r>
              <w:rPr>
                <w:rFonts w:hint="eastAsia" w:ascii="仿宋" w:hAnsi="仿宋"/>
                <w:sz w:val="24"/>
                <w:szCs w:val="24"/>
              </w:rPr>
              <w:t>，无永久变形。</w:t>
            </w:r>
          </w:p>
        </w:tc>
      </w:tr>
      <w:tr w14:paraId="781BBD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1003819C">
            <w:pPr>
              <w:spacing w:line="240" w:lineRule="auto"/>
              <w:ind w:firstLine="0" w:firstLineChars="0"/>
              <w:jc w:val="center"/>
              <w:rPr>
                <w:rFonts w:ascii="仿宋" w:hAnsi="仿宋"/>
                <w:sz w:val="24"/>
                <w:szCs w:val="24"/>
              </w:rPr>
            </w:pPr>
            <w:r>
              <w:rPr>
                <w:rFonts w:ascii="仿宋" w:hAnsi="仿宋"/>
                <w:sz w:val="24"/>
                <w:szCs w:val="24"/>
              </w:rPr>
              <w:t>8</w:t>
            </w:r>
          </w:p>
        </w:tc>
        <w:tc>
          <w:tcPr>
            <w:tcW w:w="2731" w:type="dxa"/>
            <w:vAlign w:val="center"/>
          </w:tcPr>
          <w:p w14:paraId="718FF005">
            <w:pPr>
              <w:spacing w:line="240" w:lineRule="auto"/>
              <w:ind w:firstLine="0" w:firstLineChars="0"/>
              <w:jc w:val="center"/>
              <w:rPr>
                <w:rFonts w:ascii="仿宋" w:hAnsi="仿宋"/>
                <w:sz w:val="24"/>
                <w:szCs w:val="24"/>
              </w:rPr>
            </w:pPr>
            <w:r>
              <w:rPr>
                <w:rFonts w:hint="eastAsia" w:ascii="仿宋" w:hAnsi="仿宋"/>
                <w:sz w:val="24"/>
                <w:szCs w:val="24"/>
              </w:rPr>
              <w:t>吊装钢丝绳、卡环、吊具</w:t>
            </w:r>
          </w:p>
        </w:tc>
        <w:tc>
          <w:tcPr>
            <w:tcW w:w="5349" w:type="dxa"/>
            <w:vAlign w:val="center"/>
          </w:tcPr>
          <w:p w14:paraId="39F7F26B">
            <w:pPr>
              <w:spacing w:line="240" w:lineRule="auto"/>
              <w:ind w:firstLine="0" w:firstLineChars="0"/>
              <w:jc w:val="center"/>
              <w:rPr>
                <w:rFonts w:ascii="仿宋" w:hAnsi="仿宋"/>
                <w:sz w:val="24"/>
                <w:szCs w:val="24"/>
              </w:rPr>
            </w:pPr>
            <w:r>
              <w:rPr>
                <w:rFonts w:hint="eastAsia" w:ascii="仿宋" w:hAnsi="仿宋"/>
                <w:sz w:val="24"/>
                <w:szCs w:val="24"/>
              </w:rPr>
              <w:t>钢丝绳、卡环符合国标要求、吊具无开焊和变形</w:t>
            </w:r>
          </w:p>
        </w:tc>
      </w:tr>
      <w:tr w14:paraId="7484DD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5B3ECE2C">
            <w:pPr>
              <w:spacing w:line="240" w:lineRule="auto"/>
              <w:ind w:firstLine="0" w:firstLineChars="0"/>
              <w:jc w:val="center"/>
              <w:rPr>
                <w:rFonts w:ascii="仿宋" w:hAnsi="仿宋"/>
                <w:sz w:val="24"/>
                <w:szCs w:val="24"/>
              </w:rPr>
            </w:pPr>
            <w:r>
              <w:rPr>
                <w:rFonts w:ascii="仿宋" w:hAnsi="仿宋"/>
                <w:sz w:val="24"/>
                <w:szCs w:val="24"/>
              </w:rPr>
              <w:t>9</w:t>
            </w:r>
          </w:p>
        </w:tc>
        <w:tc>
          <w:tcPr>
            <w:tcW w:w="2731" w:type="dxa"/>
            <w:vAlign w:val="center"/>
          </w:tcPr>
          <w:p w14:paraId="1378443B">
            <w:pPr>
              <w:spacing w:line="240" w:lineRule="auto"/>
              <w:ind w:firstLine="0" w:firstLineChars="0"/>
              <w:jc w:val="center"/>
              <w:rPr>
                <w:rFonts w:ascii="仿宋" w:hAnsi="仿宋"/>
                <w:sz w:val="24"/>
                <w:szCs w:val="24"/>
              </w:rPr>
            </w:pPr>
            <w:r>
              <w:rPr>
                <w:rFonts w:hint="eastAsia" w:ascii="仿宋" w:hAnsi="仿宋"/>
                <w:sz w:val="24"/>
                <w:szCs w:val="24"/>
              </w:rPr>
              <w:t>各工作机构、各保护装置、润滑系统及液压系统等的安装、注油情况</w:t>
            </w:r>
          </w:p>
        </w:tc>
        <w:tc>
          <w:tcPr>
            <w:tcW w:w="5349" w:type="dxa"/>
            <w:vAlign w:val="center"/>
          </w:tcPr>
          <w:p w14:paraId="07DE4189">
            <w:pPr>
              <w:spacing w:line="240" w:lineRule="auto"/>
              <w:ind w:firstLine="0" w:firstLineChars="0"/>
              <w:jc w:val="center"/>
              <w:rPr>
                <w:rFonts w:ascii="仿宋" w:hAnsi="仿宋"/>
                <w:sz w:val="24"/>
                <w:szCs w:val="24"/>
              </w:rPr>
            </w:pPr>
            <w:r>
              <w:rPr>
                <w:rFonts w:hint="eastAsia" w:ascii="仿宋" w:hAnsi="仿宋"/>
                <w:sz w:val="24"/>
                <w:szCs w:val="24"/>
              </w:rPr>
              <w:t>满足图纸及设计要求</w:t>
            </w:r>
          </w:p>
        </w:tc>
      </w:tr>
      <w:tr w14:paraId="3287C2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283D70FD">
            <w:pPr>
              <w:spacing w:line="240" w:lineRule="auto"/>
              <w:ind w:firstLine="0" w:firstLineChars="0"/>
              <w:jc w:val="center"/>
              <w:rPr>
                <w:rFonts w:ascii="仿宋" w:hAnsi="仿宋"/>
                <w:sz w:val="24"/>
                <w:szCs w:val="24"/>
              </w:rPr>
            </w:pPr>
            <w:r>
              <w:rPr>
                <w:rFonts w:ascii="仿宋" w:hAnsi="仿宋"/>
                <w:sz w:val="24"/>
                <w:szCs w:val="24"/>
              </w:rPr>
              <w:t>10</w:t>
            </w:r>
          </w:p>
        </w:tc>
        <w:tc>
          <w:tcPr>
            <w:tcW w:w="2731" w:type="dxa"/>
            <w:vAlign w:val="center"/>
          </w:tcPr>
          <w:p w14:paraId="5824753F">
            <w:pPr>
              <w:spacing w:line="240" w:lineRule="auto"/>
              <w:ind w:firstLine="0" w:firstLineChars="0"/>
              <w:jc w:val="center"/>
              <w:rPr>
                <w:rFonts w:ascii="仿宋" w:hAnsi="仿宋"/>
                <w:sz w:val="24"/>
                <w:szCs w:val="24"/>
              </w:rPr>
            </w:pPr>
            <w:r>
              <w:rPr>
                <w:rFonts w:hint="eastAsia" w:ascii="仿宋" w:hAnsi="仿宋"/>
                <w:sz w:val="24"/>
                <w:szCs w:val="24"/>
              </w:rPr>
              <w:t>电缆、电气元件、变压器及各电机的接线是否正确，接头是否有松动现象，接地是否良好</w:t>
            </w:r>
          </w:p>
        </w:tc>
        <w:tc>
          <w:tcPr>
            <w:tcW w:w="5349" w:type="dxa"/>
            <w:vAlign w:val="center"/>
          </w:tcPr>
          <w:p w14:paraId="09B2DBD7">
            <w:pPr>
              <w:spacing w:line="240" w:lineRule="auto"/>
              <w:ind w:firstLine="0" w:firstLineChars="0"/>
              <w:jc w:val="center"/>
              <w:rPr>
                <w:rFonts w:ascii="仿宋" w:hAnsi="仿宋"/>
                <w:sz w:val="24"/>
                <w:szCs w:val="24"/>
              </w:rPr>
            </w:pPr>
            <w:r>
              <w:rPr>
                <w:rFonts w:hint="eastAsia" w:ascii="仿宋" w:hAnsi="仿宋"/>
                <w:sz w:val="24"/>
                <w:szCs w:val="24"/>
              </w:rPr>
              <w:t>各接线位置接触良好，接线正确，接头无松动，接地良好，接地电阻小于</w:t>
            </w:r>
            <w:r>
              <w:rPr>
                <w:rFonts w:ascii="仿宋" w:hAnsi="仿宋"/>
                <w:sz w:val="24"/>
                <w:szCs w:val="24"/>
              </w:rPr>
              <w:t>4</w:t>
            </w:r>
            <w:r>
              <w:rPr>
                <w:rFonts w:hint="eastAsia" w:ascii="仿宋" w:hAnsi="仿宋"/>
                <w:sz w:val="24"/>
                <w:szCs w:val="24"/>
              </w:rPr>
              <w:t>Ω。</w:t>
            </w:r>
          </w:p>
          <w:p w14:paraId="2DA87470">
            <w:pPr>
              <w:spacing w:line="240" w:lineRule="auto"/>
              <w:ind w:firstLine="0" w:firstLineChars="0"/>
              <w:jc w:val="center"/>
              <w:rPr>
                <w:rFonts w:ascii="仿宋" w:hAnsi="仿宋"/>
                <w:sz w:val="24"/>
                <w:szCs w:val="24"/>
              </w:rPr>
            </w:pPr>
          </w:p>
        </w:tc>
      </w:tr>
      <w:tr w14:paraId="51DF6E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1D39E1D5">
            <w:pPr>
              <w:spacing w:line="240" w:lineRule="auto"/>
              <w:ind w:firstLine="0" w:firstLineChars="0"/>
              <w:jc w:val="center"/>
              <w:rPr>
                <w:rFonts w:ascii="仿宋" w:hAnsi="仿宋"/>
                <w:sz w:val="24"/>
                <w:szCs w:val="24"/>
              </w:rPr>
            </w:pPr>
            <w:r>
              <w:rPr>
                <w:rFonts w:ascii="仿宋" w:hAnsi="仿宋"/>
                <w:sz w:val="24"/>
                <w:szCs w:val="24"/>
              </w:rPr>
              <w:t>11</w:t>
            </w:r>
          </w:p>
        </w:tc>
        <w:tc>
          <w:tcPr>
            <w:tcW w:w="2731" w:type="dxa"/>
            <w:vAlign w:val="center"/>
          </w:tcPr>
          <w:p w14:paraId="509957E2">
            <w:pPr>
              <w:spacing w:line="240" w:lineRule="auto"/>
              <w:ind w:firstLine="0" w:firstLineChars="0"/>
              <w:jc w:val="center"/>
              <w:rPr>
                <w:rFonts w:ascii="仿宋" w:hAnsi="仿宋"/>
                <w:sz w:val="24"/>
                <w:szCs w:val="24"/>
              </w:rPr>
            </w:pPr>
            <w:r>
              <w:rPr>
                <w:rFonts w:hint="eastAsia" w:ascii="仿宋" w:hAnsi="仿宋"/>
                <w:sz w:val="24"/>
                <w:szCs w:val="24"/>
              </w:rPr>
              <w:t>各机构电机转向是否正确</w:t>
            </w:r>
          </w:p>
        </w:tc>
        <w:tc>
          <w:tcPr>
            <w:tcW w:w="5349" w:type="dxa"/>
            <w:vAlign w:val="center"/>
          </w:tcPr>
          <w:p w14:paraId="25CD5916">
            <w:pPr>
              <w:spacing w:line="240" w:lineRule="auto"/>
              <w:ind w:firstLine="0" w:firstLineChars="0"/>
              <w:jc w:val="center"/>
              <w:rPr>
                <w:rFonts w:ascii="仿宋" w:hAnsi="仿宋"/>
                <w:sz w:val="24"/>
                <w:szCs w:val="24"/>
              </w:rPr>
            </w:pPr>
            <w:r>
              <w:rPr>
                <w:rFonts w:hint="eastAsia" w:ascii="仿宋" w:hAnsi="仿宋"/>
                <w:sz w:val="24"/>
                <w:szCs w:val="24"/>
              </w:rPr>
              <w:t>转向正确</w:t>
            </w:r>
          </w:p>
        </w:tc>
      </w:tr>
      <w:tr w14:paraId="66EA28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03A38423">
            <w:pPr>
              <w:spacing w:line="240" w:lineRule="auto"/>
              <w:ind w:firstLine="0" w:firstLineChars="0"/>
              <w:jc w:val="center"/>
              <w:rPr>
                <w:rFonts w:ascii="仿宋" w:hAnsi="仿宋"/>
                <w:sz w:val="24"/>
                <w:szCs w:val="24"/>
              </w:rPr>
            </w:pPr>
            <w:r>
              <w:rPr>
                <w:rFonts w:ascii="仿宋" w:hAnsi="仿宋"/>
                <w:sz w:val="24"/>
                <w:szCs w:val="24"/>
              </w:rPr>
              <w:t>12</w:t>
            </w:r>
          </w:p>
        </w:tc>
        <w:tc>
          <w:tcPr>
            <w:tcW w:w="2731" w:type="dxa"/>
            <w:vAlign w:val="center"/>
          </w:tcPr>
          <w:p w14:paraId="3310D2EF">
            <w:pPr>
              <w:spacing w:line="240" w:lineRule="auto"/>
              <w:ind w:firstLine="0" w:firstLineChars="0"/>
              <w:jc w:val="center"/>
              <w:rPr>
                <w:rFonts w:ascii="仿宋" w:hAnsi="仿宋"/>
                <w:sz w:val="24"/>
                <w:szCs w:val="24"/>
              </w:rPr>
            </w:pPr>
            <w:r>
              <w:rPr>
                <w:rFonts w:hint="eastAsia" w:ascii="仿宋" w:hAnsi="仿宋"/>
                <w:sz w:val="24"/>
                <w:szCs w:val="24"/>
              </w:rPr>
              <w:t>作业环境</w:t>
            </w:r>
          </w:p>
        </w:tc>
        <w:tc>
          <w:tcPr>
            <w:tcW w:w="5349" w:type="dxa"/>
            <w:vAlign w:val="center"/>
          </w:tcPr>
          <w:p w14:paraId="2778F8B6">
            <w:pPr>
              <w:spacing w:line="240" w:lineRule="auto"/>
              <w:ind w:firstLine="0" w:firstLineChars="0"/>
              <w:jc w:val="center"/>
              <w:rPr>
                <w:rFonts w:ascii="仿宋" w:hAnsi="仿宋"/>
                <w:sz w:val="24"/>
                <w:szCs w:val="24"/>
              </w:rPr>
            </w:pPr>
            <w:r>
              <w:rPr>
                <w:rFonts w:hint="eastAsia" w:ascii="仿宋" w:hAnsi="仿宋"/>
                <w:sz w:val="24"/>
                <w:szCs w:val="24"/>
              </w:rPr>
              <w:t>周边无障碍物</w:t>
            </w:r>
          </w:p>
        </w:tc>
      </w:tr>
      <w:tr w14:paraId="77216B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Merge w:val="restart"/>
            <w:vAlign w:val="center"/>
          </w:tcPr>
          <w:p w14:paraId="401E7E72">
            <w:pPr>
              <w:spacing w:line="240" w:lineRule="auto"/>
              <w:ind w:firstLine="0" w:firstLineChars="0"/>
              <w:jc w:val="center"/>
              <w:rPr>
                <w:rFonts w:ascii="仿宋" w:hAnsi="仿宋"/>
                <w:sz w:val="24"/>
                <w:szCs w:val="24"/>
              </w:rPr>
            </w:pPr>
            <w:r>
              <w:rPr>
                <w:rFonts w:ascii="仿宋" w:hAnsi="仿宋"/>
                <w:sz w:val="24"/>
                <w:szCs w:val="24"/>
              </w:rPr>
              <w:t>13</w:t>
            </w:r>
          </w:p>
        </w:tc>
        <w:tc>
          <w:tcPr>
            <w:tcW w:w="2731" w:type="dxa"/>
            <w:vMerge w:val="restart"/>
            <w:vAlign w:val="center"/>
          </w:tcPr>
          <w:p w14:paraId="6CE5BDDE">
            <w:pPr>
              <w:spacing w:line="240" w:lineRule="auto"/>
              <w:ind w:firstLine="0" w:firstLineChars="0"/>
              <w:jc w:val="center"/>
              <w:rPr>
                <w:rFonts w:ascii="仿宋" w:hAnsi="仿宋"/>
                <w:sz w:val="24"/>
                <w:szCs w:val="24"/>
              </w:rPr>
            </w:pPr>
            <w:r>
              <w:rPr>
                <w:rFonts w:hint="eastAsia" w:ascii="仿宋" w:hAnsi="仿宋"/>
                <w:sz w:val="24"/>
                <w:szCs w:val="24"/>
              </w:rPr>
              <w:t>各机构制动轮安装情况</w:t>
            </w:r>
          </w:p>
        </w:tc>
        <w:tc>
          <w:tcPr>
            <w:tcW w:w="5349" w:type="dxa"/>
            <w:vAlign w:val="center"/>
          </w:tcPr>
          <w:p w14:paraId="44B1E16A">
            <w:pPr>
              <w:spacing w:line="240" w:lineRule="auto"/>
              <w:ind w:firstLine="0" w:firstLineChars="0"/>
              <w:jc w:val="center"/>
              <w:rPr>
                <w:rFonts w:ascii="仿宋" w:hAnsi="仿宋"/>
                <w:sz w:val="24"/>
                <w:szCs w:val="24"/>
              </w:rPr>
            </w:pPr>
            <w:r>
              <w:rPr>
                <w:rFonts w:hint="eastAsia" w:ascii="仿宋" w:hAnsi="仿宋"/>
                <w:sz w:val="24"/>
                <w:szCs w:val="24"/>
              </w:rPr>
              <w:t>打开有间隙．无摩擦</w:t>
            </w:r>
          </w:p>
        </w:tc>
      </w:tr>
      <w:tr w14:paraId="393EB4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Merge w:val="continue"/>
          </w:tcPr>
          <w:p w14:paraId="5822750F">
            <w:pPr>
              <w:spacing w:line="240" w:lineRule="auto"/>
              <w:ind w:firstLine="0" w:firstLineChars="0"/>
              <w:jc w:val="center"/>
              <w:rPr>
                <w:rFonts w:ascii="仿宋" w:hAnsi="仿宋"/>
                <w:sz w:val="24"/>
                <w:szCs w:val="24"/>
              </w:rPr>
            </w:pPr>
          </w:p>
        </w:tc>
        <w:tc>
          <w:tcPr>
            <w:tcW w:w="2731" w:type="dxa"/>
            <w:vMerge w:val="continue"/>
            <w:vAlign w:val="center"/>
          </w:tcPr>
          <w:p w14:paraId="3CF19917">
            <w:pPr>
              <w:spacing w:line="240" w:lineRule="auto"/>
              <w:ind w:firstLine="0" w:firstLineChars="0"/>
              <w:jc w:val="center"/>
              <w:rPr>
                <w:rFonts w:ascii="仿宋" w:hAnsi="仿宋"/>
                <w:sz w:val="24"/>
                <w:szCs w:val="24"/>
              </w:rPr>
            </w:pPr>
          </w:p>
        </w:tc>
        <w:tc>
          <w:tcPr>
            <w:tcW w:w="5349" w:type="dxa"/>
            <w:vAlign w:val="center"/>
          </w:tcPr>
          <w:p w14:paraId="1B8ADCA0">
            <w:pPr>
              <w:spacing w:line="240" w:lineRule="auto"/>
              <w:ind w:firstLine="0" w:firstLineChars="0"/>
              <w:jc w:val="center"/>
              <w:rPr>
                <w:rFonts w:ascii="仿宋" w:hAnsi="仿宋"/>
                <w:sz w:val="24"/>
                <w:szCs w:val="24"/>
              </w:rPr>
            </w:pPr>
            <w:r>
              <w:rPr>
                <w:rFonts w:hint="eastAsia" w:ascii="仿宋" w:hAnsi="仿宋"/>
                <w:sz w:val="24"/>
                <w:szCs w:val="24"/>
              </w:rPr>
              <w:t>制动接触面积≥</w:t>
            </w:r>
            <w:r>
              <w:rPr>
                <w:rFonts w:ascii="仿宋" w:hAnsi="仿宋"/>
                <w:sz w:val="24"/>
                <w:szCs w:val="24"/>
              </w:rPr>
              <w:t>70%</w:t>
            </w:r>
          </w:p>
        </w:tc>
      </w:tr>
    </w:tbl>
    <w:p w14:paraId="35A80BCD">
      <w:pPr>
        <w:ind w:firstLine="560"/>
      </w:pPr>
      <w:r>
        <w:rPr>
          <w:rFonts w:hint="eastAsia"/>
        </w:rPr>
        <w:t>2、验收</w:t>
      </w:r>
      <w:r>
        <w:t>程序流程</w:t>
      </w:r>
    </w:p>
    <w:p w14:paraId="0AD99536">
      <w:pPr>
        <w:ind w:firstLine="560"/>
      </w:pPr>
      <w:r>
        <w:rPr>
          <w:rFonts w:hint="eastAsia"/>
        </w:rPr>
        <w:t>调试完成后，将塔机的各种资料（包括出厂合格证、第三方检验证明、各部件安装验收记录、配重块强度报告、垂直度测量报告、接地电阻测量报告等）整理汇总，以备查验。</w:t>
      </w:r>
    </w:p>
    <w:p w14:paraId="583DF502">
      <w:pPr>
        <w:ind w:firstLine="560"/>
      </w:pPr>
      <w:r>
        <w:rPr>
          <w:rFonts w:hint="eastAsia"/>
        </w:rPr>
        <w:t>塔吊安装完毕各项技术指标自检查符合相关要求后通知机械部、安质部、其他业主相关部门等现场验收。</w:t>
      </w:r>
    </w:p>
    <w:p w14:paraId="5BED3700">
      <w:pPr>
        <w:ind w:firstLine="560"/>
      </w:pPr>
      <w:r>
        <w:rPr>
          <w:rFonts w:hint="eastAsia"/>
        </w:rPr>
        <w:t>内部自检合格后，报市级以上特种设备</w:t>
      </w:r>
      <w:r>
        <w:fldChar w:fldCharType="begin"/>
      </w:r>
      <w:r>
        <w:instrText xml:space="preserve"> HYPERLINK "http://www.sei.sd.cn/Init!linklist.action" \t "_blank" </w:instrText>
      </w:r>
      <w:r>
        <w:fldChar w:fldCharType="separate"/>
      </w:r>
      <w:r>
        <w:rPr>
          <w:rFonts w:hint="eastAsia"/>
        </w:rPr>
        <w:t>检验研究院</w:t>
      </w:r>
      <w:r>
        <w:rPr>
          <w:rFonts w:hint="eastAsia"/>
        </w:rPr>
        <w:fldChar w:fldCharType="end"/>
      </w:r>
      <w:r>
        <w:rPr>
          <w:rFonts w:hint="eastAsia"/>
        </w:rPr>
        <w:t>前来验收，验收合格后方可投入运营。</w:t>
      </w:r>
    </w:p>
    <w:p w14:paraId="3663DCB5">
      <w:pPr>
        <w:ind w:left="560" w:firstLine="0" w:firstLineChars="0"/>
      </w:pPr>
      <w:r>
        <w:rPr>
          <w:rFonts w:hint="eastAsia"/>
        </w:rPr>
        <w:t>3、</w:t>
      </w:r>
      <w:r>
        <w:t>验收人员</w:t>
      </w:r>
    </w:p>
    <w:p w14:paraId="3016E033">
      <w:pPr>
        <w:ind w:firstLine="560"/>
      </w:pPr>
      <w:r>
        <w:t>塔机安装后,</w:t>
      </w:r>
      <w:r>
        <w:rPr>
          <w:rFonts w:hint="eastAsia"/>
        </w:rPr>
        <w:t>应由</w:t>
      </w:r>
      <w:r>
        <w:t>使用单位应通知安装单位组织有关人员进行性能载荷等自检验收</w:t>
      </w:r>
      <w:r>
        <w:rPr>
          <w:rFonts w:hint="eastAsia"/>
        </w:rPr>
        <w:t>，</w:t>
      </w:r>
      <w:r>
        <w:t>验收合格双方签字盖章后方可投入使用。使用单位并将自检验收情况连同资料报当地安检部门申请检测。</w:t>
      </w:r>
      <w:r>
        <w:rPr>
          <w:rFonts w:hint="eastAsia"/>
        </w:rPr>
        <w:t>验收人员应包括使用单位及项目部机械部、现场负责人、安质部等相关人员。安装单位人员应包括塔机安装负责人、技术员、安全员、安拆施工队长等相关人员。</w:t>
      </w:r>
    </w:p>
    <w:p w14:paraId="78A3D333">
      <w:pPr>
        <w:ind w:firstLine="560"/>
      </w:pPr>
      <w:bookmarkStart w:id="514" w:name="_Toc31559"/>
      <w:bookmarkStart w:id="515" w:name="_Toc11765"/>
      <w:bookmarkStart w:id="516" w:name="_Toc7928"/>
      <w:bookmarkStart w:id="517" w:name="_Toc6210"/>
      <w:bookmarkStart w:id="518" w:name="_Toc7041"/>
    </w:p>
    <w:p w14:paraId="3FEA4117">
      <w:pPr>
        <w:ind w:firstLine="560"/>
      </w:pPr>
    </w:p>
    <w:p w14:paraId="18CFE90C">
      <w:pPr>
        <w:pStyle w:val="3"/>
      </w:pPr>
      <w:bookmarkStart w:id="519" w:name="_Toc7372"/>
      <w:r>
        <w:rPr>
          <w:rFonts w:hint="eastAsia"/>
        </w:rPr>
        <w:t>9.7</w:t>
      </w:r>
      <w:bookmarkEnd w:id="514"/>
      <w:bookmarkEnd w:id="515"/>
      <w:bookmarkEnd w:id="516"/>
      <w:bookmarkEnd w:id="517"/>
      <w:bookmarkEnd w:id="518"/>
      <w:r>
        <w:rPr>
          <w:rFonts w:hint="eastAsia"/>
        </w:rPr>
        <w:t>塔机监测监控</w:t>
      </w:r>
      <w:bookmarkEnd w:id="519"/>
    </w:p>
    <w:p w14:paraId="4C1003A9">
      <w:pPr>
        <w:ind w:firstLine="560"/>
        <w:outlineLvl w:val="2"/>
        <w:rPr>
          <w:rFonts w:hint="eastAsia" w:ascii="黑体" w:hAnsi="黑体" w:eastAsia="黑体" w:cs="黑体"/>
          <w:color w:val="000000"/>
          <w:lang w:val="en-US" w:eastAsia="zh-CN"/>
        </w:rPr>
      </w:pPr>
      <w:bookmarkStart w:id="520" w:name="_Toc131080078"/>
      <w:bookmarkStart w:id="521" w:name="_Toc10605"/>
      <w:bookmarkStart w:id="522" w:name="_Toc21885"/>
      <w:bookmarkStart w:id="523" w:name="_Toc7819"/>
      <w:bookmarkStart w:id="524" w:name="_Toc4390"/>
      <w:bookmarkStart w:id="525" w:name="_Toc17547"/>
      <w:bookmarkStart w:id="526" w:name="_Toc29256"/>
      <w:r>
        <w:rPr>
          <w:rFonts w:hint="eastAsia" w:ascii="黑体" w:hAnsi="黑体" w:eastAsia="黑体" w:cs="黑体"/>
          <w:color w:val="000000"/>
          <w:lang w:val="en-US" w:eastAsia="zh-CN"/>
        </w:rPr>
        <w:t>9.7.1.监测项目</w:t>
      </w:r>
      <w:bookmarkEnd w:id="520"/>
    </w:p>
    <w:p w14:paraId="34E4CBD2">
      <w:pPr>
        <w:bidi w:val="0"/>
        <w:rPr>
          <w:color w:val="auto"/>
        </w:rPr>
      </w:pPr>
      <w:r>
        <w:rPr>
          <w:rFonts w:hint="eastAsia"/>
          <w:color w:val="auto"/>
        </w:rPr>
        <w:t>塔机</w:t>
      </w:r>
      <w:r>
        <w:rPr>
          <w:color w:val="auto"/>
        </w:rPr>
        <w:t>水平、沉降和垂直位移监测。</w:t>
      </w:r>
    </w:p>
    <w:p w14:paraId="0A1E9406">
      <w:pPr>
        <w:ind w:firstLine="560"/>
        <w:outlineLvl w:val="2"/>
        <w:rPr>
          <w:rFonts w:hint="eastAsia" w:ascii="黑体" w:hAnsi="黑体" w:eastAsia="黑体" w:cs="黑体"/>
          <w:color w:val="000000"/>
          <w:lang w:val="en-US" w:eastAsia="zh-CN"/>
        </w:rPr>
      </w:pPr>
      <w:bookmarkStart w:id="527" w:name="_Toc131080079"/>
      <w:r>
        <w:rPr>
          <w:rFonts w:hint="eastAsia" w:ascii="黑体" w:hAnsi="黑体" w:eastAsia="黑体" w:cs="黑体"/>
          <w:color w:val="000000"/>
          <w:lang w:val="en-US" w:eastAsia="zh-CN"/>
        </w:rPr>
        <w:t>9.7.2.测点布置</w:t>
      </w:r>
      <w:bookmarkEnd w:id="527"/>
    </w:p>
    <w:p w14:paraId="7914287B">
      <w:pPr>
        <w:bidi w:val="0"/>
        <w:rPr>
          <w:color w:val="auto"/>
        </w:rPr>
      </w:pPr>
      <w:r>
        <w:rPr>
          <w:color w:val="auto"/>
        </w:rPr>
        <w:t>（1）基准点：基准点应设在基坑开挖变形影响范围以外，通视条件良好并便于保存的稳定位置。对于本工程，</w:t>
      </w:r>
      <w:r>
        <w:rPr>
          <w:rFonts w:hint="eastAsia"/>
          <w:color w:val="auto"/>
        </w:rPr>
        <w:t>塔机</w:t>
      </w:r>
      <w:r>
        <w:rPr>
          <w:color w:val="auto"/>
        </w:rPr>
        <w:t>沉降观测基准点，在距基坑边缘50m外的建筑物上设置三个水准观测基准点。</w:t>
      </w:r>
    </w:p>
    <w:p w14:paraId="24B947EE">
      <w:pPr>
        <w:bidi w:val="0"/>
        <w:rPr>
          <w:color w:val="auto"/>
        </w:rPr>
      </w:pPr>
      <w:r>
        <w:rPr>
          <w:color w:val="auto"/>
        </w:rPr>
        <w:t>（2）观测点：基坑</w:t>
      </w:r>
      <w:r>
        <w:rPr>
          <w:rFonts w:hint="eastAsia"/>
          <w:color w:val="auto"/>
        </w:rPr>
        <w:t>塔机</w:t>
      </w:r>
      <w:r>
        <w:rPr>
          <w:color w:val="auto"/>
        </w:rPr>
        <w:t>的水平沉降和垂直位移观测点沿</w:t>
      </w:r>
      <w:r>
        <w:rPr>
          <w:rFonts w:hint="eastAsia"/>
          <w:color w:val="auto"/>
        </w:rPr>
        <w:t>塔机</w:t>
      </w:r>
      <w:r>
        <w:rPr>
          <w:color w:val="auto"/>
        </w:rPr>
        <w:t>周边布置，考虑到本基坑较深，观测周期较长，在定人定仪器的要求下，势必会影响监测的质量，同时也增大了监测费用。综合考虑，观测时间为每周上报两次，水平沉降观测点同时作为垂直唯一的观测点。观测点采用</w:t>
      </w:r>
      <w:r>
        <w:rPr>
          <w:rFonts w:hint="eastAsia"/>
          <w:color w:val="auto"/>
        </w:rPr>
        <w:t>塔机</w:t>
      </w:r>
      <w:r>
        <w:rPr>
          <w:color w:val="auto"/>
        </w:rPr>
        <w:t>塔身边设置垂直观测点。</w:t>
      </w:r>
    </w:p>
    <w:p w14:paraId="68B8B6FA">
      <w:pPr>
        <w:ind w:firstLine="560"/>
        <w:outlineLvl w:val="2"/>
        <w:rPr>
          <w:rFonts w:hint="eastAsia" w:ascii="黑体" w:hAnsi="黑体" w:eastAsia="黑体" w:cs="黑体"/>
          <w:color w:val="000000"/>
          <w:lang w:val="en-US" w:eastAsia="zh-CN"/>
        </w:rPr>
      </w:pPr>
      <w:bookmarkStart w:id="528" w:name="_Toc131080080"/>
      <w:r>
        <w:rPr>
          <w:rFonts w:hint="eastAsia" w:ascii="黑体" w:hAnsi="黑体" w:eastAsia="黑体" w:cs="黑体"/>
          <w:color w:val="000000"/>
          <w:lang w:val="en-US" w:eastAsia="zh-CN"/>
        </w:rPr>
        <w:t>9.7.3.监测方法</w:t>
      </w:r>
      <w:bookmarkEnd w:id="528"/>
    </w:p>
    <w:p w14:paraId="73AFC072">
      <w:pPr>
        <w:bidi w:val="0"/>
        <w:rPr>
          <w:color w:val="auto"/>
        </w:rPr>
      </w:pPr>
      <w:r>
        <w:rPr>
          <w:color w:val="auto"/>
        </w:rPr>
        <w:t>（1）监测方法：</w:t>
      </w:r>
    </w:p>
    <w:p w14:paraId="7F560602">
      <w:pPr>
        <w:bidi w:val="0"/>
        <w:rPr>
          <w:color w:val="auto"/>
        </w:rPr>
      </w:pPr>
      <w:r>
        <w:rPr>
          <w:color w:val="auto"/>
        </w:rPr>
        <w:t>1）初始值：</w:t>
      </w:r>
      <w:r>
        <w:rPr>
          <w:rFonts w:hint="eastAsia"/>
          <w:color w:val="auto"/>
        </w:rPr>
        <w:t>塔机</w:t>
      </w:r>
      <w:r>
        <w:rPr>
          <w:color w:val="auto"/>
        </w:rPr>
        <w:t>监测工作的准备工作应在基坑开挖前完成。应在至少连续三次测得的数值基本一致后，才能将其确定为该项目的初始值。</w:t>
      </w:r>
    </w:p>
    <w:p w14:paraId="48E60CBE">
      <w:pPr>
        <w:bidi w:val="0"/>
        <w:rPr>
          <w:color w:val="auto"/>
        </w:rPr>
      </w:pPr>
      <w:r>
        <w:rPr>
          <w:color w:val="auto"/>
        </w:rPr>
        <w:t>2）</w:t>
      </w:r>
      <w:r>
        <w:rPr>
          <w:rFonts w:hint="eastAsia"/>
          <w:color w:val="auto"/>
        </w:rPr>
        <w:t>塔机</w:t>
      </w:r>
      <w:r>
        <w:rPr>
          <w:color w:val="auto"/>
        </w:rPr>
        <w:t>垂直位移及沉降观测：观测仪器采用水准仪+水准标尺。</w:t>
      </w:r>
    </w:p>
    <w:p w14:paraId="78BD5A68">
      <w:pPr>
        <w:bidi w:val="0"/>
        <w:rPr>
          <w:color w:val="auto"/>
        </w:rPr>
      </w:pPr>
      <w:r>
        <w:rPr>
          <w:color w:val="auto"/>
        </w:rPr>
        <w:t>3）</w:t>
      </w:r>
      <w:r>
        <w:rPr>
          <w:rFonts w:hint="eastAsia"/>
          <w:color w:val="auto"/>
        </w:rPr>
        <w:t>塔机</w:t>
      </w:r>
      <w:r>
        <w:rPr>
          <w:color w:val="auto"/>
        </w:rPr>
        <w:t>水平位移：采用全站仪建立垂直系统，通过直接观测点位垂直值来确定水平位移。</w:t>
      </w:r>
    </w:p>
    <w:p w14:paraId="2B63F16D">
      <w:pPr>
        <w:bidi w:val="0"/>
        <w:rPr>
          <w:color w:val="auto"/>
        </w:rPr>
      </w:pPr>
      <w:r>
        <w:rPr>
          <w:color w:val="auto"/>
        </w:rPr>
        <w:t>（2）观测要求：同一项目每次观测时，宜符合下列要求：</w:t>
      </w:r>
    </w:p>
    <w:p w14:paraId="6E92E5DC">
      <w:pPr>
        <w:bidi w:val="0"/>
        <w:rPr>
          <w:color w:val="auto"/>
        </w:rPr>
      </w:pPr>
      <w:r>
        <w:rPr>
          <w:color w:val="auto"/>
        </w:rPr>
        <w:t>1）采用相同的观测路线和观测方法；</w:t>
      </w:r>
    </w:p>
    <w:p w14:paraId="69F2616F">
      <w:pPr>
        <w:bidi w:val="0"/>
        <w:rPr>
          <w:color w:val="auto"/>
        </w:rPr>
      </w:pPr>
      <w:r>
        <w:rPr>
          <w:color w:val="auto"/>
        </w:rPr>
        <w:t>2）使用同一监测仪器和设备；</w:t>
      </w:r>
    </w:p>
    <w:p w14:paraId="3499E24B">
      <w:pPr>
        <w:bidi w:val="0"/>
        <w:rPr>
          <w:color w:val="auto"/>
        </w:rPr>
      </w:pPr>
      <w:r>
        <w:rPr>
          <w:color w:val="auto"/>
        </w:rPr>
        <w:t>3）固定观测人员。</w:t>
      </w:r>
    </w:p>
    <w:p w14:paraId="06625643">
      <w:pPr>
        <w:pStyle w:val="185"/>
        <w:bidi w:val="0"/>
        <w:rPr>
          <w:color w:val="auto"/>
        </w:rPr>
      </w:pPr>
      <w:r>
        <w:rPr>
          <w:color w:val="auto"/>
        </w:rPr>
        <w:drawing>
          <wp:inline distT="0" distB="0" distL="114300" distR="114300">
            <wp:extent cx="4163695" cy="1764665"/>
            <wp:effectExtent l="0" t="0" r="8255" b="698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71"/>
                    <a:stretch>
                      <a:fillRect/>
                    </a:stretch>
                  </pic:blipFill>
                  <pic:spPr>
                    <a:xfrm>
                      <a:off x="0" y="0"/>
                      <a:ext cx="4163695" cy="1764665"/>
                    </a:xfrm>
                    <a:prstGeom prst="rect">
                      <a:avLst/>
                    </a:prstGeom>
                    <a:noFill/>
                    <a:ln>
                      <a:noFill/>
                    </a:ln>
                  </pic:spPr>
                </pic:pic>
              </a:graphicData>
            </a:graphic>
          </wp:inline>
        </w:drawing>
      </w:r>
    </w:p>
    <w:p w14:paraId="4F341A6B">
      <w:pPr>
        <w:pStyle w:val="13"/>
        <w:ind w:firstLine="422"/>
        <w:jc w:val="center"/>
        <w:rPr>
          <w:color w:val="auto"/>
        </w:rPr>
      </w:pPr>
      <w:r>
        <w:rPr>
          <w:rFonts w:hint="eastAsia"/>
          <w:color w:val="auto"/>
        </w:rPr>
        <w:t>塔机</w:t>
      </w:r>
      <w:r>
        <w:rPr>
          <w:color w:val="auto"/>
        </w:rPr>
        <w:t>垂直度观测示意图</w:t>
      </w:r>
    </w:p>
    <w:p w14:paraId="39B7A5D1">
      <w:pPr>
        <w:bidi w:val="0"/>
        <w:rPr>
          <w:color w:val="auto"/>
        </w:rPr>
      </w:pPr>
    </w:p>
    <w:p w14:paraId="0F7CA8E8">
      <w:pPr>
        <w:pStyle w:val="185"/>
        <w:bidi w:val="0"/>
        <w:rPr>
          <w:color w:val="auto"/>
        </w:rPr>
      </w:pPr>
      <w:r>
        <w:rPr>
          <w:color w:val="auto"/>
        </w:rPr>
        <w:drawing>
          <wp:inline distT="0" distB="0" distL="114300" distR="114300">
            <wp:extent cx="4246245" cy="2060575"/>
            <wp:effectExtent l="0" t="0" r="1905" b="1587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72"/>
                    <a:srcRect t="9834"/>
                    <a:stretch>
                      <a:fillRect/>
                    </a:stretch>
                  </pic:blipFill>
                  <pic:spPr>
                    <a:xfrm>
                      <a:off x="0" y="0"/>
                      <a:ext cx="4246245" cy="2060575"/>
                    </a:xfrm>
                    <a:prstGeom prst="rect">
                      <a:avLst/>
                    </a:prstGeom>
                    <a:noFill/>
                    <a:ln>
                      <a:noFill/>
                    </a:ln>
                  </pic:spPr>
                </pic:pic>
              </a:graphicData>
            </a:graphic>
          </wp:inline>
        </w:drawing>
      </w:r>
    </w:p>
    <w:p w14:paraId="45945DD0">
      <w:pPr>
        <w:pStyle w:val="13"/>
        <w:ind w:firstLine="422"/>
        <w:jc w:val="center"/>
        <w:rPr>
          <w:color w:val="auto"/>
        </w:rPr>
      </w:pPr>
      <w:r>
        <w:rPr>
          <w:rFonts w:hint="eastAsia"/>
          <w:color w:val="auto"/>
        </w:rPr>
        <w:t>塔机</w:t>
      </w:r>
      <w:r>
        <w:rPr>
          <w:color w:val="auto"/>
        </w:rPr>
        <w:t>沉降观测示意图</w:t>
      </w:r>
    </w:p>
    <w:p w14:paraId="4B79D49C">
      <w:pPr>
        <w:bidi w:val="0"/>
        <w:rPr>
          <w:color w:val="auto"/>
        </w:rPr>
      </w:pPr>
      <w:r>
        <w:rPr>
          <w:color w:val="auto"/>
        </w:rPr>
        <w:t>（3）</w:t>
      </w:r>
      <w:r>
        <w:rPr>
          <w:rFonts w:hint="eastAsia"/>
          <w:color w:val="auto"/>
        </w:rPr>
        <w:t>塔机</w:t>
      </w:r>
      <w:r>
        <w:rPr>
          <w:color w:val="auto"/>
        </w:rPr>
        <w:t>基础位移监测</w:t>
      </w:r>
    </w:p>
    <w:p w14:paraId="40FFC9BF">
      <w:pPr>
        <w:bidi w:val="0"/>
        <w:rPr>
          <w:color w:val="auto"/>
        </w:rPr>
      </w:pPr>
      <w:r>
        <w:rPr>
          <w:color w:val="auto"/>
        </w:rPr>
        <w:t>用全站仪在</w:t>
      </w:r>
      <w:r>
        <w:rPr>
          <w:rFonts w:hint="eastAsia"/>
          <w:color w:val="auto"/>
        </w:rPr>
        <w:t>塔机</w:t>
      </w:r>
      <w:r>
        <w:rPr>
          <w:color w:val="auto"/>
        </w:rPr>
        <w:t>基础承台上布置四个定位点，作为位移观测点。</w:t>
      </w:r>
    </w:p>
    <w:p w14:paraId="02C9040C">
      <w:pPr>
        <w:pStyle w:val="185"/>
        <w:bidi w:val="0"/>
        <w:rPr>
          <w:color w:val="auto"/>
        </w:rPr>
      </w:pPr>
      <w:r>
        <w:rPr>
          <w:color w:val="auto"/>
        </w:rPr>
        <w:drawing>
          <wp:inline distT="0" distB="0" distL="114300" distR="114300">
            <wp:extent cx="4071620" cy="1972945"/>
            <wp:effectExtent l="0" t="0" r="5080" b="8255"/>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73"/>
                    <a:stretch>
                      <a:fillRect/>
                    </a:stretch>
                  </pic:blipFill>
                  <pic:spPr>
                    <a:xfrm>
                      <a:off x="0" y="0"/>
                      <a:ext cx="4071620" cy="1972945"/>
                    </a:xfrm>
                    <a:prstGeom prst="rect">
                      <a:avLst/>
                    </a:prstGeom>
                    <a:noFill/>
                    <a:ln>
                      <a:noFill/>
                    </a:ln>
                  </pic:spPr>
                </pic:pic>
              </a:graphicData>
            </a:graphic>
          </wp:inline>
        </w:drawing>
      </w:r>
    </w:p>
    <w:p w14:paraId="29D49A0E">
      <w:pPr>
        <w:pStyle w:val="13"/>
        <w:ind w:firstLine="422"/>
        <w:jc w:val="center"/>
        <w:rPr>
          <w:color w:val="auto"/>
        </w:rPr>
      </w:pPr>
      <w:r>
        <w:rPr>
          <w:rFonts w:hint="eastAsia"/>
          <w:color w:val="auto"/>
        </w:rPr>
        <w:t>塔机</w:t>
      </w:r>
      <w:r>
        <w:rPr>
          <w:color w:val="auto"/>
        </w:rPr>
        <w:t>位移观测示意图</w:t>
      </w:r>
    </w:p>
    <w:p w14:paraId="68899637">
      <w:pPr>
        <w:ind w:firstLine="560"/>
        <w:outlineLvl w:val="2"/>
        <w:rPr>
          <w:rFonts w:hint="eastAsia" w:ascii="黑体" w:hAnsi="黑体" w:eastAsia="黑体" w:cs="黑体"/>
          <w:color w:val="000000"/>
          <w:lang w:val="en-US" w:eastAsia="zh-CN"/>
        </w:rPr>
      </w:pPr>
      <w:bookmarkStart w:id="529" w:name="_Toc131080081"/>
      <w:r>
        <w:rPr>
          <w:rFonts w:hint="eastAsia" w:ascii="黑体" w:hAnsi="黑体" w:eastAsia="黑体" w:cs="黑体"/>
          <w:color w:val="000000"/>
          <w:lang w:val="en-US" w:eastAsia="zh-CN"/>
        </w:rPr>
        <w:t>9.7.4监测频</w:t>
      </w:r>
      <w:bookmarkEnd w:id="529"/>
      <w:r>
        <w:rPr>
          <w:rFonts w:hint="eastAsia" w:ascii="黑体" w:hAnsi="黑体" w:eastAsia="黑体" w:cs="黑体"/>
          <w:color w:val="000000"/>
          <w:lang w:val="en-US" w:eastAsia="zh-CN"/>
        </w:rPr>
        <w:t>率</w:t>
      </w:r>
    </w:p>
    <w:p w14:paraId="72E079B2">
      <w:pPr>
        <w:bidi w:val="0"/>
        <w:rPr>
          <w:color w:val="auto"/>
        </w:rPr>
      </w:pPr>
      <w:r>
        <w:rPr>
          <w:color w:val="auto"/>
        </w:rPr>
        <w:t>（1）</w:t>
      </w:r>
      <w:r>
        <w:rPr>
          <w:rFonts w:hint="eastAsia"/>
          <w:color w:val="auto"/>
        </w:rPr>
        <w:t>塔机</w:t>
      </w:r>
      <w:r>
        <w:rPr>
          <w:color w:val="auto"/>
        </w:rPr>
        <w:t>水平沉降监测：基坑开挖深度在5m以内，可每2d观测一次，基坑开挖至5m以下及基坑开挖完成后一周内，每天观测一次。基坑开挖至基底后一周后无明显位移时，可适当延长观测周期，每5~10d观测一次。</w:t>
      </w:r>
    </w:p>
    <w:p w14:paraId="3A591F8C">
      <w:pPr>
        <w:bidi w:val="0"/>
        <w:rPr>
          <w:color w:val="auto"/>
        </w:rPr>
      </w:pPr>
      <w:r>
        <w:rPr>
          <w:color w:val="auto"/>
        </w:rPr>
        <w:t>（2）</w:t>
      </w:r>
      <w:r>
        <w:rPr>
          <w:rFonts w:hint="eastAsia"/>
          <w:color w:val="auto"/>
        </w:rPr>
        <w:t>塔机</w:t>
      </w:r>
      <w:r>
        <w:rPr>
          <w:color w:val="auto"/>
        </w:rPr>
        <w:t>垂直位移及建筑物沉降观测：在基坑降水时和在基坑土开挖过程中应每天观测一次。混凝土底板浇完10d以后，可每2~3d观测一次，直至基坑回填土完成，此后频率为每月两次。</w:t>
      </w:r>
    </w:p>
    <w:p w14:paraId="64F20EB3">
      <w:pPr>
        <w:bidi w:val="0"/>
        <w:rPr>
          <w:color w:val="auto"/>
        </w:rPr>
      </w:pPr>
      <w:r>
        <w:rPr>
          <w:color w:val="auto"/>
        </w:rPr>
        <w:t>（3）当出现下列情况之一时，应进一步加强监测，缩短监测时间间隔，加密观测次数，并及时向施工、监理和设计人员报告监测结果：</w:t>
      </w:r>
    </w:p>
    <w:p w14:paraId="6F892D44">
      <w:pPr>
        <w:bidi w:val="0"/>
        <w:rPr>
          <w:color w:val="auto"/>
        </w:rPr>
      </w:pPr>
      <w:r>
        <w:rPr>
          <w:color w:val="auto"/>
        </w:rPr>
        <w:t>1）监测项目的监测值达到报警标准；</w:t>
      </w:r>
    </w:p>
    <w:p w14:paraId="711A74D0">
      <w:pPr>
        <w:bidi w:val="0"/>
        <w:rPr>
          <w:color w:val="auto"/>
        </w:rPr>
      </w:pPr>
      <w:r>
        <w:rPr>
          <w:color w:val="auto"/>
        </w:rPr>
        <w:t>2）监测项目的监测值变化量较大或速率加快；</w:t>
      </w:r>
    </w:p>
    <w:p w14:paraId="02F0B08E">
      <w:pPr>
        <w:bidi w:val="0"/>
        <w:rPr>
          <w:color w:val="auto"/>
        </w:rPr>
      </w:pPr>
      <w:r>
        <w:rPr>
          <w:color w:val="auto"/>
        </w:rPr>
        <w:t>3）基坑及周围环境中大量积水、长时间连续降雨、</w:t>
      </w:r>
      <w:r>
        <w:rPr>
          <w:rFonts w:hint="eastAsia"/>
          <w:color w:val="auto"/>
          <w:lang w:val="en-US" w:eastAsia="zh-CN"/>
        </w:rPr>
        <w:t>地下</w:t>
      </w:r>
      <w:r>
        <w:rPr>
          <w:color w:val="auto"/>
        </w:rPr>
        <w:t>管线出现泄漏；</w:t>
      </w:r>
    </w:p>
    <w:p w14:paraId="068A266A">
      <w:pPr>
        <w:bidi w:val="0"/>
        <w:rPr>
          <w:color w:val="auto"/>
        </w:rPr>
      </w:pPr>
      <w:r>
        <w:rPr>
          <w:color w:val="auto"/>
        </w:rPr>
        <w:t>4）基坑附近地面荷载突然加大；</w:t>
      </w:r>
    </w:p>
    <w:p w14:paraId="4C34FB0F">
      <w:pPr>
        <w:bidi w:val="0"/>
        <w:rPr>
          <w:color w:val="auto"/>
        </w:rPr>
      </w:pPr>
      <w:r>
        <w:rPr>
          <w:color w:val="auto"/>
        </w:rPr>
        <w:t>5）临近的建筑物或地面突然出现大量沉降、不均匀沉降或严重开裂。</w:t>
      </w:r>
    </w:p>
    <w:p w14:paraId="4FB6A7CC">
      <w:pPr>
        <w:bidi w:val="0"/>
        <w:rPr>
          <w:color w:val="auto"/>
        </w:rPr>
      </w:pPr>
      <w:r>
        <w:rPr>
          <w:color w:val="auto"/>
        </w:rPr>
        <w:t>（4）当有危险事故征兆时，应连续监测。</w:t>
      </w:r>
    </w:p>
    <w:p w14:paraId="34377EA2">
      <w:pPr>
        <w:ind w:firstLine="560"/>
        <w:outlineLvl w:val="2"/>
        <w:rPr>
          <w:rFonts w:hint="eastAsia" w:ascii="黑体" w:hAnsi="黑体" w:eastAsia="黑体" w:cs="黑体"/>
          <w:color w:val="000000"/>
          <w:lang w:val="en-US" w:eastAsia="zh-CN"/>
        </w:rPr>
      </w:pPr>
      <w:bookmarkStart w:id="530" w:name="_Toc131080082"/>
      <w:r>
        <w:rPr>
          <w:rFonts w:hint="eastAsia" w:ascii="黑体" w:hAnsi="黑体" w:eastAsia="黑体" w:cs="黑体"/>
          <w:color w:val="000000"/>
          <w:lang w:val="en-US" w:eastAsia="zh-CN"/>
        </w:rPr>
        <w:t>9.7.5监控报警</w:t>
      </w:r>
      <w:bookmarkEnd w:id="530"/>
      <w:r>
        <w:rPr>
          <w:rFonts w:hint="eastAsia" w:ascii="黑体" w:hAnsi="黑体" w:eastAsia="黑体" w:cs="黑体"/>
          <w:color w:val="000000"/>
          <w:lang w:val="en-US" w:eastAsia="zh-CN"/>
        </w:rPr>
        <w:t>及措施</w:t>
      </w:r>
    </w:p>
    <w:p w14:paraId="7A9C5E53">
      <w:pPr>
        <w:bidi w:val="0"/>
        <w:rPr>
          <w:color w:val="auto"/>
        </w:rPr>
      </w:pPr>
      <w:r>
        <w:rPr>
          <w:rFonts w:hint="eastAsia"/>
          <w:color w:val="auto"/>
        </w:rPr>
        <w:t>塔机</w:t>
      </w:r>
      <w:r>
        <w:rPr>
          <w:color w:val="auto"/>
        </w:rPr>
        <w:t>水平沉降报警值设为50mm，水平位移速率报警值设为连续三日大于2mm/d。</w:t>
      </w:r>
    </w:p>
    <w:p w14:paraId="0F4B21B6">
      <w:pPr>
        <w:bidi w:val="0"/>
        <w:rPr>
          <w:color w:val="auto"/>
        </w:rPr>
      </w:pPr>
      <w:r>
        <w:rPr>
          <w:rFonts w:hint="eastAsia"/>
          <w:color w:val="auto"/>
        </w:rPr>
        <w:t>塔机</w:t>
      </w:r>
      <w:r>
        <w:rPr>
          <w:color w:val="auto"/>
        </w:rPr>
        <w:t>独立状态下塔身（附着状态下最高附着点以上塔身）轴心线的侧向垂直度允差为4/1000，最高附着点以下塔身轴心线的垂直度允差为2/1000。</w:t>
      </w:r>
    </w:p>
    <w:p w14:paraId="39955EFF">
      <w:pPr>
        <w:bidi w:val="0"/>
        <w:rPr>
          <w:color w:val="auto"/>
        </w:rPr>
      </w:pPr>
      <w:r>
        <w:rPr>
          <w:color w:val="auto"/>
        </w:rPr>
        <w:t>当出现上述情况时，应立即报警，并应采取以下措施：</w:t>
      </w:r>
    </w:p>
    <w:p w14:paraId="6B151B19">
      <w:pPr>
        <w:bidi w:val="0"/>
        <w:rPr>
          <w:color w:val="auto"/>
        </w:rPr>
      </w:pPr>
      <w:r>
        <w:rPr>
          <w:color w:val="auto"/>
        </w:rPr>
        <w:t>（1）疏散施工现场作业人员，拉设警戒带，并设专人旁站监护，严禁无关人员进入。</w:t>
      </w:r>
    </w:p>
    <w:p w14:paraId="716BA936">
      <w:pPr>
        <w:bidi w:val="0"/>
        <w:rPr>
          <w:color w:val="auto"/>
        </w:rPr>
      </w:pPr>
      <w:r>
        <w:rPr>
          <w:color w:val="auto"/>
        </w:rPr>
        <w:t>（2）应立即停止作业，并将回转机构锁住，限制其转动。根据情况设置地锚，控制</w:t>
      </w:r>
      <w:r>
        <w:rPr>
          <w:rFonts w:hint="eastAsia"/>
          <w:color w:val="auto"/>
        </w:rPr>
        <w:t>塔机</w:t>
      </w:r>
      <w:r>
        <w:rPr>
          <w:color w:val="auto"/>
        </w:rPr>
        <w:t>的倾斜。</w:t>
      </w:r>
    </w:p>
    <w:p w14:paraId="0891EB61">
      <w:pPr>
        <w:bidi w:val="0"/>
        <w:rPr>
          <w:color w:val="auto"/>
        </w:rPr>
      </w:pPr>
      <w:r>
        <w:rPr>
          <w:color w:val="auto"/>
        </w:rPr>
        <w:t>（3）对塔机采取加固措施，如情况较为严重时选用适量吨位起重机将</w:t>
      </w:r>
      <w:r>
        <w:rPr>
          <w:rFonts w:hint="eastAsia"/>
          <w:color w:val="auto"/>
        </w:rPr>
        <w:t>塔机</w:t>
      </w:r>
      <w:r>
        <w:rPr>
          <w:color w:val="auto"/>
        </w:rPr>
        <w:t>拆除。</w:t>
      </w:r>
    </w:p>
    <w:p w14:paraId="6AE5FFA6">
      <w:pPr>
        <w:pStyle w:val="2"/>
        <w:rPr>
          <w:color w:val="000000"/>
        </w:rPr>
      </w:pPr>
      <w:bookmarkStart w:id="531" w:name="_Toc19511"/>
      <w:r>
        <w:rPr>
          <w:rFonts w:hint="eastAsia"/>
          <w:color w:val="000000"/>
        </w:rPr>
        <w:t>第十章应急预案</w:t>
      </w:r>
      <w:bookmarkEnd w:id="507"/>
      <w:bookmarkEnd w:id="508"/>
      <w:bookmarkEnd w:id="509"/>
      <w:bookmarkEnd w:id="510"/>
      <w:bookmarkEnd w:id="511"/>
      <w:bookmarkEnd w:id="512"/>
      <w:bookmarkEnd w:id="521"/>
      <w:bookmarkEnd w:id="522"/>
      <w:bookmarkEnd w:id="523"/>
      <w:bookmarkEnd w:id="524"/>
      <w:bookmarkEnd w:id="525"/>
      <w:bookmarkEnd w:id="526"/>
      <w:bookmarkEnd w:id="531"/>
    </w:p>
    <w:p w14:paraId="3B24F340">
      <w:pPr>
        <w:pStyle w:val="3"/>
      </w:pPr>
      <w:bookmarkStart w:id="532" w:name="_Toc7471"/>
      <w:bookmarkStart w:id="533" w:name="_Toc8591"/>
      <w:bookmarkStart w:id="534" w:name="_Toc1366"/>
      <w:bookmarkStart w:id="535" w:name="_Toc32719"/>
      <w:bookmarkStart w:id="536" w:name="_Toc12677"/>
      <w:bookmarkStart w:id="537" w:name="_Toc15655"/>
      <w:bookmarkStart w:id="538" w:name="_Toc4217"/>
      <w:bookmarkStart w:id="539" w:name="_Toc8242"/>
      <w:bookmarkStart w:id="540" w:name="_Toc27633"/>
      <w:bookmarkStart w:id="541" w:name="_Toc4508"/>
      <w:bookmarkStart w:id="542" w:name="_Toc22342"/>
      <w:bookmarkStart w:id="543" w:name="_Toc19108"/>
      <w:bookmarkStart w:id="544" w:name="_Toc25418"/>
      <w:bookmarkStart w:id="545" w:name="_Toc11961"/>
      <w:bookmarkStart w:id="546" w:name="_Toc5439"/>
      <w:bookmarkStart w:id="547" w:name="_Toc28470"/>
      <w:bookmarkStart w:id="548" w:name="_Toc24686"/>
      <w:bookmarkStart w:id="549" w:name="_Toc19747"/>
      <w:bookmarkStart w:id="550" w:name="_Toc96868129"/>
      <w:bookmarkStart w:id="551" w:name="_Toc32153"/>
      <w:bookmarkStart w:id="552" w:name="_Toc2879"/>
      <w:bookmarkStart w:id="553" w:name="_Toc26730"/>
      <w:r>
        <w:rPr>
          <w:rFonts w:hint="eastAsia"/>
        </w:rPr>
        <w:t>10.</w:t>
      </w:r>
      <w:r>
        <w:t>1</w:t>
      </w:r>
      <w:bookmarkEnd w:id="532"/>
      <w:bookmarkEnd w:id="533"/>
      <w:bookmarkEnd w:id="534"/>
      <w:bookmarkEnd w:id="535"/>
      <w:bookmarkEnd w:id="536"/>
      <w:bookmarkEnd w:id="537"/>
      <w:bookmarkEnd w:id="538"/>
      <w:bookmarkEnd w:id="539"/>
      <w:bookmarkStart w:id="554" w:name="_Toc301216459"/>
      <w:r>
        <w:rPr>
          <w:rFonts w:hint="eastAsia"/>
        </w:rPr>
        <w:t>编制目的</w:t>
      </w:r>
      <w:bookmarkEnd w:id="540"/>
    </w:p>
    <w:p w14:paraId="33F085E0">
      <w:pPr>
        <w:ind w:firstLine="560"/>
      </w:pPr>
      <w:r>
        <w:rPr>
          <w:rFonts w:hint="eastAsia"/>
        </w:rPr>
        <w:t>塔吊安拆施工过程中，机械吊装等施工过程中需要严格按照操作规程施工，施工过程中存在很大的突然性和危险性，所以在施工前必须加强岗前学习培训，施工中采取正确的安全操作规程，并设立应急预案措施，尽可能降低安全事故的发生是编制本应急预案的目的。</w:t>
      </w:r>
    </w:p>
    <w:p w14:paraId="305D34CC">
      <w:pPr>
        <w:pStyle w:val="3"/>
        <w:rPr>
          <w:rFonts w:hint="eastAsia"/>
        </w:rPr>
      </w:pPr>
      <w:bookmarkStart w:id="555" w:name="_Toc1926"/>
      <w:r>
        <w:rPr>
          <w:rFonts w:hint="eastAsia"/>
        </w:rPr>
        <w:t>1</w:t>
      </w:r>
      <w:r>
        <w:t>0.2</w:t>
      </w:r>
      <w:r>
        <w:rPr>
          <w:rFonts w:hint="eastAsia"/>
        </w:rPr>
        <w:t>应急组织机构</w:t>
      </w:r>
      <w:bookmarkEnd w:id="555"/>
    </w:p>
    <w:p w14:paraId="02BF45D6">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10.2.1组织机构</w:t>
      </w:r>
    </w:p>
    <w:p w14:paraId="7EE6E068">
      <w:pPr>
        <w:ind w:firstLine="560"/>
        <w:rPr>
          <w:rFonts w:hint="eastAsia"/>
        </w:rPr>
      </w:pPr>
      <w:r>
        <w:rPr>
          <w:rFonts w:hint="eastAsia"/>
        </w:rPr>
        <w:t>项目成立项目经理为组长的项目部生产安全应急领导小组，成员由项目部领导班子、各部门负责人、各分部相关负责人组成，人员构成如下：</w:t>
      </w:r>
    </w:p>
    <w:p w14:paraId="7A3BE26D">
      <w:pPr>
        <w:ind w:firstLine="560"/>
        <w:rPr>
          <w:rFonts w:hint="eastAsia"/>
        </w:rPr>
      </w:pPr>
      <w:r>
        <w:rPr>
          <w:rFonts w:hint="eastAsia"/>
        </w:rPr>
        <w:t>组  长：汪芳进</w:t>
      </w:r>
    </w:p>
    <w:p w14:paraId="666A6F0C">
      <w:pPr>
        <w:ind w:firstLine="560"/>
        <w:rPr>
          <w:rFonts w:hint="eastAsia"/>
        </w:rPr>
      </w:pPr>
      <w:r>
        <w:rPr>
          <w:rFonts w:hint="eastAsia"/>
        </w:rPr>
        <w:t>副组长：李  航、李方峰、杨文涛、潘胜平、饶培红</w:t>
      </w:r>
    </w:p>
    <w:p w14:paraId="1C331E84">
      <w:pPr>
        <w:ind w:firstLine="560"/>
        <w:rPr>
          <w:rFonts w:hint="eastAsia"/>
        </w:rPr>
      </w:pPr>
      <w:r>
        <w:rPr>
          <w:rFonts w:hint="eastAsia"/>
        </w:rPr>
        <w:t xml:space="preserve">成  员：赵  俊、周燕飞、张  晶、赵  小、崔全福、程生伟、潘全胜、陈彦龙、谢  浩、刘军波、郑  杰、杨登辉、朱新郑。 </w:t>
      </w:r>
    </w:p>
    <w:p w14:paraId="06CE6467">
      <w:pPr>
        <w:ind w:firstLine="560"/>
        <w:rPr>
          <w:rFonts w:hint="eastAsia"/>
        </w:rPr>
      </w:pPr>
      <w:r>
        <w:rPr>
          <w:rFonts w:hint="eastAsia"/>
        </w:rPr>
        <w:t>应急领导小组办公室设在安环部，办公室主任：赵俊，负责日常工作。应急领导小组办公室电话：18971601217。</w:t>
      </w:r>
    </w:p>
    <w:p w14:paraId="6C679587">
      <w:pPr>
        <w:pStyle w:val="3"/>
      </w:pPr>
      <w:bookmarkStart w:id="556" w:name="_Toc32494"/>
      <w:bookmarkStart w:id="557" w:name="_Toc3631"/>
      <w:bookmarkStart w:id="558" w:name="_Toc836"/>
      <w:bookmarkStart w:id="559" w:name="_Toc12175"/>
      <w:bookmarkStart w:id="560" w:name="_Toc19378"/>
      <w:bookmarkStart w:id="561" w:name="_Toc4579"/>
      <w:bookmarkStart w:id="562" w:name="_Toc31613"/>
      <w:bookmarkStart w:id="563" w:name="_Toc21225"/>
      <w:bookmarkStart w:id="564" w:name="_Toc301216458"/>
      <w:bookmarkStart w:id="565" w:name="_Toc30314"/>
      <w:r>
        <w:rPr>
          <w:rFonts w:hint="eastAsia"/>
        </w:rPr>
        <w:t>10.</w:t>
      </w:r>
      <w:r>
        <w:t>2紧急事故救援小组成员分工</w:t>
      </w:r>
      <w:bookmarkEnd w:id="556"/>
      <w:bookmarkEnd w:id="557"/>
      <w:bookmarkEnd w:id="558"/>
      <w:bookmarkEnd w:id="559"/>
      <w:bookmarkEnd w:id="560"/>
      <w:bookmarkEnd w:id="561"/>
      <w:bookmarkEnd w:id="562"/>
      <w:bookmarkEnd w:id="563"/>
      <w:bookmarkEnd w:id="564"/>
      <w:bookmarkEnd w:id="565"/>
    </w:p>
    <w:p w14:paraId="5CE04A90">
      <w:pPr>
        <w:ind w:firstLine="560"/>
        <w:rPr>
          <w:szCs w:val="24"/>
        </w:rPr>
      </w:pPr>
      <w:r>
        <w:rPr>
          <w:szCs w:val="24"/>
        </w:rPr>
        <w:t>组长及组员</w:t>
      </w:r>
      <w:r>
        <w:rPr>
          <w:rFonts w:hint="eastAsia"/>
          <w:szCs w:val="24"/>
        </w:rPr>
        <w:t>均</w:t>
      </w:r>
      <w:r>
        <w:rPr>
          <w:szCs w:val="24"/>
        </w:rPr>
        <w:t>为通讯组，负责在施工现场发生意外或紧急事故时，及时电话报救，组长为电话报救第一责任人；如其有事不在现场，</w:t>
      </w:r>
      <w:r>
        <w:rPr>
          <w:rFonts w:hint="eastAsia"/>
          <w:szCs w:val="24"/>
        </w:rPr>
        <w:t>副组长</w:t>
      </w:r>
      <w:r>
        <w:rPr>
          <w:szCs w:val="24"/>
        </w:rPr>
        <w:t>则为电话报救第一责任人，如此类推。</w:t>
      </w:r>
    </w:p>
    <w:p w14:paraId="23994D28">
      <w:pPr>
        <w:ind w:firstLine="560"/>
        <w:rPr>
          <w:szCs w:val="24"/>
        </w:rPr>
      </w:pPr>
      <w:r>
        <w:rPr>
          <w:szCs w:val="24"/>
        </w:rPr>
        <w:t>副组长为紧急抢救组，负责在救护车到达之前，对伤员开展自救，使伤员的伤势不至于进一步恶化。</w:t>
      </w:r>
    </w:p>
    <w:p w14:paraId="4B31BF03">
      <w:pPr>
        <w:ind w:firstLine="560"/>
        <w:rPr>
          <w:szCs w:val="24"/>
        </w:rPr>
      </w:pPr>
      <w:r>
        <w:rPr>
          <w:szCs w:val="24"/>
        </w:rPr>
        <w:t>紧急疏导组</w:t>
      </w:r>
      <w:r>
        <w:rPr>
          <w:rFonts w:hint="eastAsia"/>
          <w:szCs w:val="24"/>
        </w:rPr>
        <w:t>为分部成员</w:t>
      </w:r>
      <w:r>
        <w:rPr>
          <w:szCs w:val="24"/>
        </w:rPr>
        <w:t>，负责清除现场阻碍救护车辆的道路，疏散围观群众到安全地点，确保道路畅通，加强警戒保证在调查人员到达之前，对发生事故的现场原始状态进行保护，待事故调查人员对事故现场调查取证完毕后，对现场进行清理，由副组长负责。</w:t>
      </w:r>
    </w:p>
    <w:p w14:paraId="4E79BADE">
      <w:pPr>
        <w:ind w:firstLine="560"/>
        <w:jc w:val="left"/>
        <w:rPr>
          <w:szCs w:val="24"/>
        </w:rPr>
      </w:pPr>
      <w:r>
        <w:rPr>
          <w:szCs w:val="24"/>
        </w:rPr>
        <w:t>紧急抢险组</w:t>
      </w:r>
      <w:r>
        <w:rPr>
          <w:rFonts w:hint="eastAsia"/>
          <w:szCs w:val="24"/>
        </w:rPr>
        <w:t>为项目部成员</w:t>
      </w:r>
      <w:r>
        <w:rPr>
          <w:szCs w:val="24"/>
        </w:rPr>
        <w:t>：应在副组长的负责下，对事故现场实施排险工作，提供紧急抢险物资、设备、应急照明。</w:t>
      </w:r>
    </w:p>
    <w:p w14:paraId="7853554C">
      <w:pPr>
        <w:pStyle w:val="3"/>
      </w:pPr>
      <w:bookmarkStart w:id="566" w:name="_Toc26464"/>
      <w:bookmarkStart w:id="567" w:name="_Toc18269"/>
      <w:bookmarkStart w:id="568" w:name="_Toc19798"/>
      <w:bookmarkStart w:id="569" w:name="_Toc17677"/>
      <w:bookmarkStart w:id="570" w:name="_Toc13940"/>
      <w:bookmarkStart w:id="571" w:name="_Toc23204"/>
      <w:bookmarkStart w:id="572" w:name="_Toc27421"/>
      <w:bookmarkStart w:id="573" w:name="_Toc9737"/>
      <w:bookmarkStart w:id="574" w:name="_Toc3840"/>
      <w:r>
        <w:rPr>
          <w:rFonts w:hint="eastAsia"/>
        </w:rPr>
        <w:t>10.</w:t>
      </w:r>
      <w:r>
        <w:t>3应急准备</w:t>
      </w:r>
      <w:bookmarkEnd w:id="554"/>
      <w:bookmarkEnd w:id="566"/>
      <w:bookmarkEnd w:id="567"/>
      <w:bookmarkEnd w:id="568"/>
      <w:bookmarkEnd w:id="569"/>
      <w:bookmarkEnd w:id="570"/>
      <w:bookmarkEnd w:id="571"/>
      <w:bookmarkEnd w:id="572"/>
      <w:bookmarkEnd w:id="573"/>
      <w:bookmarkEnd w:id="574"/>
    </w:p>
    <w:p w14:paraId="2FFC3C0C">
      <w:pPr>
        <w:ind w:firstLine="560"/>
        <w:rPr>
          <w:szCs w:val="24"/>
        </w:rPr>
      </w:pPr>
      <w:r>
        <w:rPr>
          <w:szCs w:val="24"/>
        </w:rPr>
        <w:t>（1）技术准备</w:t>
      </w:r>
    </w:p>
    <w:p w14:paraId="7A986083">
      <w:pPr>
        <w:ind w:firstLine="560"/>
        <w:rPr>
          <w:szCs w:val="24"/>
        </w:rPr>
      </w:pPr>
      <w:r>
        <w:rPr>
          <w:szCs w:val="24"/>
        </w:rPr>
        <w:t>根据本工程塔吊施工的全过程，针对各环节的每一步骤，按照安全生产技术规程和方案要求，对所有施工人员进行安全交底，要使全员对工作和安全注意事项心中有数。</w:t>
      </w:r>
    </w:p>
    <w:p w14:paraId="42BB7EB8">
      <w:pPr>
        <w:ind w:firstLine="560"/>
        <w:rPr>
          <w:szCs w:val="24"/>
        </w:rPr>
      </w:pPr>
      <w:r>
        <w:rPr>
          <w:szCs w:val="24"/>
        </w:rPr>
        <w:t>（2）物资准备</w:t>
      </w:r>
    </w:p>
    <w:p w14:paraId="2DF93FDF">
      <w:pPr>
        <w:ind w:firstLine="560"/>
        <w:rPr>
          <w:szCs w:val="24"/>
        </w:rPr>
      </w:pPr>
      <w:r>
        <w:rPr>
          <w:szCs w:val="24"/>
        </w:rPr>
        <w:t>对进场需使用的所有机械设备、机具必须按照国家、地区规定要求进行核定和检验，确保其牢固可靠、适用。</w:t>
      </w:r>
    </w:p>
    <w:p w14:paraId="4E141E7C">
      <w:pPr>
        <w:ind w:firstLine="560"/>
        <w:rPr>
          <w:szCs w:val="24"/>
        </w:rPr>
      </w:pPr>
      <w:r>
        <w:rPr>
          <w:szCs w:val="24"/>
        </w:rPr>
        <w:t>（3）防护设施准备</w:t>
      </w:r>
    </w:p>
    <w:p w14:paraId="74E25808">
      <w:pPr>
        <w:ind w:firstLine="560"/>
        <w:rPr>
          <w:szCs w:val="24"/>
        </w:rPr>
      </w:pPr>
      <w:r>
        <w:rPr>
          <w:szCs w:val="24"/>
        </w:rPr>
        <w:t>对施工工作范围危险区进行警戒、设警戒线、挂安全警示牌，并安排专人看护；对需动火的作业，充分准备好干粉灭火器备用；对于光线弱的情况，备全照明应急设备。</w:t>
      </w:r>
      <w:bookmarkStart w:id="575" w:name="_Toc301216460"/>
    </w:p>
    <w:p w14:paraId="2A5814B5">
      <w:pPr>
        <w:pStyle w:val="3"/>
      </w:pPr>
      <w:bookmarkStart w:id="576" w:name="_Toc21049"/>
      <w:bookmarkStart w:id="577" w:name="_Toc27467"/>
      <w:bookmarkStart w:id="578" w:name="_Toc15541"/>
      <w:bookmarkStart w:id="579" w:name="_Toc8928"/>
      <w:bookmarkStart w:id="580" w:name="_Toc28477"/>
      <w:bookmarkStart w:id="581" w:name="_Toc31255"/>
      <w:bookmarkStart w:id="582" w:name="_Toc12397"/>
      <w:bookmarkStart w:id="583" w:name="_Toc9255"/>
      <w:bookmarkStart w:id="584" w:name="_Toc22249"/>
      <w:r>
        <w:rPr>
          <w:rFonts w:hint="eastAsia"/>
        </w:rPr>
        <w:t>10.</w:t>
      </w:r>
      <w:r>
        <w:t>4施工现场的急救步骤</w:t>
      </w:r>
      <w:bookmarkEnd w:id="575"/>
      <w:bookmarkEnd w:id="576"/>
      <w:bookmarkEnd w:id="577"/>
      <w:bookmarkEnd w:id="578"/>
      <w:bookmarkEnd w:id="579"/>
      <w:bookmarkEnd w:id="580"/>
      <w:bookmarkEnd w:id="581"/>
      <w:bookmarkEnd w:id="582"/>
      <w:bookmarkEnd w:id="583"/>
      <w:bookmarkEnd w:id="584"/>
    </w:p>
    <w:p w14:paraId="101F2984">
      <w:pPr>
        <w:ind w:firstLine="560"/>
        <w:rPr>
          <w:szCs w:val="24"/>
        </w:rPr>
      </w:pPr>
      <w:r>
        <w:rPr>
          <w:szCs w:val="24"/>
        </w:rPr>
        <w:t>（1）电话报警</w:t>
      </w:r>
    </w:p>
    <w:p w14:paraId="1688648E">
      <w:pPr>
        <w:ind w:firstLine="560"/>
        <w:rPr>
          <w:szCs w:val="24"/>
        </w:rPr>
      </w:pPr>
      <w:r>
        <w:rPr>
          <w:szCs w:val="24"/>
        </w:rPr>
        <w:t>事故发生第一时间，要立即报告，救护小组迅速采取有效急救措施，同时报警求救，拨打电话报告时，不要惊慌，必须讲清事故情况和已采取的措施，让救护人员做好急救准备，讲清事故发生地点、附近特征，单位名称，负责人姓名、电话；报告程序：逐级也可越级。</w:t>
      </w:r>
    </w:p>
    <w:p w14:paraId="09864686">
      <w:pPr>
        <w:ind w:firstLine="560"/>
        <w:rPr>
          <w:szCs w:val="24"/>
        </w:rPr>
      </w:pPr>
      <w:r>
        <w:rPr>
          <w:szCs w:val="24"/>
        </w:rPr>
        <w:t>（2）现场疏导、自救</w:t>
      </w:r>
    </w:p>
    <w:p w14:paraId="7F4C3939">
      <w:pPr>
        <w:ind w:firstLine="560"/>
        <w:rPr>
          <w:szCs w:val="24"/>
        </w:rPr>
      </w:pPr>
      <w:r>
        <w:rPr>
          <w:szCs w:val="24"/>
        </w:rPr>
        <w:t>在电话报救的同时，由各小组紧急就位，根据现场实际情况对伤员或财物进行救护，有次序地组织人员安全撤离，疏散群众，清理救护通道。</w:t>
      </w:r>
      <w:bookmarkStart w:id="585" w:name="_Toc301216461"/>
    </w:p>
    <w:p w14:paraId="2A3C48E7">
      <w:pPr>
        <w:pStyle w:val="3"/>
      </w:pPr>
      <w:bookmarkStart w:id="586" w:name="_Toc1649"/>
      <w:bookmarkStart w:id="587" w:name="_Toc18184"/>
      <w:bookmarkStart w:id="588" w:name="_Toc12894"/>
      <w:bookmarkStart w:id="589" w:name="_Toc31401"/>
      <w:bookmarkStart w:id="590" w:name="_Toc23718"/>
      <w:bookmarkStart w:id="591" w:name="_Toc30542"/>
      <w:bookmarkStart w:id="592" w:name="_Toc30118"/>
      <w:bookmarkStart w:id="593" w:name="_Toc24215"/>
      <w:bookmarkStart w:id="594" w:name="_Toc17886"/>
      <w:r>
        <w:rPr>
          <w:rFonts w:hint="eastAsia"/>
        </w:rPr>
        <w:t>10.</w:t>
      </w:r>
      <w:r>
        <w:t>5现场</w:t>
      </w:r>
      <w:bookmarkEnd w:id="585"/>
      <w:r>
        <w:t>预案及措施</w:t>
      </w:r>
      <w:bookmarkEnd w:id="586"/>
      <w:bookmarkEnd w:id="587"/>
      <w:bookmarkEnd w:id="588"/>
      <w:bookmarkEnd w:id="589"/>
      <w:bookmarkEnd w:id="590"/>
      <w:bookmarkEnd w:id="591"/>
      <w:bookmarkEnd w:id="592"/>
      <w:bookmarkEnd w:id="593"/>
      <w:bookmarkEnd w:id="594"/>
    </w:p>
    <w:p w14:paraId="65C58FDF">
      <w:pPr>
        <w:ind w:firstLine="560"/>
        <w:outlineLvl w:val="2"/>
        <w:rPr>
          <w:rFonts w:hint="eastAsia" w:ascii="黑体" w:hAnsi="黑体" w:eastAsia="黑体" w:cs="黑体"/>
          <w:color w:val="000000"/>
          <w:lang w:val="en-US" w:eastAsia="zh-CN"/>
        </w:rPr>
      </w:pPr>
      <w:bookmarkStart w:id="595" w:name="_Toc32288"/>
      <w:bookmarkStart w:id="596" w:name="_Toc20837"/>
      <w:bookmarkStart w:id="597" w:name="_Toc2793"/>
      <w:bookmarkStart w:id="598" w:name="_Toc27599"/>
      <w:r>
        <w:rPr>
          <w:rFonts w:hint="eastAsia" w:ascii="黑体" w:hAnsi="黑体" w:eastAsia="黑体" w:cs="黑体"/>
          <w:color w:val="000000"/>
          <w:lang w:val="en-US" w:eastAsia="zh-CN"/>
        </w:rPr>
        <w:t>10.5.1 高空坠落应急处置措施</w:t>
      </w:r>
    </w:p>
    <w:p w14:paraId="672D4290">
      <w:pPr>
        <w:ind w:firstLine="560"/>
      </w:pPr>
      <w:r>
        <w:t>1、目击者发现事故发生要第一时间进行高声呼救，同时拨打或要求其他目击者拨打应急电话，向应急指挥小组报告事故的相关信息。并在确保安全的前提下，开展前期的应急处置工作。</w:t>
      </w:r>
    </w:p>
    <w:p w14:paraId="4E5F855F">
      <w:pPr>
        <w:ind w:firstLine="560"/>
      </w:pPr>
      <w:r>
        <w:t>2、临边处掉到地面，要对当事者进行及时的必要治疗，现场抢救的重点应放在对休克、骨折和出血等几种情形上，现场救治困难或无效，应尽快送医院进行抢救治疗，避免延误抢救的时间。</w:t>
      </w:r>
    </w:p>
    <w:p w14:paraId="418C7F67">
      <w:pPr>
        <w:ind w:firstLine="560"/>
      </w:pPr>
      <w:r>
        <w:t>3、掉到地面的，出事地点的20米范围要停止作业，迅速对现场进行警戒、疏散人员、维持秩序，并不得有无关人员围观，特别是要防止临边的其它作业人员的围观。</w:t>
      </w:r>
    </w:p>
    <w:p w14:paraId="46006FDA">
      <w:pPr>
        <w:ind w:firstLine="560"/>
      </w:pPr>
      <w:r>
        <w:t>4、如掉落地点抢救难度大，首先应转至平台上才方便进行救治，必须召集在现场医务人员和抢险抢救组一起确定转移方案。</w:t>
      </w:r>
    </w:p>
    <w:p w14:paraId="19CFEB72">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10.5.2 起重吊装应急处置措施</w:t>
      </w:r>
    </w:p>
    <w:p w14:paraId="58882172">
      <w:pPr>
        <w:ind w:firstLine="560"/>
      </w:pPr>
      <w:r>
        <w:t>1、施工现场发生一般起重事故，无人员受伤，起重司机应保持冷静，立即停止起重作业，如重物悬空应在保证安全的情况下，落下重物，停掉电源，立即向上级汇报。</w:t>
      </w:r>
    </w:p>
    <w:p w14:paraId="7977F29E">
      <w:pPr>
        <w:ind w:firstLine="560"/>
      </w:pPr>
      <w:r>
        <w:t>2、在施工作业过程中一旦发生起重伤害事故，应立即组织救援工作，同时要采取有效措施防止事故进一步扩大，有效减少人员伤亡和财产损失。</w:t>
      </w:r>
    </w:p>
    <w:p w14:paraId="09A3A04C">
      <w:pPr>
        <w:ind w:firstLine="560"/>
      </w:pPr>
      <w:r>
        <w:t>3、现场指挥应根据事态，迅速调动人员、设备进行现场救援，并做好现场警戒工作，以防事态扩大，同时向上级汇报。</w:t>
      </w:r>
    </w:p>
    <w:p w14:paraId="654931B0">
      <w:pPr>
        <w:ind w:firstLine="560"/>
      </w:pPr>
      <w:r>
        <w:t>4、应急小组成员到达事故现场后，对较轻的受伤人员，视伤情及时进行止血、包扎、固定等措施，送往医院治疗，并组织人员封锁事故现场，做好警示标志，等待专业人员进行处理。</w:t>
      </w:r>
    </w:p>
    <w:p w14:paraId="440421FA">
      <w:pPr>
        <w:ind w:firstLine="560"/>
      </w:pPr>
      <w:r>
        <w:t>5、若受伤人员被压在重物下面，立即采取搬开重物或使用起重工具吊起重物等措施，将受伤人员转移到安全地带，进行抢救。</w:t>
      </w:r>
    </w:p>
    <w:p w14:paraId="6D984304">
      <w:pPr>
        <w:ind w:firstLine="560"/>
      </w:pPr>
      <w:r>
        <w:t>6、当现场救援力量控制不了现场事态的发展，应立即启动上一级应急响应，并根据实际情况借助于社会救援力量。现场应急救援指挥人员应充分听取专家和专业救援人员的意见，做好救援人员、设备、物资、器材的统一调配。</w:t>
      </w:r>
    </w:p>
    <w:p w14:paraId="054FF06F">
      <w:pPr>
        <w:ind w:firstLine="560"/>
      </w:pPr>
      <w:r>
        <w:t>7、做好事故现场的清理和恢复工作，防止次生或滋生的事故。</w:t>
      </w:r>
    </w:p>
    <w:p w14:paraId="66C78F17">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10.5.3 坍塌应急处置措施</w:t>
      </w:r>
    </w:p>
    <w:p w14:paraId="10C94B1C">
      <w:pPr>
        <w:ind w:firstLine="560"/>
      </w:pPr>
      <w:r>
        <w:t>1、发生坍塌事故时，事故发现人员高声呼救，同时拨打或要求其他目击者拨打应急电话，向应急指挥小组报告事故的相关信息。</w:t>
      </w:r>
    </w:p>
    <w:p w14:paraId="15533E47">
      <w:pPr>
        <w:ind w:firstLine="560"/>
      </w:pPr>
      <w:r>
        <w:t>2、首先落实是否有人员和设备被掩埋，如果有人员设备被掩埋要判明被埋人员、设备的方位，迅速调集吊车等设备进行抢救。</w:t>
      </w:r>
    </w:p>
    <w:p w14:paraId="3588D9BF">
      <w:pPr>
        <w:ind w:firstLine="560"/>
      </w:pPr>
      <w:r>
        <w:t>3、紧急救援时，应先救被埋或被困在设备内的人员，尽快设法使其脱离危险。</w:t>
      </w:r>
    </w:p>
    <w:p w14:paraId="5E1657D1">
      <w:pPr>
        <w:ind w:firstLine="560"/>
      </w:pPr>
      <w:r>
        <w:t>4、若用电设备被埋，应设法先切断电源，然后进行救援。</w:t>
      </w:r>
    </w:p>
    <w:p w14:paraId="1A33C831">
      <w:pPr>
        <w:ind w:firstLine="560"/>
      </w:pPr>
      <w:r>
        <w:t>5、及时疏散人群，并在危险区域设置明显的标志。</w:t>
      </w:r>
    </w:p>
    <w:p w14:paraId="4F93BC6B">
      <w:pPr>
        <w:ind w:firstLine="560"/>
      </w:pPr>
      <w:r>
        <w:t>6、调离危险区域内与救援工作无关的设备，防止再次事故发生。</w:t>
      </w:r>
    </w:p>
    <w:p w14:paraId="7C6C184B">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10.5.5 物体打击应急处置措施</w:t>
      </w:r>
    </w:p>
    <w:p w14:paraId="59ECF273">
      <w:pPr>
        <w:ind w:firstLine="560"/>
      </w:pPr>
      <w:r>
        <w:t>1、施工区发生物体打击事故，最早发现事故的人迅速向应急领导小组报告，进一步了解事故伤害程度。</w:t>
      </w:r>
    </w:p>
    <w:p w14:paraId="721E13B2">
      <w:pPr>
        <w:ind w:firstLine="560"/>
      </w:pPr>
      <w:r>
        <w:t>2、及时疏散现场闲杂人员，并保护事故现场，同时避免其他人员靠近现场。</w:t>
      </w:r>
    </w:p>
    <w:p w14:paraId="06E67F6A">
      <w:pPr>
        <w:ind w:firstLine="560"/>
      </w:pPr>
      <w:r>
        <w:t>3、急救员立即通知现场应急小组组长，说明伤者受伤情况，并根据现场实际施行必要的医疗处理，在伤情允许情况下，抢救组负责组织人员搬运受伤人员，转移到安全地方。</w:t>
      </w:r>
    </w:p>
    <w:p w14:paraId="53B2C0C6">
      <w:pPr>
        <w:ind w:firstLine="560"/>
      </w:pPr>
      <w:r>
        <w:t>4、由组长根据汇报，决定是否拨打120医疗急救电话，并说明伤员情况，行车路线，快速联系项目部值班车到场，随时待命。</w:t>
      </w:r>
    </w:p>
    <w:p w14:paraId="0B9A5FC6">
      <w:pPr>
        <w:ind w:firstLine="560"/>
      </w:pPr>
      <w:r>
        <w:t>5、如果处在不宜施工的场所时必须将患者搬运到能够安全施救的地方，搬运时应尽量多找一些人来搬运，观察患者呼吸和脸色的变化，如果是脊柱骨折，不要弯曲、扭动患者的颈部和身体，不要接触患者的伤口，要使患者身体放松，尽量将患者放到担架或平板上进行搬运。</w:t>
      </w:r>
    </w:p>
    <w:p w14:paraId="3C58DB5D">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10.5.6 触电应急处置措施</w:t>
      </w:r>
    </w:p>
    <w:p w14:paraId="37E44D9C">
      <w:pPr>
        <w:ind w:firstLine="560"/>
      </w:pPr>
      <w:r>
        <w:t>1、如果触电地点附近有电源开关或电源插销，可立即拉开开关拨出插销，断开电源，但应注意平时检查，防止单线开关断零而未断电源。</w:t>
      </w:r>
    </w:p>
    <w:p w14:paraId="4C8236CF">
      <w:pPr>
        <w:ind w:firstLine="560"/>
      </w:pPr>
      <w:r>
        <w:t>2、如果触电者附近没有电源开关或插销，可由电工用绝缘钳或有干燥木柄的斧头、立即切断电缆、断开电源。或用干燥木板等，绝缘物插到触电者身下，以隔离电源。</w:t>
      </w:r>
    </w:p>
    <w:p w14:paraId="3A7D7492">
      <w:pPr>
        <w:ind w:firstLine="560"/>
      </w:pPr>
      <w:r>
        <w:t>3、当电线搭落在触电者身上或压在身下时，用干燥的衣服，手套，绳索，木板，木棒等绝缘物作为工具，拉开触电者或拉开电线，使触电者脱离电源。切忌徒手抢救触电者。</w:t>
      </w:r>
    </w:p>
    <w:p w14:paraId="79EDE8EA">
      <w:pPr>
        <w:ind w:firstLine="560"/>
      </w:pPr>
      <w:r>
        <w:t>4、发生触电事故时，现场突发事件应急组织立即赶赴现场，由负责人安排抢险人员按进行现场抢险，由医疗急救组对触电者进行救治。</w:t>
      </w:r>
    </w:p>
    <w:p w14:paraId="370D5E15">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10.5.7 车辆伤害应急处置措施</w:t>
      </w:r>
    </w:p>
    <w:p w14:paraId="16DF15E3">
      <w:pPr>
        <w:ind w:firstLine="560"/>
      </w:pPr>
      <w:r>
        <w:t>1、发生车辆倾翻事故时，应及时通知有关部门和维修单位维保人员到达现场，进行施救。当有人员被压埋在倾倒车下面或驾驶室内时，应立即采取千斤顶、起吊设备、切割等措施,将被压人员救出,在实施处置时，必须指定1名有经验的人员进行现场指挥,并采取警戒措施，防止车辆倾倒、挤压事故的再次发生。发生汽油、柴油等易燃易爆品和有毒物质泄漏时，应采取措施堵塞泄漏和冲释爆炸性物质或有毒物质混合浓度，避免发生爆炸或中毒事故。</w:t>
      </w:r>
    </w:p>
    <w:p w14:paraId="0757592B">
      <w:pPr>
        <w:ind w:firstLine="560"/>
      </w:pPr>
      <w:r>
        <w:t>2、发生火灾时，应采取措施救出被困在车厢内或驾驶室内无法逃生的人员，并应立即使机车熄火，防止电气火灾的蔓延扩大灭火时，应防止二氧化碳等中毒窒息事故的发生，发生汽油、柴油等易燃易爆品和有毒物质泄漏时，应采取措施堵塞泄漏和冲释爆炸性物质或有毒物质混合浓度，避免发生爆炸或中毒事故。</w:t>
      </w:r>
    </w:p>
    <w:p w14:paraId="3D0486D6">
      <w:pPr>
        <w:ind w:firstLine="560"/>
      </w:pPr>
      <w:r>
        <w:t>3、在救助行动中，救助人员应严格执行安全操作规程，配齐安全设施和防护工具，加强自我保护，确保抢救行动过程中的人身安全和财产安全。</w:t>
      </w:r>
    </w:p>
    <w:p w14:paraId="71B58CC4">
      <w:pPr>
        <w:ind w:firstLine="560"/>
      </w:pPr>
      <w:r>
        <w:t>4、车辆伤害事故发生后，采取车辆专业维修人员的一般救援措施，通过车辆专业维修人与对车辆的人工操作，完成救援活动。</w:t>
      </w:r>
    </w:p>
    <w:p w14:paraId="5CE630EA">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10.5.8机械伤害应急处置措施</w:t>
      </w:r>
    </w:p>
    <w:p w14:paraId="05EF68A3">
      <w:pPr>
        <w:ind w:firstLine="560"/>
      </w:pPr>
      <w:r>
        <w:t>1、遇有创伤性出血的伤员，应迅速包扎止血，使伤员保持头低脚高的卧位，并注意保暖。正确的现场止血处理措施：一般伤口小的止血，先用生理盐水冲洗伤口，涂上红汞水，然后盖上消毒纱布，用绷带较紧的包扎，来增强压力而达到止血，止血带止血，选择弹性好的橡皮管，橡皮带或三角巾、毛巾，带状布条等，上肢出血结扎在上臂上1/2处(靠近心脏位置)。下肢出血结扎在大脚上1/3处，结扎时，在止血带与皮肤之间垫上消毒纱布棉垫，每隔25～40分钟放松一次，每次放松0.5～1分钟。</w:t>
      </w:r>
    </w:p>
    <w:p w14:paraId="4C8DF0B5">
      <w:pPr>
        <w:ind w:firstLine="560"/>
      </w:pPr>
      <w:r>
        <w:t>2、动用最快的交通工具或其他措施，及时把伤者送往邻近医院抢救，运送途中应尽量减少颠簸。</w:t>
      </w:r>
    </w:p>
    <w:p w14:paraId="7C583222">
      <w:pPr>
        <w:ind w:firstLine="560"/>
      </w:pPr>
      <w:r>
        <w:t>3、消除不安全因素，如机械处于危险状态，应立即采用措施进行稳定，防止事故扩大，避免更大的人身伤害及财产损失。</w:t>
      </w:r>
    </w:p>
    <w:p w14:paraId="5E882F25">
      <w:pPr>
        <w:ind w:firstLine="560"/>
      </w:pPr>
      <w:r>
        <w:t>4、在不影响安全的前提下，切断机器的电源。</w:t>
      </w:r>
    </w:p>
    <w:p w14:paraId="298594C1">
      <w:pPr>
        <w:ind w:firstLine="560"/>
      </w:pPr>
      <w:r>
        <w:t>5、注意保护现场，因抢救伤员和防止事故扩大，需要移动现场物件时，应做出标志，拍照，详细记录和绘制事故现场图。</w:t>
      </w:r>
    </w:p>
    <w:p w14:paraId="04A882B0">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10.5.9 火灾爆炸应急处置措施</w:t>
      </w:r>
    </w:p>
    <w:p w14:paraId="4FAA53DB">
      <w:pPr>
        <w:ind w:firstLine="560"/>
      </w:pPr>
      <w:r>
        <w:t>1、发生火情后，现场人员应保持冷静，明辨方向和火势大小，迅速使用起火现场的灭火器、消防栓等各种消防器材第一时间灭火，力争把火控制、扑灭在初期节段。同时呼喊周围人员参与到灭火和报警，并将事故报告给班组长或现场主管人员。</w:t>
      </w:r>
    </w:p>
    <w:p w14:paraId="545FE20F">
      <w:pPr>
        <w:ind w:firstLine="560"/>
      </w:pPr>
      <w:r>
        <w:t>2、现场人员断开着火区电源，现场安全负责人或班组长立即组织人员迅速展开初期火灾的扑救工作，切断易燃物输送源或迅速隔离易燃物等。</w:t>
      </w:r>
    </w:p>
    <w:p w14:paraId="7D7029B2">
      <w:pPr>
        <w:ind w:firstLine="560"/>
      </w:pPr>
      <w:r>
        <w:t>3、立即组织营救受害人员，组织撤离或者采取其他措施，保护危害区域的其他人，迅速控制危险火源。</w:t>
      </w:r>
    </w:p>
    <w:p w14:paraId="52FC801C">
      <w:pPr>
        <w:ind w:firstLine="560"/>
      </w:pPr>
      <w:r>
        <w:t>4、若衣服着火又不能及时扑灭时，应立即脱掉衣服，如来不及或无法脱掉应就地打滚，用身体压灭火种或就地用水灭火，切勿跑动。</w:t>
      </w:r>
    </w:p>
    <w:p w14:paraId="3BCB821F">
      <w:pPr>
        <w:ind w:firstLine="560"/>
      </w:pPr>
      <w:r>
        <w:t>5、发生爆炸事故时，现场负责人根据现场情况，立即致电“11</w:t>
      </w:r>
      <w:r>
        <w:rPr>
          <w:rFonts w:hint="eastAsia"/>
        </w:rPr>
        <w:t>0</w:t>
      </w:r>
      <w:r>
        <w:t>”和“120”急救中心，详细报告事发地址、人员伤害的情况和可能需要配合救援的设备。</w:t>
      </w:r>
    </w:p>
    <w:p w14:paraId="094BB1D6">
      <w:pPr>
        <w:ind w:firstLine="560"/>
      </w:pPr>
      <w:r>
        <w:t>6、根据爆炸后所产生的危险性，立即疏散人员和封锁事故现场。</w:t>
      </w:r>
    </w:p>
    <w:p w14:paraId="37F218AA">
      <w:pPr>
        <w:ind w:firstLine="560"/>
      </w:pPr>
      <w:r>
        <w:t>7、撤离爆炸现场附近的可燃物，避免火灾区域扩大。</w:t>
      </w:r>
    </w:p>
    <w:p w14:paraId="5DA8F4E4">
      <w:pPr>
        <w:ind w:firstLine="560"/>
      </w:pPr>
      <w:r>
        <w:t>8、做好事故现场的清理和恢复工作，防止次生或滋生的事故。</w:t>
      </w:r>
    </w:p>
    <w:p w14:paraId="35C7C571">
      <w:pPr>
        <w:ind w:firstLine="560"/>
        <w:outlineLvl w:val="2"/>
        <w:rPr>
          <w:rFonts w:hint="eastAsia" w:ascii="黑体" w:hAnsi="黑体" w:eastAsia="黑体" w:cs="黑体"/>
          <w:color w:val="000000"/>
          <w:lang w:val="en-US" w:eastAsia="zh-CN"/>
        </w:rPr>
      </w:pPr>
      <w:r>
        <w:rPr>
          <w:rFonts w:hint="eastAsia" w:ascii="黑体" w:hAnsi="黑体" w:eastAsia="黑体" w:cs="黑体"/>
          <w:color w:val="000000"/>
          <w:lang w:val="en-US" w:eastAsia="zh-CN"/>
        </w:rPr>
        <w:t>10.5.10 恶劣天气应急处置措施</w:t>
      </w:r>
    </w:p>
    <w:p w14:paraId="4BEE4822">
      <w:pPr>
        <w:ind w:firstLine="560"/>
      </w:pPr>
      <w:r>
        <w:t>为保证施工机械、设备和人员的安全，确保现场施工能顺利进行，雷电雨</w:t>
      </w:r>
      <w:r>
        <w:rPr>
          <w:rFonts w:hint="eastAsia"/>
        </w:rPr>
        <w:t>台风</w:t>
      </w:r>
      <w:r>
        <w:t>天气应采取下列应急措施：</w:t>
      </w:r>
    </w:p>
    <w:p w14:paraId="0F521027">
      <w:pPr>
        <w:ind w:firstLine="560"/>
      </w:pPr>
      <w:r>
        <w:t>1、突遇恶劣雷电天气时，现场组织施工作业人员转移到安全区域。</w:t>
      </w:r>
    </w:p>
    <w:p w14:paraId="5A426CCD">
      <w:pPr>
        <w:ind w:firstLine="560"/>
      </w:pPr>
      <w:r>
        <w:t>2、注意观察是否出现雷电导致施工现场发生火灾、设备损坏和人员伤亡。</w:t>
      </w:r>
    </w:p>
    <w:p w14:paraId="4154DCFF">
      <w:pPr>
        <w:ind w:firstLine="560"/>
      </w:pPr>
      <w:r>
        <w:t>3、应注意各工点的施工情况，遇异常情况应及时向应急领导小组汇报。</w:t>
      </w:r>
    </w:p>
    <w:p w14:paraId="5DA97362">
      <w:pPr>
        <w:ind w:firstLine="560"/>
        <w:rPr>
          <w:rFonts w:hint="eastAsia" w:eastAsia="仿宋"/>
          <w:lang w:val="en-US" w:eastAsia="zh-CN"/>
        </w:rPr>
      </w:pPr>
      <w:r>
        <w:rPr>
          <w:rFonts w:hint="eastAsia"/>
          <w:lang w:val="en-US" w:eastAsia="zh-CN"/>
        </w:rPr>
        <w:t>4、恶劣天气或夜间严禁进行塔式起重机安拆或吊装作业</w:t>
      </w:r>
    </w:p>
    <w:p w14:paraId="6FAF0B62">
      <w:pPr>
        <w:pStyle w:val="3"/>
        <w:rPr>
          <w:lang w:val="zh-CN"/>
        </w:rPr>
      </w:pPr>
      <w:bookmarkStart w:id="599" w:name="_Toc18473"/>
      <w:bookmarkStart w:id="600" w:name="_Toc816"/>
      <w:bookmarkStart w:id="601" w:name="_Toc19736"/>
      <w:bookmarkStart w:id="602" w:name="_Toc31662"/>
      <w:bookmarkStart w:id="603" w:name="_Toc5166"/>
      <w:bookmarkStart w:id="604" w:name="_Toc17569"/>
      <w:bookmarkStart w:id="605" w:name="_Toc10246"/>
      <w:bookmarkStart w:id="606" w:name="_Toc29156"/>
      <w:r>
        <w:rPr>
          <w:rFonts w:hint="eastAsia"/>
        </w:rPr>
        <w:t>10.</w:t>
      </w:r>
      <w:r>
        <w:t>6</w:t>
      </w:r>
      <w:r>
        <w:rPr>
          <w:lang w:val="zh-CN"/>
        </w:rPr>
        <w:t>应急响应</w:t>
      </w:r>
      <w:bookmarkEnd w:id="595"/>
      <w:bookmarkEnd w:id="596"/>
      <w:bookmarkEnd w:id="597"/>
      <w:bookmarkEnd w:id="598"/>
      <w:bookmarkEnd w:id="599"/>
      <w:bookmarkEnd w:id="600"/>
      <w:bookmarkEnd w:id="601"/>
      <w:bookmarkEnd w:id="602"/>
      <w:bookmarkEnd w:id="603"/>
      <w:bookmarkEnd w:id="604"/>
      <w:bookmarkEnd w:id="605"/>
      <w:bookmarkEnd w:id="606"/>
    </w:p>
    <w:p w14:paraId="2954AC42">
      <w:pPr>
        <w:ind w:firstLine="560"/>
        <w:rPr>
          <w:szCs w:val="24"/>
          <w:lang w:val="zh-CN"/>
        </w:rPr>
      </w:pPr>
      <w:r>
        <w:rPr>
          <w:szCs w:val="24"/>
          <w:lang w:val="zh-CN"/>
        </w:rPr>
        <w:t>施工过程中施工现场或驻地发生无法预料的需要紧急抢救处理的危险时，应迅速逐级上报，次序为现场、办公室、抢险领导小组、上级主管部门。由项目部</w:t>
      </w:r>
      <w:r>
        <w:rPr>
          <w:rFonts w:hint="eastAsia"/>
          <w:szCs w:val="24"/>
          <w:lang w:val="zh-CN"/>
        </w:rPr>
        <w:t>安环</w:t>
      </w:r>
      <w:r>
        <w:rPr>
          <w:szCs w:val="24"/>
          <w:lang w:val="zh-CN"/>
        </w:rPr>
        <w:t>部收集、记录、整理紧急情况信息并向小组及时传递，由小组组长或副组长主持紧急情况处理会议，协调、派遣和统一指挥所有车辆、设备、人员、物资等实施紧急抢救和向上级汇报。</w:t>
      </w:r>
    </w:p>
    <w:p w14:paraId="30612AFB">
      <w:pPr>
        <w:spacing w:line="240" w:lineRule="auto"/>
        <w:ind w:firstLine="560"/>
        <w:jc w:val="center"/>
        <w:rPr>
          <w:szCs w:val="24"/>
          <w:lang w:val="zh-CN"/>
        </w:rPr>
      </w:pPr>
      <w:r>
        <w:drawing>
          <wp:inline distT="0" distB="0" distL="114300" distR="114300">
            <wp:extent cx="4418965" cy="3280410"/>
            <wp:effectExtent l="0" t="0" r="635" b="11430"/>
            <wp:docPr id="228" name="Picture 28" descr="QQ截图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8" descr="QQ截图未命名"/>
                    <pic:cNvPicPr>
                      <a:picLocks noChangeAspect="1"/>
                    </pic:cNvPicPr>
                  </pic:nvPicPr>
                  <pic:blipFill>
                    <a:blip r:embed="rId74"/>
                    <a:stretch>
                      <a:fillRect/>
                    </a:stretch>
                  </pic:blipFill>
                  <pic:spPr>
                    <a:xfrm>
                      <a:off x="0" y="0"/>
                      <a:ext cx="4418965" cy="3280410"/>
                    </a:xfrm>
                    <a:prstGeom prst="rect">
                      <a:avLst/>
                    </a:prstGeom>
                    <a:noFill/>
                    <a:ln>
                      <a:noFill/>
                    </a:ln>
                  </pic:spPr>
                </pic:pic>
              </a:graphicData>
            </a:graphic>
          </wp:inline>
        </w:drawing>
      </w:r>
    </w:p>
    <w:p w14:paraId="1ABAB235">
      <w:pPr>
        <w:ind w:firstLine="560"/>
        <w:rPr>
          <w:szCs w:val="24"/>
          <w:lang w:val="zh-CN"/>
        </w:rPr>
      </w:pPr>
      <w:r>
        <w:rPr>
          <w:szCs w:val="24"/>
          <w:lang w:val="zh-CN"/>
        </w:rPr>
        <w:t>（1）紧急情况发生后，现场要做好警戒和疏散工作，保护现场，及时抢救伤员和财产，并由在现场的项目部最高级别负责人指挥，在3分钟内电话通报到值班人员，主要说明紧急情况性质、地点、发生时间、有无伤亡、是否需要派救护车、消防车或警力支援到现场实施抢救，如需可直接拨打120、110等求救电话。</w:t>
      </w:r>
    </w:p>
    <w:p w14:paraId="075358A0">
      <w:pPr>
        <w:ind w:firstLine="560"/>
        <w:rPr>
          <w:szCs w:val="24"/>
          <w:lang w:val="zh-CN"/>
        </w:rPr>
      </w:pPr>
      <w:r>
        <w:rPr>
          <w:szCs w:val="24"/>
          <w:lang w:val="zh-CN"/>
        </w:rPr>
        <w:t>（2）值班人员在接到紧急情况报告后必须在2分钟内将情况报告到紧急情况领导小组组长和副组长。小组组长组织讨论后在最短的时间内发出如何进行现场处置的指令。分派人员车辆等到现场进行抢救、警戒、疏散和保护现场等。由项目部安质部在30分钟内以小组名义打电话向上一级有关部门报告。</w:t>
      </w:r>
    </w:p>
    <w:p w14:paraId="237B9C89">
      <w:pPr>
        <w:ind w:firstLine="560"/>
        <w:rPr>
          <w:szCs w:val="24"/>
          <w:lang w:val="zh-CN"/>
        </w:rPr>
      </w:pPr>
      <w:r>
        <w:rPr>
          <w:szCs w:val="24"/>
          <w:lang w:val="zh-CN"/>
        </w:rPr>
        <w:t>（3）遇到紧急情况，全体职工应特事特办、急事急办，主动积极地投身到紧急情况的处理中去。各种设备、车辆、器材、物资等应统一调遣，各类人员必须坚决无条件服从组长或副组长的命令和安排，不得拖延、推诿、阻碍紧急情况的处理。</w:t>
      </w:r>
      <w:bookmarkStart w:id="607" w:name="_Toc10402"/>
      <w:bookmarkStart w:id="608" w:name="_Toc11266"/>
      <w:bookmarkStart w:id="609" w:name="_Toc28668"/>
    </w:p>
    <w:p w14:paraId="58310644">
      <w:pPr>
        <w:pStyle w:val="3"/>
      </w:pPr>
      <w:bookmarkStart w:id="610" w:name="_Toc26436"/>
      <w:bookmarkStart w:id="611" w:name="_Toc29083"/>
      <w:bookmarkStart w:id="612" w:name="_Toc6213"/>
      <w:bookmarkStart w:id="613" w:name="_Toc7514"/>
      <w:bookmarkStart w:id="614" w:name="_Toc12964"/>
      <w:bookmarkStart w:id="615" w:name="_Toc23637"/>
      <w:bookmarkStart w:id="616" w:name="_Toc28731"/>
      <w:bookmarkStart w:id="617" w:name="_Toc8422"/>
      <w:bookmarkStart w:id="618" w:name="_Toc1391"/>
      <w:r>
        <w:rPr>
          <w:rFonts w:hint="eastAsia"/>
        </w:rPr>
        <w:t>10.7</w:t>
      </w:r>
      <w:r>
        <w:rPr>
          <w:lang w:val="zh-CN"/>
        </w:rPr>
        <w:t>应急电话</w:t>
      </w:r>
      <w:bookmarkEnd w:id="607"/>
      <w:bookmarkEnd w:id="608"/>
      <w:bookmarkEnd w:id="609"/>
      <w:bookmarkEnd w:id="610"/>
      <w:bookmarkEnd w:id="611"/>
      <w:bookmarkEnd w:id="612"/>
      <w:bookmarkEnd w:id="613"/>
      <w:bookmarkEnd w:id="614"/>
      <w:bookmarkEnd w:id="615"/>
      <w:bookmarkEnd w:id="616"/>
      <w:bookmarkEnd w:id="617"/>
      <w:bookmarkEnd w:id="618"/>
    </w:p>
    <w:p w14:paraId="6BCA3804">
      <w:pPr>
        <w:autoSpaceDE w:val="0"/>
        <w:autoSpaceDN w:val="0"/>
        <w:adjustRightInd w:val="0"/>
        <w:ind w:firstLine="560"/>
        <w:rPr>
          <w:szCs w:val="24"/>
          <w:lang w:val="zh-CN"/>
        </w:rPr>
      </w:pPr>
      <w:r>
        <w:rPr>
          <w:szCs w:val="24"/>
          <w:lang w:val="zh-CN"/>
        </w:rPr>
        <w:t>火警电话：11</w:t>
      </w:r>
      <w:r>
        <w:rPr>
          <w:rFonts w:hint="eastAsia"/>
          <w:szCs w:val="24"/>
        </w:rPr>
        <w:t>9</w:t>
      </w:r>
      <w:r>
        <w:rPr>
          <w:szCs w:val="24"/>
          <w:lang w:val="zh-CN"/>
        </w:rPr>
        <w:t xml:space="preserve"> 医疗救护：120</w:t>
      </w:r>
    </w:p>
    <w:p w14:paraId="47D3DF13">
      <w:pPr>
        <w:autoSpaceDE w:val="0"/>
        <w:autoSpaceDN w:val="0"/>
        <w:adjustRightInd w:val="0"/>
        <w:ind w:firstLine="560"/>
        <w:rPr>
          <w:lang w:val="zh-CN"/>
        </w:rPr>
      </w:pPr>
      <w:r>
        <w:rPr>
          <w:lang w:val="zh-CN"/>
        </w:rPr>
        <w:t>交通报警电话：122  匪警电话：110</w:t>
      </w:r>
    </w:p>
    <w:p w14:paraId="2621ABDA">
      <w:pPr>
        <w:pStyle w:val="12"/>
        <w:ind w:firstLine="560"/>
        <w:rPr>
          <w:rFonts w:hint="default" w:ascii="Times New Roman" w:hAnsi="Times New Roman"/>
          <w:szCs w:val="24"/>
          <w:lang w:val="zh-CN"/>
        </w:rPr>
      </w:pPr>
    </w:p>
    <w:p w14:paraId="74CA9CC3">
      <w:pPr>
        <w:ind w:firstLine="560"/>
        <w:rPr>
          <w:szCs w:val="24"/>
          <w:lang w:val="zh-CN"/>
        </w:rPr>
      </w:pPr>
    </w:p>
    <w:p w14:paraId="1BECEB7D">
      <w:pPr>
        <w:pStyle w:val="12"/>
        <w:ind w:firstLine="560"/>
        <w:rPr>
          <w:rFonts w:hint="default" w:ascii="Times New Roman" w:hAnsi="Times New Roman"/>
          <w:szCs w:val="24"/>
          <w:lang w:val="zh-CN"/>
        </w:rPr>
      </w:pPr>
    </w:p>
    <w:bookmarkEnd w:id="513"/>
    <w:bookmarkEnd w:id="541"/>
    <w:bookmarkEnd w:id="542"/>
    <w:bookmarkEnd w:id="543"/>
    <w:bookmarkEnd w:id="544"/>
    <w:bookmarkEnd w:id="545"/>
    <w:bookmarkEnd w:id="546"/>
    <w:bookmarkEnd w:id="547"/>
    <w:bookmarkEnd w:id="548"/>
    <w:bookmarkEnd w:id="549"/>
    <w:bookmarkEnd w:id="550"/>
    <w:bookmarkEnd w:id="551"/>
    <w:bookmarkEnd w:id="552"/>
    <w:bookmarkEnd w:id="553"/>
    <w:p w14:paraId="72F355CD">
      <w:pPr>
        <w:pStyle w:val="2"/>
        <w:rPr>
          <w:color w:val="000000"/>
        </w:rPr>
      </w:pPr>
      <w:bookmarkStart w:id="619" w:name="_Toc27141"/>
      <w:bookmarkStart w:id="620" w:name="_Toc28751"/>
      <w:bookmarkStart w:id="621" w:name="_Toc25969"/>
      <w:bookmarkStart w:id="622" w:name="_Toc8268"/>
      <w:bookmarkStart w:id="623" w:name="_Toc7213"/>
      <w:bookmarkStart w:id="624" w:name="_Toc1514"/>
      <w:r>
        <w:rPr>
          <w:rFonts w:hint="eastAsia"/>
          <w:color w:val="000000"/>
        </w:rPr>
        <w:t>第十一章附件</w:t>
      </w:r>
      <w:bookmarkEnd w:id="619"/>
      <w:bookmarkEnd w:id="620"/>
      <w:bookmarkEnd w:id="621"/>
      <w:bookmarkEnd w:id="622"/>
      <w:bookmarkEnd w:id="623"/>
      <w:bookmarkEnd w:id="624"/>
    </w:p>
    <w:p w14:paraId="7C2FA150">
      <w:pPr>
        <w:pStyle w:val="3"/>
      </w:pPr>
      <w:bookmarkStart w:id="625" w:name="_Toc19569"/>
      <w:bookmarkStart w:id="626" w:name="_Toc5491"/>
      <w:bookmarkStart w:id="627" w:name="_Toc31819"/>
      <w:bookmarkStart w:id="628" w:name="_Toc27943"/>
      <w:bookmarkStart w:id="629" w:name="_Toc21080"/>
      <w:bookmarkStart w:id="630" w:name="_Toc13937"/>
      <w:bookmarkStart w:id="631" w:name="_Toc22440"/>
      <w:bookmarkStart w:id="632" w:name="_Toc26001_WPSOffice_Level2"/>
      <w:bookmarkStart w:id="633" w:name="_Toc28961"/>
      <w:bookmarkStart w:id="634" w:name="_Toc5997"/>
      <w:bookmarkStart w:id="635" w:name="_Toc18070"/>
      <w:bookmarkStart w:id="636" w:name="_Toc24945"/>
      <w:bookmarkStart w:id="637" w:name="_Toc22889"/>
      <w:bookmarkStart w:id="638" w:name="_Toc1793"/>
      <w:r>
        <w:rPr>
          <w:rFonts w:hint="eastAsia"/>
        </w:rPr>
        <w:t>11.</w:t>
      </w:r>
      <w:r>
        <w:t>1</w:t>
      </w:r>
      <w:bookmarkStart w:id="639" w:name="_Toc11193_WPSOffice_Level2"/>
      <w:bookmarkStart w:id="640" w:name="_Toc25675"/>
      <w:bookmarkStart w:id="641" w:name="_Toc20473_WPSOffice_Level2"/>
      <w:bookmarkStart w:id="642" w:name="_Toc19802"/>
      <w:r>
        <w:rPr>
          <w:rFonts w:hint="eastAsia"/>
        </w:rPr>
        <w:t>安拆单位证件</w:t>
      </w:r>
      <w:bookmarkEnd w:id="625"/>
      <w:bookmarkEnd w:id="626"/>
      <w:bookmarkEnd w:id="627"/>
      <w:bookmarkEnd w:id="628"/>
      <w:bookmarkEnd w:id="629"/>
      <w:bookmarkEnd w:id="630"/>
      <w:bookmarkEnd w:id="631"/>
      <w:bookmarkEnd w:id="632"/>
      <w:bookmarkEnd w:id="633"/>
      <w:bookmarkEnd w:id="639"/>
      <w:bookmarkEnd w:id="640"/>
      <w:bookmarkEnd w:id="641"/>
      <w:bookmarkEnd w:id="642"/>
    </w:p>
    <w:bookmarkEnd w:id="634"/>
    <w:bookmarkEnd w:id="635"/>
    <w:bookmarkEnd w:id="636"/>
    <w:bookmarkEnd w:id="637"/>
    <w:bookmarkEnd w:id="638"/>
    <w:p w14:paraId="4A4C8667">
      <w:pPr>
        <w:spacing w:line="240" w:lineRule="auto"/>
        <w:ind w:firstLine="0" w:firstLineChars="0"/>
      </w:pPr>
      <w:r>
        <w:rPr>
          <w:rFonts w:hint="eastAsia"/>
        </w:rPr>
        <w:drawing>
          <wp:inline distT="0" distB="0" distL="114300" distR="114300">
            <wp:extent cx="5462270" cy="8006715"/>
            <wp:effectExtent l="0" t="0" r="5080" b="13335"/>
            <wp:docPr id="13" name="图片 13" descr="公司资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公司资质"/>
                    <pic:cNvPicPr>
                      <a:picLocks noChangeAspect="1"/>
                    </pic:cNvPicPr>
                  </pic:nvPicPr>
                  <pic:blipFill>
                    <a:blip r:embed="rId75"/>
                    <a:stretch>
                      <a:fillRect/>
                    </a:stretch>
                  </pic:blipFill>
                  <pic:spPr>
                    <a:xfrm>
                      <a:off x="0" y="0"/>
                      <a:ext cx="5462270" cy="8006715"/>
                    </a:xfrm>
                    <a:prstGeom prst="rect">
                      <a:avLst/>
                    </a:prstGeom>
                  </pic:spPr>
                </pic:pic>
              </a:graphicData>
            </a:graphic>
          </wp:inline>
        </w:drawing>
      </w:r>
    </w:p>
    <w:p w14:paraId="74CCFF7F">
      <w:pPr>
        <w:pStyle w:val="12"/>
        <w:spacing w:after="0" w:line="240" w:lineRule="auto"/>
        <w:ind w:firstLine="0" w:firstLineChars="0"/>
        <w:rPr>
          <w:rFonts w:hint="default"/>
        </w:rPr>
      </w:pPr>
      <w:r>
        <w:drawing>
          <wp:anchor distT="0" distB="0" distL="114300" distR="114300" simplePos="0" relativeHeight="251663360" behindDoc="0" locked="0" layoutInCell="1" allowOverlap="1">
            <wp:simplePos x="0" y="0"/>
            <wp:positionH relativeFrom="column">
              <wp:posOffset>-1218565</wp:posOffset>
            </wp:positionH>
            <wp:positionV relativeFrom="paragraph">
              <wp:posOffset>1215390</wp:posOffset>
            </wp:positionV>
            <wp:extent cx="8230870" cy="5900420"/>
            <wp:effectExtent l="0" t="0" r="5080" b="17780"/>
            <wp:wrapSquare wrapText="bothSides"/>
            <wp:docPr id="68" name="图片 68" descr="安装单位营业执照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安装单位营业执照 (2)"/>
                    <pic:cNvPicPr>
                      <a:picLocks noChangeAspect="1"/>
                    </pic:cNvPicPr>
                  </pic:nvPicPr>
                  <pic:blipFill>
                    <a:blip r:embed="rId76"/>
                    <a:stretch>
                      <a:fillRect/>
                    </a:stretch>
                  </pic:blipFill>
                  <pic:spPr>
                    <a:xfrm rot="5400000">
                      <a:off x="0" y="0"/>
                      <a:ext cx="8230870" cy="5900420"/>
                    </a:xfrm>
                    <a:prstGeom prst="rect">
                      <a:avLst/>
                    </a:prstGeom>
                  </pic:spPr>
                </pic:pic>
              </a:graphicData>
            </a:graphic>
          </wp:anchor>
        </w:drawing>
      </w:r>
    </w:p>
    <w:p w14:paraId="2C121EF7">
      <w:pPr>
        <w:pStyle w:val="3"/>
        <w:rPr>
          <w:rFonts w:hint="default"/>
        </w:rPr>
      </w:pPr>
      <w:bookmarkStart w:id="643" w:name="_Toc20363"/>
      <w:bookmarkStart w:id="644" w:name="_Toc3272"/>
      <w:bookmarkStart w:id="645" w:name="_Toc21799"/>
      <w:r>
        <w:rPr>
          <w:rFonts w:hint="eastAsia"/>
        </w:rPr>
        <w:t>11.2安拆人员证件</w:t>
      </w:r>
      <w:bookmarkEnd w:id="643"/>
      <w:bookmarkEnd w:id="644"/>
      <w:bookmarkEnd w:id="645"/>
      <w:bookmarkStart w:id="648" w:name="_GoBack"/>
      <w:bookmarkEnd w:id="648"/>
    </w:p>
    <w:p w14:paraId="46023E8C">
      <w:pPr>
        <w:pStyle w:val="3"/>
      </w:pPr>
      <w:bookmarkStart w:id="646" w:name="_Toc3147"/>
      <w:r>
        <w:rPr>
          <w:rFonts w:hint="eastAsia"/>
        </w:rPr>
        <w:t>11.3安装竣工验收样表</w:t>
      </w:r>
      <w:bookmarkEnd w:id="646"/>
    </w:p>
    <w:p w14:paraId="367540B0">
      <w:pPr>
        <w:ind w:firstLine="2530" w:firstLineChars="700"/>
        <w:rPr>
          <w:b/>
          <w:sz w:val="36"/>
          <w:szCs w:val="36"/>
        </w:rPr>
      </w:pPr>
      <w:r>
        <w:rPr>
          <w:rFonts w:hint="eastAsia"/>
          <w:b/>
          <w:sz w:val="36"/>
          <w:szCs w:val="36"/>
        </w:rPr>
        <w:t>塔机安装前检查表</w:t>
      </w:r>
    </w:p>
    <w:p w14:paraId="55DB7CA8">
      <w:pPr>
        <w:ind w:firstLine="420"/>
        <w:rPr>
          <w:sz w:val="21"/>
        </w:rPr>
      </w:pPr>
      <w:r>
        <w:rPr>
          <w:rFonts w:hint="eastAsia"/>
          <w:sz w:val="21"/>
        </w:rPr>
        <w:t>塔机型号：_____________ 塔机编号：_____________ 工程名称：_____________</w:t>
      </w:r>
    </w:p>
    <w:p w14:paraId="3AA94A44">
      <w:pPr>
        <w:ind w:firstLine="420"/>
      </w:pPr>
      <w:r>
        <w:rPr>
          <w:rFonts w:hint="eastAsia"/>
          <w:sz w:val="21"/>
        </w:rPr>
        <w:t>安装单位：_____________ 使用单位：_____________ 检查日期：_____________</w:t>
      </w:r>
    </w:p>
    <w:tbl>
      <w:tblPr>
        <w:tblStyle w:val="42"/>
        <w:tblW w:w="8531"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10"/>
        <w:gridCol w:w="1947"/>
        <w:gridCol w:w="3530"/>
        <w:gridCol w:w="1158"/>
        <w:gridCol w:w="1186"/>
      </w:tblGrid>
      <w:tr w14:paraId="4632845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0" w:hRule="atLeast"/>
        </w:trPr>
        <w:tc>
          <w:tcPr>
            <w:tcW w:w="710" w:type="dxa"/>
            <w:vAlign w:val="center"/>
          </w:tcPr>
          <w:p w14:paraId="03D34922">
            <w:pPr>
              <w:ind w:firstLine="0" w:firstLineChars="0"/>
              <w:jc w:val="center"/>
              <w:rPr>
                <w:sz w:val="21"/>
              </w:rPr>
            </w:pPr>
            <w:r>
              <w:rPr>
                <w:rFonts w:hint="eastAsia"/>
                <w:sz w:val="21"/>
              </w:rPr>
              <w:t>序号</w:t>
            </w:r>
          </w:p>
        </w:tc>
        <w:tc>
          <w:tcPr>
            <w:tcW w:w="1947" w:type="dxa"/>
            <w:vAlign w:val="center"/>
          </w:tcPr>
          <w:p w14:paraId="5106E365">
            <w:pPr>
              <w:ind w:firstLine="0" w:firstLineChars="0"/>
              <w:jc w:val="center"/>
              <w:rPr>
                <w:sz w:val="21"/>
              </w:rPr>
            </w:pPr>
            <w:r>
              <w:rPr>
                <w:rFonts w:hint="eastAsia"/>
                <w:sz w:val="21"/>
              </w:rPr>
              <w:t>检查项目</w:t>
            </w:r>
          </w:p>
        </w:tc>
        <w:tc>
          <w:tcPr>
            <w:tcW w:w="3530" w:type="dxa"/>
            <w:vAlign w:val="center"/>
          </w:tcPr>
          <w:p w14:paraId="51F8B7C9">
            <w:pPr>
              <w:ind w:firstLine="0" w:firstLineChars="0"/>
              <w:jc w:val="center"/>
              <w:rPr>
                <w:sz w:val="21"/>
              </w:rPr>
            </w:pPr>
            <w:r>
              <w:rPr>
                <w:rFonts w:hint="eastAsia"/>
                <w:sz w:val="21"/>
              </w:rPr>
              <w:t>内容及要求</w:t>
            </w:r>
          </w:p>
        </w:tc>
        <w:tc>
          <w:tcPr>
            <w:tcW w:w="1158" w:type="dxa"/>
            <w:vAlign w:val="center"/>
          </w:tcPr>
          <w:p w14:paraId="349A2008">
            <w:pPr>
              <w:ind w:firstLine="0" w:firstLineChars="0"/>
              <w:jc w:val="center"/>
              <w:rPr>
                <w:sz w:val="21"/>
              </w:rPr>
            </w:pPr>
            <w:r>
              <w:rPr>
                <w:rFonts w:hint="eastAsia"/>
                <w:sz w:val="21"/>
              </w:rPr>
              <w:t>结果</w:t>
            </w:r>
          </w:p>
        </w:tc>
        <w:tc>
          <w:tcPr>
            <w:tcW w:w="1186" w:type="dxa"/>
            <w:vAlign w:val="center"/>
          </w:tcPr>
          <w:p w14:paraId="336F9DE1">
            <w:pPr>
              <w:ind w:firstLine="0" w:firstLineChars="0"/>
              <w:jc w:val="center"/>
              <w:rPr>
                <w:sz w:val="21"/>
              </w:rPr>
            </w:pPr>
            <w:r>
              <w:rPr>
                <w:rFonts w:hint="eastAsia"/>
                <w:sz w:val="21"/>
              </w:rPr>
              <w:t>备注</w:t>
            </w:r>
          </w:p>
        </w:tc>
      </w:tr>
      <w:tr w14:paraId="6688D6F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8" w:hRule="atLeast"/>
        </w:trPr>
        <w:tc>
          <w:tcPr>
            <w:tcW w:w="710" w:type="dxa"/>
            <w:vAlign w:val="center"/>
          </w:tcPr>
          <w:p w14:paraId="4A70AD20">
            <w:pPr>
              <w:ind w:firstLine="0" w:firstLineChars="0"/>
              <w:jc w:val="center"/>
              <w:rPr>
                <w:sz w:val="21"/>
              </w:rPr>
            </w:pPr>
            <w:r>
              <w:rPr>
                <w:rFonts w:hint="eastAsia"/>
                <w:sz w:val="21"/>
              </w:rPr>
              <w:t>1</w:t>
            </w:r>
          </w:p>
        </w:tc>
        <w:tc>
          <w:tcPr>
            <w:tcW w:w="1947" w:type="dxa"/>
            <w:vAlign w:val="center"/>
          </w:tcPr>
          <w:p w14:paraId="1971F9E3">
            <w:pPr>
              <w:ind w:firstLine="0" w:firstLineChars="0"/>
              <w:jc w:val="center"/>
              <w:rPr>
                <w:sz w:val="21"/>
              </w:rPr>
            </w:pPr>
            <w:r>
              <w:rPr>
                <w:rFonts w:hint="eastAsia"/>
                <w:sz w:val="21"/>
              </w:rPr>
              <w:t>钢结构</w:t>
            </w:r>
          </w:p>
        </w:tc>
        <w:tc>
          <w:tcPr>
            <w:tcW w:w="3530" w:type="dxa"/>
            <w:vAlign w:val="center"/>
          </w:tcPr>
          <w:p w14:paraId="10106439">
            <w:pPr>
              <w:ind w:firstLine="0" w:firstLineChars="0"/>
              <w:jc w:val="center"/>
              <w:rPr>
                <w:sz w:val="21"/>
              </w:rPr>
            </w:pPr>
            <w:r>
              <w:rPr>
                <w:rFonts w:hint="eastAsia"/>
                <w:sz w:val="21"/>
              </w:rPr>
              <w:t>无扭曲、变形、裂纹和严重锈蚀</w:t>
            </w:r>
          </w:p>
        </w:tc>
        <w:tc>
          <w:tcPr>
            <w:tcW w:w="1158" w:type="dxa"/>
            <w:vAlign w:val="center"/>
          </w:tcPr>
          <w:p w14:paraId="1A0F2E89">
            <w:pPr>
              <w:ind w:firstLine="0" w:firstLineChars="0"/>
              <w:jc w:val="center"/>
              <w:rPr>
                <w:sz w:val="21"/>
              </w:rPr>
            </w:pPr>
          </w:p>
        </w:tc>
        <w:tc>
          <w:tcPr>
            <w:tcW w:w="1186" w:type="dxa"/>
            <w:vAlign w:val="center"/>
          </w:tcPr>
          <w:p w14:paraId="5B60E847">
            <w:pPr>
              <w:ind w:firstLine="0" w:firstLineChars="0"/>
              <w:jc w:val="center"/>
              <w:rPr>
                <w:sz w:val="21"/>
              </w:rPr>
            </w:pPr>
          </w:p>
        </w:tc>
      </w:tr>
      <w:tr w14:paraId="2018AE5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00" w:hRule="atLeast"/>
        </w:trPr>
        <w:tc>
          <w:tcPr>
            <w:tcW w:w="710" w:type="dxa"/>
            <w:vAlign w:val="center"/>
          </w:tcPr>
          <w:p w14:paraId="04B97D13">
            <w:pPr>
              <w:ind w:firstLine="0" w:firstLineChars="0"/>
              <w:jc w:val="center"/>
              <w:rPr>
                <w:sz w:val="21"/>
              </w:rPr>
            </w:pPr>
            <w:r>
              <w:rPr>
                <w:rFonts w:hint="eastAsia"/>
                <w:sz w:val="21"/>
              </w:rPr>
              <w:t>2</w:t>
            </w:r>
          </w:p>
        </w:tc>
        <w:tc>
          <w:tcPr>
            <w:tcW w:w="1947" w:type="dxa"/>
            <w:vAlign w:val="center"/>
          </w:tcPr>
          <w:p w14:paraId="5BBB7A0D">
            <w:pPr>
              <w:ind w:firstLine="0" w:firstLineChars="0"/>
              <w:jc w:val="center"/>
              <w:rPr>
                <w:sz w:val="21"/>
              </w:rPr>
            </w:pPr>
            <w:r>
              <w:rPr>
                <w:rFonts w:hint="eastAsia"/>
                <w:sz w:val="21"/>
              </w:rPr>
              <w:t>连接件、紧固件</w:t>
            </w:r>
          </w:p>
        </w:tc>
        <w:tc>
          <w:tcPr>
            <w:tcW w:w="3530" w:type="dxa"/>
            <w:vAlign w:val="center"/>
          </w:tcPr>
          <w:p w14:paraId="0082AE93">
            <w:pPr>
              <w:ind w:firstLine="0" w:firstLineChars="0"/>
              <w:jc w:val="center"/>
              <w:rPr>
                <w:sz w:val="21"/>
              </w:rPr>
            </w:pPr>
            <w:r>
              <w:rPr>
                <w:rFonts w:hint="eastAsia"/>
                <w:sz w:val="21"/>
              </w:rPr>
              <w:t>销轴及螺栓螺母规格正确，数量齐全，质量满足设计要求；配套开口销或卡板规格数量均符合要求</w:t>
            </w:r>
          </w:p>
        </w:tc>
        <w:tc>
          <w:tcPr>
            <w:tcW w:w="1158" w:type="dxa"/>
            <w:vAlign w:val="center"/>
          </w:tcPr>
          <w:p w14:paraId="01D156D0">
            <w:pPr>
              <w:ind w:firstLine="0" w:firstLineChars="0"/>
              <w:jc w:val="center"/>
              <w:rPr>
                <w:sz w:val="21"/>
              </w:rPr>
            </w:pPr>
          </w:p>
        </w:tc>
        <w:tc>
          <w:tcPr>
            <w:tcW w:w="1186" w:type="dxa"/>
            <w:vAlign w:val="center"/>
          </w:tcPr>
          <w:p w14:paraId="7D2FA2D1">
            <w:pPr>
              <w:ind w:firstLine="0" w:firstLineChars="0"/>
              <w:jc w:val="center"/>
              <w:rPr>
                <w:sz w:val="21"/>
              </w:rPr>
            </w:pPr>
          </w:p>
        </w:tc>
      </w:tr>
      <w:tr w14:paraId="664A618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04" w:hRule="atLeast"/>
        </w:trPr>
        <w:tc>
          <w:tcPr>
            <w:tcW w:w="710" w:type="dxa"/>
            <w:vAlign w:val="center"/>
          </w:tcPr>
          <w:p w14:paraId="557480ED">
            <w:pPr>
              <w:ind w:firstLine="0" w:firstLineChars="0"/>
              <w:jc w:val="center"/>
              <w:rPr>
                <w:sz w:val="21"/>
              </w:rPr>
            </w:pPr>
            <w:r>
              <w:rPr>
                <w:rFonts w:hint="eastAsia"/>
                <w:sz w:val="21"/>
              </w:rPr>
              <w:t>3</w:t>
            </w:r>
          </w:p>
        </w:tc>
        <w:tc>
          <w:tcPr>
            <w:tcW w:w="1947" w:type="dxa"/>
            <w:vAlign w:val="center"/>
          </w:tcPr>
          <w:p w14:paraId="12D50EDA">
            <w:pPr>
              <w:ind w:firstLine="0" w:firstLineChars="0"/>
              <w:jc w:val="center"/>
              <w:rPr>
                <w:sz w:val="21"/>
              </w:rPr>
            </w:pPr>
            <w:r>
              <w:rPr>
                <w:rFonts w:hint="eastAsia"/>
                <w:sz w:val="21"/>
              </w:rPr>
              <w:t>钢丝绳及其固结</w:t>
            </w:r>
          </w:p>
        </w:tc>
        <w:tc>
          <w:tcPr>
            <w:tcW w:w="3530" w:type="dxa"/>
            <w:vAlign w:val="center"/>
          </w:tcPr>
          <w:p w14:paraId="29A56B70">
            <w:pPr>
              <w:ind w:firstLine="0" w:firstLineChars="0"/>
              <w:jc w:val="center"/>
              <w:rPr>
                <w:sz w:val="21"/>
              </w:rPr>
            </w:pPr>
            <w:r>
              <w:rPr>
                <w:rFonts w:hint="eastAsia"/>
                <w:sz w:val="21"/>
              </w:rPr>
              <w:t>钢丝绳完好符合GB5972-86要求，钢丝绳固结符合JGJ33-2001要求</w:t>
            </w:r>
          </w:p>
        </w:tc>
        <w:tc>
          <w:tcPr>
            <w:tcW w:w="1158" w:type="dxa"/>
            <w:vAlign w:val="center"/>
          </w:tcPr>
          <w:p w14:paraId="6D14220C">
            <w:pPr>
              <w:ind w:firstLine="0" w:firstLineChars="0"/>
              <w:jc w:val="center"/>
              <w:rPr>
                <w:sz w:val="21"/>
              </w:rPr>
            </w:pPr>
          </w:p>
        </w:tc>
        <w:tc>
          <w:tcPr>
            <w:tcW w:w="1186" w:type="dxa"/>
            <w:vAlign w:val="center"/>
          </w:tcPr>
          <w:p w14:paraId="4C6873AE">
            <w:pPr>
              <w:ind w:firstLine="0" w:firstLineChars="0"/>
              <w:jc w:val="center"/>
              <w:rPr>
                <w:sz w:val="21"/>
              </w:rPr>
            </w:pPr>
          </w:p>
        </w:tc>
      </w:tr>
      <w:tr w14:paraId="3B990B2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00" w:hRule="atLeast"/>
        </w:trPr>
        <w:tc>
          <w:tcPr>
            <w:tcW w:w="710" w:type="dxa"/>
            <w:vAlign w:val="center"/>
          </w:tcPr>
          <w:p w14:paraId="409E177E">
            <w:pPr>
              <w:ind w:firstLine="0" w:firstLineChars="0"/>
              <w:jc w:val="center"/>
              <w:rPr>
                <w:sz w:val="21"/>
              </w:rPr>
            </w:pPr>
            <w:r>
              <w:rPr>
                <w:rFonts w:hint="eastAsia"/>
                <w:sz w:val="21"/>
              </w:rPr>
              <w:t>4</w:t>
            </w:r>
          </w:p>
        </w:tc>
        <w:tc>
          <w:tcPr>
            <w:tcW w:w="1947" w:type="dxa"/>
            <w:vAlign w:val="center"/>
          </w:tcPr>
          <w:p w14:paraId="19633142">
            <w:pPr>
              <w:ind w:firstLine="0" w:firstLineChars="0"/>
              <w:jc w:val="center"/>
              <w:rPr>
                <w:sz w:val="21"/>
              </w:rPr>
            </w:pPr>
            <w:r>
              <w:rPr>
                <w:rFonts w:hint="eastAsia"/>
                <w:sz w:val="21"/>
              </w:rPr>
              <w:t>制动器</w:t>
            </w:r>
          </w:p>
        </w:tc>
        <w:tc>
          <w:tcPr>
            <w:tcW w:w="3530" w:type="dxa"/>
            <w:vAlign w:val="center"/>
          </w:tcPr>
          <w:p w14:paraId="26D936CC">
            <w:pPr>
              <w:ind w:firstLine="0" w:firstLineChars="0"/>
              <w:jc w:val="center"/>
              <w:rPr>
                <w:sz w:val="21"/>
              </w:rPr>
            </w:pPr>
            <w:r>
              <w:rPr>
                <w:rFonts w:hint="eastAsia"/>
                <w:sz w:val="21"/>
              </w:rPr>
              <w:t>制动带（块）磨损不大于原厚度的1/2，间隙符合标准要求，能正常动作，设有防护罩</w:t>
            </w:r>
          </w:p>
        </w:tc>
        <w:tc>
          <w:tcPr>
            <w:tcW w:w="1158" w:type="dxa"/>
            <w:vAlign w:val="center"/>
          </w:tcPr>
          <w:p w14:paraId="46899173">
            <w:pPr>
              <w:ind w:firstLine="0" w:firstLineChars="0"/>
              <w:jc w:val="center"/>
              <w:rPr>
                <w:sz w:val="21"/>
              </w:rPr>
            </w:pPr>
          </w:p>
        </w:tc>
        <w:tc>
          <w:tcPr>
            <w:tcW w:w="1186" w:type="dxa"/>
            <w:vAlign w:val="center"/>
          </w:tcPr>
          <w:p w14:paraId="53041A04">
            <w:pPr>
              <w:ind w:firstLine="0" w:firstLineChars="0"/>
              <w:jc w:val="center"/>
              <w:rPr>
                <w:sz w:val="21"/>
              </w:rPr>
            </w:pPr>
          </w:p>
        </w:tc>
      </w:tr>
      <w:tr w14:paraId="5084FBC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8" w:hRule="atLeast"/>
        </w:trPr>
        <w:tc>
          <w:tcPr>
            <w:tcW w:w="710" w:type="dxa"/>
            <w:vAlign w:val="center"/>
          </w:tcPr>
          <w:p w14:paraId="240C7916">
            <w:pPr>
              <w:ind w:firstLine="0" w:firstLineChars="0"/>
              <w:jc w:val="center"/>
              <w:rPr>
                <w:sz w:val="21"/>
              </w:rPr>
            </w:pPr>
            <w:r>
              <w:rPr>
                <w:rFonts w:hint="eastAsia"/>
                <w:sz w:val="21"/>
              </w:rPr>
              <w:t>5</w:t>
            </w:r>
          </w:p>
        </w:tc>
        <w:tc>
          <w:tcPr>
            <w:tcW w:w="1947" w:type="dxa"/>
            <w:vAlign w:val="center"/>
          </w:tcPr>
          <w:p w14:paraId="0A9E0E7F">
            <w:pPr>
              <w:ind w:firstLine="0" w:firstLineChars="0"/>
              <w:jc w:val="center"/>
              <w:rPr>
                <w:sz w:val="21"/>
              </w:rPr>
            </w:pPr>
            <w:r>
              <w:rPr>
                <w:rFonts w:hint="eastAsia"/>
                <w:sz w:val="21"/>
              </w:rPr>
              <w:t>安全装置</w:t>
            </w:r>
          </w:p>
        </w:tc>
        <w:tc>
          <w:tcPr>
            <w:tcW w:w="3530" w:type="dxa"/>
            <w:vAlign w:val="center"/>
          </w:tcPr>
          <w:p w14:paraId="51E9BB1F">
            <w:pPr>
              <w:ind w:firstLine="0" w:firstLineChars="0"/>
              <w:jc w:val="center"/>
              <w:rPr>
                <w:sz w:val="21"/>
              </w:rPr>
            </w:pPr>
            <w:r>
              <w:rPr>
                <w:rFonts w:hint="eastAsia"/>
                <w:sz w:val="21"/>
              </w:rPr>
              <w:t>各安全装置应齐全，保持完好</w:t>
            </w:r>
          </w:p>
        </w:tc>
        <w:tc>
          <w:tcPr>
            <w:tcW w:w="1158" w:type="dxa"/>
            <w:vAlign w:val="center"/>
          </w:tcPr>
          <w:p w14:paraId="67D2A9F8">
            <w:pPr>
              <w:ind w:firstLine="0" w:firstLineChars="0"/>
              <w:jc w:val="center"/>
              <w:rPr>
                <w:sz w:val="21"/>
              </w:rPr>
            </w:pPr>
          </w:p>
        </w:tc>
        <w:tc>
          <w:tcPr>
            <w:tcW w:w="1186" w:type="dxa"/>
            <w:vAlign w:val="center"/>
          </w:tcPr>
          <w:p w14:paraId="56FF4694">
            <w:pPr>
              <w:ind w:firstLine="0" w:firstLineChars="0"/>
              <w:jc w:val="center"/>
              <w:rPr>
                <w:sz w:val="21"/>
              </w:rPr>
            </w:pPr>
          </w:p>
        </w:tc>
      </w:tr>
      <w:tr w14:paraId="2FF589A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8" w:hRule="atLeast"/>
        </w:trPr>
        <w:tc>
          <w:tcPr>
            <w:tcW w:w="710" w:type="dxa"/>
            <w:vMerge w:val="restart"/>
            <w:vAlign w:val="center"/>
          </w:tcPr>
          <w:p w14:paraId="3A6CAFD0">
            <w:pPr>
              <w:ind w:firstLine="0" w:firstLineChars="0"/>
              <w:jc w:val="center"/>
              <w:rPr>
                <w:sz w:val="21"/>
              </w:rPr>
            </w:pPr>
            <w:r>
              <w:rPr>
                <w:rFonts w:hint="eastAsia"/>
                <w:sz w:val="21"/>
              </w:rPr>
              <w:t>6</w:t>
            </w:r>
          </w:p>
        </w:tc>
        <w:tc>
          <w:tcPr>
            <w:tcW w:w="1947" w:type="dxa"/>
            <w:vMerge w:val="restart"/>
            <w:vAlign w:val="center"/>
          </w:tcPr>
          <w:p w14:paraId="3C5A72E3">
            <w:pPr>
              <w:ind w:firstLine="0" w:firstLineChars="0"/>
              <w:jc w:val="center"/>
              <w:rPr>
                <w:sz w:val="21"/>
              </w:rPr>
            </w:pPr>
            <w:r>
              <w:rPr>
                <w:rFonts w:hint="eastAsia"/>
                <w:sz w:val="21"/>
              </w:rPr>
              <w:t>液压系统</w:t>
            </w:r>
          </w:p>
        </w:tc>
        <w:tc>
          <w:tcPr>
            <w:tcW w:w="3530" w:type="dxa"/>
            <w:vAlign w:val="center"/>
          </w:tcPr>
          <w:p w14:paraId="3BBB11FB">
            <w:pPr>
              <w:ind w:firstLine="0" w:firstLineChars="0"/>
              <w:jc w:val="center"/>
              <w:rPr>
                <w:sz w:val="21"/>
              </w:rPr>
            </w:pPr>
            <w:r>
              <w:rPr>
                <w:rFonts w:hint="eastAsia"/>
                <w:sz w:val="21"/>
              </w:rPr>
              <w:t>油质良好，测量充足</w:t>
            </w:r>
          </w:p>
        </w:tc>
        <w:tc>
          <w:tcPr>
            <w:tcW w:w="1158" w:type="dxa"/>
            <w:vAlign w:val="center"/>
          </w:tcPr>
          <w:p w14:paraId="40EC694C">
            <w:pPr>
              <w:ind w:firstLine="0" w:firstLineChars="0"/>
              <w:jc w:val="center"/>
              <w:rPr>
                <w:sz w:val="21"/>
              </w:rPr>
            </w:pPr>
          </w:p>
        </w:tc>
        <w:tc>
          <w:tcPr>
            <w:tcW w:w="1186" w:type="dxa"/>
            <w:vAlign w:val="center"/>
          </w:tcPr>
          <w:p w14:paraId="55A9E35F">
            <w:pPr>
              <w:ind w:firstLine="0" w:firstLineChars="0"/>
              <w:jc w:val="center"/>
              <w:rPr>
                <w:sz w:val="21"/>
              </w:rPr>
            </w:pPr>
          </w:p>
        </w:tc>
      </w:tr>
      <w:tr w14:paraId="586E25F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04" w:hRule="atLeast"/>
        </w:trPr>
        <w:tc>
          <w:tcPr>
            <w:tcW w:w="710" w:type="dxa"/>
            <w:vMerge w:val="continue"/>
            <w:vAlign w:val="center"/>
          </w:tcPr>
          <w:p w14:paraId="07073C50">
            <w:pPr>
              <w:ind w:firstLine="0" w:firstLineChars="0"/>
              <w:jc w:val="center"/>
              <w:rPr>
                <w:sz w:val="21"/>
              </w:rPr>
            </w:pPr>
          </w:p>
        </w:tc>
        <w:tc>
          <w:tcPr>
            <w:tcW w:w="1947" w:type="dxa"/>
            <w:vMerge w:val="continue"/>
            <w:vAlign w:val="center"/>
          </w:tcPr>
          <w:p w14:paraId="491B6CF0">
            <w:pPr>
              <w:ind w:firstLine="0" w:firstLineChars="0"/>
              <w:jc w:val="center"/>
              <w:rPr>
                <w:sz w:val="21"/>
              </w:rPr>
            </w:pPr>
          </w:p>
        </w:tc>
        <w:tc>
          <w:tcPr>
            <w:tcW w:w="3530" w:type="dxa"/>
            <w:vAlign w:val="center"/>
          </w:tcPr>
          <w:p w14:paraId="4A9ADBE2">
            <w:pPr>
              <w:ind w:firstLine="0" w:firstLineChars="0"/>
              <w:jc w:val="center"/>
              <w:rPr>
                <w:sz w:val="21"/>
              </w:rPr>
            </w:pPr>
            <w:r>
              <w:rPr>
                <w:rFonts w:hint="eastAsia"/>
                <w:sz w:val="21"/>
              </w:rPr>
              <w:t>各油管及管接头状况良好，平衡阀与油缸之间为硬管连接</w:t>
            </w:r>
          </w:p>
        </w:tc>
        <w:tc>
          <w:tcPr>
            <w:tcW w:w="1158" w:type="dxa"/>
            <w:vAlign w:val="center"/>
          </w:tcPr>
          <w:p w14:paraId="242B1431">
            <w:pPr>
              <w:ind w:firstLine="0" w:firstLineChars="0"/>
              <w:jc w:val="center"/>
              <w:rPr>
                <w:sz w:val="21"/>
              </w:rPr>
            </w:pPr>
          </w:p>
        </w:tc>
        <w:tc>
          <w:tcPr>
            <w:tcW w:w="1186" w:type="dxa"/>
            <w:vAlign w:val="center"/>
          </w:tcPr>
          <w:p w14:paraId="64900DF4">
            <w:pPr>
              <w:ind w:firstLine="0" w:firstLineChars="0"/>
              <w:jc w:val="center"/>
              <w:rPr>
                <w:sz w:val="21"/>
              </w:rPr>
            </w:pPr>
          </w:p>
        </w:tc>
      </w:tr>
      <w:tr w14:paraId="75D186B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8" w:hRule="atLeast"/>
        </w:trPr>
        <w:tc>
          <w:tcPr>
            <w:tcW w:w="710" w:type="dxa"/>
            <w:vAlign w:val="center"/>
          </w:tcPr>
          <w:p w14:paraId="0393E5DD">
            <w:pPr>
              <w:ind w:firstLine="0" w:firstLineChars="0"/>
              <w:jc w:val="center"/>
              <w:rPr>
                <w:sz w:val="21"/>
              </w:rPr>
            </w:pPr>
            <w:r>
              <w:rPr>
                <w:rFonts w:hint="eastAsia"/>
                <w:sz w:val="21"/>
              </w:rPr>
              <w:t>7</w:t>
            </w:r>
          </w:p>
        </w:tc>
        <w:tc>
          <w:tcPr>
            <w:tcW w:w="1947" w:type="dxa"/>
            <w:vAlign w:val="center"/>
          </w:tcPr>
          <w:p w14:paraId="0FBD3CEB">
            <w:pPr>
              <w:ind w:firstLine="0" w:firstLineChars="0"/>
              <w:jc w:val="center"/>
              <w:rPr>
                <w:sz w:val="21"/>
              </w:rPr>
            </w:pPr>
            <w:r>
              <w:rPr>
                <w:rFonts w:hint="eastAsia"/>
                <w:sz w:val="21"/>
              </w:rPr>
              <w:t>电气系统</w:t>
            </w:r>
          </w:p>
        </w:tc>
        <w:tc>
          <w:tcPr>
            <w:tcW w:w="3530" w:type="dxa"/>
            <w:vAlign w:val="center"/>
          </w:tcPr>
          <w:p w14:paraId="5A9D20F0">
            <w:pPr>
              <w:ind w:firstLine="0" w:firstLineChars="0"/>
              <w:jc w:val="center"/>
              <w:rPr>
                <w:sz w:val="21"/>
              </w:rPr>
            </w:pPr>
            <w:r>
              <w:rPr>
                <w:rFonts w:hint="eastAsia"/>
                <w:sz w:val="21"/>
              </w:rPr>
              <w:t>保持较良好状况，能正常工作</w:t>
            </w:r>
          </w:p>
        </w:tc>
        <w:tc>
          <w:tcPr>
            <w:tcW w:w="1158" w:type="dxa"/>
            <w:vAlign w:val="center"/>
          </w:tcPr>
          <w:p w14:paraId="26475076">
            <w:pPr>
              <w:ind w:firstLine="0" w:firstLineChars="0"/>
              <w:jc w:val="center"/>
              <w:rPr>
                <w:sz w:val="21"/>
              </w:rPr>
            </w:pPr>
          </w:p>
        </w:tc>
        <w:tc>
          <w:tcPr>
            <w:tcW w:w="1186" w:type="dxa"/>
            <w:vAlign w:val="center"/>
          </w:tcPr>
          <w:p w14:paraId="02989A4A">
            <w:pPr>
              <w:ind w:firstLine="0" w:firstLineChars="0"/>
              <w:jc w:val="center"/>
              <w:rPr>
                <w:sz w:val="21"/>
              </w:rPr>
            </w:pPr>
          </w:p>
        </w:tc>
      </w:tr>
      <w:tr w14:paraId="528A4D8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3" w:hRule="atLeast"/>
        </w:trPr>
        <w:tc>
          <w:tcPr>
            <w:tcW w:w="710" w:type="dxa"/>
            <w:vAlign w:val="center"/>
          </w:tcPr>
          <w:p w14:paraId="3B146802">
            <w:pPr>
              <w:ind w:firstLine="0" w:firstLineChars="0"/>
              <w:jc w:val="center"/>
              <w:rPr>
                <w:sz w:val="21"/>
              </w:rPr>
            </w:pPr>
            <w:r>
              <w:rPr>
                <w:rFonts w:hint="eastAsia"/>
                <w:sz w:val="21"/>
              </w:rPr>
              <w:t>8</w:t>
            </w:r>
          </w:p>
        </w:tc>
        <w:tc>
          <w:tcPr>
            <w:tcW w:w="1947" w:type="dxa"/>
            <w:vAlign w:val="center"/>
          </w:tcPr>
          <w:p w14:paraId="45A5C870">
            <w:pPr>
              <w:ind w:firstLine="0" w:firstLineChars="0"/>
              <w:jc w:val="center"/>
              <w:rPr>
                <w:sz w:val="21"/>
              </w:rPr>
            </w:pPr>
            <w:r>
              <w:rPr>
                <w:rFonts w:hint="eastAsia"/>
                <w:sz w:val="21"/>
              </w:rPr>
              <w:t>现场状况</w:t>
            </w:r>
          </w:p>
        </w:tc>
        <w:tc>
          <w:tcPr>
            <w:tcW w:w="3530" w:type="dxa"/>
            <w:vAlign w:val="center"/>
          </w:tcPr>
          <w:p w14:paraId="09F6AC3D">
            <w:pPr>
              <w:ind w:firstLine="0" w:firstLineChars="0"/>
              <w:jc w:val="center"/>
              <w:rPr>
                <w:sz w:val="21"/>
              </w:rPr>
            </w:pPr>
            <w:r>
              <w:rPr>
                <w:rFonts w:hint="eastAsia"/>
                <w:sz w:val="21"/>
              </w:rPr>
              <w:t>安装现场应具备安全安装塔机的条件</w:t>
            </w:r>
          </w:p>
        </w:tc>
        <w:tc>
          <w:tcPr>
            <w:tcW w:w="1158" w:type="dxa"/>
            <w:vAlign w:val="center"/>
          </w:tcPr>
          <w:p w14:paraId="50FFACAF">
            <w:pPr>
              <w:ind w:firstLine="0" w:firstLineChars="0"/>
              <w:jc w:val="center"/>
              <w:rPr>
                <w:sz w:val="21"/>
              </w:rPr>
            </w:pPr>
          </w:p>
        </w:tc>
        <w:tc>
          <w:tcPr>
            <w:tcW w:w="1186" w:type="dxa"/>
            <w:vAlign w:val="center"/>
          </w:tcPr>
          <w:p w14:paraId="722910E4">
            <w:pPr>
              <w:ind w:firstLine="0" w:firstLineChars="0"/>
              <w:jc w:val="center"/>
              <w:rPr>
                <w:sz w:val="21"/>
              </w:rPr>
            </w:pPr>
          </w:p>
        </w:tc>
      </w:tr>
      <w:tr w14:paraId="32F6465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03" w:hRule="atLeast"/>
        </w:trPr>
        <w:tc>
          <w:tcPr>
            <w:tcW w:w="710" w:type="dxa"/>
            <w:vAlign w:val="center"/>
          </w:tcPr>
          <w:p w14:paraId="506A2B79">
            <w:pPr>
              <w:ind w:firstLine="0" w:firstLineChars="0"/>
              <w:jc w:val="center"/>
              <w:rPr>
                <w:sz w:val="21"/>
              </w:rPr>
            </w:pPr>
            <w:r>
              <w:rPr>
                <w:rFonts w:hint="eastAsia"/>
                <w:sz w:val="21"/>
              </w:rPr>
              <w:t>检查意见</w:t>
            </w:r>
          </w:p>
        </w:tc>
        <w:tc>
          <w:tcPr>
            <w:tcW w:w="7821" w:type="dxa"/>
            <w:gridSpan w:val="4"/>
            <w:vAlign w:val="center"/>
          </w:tcPr>
          <w:p w14:paraId="2EB7D1F1">
            <w:pPr>
              <w:ind w:firstLine="0" w:firstLineChars="0"/>
              <w:jc w:val="center"/>
              <w:rPr>
                <w:sz w:val="21"/>
              </w:rPr>
            </w:pPr>
          </w:p>
        </w:tc>
      </w:tr>
      <w:tr w14:paraId="4E042E3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01" w:hRule="atLeast"/>
        </w:trPr>
        <w:tc>
          <w:tcPr>
            <w:tcW w:w="710" w:type="dxa"/>
            <w:vAlign w:val="center"/>
          </w:tcPr>
          <w:p w14:paraId="5F5636FF">
            <w:pPr>
              <w:ind w:firstLine="0" w:firstLineChars="0"/>
              <w:jc w:val="center"/>
              <w:rPr>
                <w:sz w:val="21"/>
              </w:rPr>
            </w:pPr>
            <w:r>
              <w:rPr>
                <w:rFonts w:hint="eastAsia"/>
                <w:sz w:val="21"/>
              </w:rPr>
              <w:t>检查人</w:t>
            </w:r>
          </w:p>
        </w:tc>
        <w:tc>
          <w:tcPr>
            <w:tcW w:w="7821" w:type="dxa"/>
            <w:gridSpan w:val="4"/>
            <w:vAlign w:val="center"/>
          </w:tcPr>
          <w:p w14:paraId="2275EBD7">
            <w:pPr>
              <w:ind w:firstLine="0" w:firstLineChars="0"/>
              <w:jc w:val="center"/>
              <w:rPr>
                <w:sz w:val="21"/>
              </w:rPr>
            </w:pPr>
            <w:r>
              <w:rPr>
                <w:rFonts w:hint="eastAsia"/>
                <w:sz w:val="21"/>
              </w:rPr>
              <w:t>安装单位技术负责人：               使用单位设备主管：</w:t>
            </w:r>
          </w:p>
          <w:p w14:paraId="73AC7C5B">
            <w:pPr>
              <w:ind w:firstLine="0" w:firstLineChars="0"/>
              <w:jc w:val="center"/>
              <w:rPr>
                <w:sz w:val="21"/>
              </w:rPr>
            </w:pPr>
            <w:r>
              <w:rPr>
                <w:rFonts w:hint="eastAsia"/>
                <w:sz w:val="21"/>
              </w:rPr>
              <w:t>安装队长（组长）：                 安装单位安全（质量）员：</w:t>
            </w:r>
          </w:p>
          <w:p w14:paraId="57438F14">
            <w:pPr>
              <w:ind w:firstLine="0" w:firstLineChars="0"/>
              <w:jc w:val="center"/>
              <w:rPr>
                <w:sz w:val="21"/>
              </w:rPr>
            </w:pPr>
            <w:r>
              <w:rPr>
                <w:rFonts w:hint="eastAsia"/>
                <w:sz w:val="21"/>
              </w:rPr>
              <w:t>其他参检人员：</w:t>
            </w:r>
          </w:p>
        </w:tc>
      </w:tr>
    </w:tbl>
    <w:p w14:paraId="0CB7D07D">
      <w:pPr>
        <w:ind w:firstLine="0" w:firstLineChars="0"/>
        <w:jc w:val="center"/>
        <w:rPr>
          <w:b/>
          <w:sz w:val="36"/>
          <w:szCs w:val="36"/>
        </w:rPr>
      </w:pPr>
      <w:r>
        <w:rPr>
          <w:rFonts w:hint="eastAsia"/>
          <w:b/>
          <w:sz w:val="36"/>
          <w:szCs w:val="36"/>
        </w:rPr>
        <w:t>塔机安装自检验收表</w:t>
      </w:r>
    </w:p>
    <w:p w14:paraId="58AD0B0A">
      <w:pPr>
        <w:ind w:firstLine="420"/>
        <w:rPr>
          <w:sz w:val="21"/>
        </w:rPr>
      </w:pPr>
      <w:r>
        <w:rPr>
          <w:rFonts w:hint="eastAsia"/>
          <w:sz w:val="21"/>
        </w:rPr>
        <w:t>安装单位：___________________________________ 机型机号：_____________________</w:t>
      </w:r>
    </w:p>
    <w:p w14:paraId="2A3EE0AB">
      <w:pPr>
        <w:ind w:firstLine="420"/>
        <w:rPr>
          <w:sz w:val="21"/>
        </w:rPr>
      </w:pPr>
      <w:r>
        <w:rPr>
          <w:rFonts w:hint="eastAsia"/>
          <w:sz w:val="21"/>
        </w:rPr>
        <w:t>工程名称：___________________________________ 机械编号：_____________________</w:t>
      </w:r>
    </w:p>
    <w:p w14:paraId="28460052">
      <w:pPr>
        <w:ind w:firstLine="420"/>
        <w:rPr>
          <w:sz w:val="21"/>
        </w:rPr>
      </w:pPr>
      <w:r>
        <w:rPr>
          <w:rFonts w:hint="eastAsia"/>
          <w:sz w:val="21"/>
        </w:rPr>
        <w:t>自检高度：___________自检日期：_______年____月_____日  天气__________________</w:t>
      </w:r>
    </w:p>
    <w:p w14:paraId="14A5641F">
      <w:pPr>
        <w:ind w:firstLine="420"/>
        <w:rPr>
          <w:sz w:val="21"/>
        </w:rPr>
      </w:pPr>
    </w:p>
    <w:tbl>
      <w:tblPr>
        <w:tblStyle w:val="42"/>
        <w:tblW w:w="854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30"/>
        <w:gridCol w:w="1810"/>
        <w:gridCol w:w="4708"/>
        <w:gridCol w:w="1592"/>
      </w:tblGrid>
      <w:tr w14:paraId="1EAA7A3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9" w:hRule="atLeast"/>
          <w:tblHeader/>
        </w:trPr>
        <w:tc>
          <w:tcPr>
            <w:tcW w:w="430" w:type="dxa"/>
            <w:vAlign w:val="center"/>
          </w:tcPr>
          <w:p w14:paraId="71684F71">
            <w:pPr>
              <w:ind w:firstLine="0" w:firstLineChars="0"/>
              <w:jc w:val="center"/>
              <w:rPr>
                <w:sz w:val="21"/>
              </w:rPr>
            </w:pPr>
            <w:r>
              <w:rPr>
                <w:rFonts w:hint="eastAsia"/>
                <w:sz w:val="21"/>
              </w:rPr>
              <w:t>序号</w:t>
            </w:r>
          </w:p>
        </w:tc>
        <w:tc>
          <w:tcPr>
            <w:tcW w:w="1810" w:type="dxa"/>
            <w:vAlign w:val="center"/>
          </w:tcPr>
          <w:p w14:paraId="210B0D10">
            <w:pPr>
              <w:ind w:firstLine="0" w:firstLineChars="0"/>
              <w:jc w:val="center"/>
              <w:rPr>
                <w:sz w:val="21"/>
              </w:rPr>
            </w:pPr>
            <w:r>
              <w:rPr>
                <w:rFonts w:hint="eastAsia"/>
                <w:sz w:val="21"/>
              </w:rPr>
              <w:t>项目</w:t>
            </w:r>
          </w:p>
        </w:tc>
        <w:tc>
          <w:tcPr>
            <w:tcW w:w="4708" w:type="dxa"/>
            <w:vAlign w:val="center"/>
          </w:tcPr>
          <w:p w14:paraId="4D3EEB76">
            <w:pPr>
              <w:ind w:firstLine="0" w:firstLineChars="0"/>
              <w:jc w:val="center"/>
              <w:rPr>
                <w:sz w:val="21"/>
              </w:rPr>
            </w:pPr>
            <w:r>
              <w:rPr>
                <w:rFonts w:hint="eastAsia"/>
                <w:sz w:val="21"/>
              </w:rPr>
              <w:t>标准及要求</w:t>
            </w:r>
          </w:p>
        </w:tc>
        <w:tc>
          <w:tcPr>
            <w:tcW w:w="1592" w:type="dxa"/>
            <w:vAlign w:val="center"/>
          </w:tcPr>
          <w:p w14:paraId="0EDD4EC1">
            <w:pPr>
              <w:ind w:firstLine="0" w:firstLineChars="0"/>
              <w:jc w:val="center"/>
              <w:rPr>
                <w:sz w:val="21"/>
              </w:rPr>
            </w:pPr>
            <w:r>
              <w:rPr>
                <w:rFonts w:hint="eastAsia"/>
                <w:sz w:val="21"/>
              </w:rPr>
              <w:t>检查记录</w:t>
            </w:r>
          </w:p>
        </w:tc>
      </w:tr>
      <w:tr w14:paraId="6AB2BFF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9" w:hRule="atLeast"/>
        </w:trPr>
        <w:tc>
          <w:tcPr>
            <w:tcW w:w="430" w:type="dxa"/>
            <w:vAlign w:val="center"/>
          </w:tcPr>
          <w:p w14:paraId="4060DC74">
            <w:pPr>
              <w:ind w:firstLine="0" w:firstLineChars="0"/>
              <w:jc w:val="center"/>
              <w:rPr>
                <w:sz w:val="21"/>
              </w:rPr>
            </w:pPr>
            <w:r>
              <w:rPr>
                <w:rFonts w:hint="eastAsia"/>
                <w:sz w:val="21"/>
              </w:rPr>
              <w:t>1</w:t>
            </w:r>
          </w:p>
        </w:tc>
        <w:tc>
          <w:tcPr>
            <w:tcW w:w="1810" w:type="dxa"/>
            <w:vAlign w:val="center"/>
          </w:tcPr>
          <w:p w14:paraId="0BE2B570">
            <w:pPr>
              <w:ind w:firstLine="0" w:firstLineChars="0"/>
              <w:jc w:val="center"/>
              <w:rPr>
                <w:sz w:val="21"/>
              </w:rPr>
            </w:pPr>
            <w:r>
              <w:rPr>
                <w:rFonts w:hint="eastAsia"/>
                <w:sz w:val="21"/>
              </w:rPr>
              <w:t>安装位置</w:t>
            </w:r>
          </w:p>
        </w:tc>
        <w:tc>
          <w:tcPr>
            <w:tcW w:w="4708" w:type="dxa"/>
            <w:vAlign w:val="center"/>
          </w:tcPr>
          <w:p w14:paraId="57AFF77E">
            <w:pPr>
              <w:ind w:firstLine="0" w:firstLineChars="0"/>
              <w:jc w:val="center"/>
              <w:rPr>
                <w:sz w:val="21"/>
              </w:rPr>
            </w:pPr>
            <w:r>
              <w:rPr>
                <w:rFonts w:hint="eastAsia"/>
                <w:sz w:val="21"/>
              </w:rPr>
              <w:t>塔机与架空线、其它设施及建筑物的距离符合GB5144-94的有关要求</w:t>
            </w:r>
          </w:p>
        </w:tc>
        <w:tc>
          <w:tcPr>
            <w:tcW w:w="1592" w:type="dxa"/>
            <w:vAlign w:val="center"/>
          </w:tcPr>
          <w:p w14:paraId="5BDDA6B7">
            <w:pPr>
              <w:ind w:firstLine="0" w:firstLineChars="0"/>
              <w:jc w:val="center"/>
              <w:rPr>
                <w:sz w:val="21"/>
              </w:rPr>
            </w:pPr>
          </w:p>
        </w:tc>
      </w:tr>
      <w:tr w14:paraId="71C9BAA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7" w:hRule="atLeast"/>
        </w:trPr>
        <w:tc>
          <w:tcPr>
            <w:tcW w:w="430" w:type="dxa"/>
            <w:vAlign w:val="center"/>
          </w:tcPr>
          <w:p w14:paraId="37B8C665">
            <w:pPr>
              <w:ind w:firstLine="0" w:firstLineChars="0"/>
              <w:jc w:val="center"/>
              <w:rPr>
                <w:sz w:val="21"/>
              </w:rPr>
            </w:pPr>
            <w:r>
              <w:rPr>
                <w:rFonts w:hint="eastAsia"/>
                <w:sz w:val="21"/>
              </w:rPr>
              <w:t>2</w:t>
            </w:r>
          </w:p>
        </w:tc>
        <w:tc>
          <w:tcPr>
            <w:tcW w:w="1810" w:type="dxa"/>
            <w:vAlign w:val="center"/>
          </w:tcPr>
          <w:p w14:paraId="724BA379">
            <w:pPr>
              <w:ind w:firstLine="0" w:firstLineChars="0"/>
              <w:jc w:val="center"/>
              <w:rPr>
                <w:sz w:val="21"/>
              </w:rPr>
            </w:pPr>
            <w:r>
              <w:rPr>
                <w:rFonts w:hint="eastAsia"/>
                <w:sz w:val="21"/>
              </w:rPr>
              <w:t>塔身垂直度</w:t>
            </w:r>
          </w:p>
        </w:tc>
        <w:tc>
          <w:tcPr>
            <w:tcW w:w="4708" w:type="dxa"/>
            <w:vAlign w:val="center"/>
          </w:tcPr>
          <w:p w14:paraId="6A6D48AC">
            <w:pPr>
              <w:ind w:firstLine="0" w:firstLineChars="0"/>
              <w:jc w:val="center"/>
              <w:rPr>
                <w:sz w:val="21"/>
              </w:rPr>
            </w:pPr>
            <w:r>
              <w:rPr>
                <w:rFonts w:hint="eastAsia"/>
                <w:sz w:val="21"/>
              </w:rPr>
              <w:t>独立高度≤4‰，附墙以上自由端≤3‰，附墙以下自由端≤2‰</w:t>
            </w:r>
          </w:p>
        </w:tc>
        <w:tc>
          <w:tcPr>
            <w:tcW w:w="1592" w:type="dxa"/>
            <w:vAlign w:val="center"/>
          </w:tcPr>
          <w:p w14:paraId="1EAEF30B">
            <w:pPr>
              <w:ind w:firstLine="0" w:firstLineChars="0"/>
              <w:jc w:val="center"/>
              <w:rPr>
                <w:sz w:val="21"/>
              </w:rPr>
            </w:pPr>
            <w:r>
              <w:rPr>
                <w:rFonts w:hint="eastAsia"/>
                <w:sz w:val="21"/>
              </w:rPr>
              <w:t>东西向：__mm</w:t>
            </w:r>
          </w:p>
          <w:p w14:paraId="007AE1C7">
            <w:pPr>
              <w:ind w:firstLine="0" w:firstLineChars="0"/>
              <w:jc w:val="center"/>
              <w:rPr>
                <w:sz w:val="21"/>
              </w:rPr>
            </w:pPr>
            <w:r>
              <w:rPr>
                <w:rFonts w:hint="eastAsia"/>
                <w:sz w:val="21"/>
              </w:rPr>
              <w:t>南北向：__mm</w:t>
            </w:r>
          </w:p>
        </w:tc>
      </w:tr>
      <w:tr w14:paraId="23AEC66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2" w:hRule="atLeast"/>
        </w:trPr>
        <w:tc>
          <w:tcPr>
            <w:tcW w:w="430" w:type="dxa"/>
            <w:vAlign w:val="center"/>
          </w:tcPr>
          <w:p w14:paraId="257ABA2F">
            <w:pPr>
              <w:ind w:firstLine="0" w:firstLineChars="0"/>
              <w:jc w:val="center"/>
              <w:rPr>
                <w:sz w:val="21"/>
              </w:rPr>
            </w:pPr>
            <w:r>
              <w:rPr>
                <w:rFonts w:hint="eastAsia"/>
                <w:sz w:val="21"/>
              </w:rPr>
              <w:t>3</w:t>
            </w:r>
          </w:p>
        </w:tc>
        <w:tc>
          <w:tcPr>
            <w:tcW w:w="1810" w:type="dxa"/>
            <w:vAlign w:val="center"/>
          </w:tcPr>
          <w:p w14:paraId="45003AD3">
            <w:pPr>
              <w:ind w:firstLine="0" w:firstLineChars="0"/>
              <w:jc w:val="center"/>
              <w:rPr>
                <w:sz w:val="21"/>
              </w:rPr>
            </w:pPr>
            <w:r>
              <w:rPr>
                <w:rFonts w:hint="eastAsia"/>
                <w:sz w:val="21"/>
              </w:rPr>
              <w:t>基础</w:t>
            </w:r>
          </w:p>
        </w:tc>
        <w:tc>
          <w:tcPr>
            <w:tcW w:w="4708" w:type="dxa"/>
            <w:vAlign w:val="center"/>
          </w:tcPr>
          <w:p w14:paraId="3BF7B285">
            <w:pPr>
              <w:ind w:firstLine="0" w:firstLineChars="0"/>
              <w:jc w:val="center"/>
              <w:rPr>
                <w:sz w:val="21"/>
              </w:rPr>
            </w:pPr>
            <w:r>
              <w:rPr>
                <w:rFonts w:hint="eastAsia"/>
                <w:sz w:val="21"/>
              </w:rPr>
              <w:t>基础隐藏工程验收单、砼试压块报告、地耐力报告、基础验收单齐全，碎石基础符合GB5144-94要求</w:t>
            </w:r>
          </w:p>
        </w:tc>
        <w:tc>
          <w:tcPr>
            <w:tcW w:w="1592" w:type="dxa"/>
            <w:vAlign w:val="center"/>
          </w:tcPr>
          <w:p w14:paraId="2DC5D1DF">
            <w:pPr>
              <w:ind w:firstLine="0" w:firstLineChars="0"/>
              <w:jc w:val="center"/>
              <w:rPr>
                <w:sz w:val="21"/>
              </w:rPr>
            </w:pPr>
          </w:p>
        </w:tc>
      </w:tr>
      <w:tr w14:paraId="5601FC3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6" w:hRule="atLeast"/>
        </w:trPr>
        <w:tc>
          <w:tcPr>
            <w:tcW w:w="430" w:type="dxa"/>
            <w:vAlign w:val="center"/>
          </w:tcPr>
          <w:p w14:paraId="51ADD0EA">
            <w:pPr>
              <w:ind w:firstLine="0" w:firstLineChars="0"/>
              <w:jc w:val="center"/>
              <w:rPr>
                <w:sz w:val="21"/>
              </w:rPr>
            </w:pPr>
            <w:r>
              <w:rPr>
                <w:rFonts w:hint="eastAsia"/>
                <w:sz w:val="21"/>
              </w:rPr>
              <w:t>4</w:t>
            </w:r>
          </w:p>
        </w:tc>
        <w:tc>
          <w:tcPr>
            <w:tcW w:w="1810" w:type="dxa"/>
            <w:vAlign w:val="center"/>
          </w:tcPr>
          <w:p w14:paraId="180F1279">
            <w:pPr>
              <w:ind w:firstLine="0" w:firstLineChars="0"/>
              <w:jc w:val="center"/>
              <w:rPr>
                <w:sz w:val="21"/>
              </w:rPr>
            </w:pPr>
            <w:r>
              <w:rPr>
                <w:rFonts w:hint="eastAsia"/>
                <w:sz w:val="21"/>
              </w:rPr>
              <w:t>结构件</w:t>
            </w:r>
          </w:p>
        </w:tc>
        <w:tc>
          <w:tcPr>
            <w:tcW w:w="4708" w:type="dxa"/>
            <w:vAlign w:val="center"/>
          </w:tcPr>
          <w:p w14:paraId="409C516C">
            <w:pPr>
              <w:ind w:firstLine="0" w:firstLineChars="0"/>
              <w:jc w:val="center"/>
              <w:rPr>
                <w:sz w:val="21"/>
              </w:rPr>
            </w:pPr>
            <w:r>
              <w:rPr>
                <w:rFonts w:hint="eastAsia"/>
                <w:sz w:val="21"/>
              </w:rPr>
              <w:t>无扭曲、变形、裂纹和严重锈蚀</w:t>
            </w:r>
          </w:p>
        </w:tc>
        <w:tc>
          <w:tcPr>
            <w:tcW w:w="1592" w:type="dxa"/>
            <w:vAlign w:val="center"/>
          </w:tcPr>
          <w:p w14:paraId="382E883E">
            <w:pPr>
              <w:ind w:firstLine="0" w:firstLineChars="0"/>
              <w:jc w:val="center"/>
              <w:rPr>
                <w:sz w:val="21"/>
              </w:rPr>
            </w:pPr>
          </w:p>
        </w:tc>
      </w:tr>
      <w:tr w14:paraId="1E137A0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2" w:hRule="atLeast"/>
        </w:trPr>
        <w:tc>
          <w:tcPr>
            <w:tcW w:w="430" w:type="dxa"/>
            <w:vAlign w:val="center"/>
          </w:tcPr>
          <w:p w14:paraId="77661554">
            <w:pPr>
              <w:ind w:firstLine="0" w:firstLineChars="0"/>
              <w:jc w:val="center"/>
              <w:rPr>
                <w:sz w:val="21"/>
              </w:rPr>
            </w:pPr>
            <w:r>
              <w:rPr>
                <w:rFonts w:hint="eastAsia"/>
                <w:sz w:val="21"/>
              </w:rPr>
              <w:t>5</w:t>
            </w:r>
          </w:p>
        </w:tc>
        <w:tc>
          <w:tcPr>
            <w:tcW w:w="1810" w:type="dxa"/>
            <w:vAlign w:val="center"/>
          </w:tcPr>
          <w:p w14:paraId="1D7CE5CD">
            <w:pPr>
              <w:ind w:firstLine="0" w:firstLineChars="0"/>
              <w:jc w:val="center"/>
              <w:rPr>
                <w:sz w:val="21"/>
              </w:rPr>
            </w:pPr>
            <w:r>
              <w:rPr>
                <w:rFonts w:hint="eastAsia"/>
                <w:sz w:val="21"/>
              </w:rPr>
              <w:t>连接件、紧固件</w:t>
            </w:r>
          </w:p>
        </w:tc>
        <w:tc>
          <w:tcPr>
            <w:tcW w:w="4708" w:type="dxa"/>
            <w:vAlign w:val="center"/>
          </w:tcPr>
          <w:p w14:paraId="221B35AC">
            <w:pPr>
              <w:ind w:firstLine="0" w:firstLineChars="0"/>
              <w:jc w:val="center"/>
              <w:rPr>
                <w:sz w:val="21"/>
              </w:rPr>
            </w:pPr>
            <w:r>
              <w:rPr>
                <w:rFonts w:hint="eastAsia"/>
                <w:sz w:val="21"/>
              </w:rPr>
              <w:t>销轴齐全到位，有可靠轴向止动，正确使用开口销。螺栓连接齐全、坚固牢靠，均有防松措施，高强螺栓按要求预紧，螺栓高于螺母0-3扣</w:t>
            </w:r>
          </w:p>
        </w:tc>
        <w:tc>
          <w:tcPr>
            <w:tcW w:w="1592" w:type="dxa"/>
            <w:vAlign w:val="center"/>
          </w:tcPr>
          <w:p w14:paraId="2AC5EAE4">
            <w:pPr>
              <w:ind w:firstLine="0" w:firstLineChars="0"/>
              <w:jc w:val="center"/>
              <w:rPr>
                <w:sz w:val="21"/>
              </w:rPr>
            </w:pPr>
          </w:p>
        </w:tc>
      </w:tr>
      <w:tr w14:paraId="3D0A9F1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9" w:hRule="atLeast"/>
        </w:trPr>
        <w:tc>
          <w:tcPr>
            <w:tcW w:w="430" w:type="dxa"/>
            <w:vAlign w:val="center"/>
          </w:tcPr>
          <w:p w14:paraId="04365667">
            <w:pPr>
              <w:ind w:firstLine="0" w:firstLineChars="0"/>
              <w:jc w:val="center"/>
              <w:rPr>
                <w:sz w:val="21"/>
              </w:rPr>
            </w:pPr>
            <w:r>
              <w:rPr>
                <w:rFonts w:hint="eastAsia"/>
                <w:sz w:val="21"/>
              </w:rPr>
              <w:t>6</w:t>
            </w:r>
          </w:p>
        </w:tc>
        <w:tc>
          <w:tcPr>
            <w:tcW w:w="1810" w:type="dxa"/>
            <w:vAlign w:val="center"/>
          </w:tcPr>
          <w:p w14:paraId="51A742A5">
            <w:pPr>
              <w:ind w:firstLine="0" w:firstLineChars="0"/>
              <w:jc w:val="center"/>
              <w:rPr>
                <w:sz w:val="21"/>
              </w:rPr>
            </w:pPr>
            <w:r>
              <w:rPr>
                <w:rFonts w:hint="eastAsia"/>
                <w:sz w:val="21"/>
              </w:rPr>
              <w:t>液压爬升系统</w:t>
            </w:r>
          </w:p>
        </w:tc>
        <w:tc>
          <w:tcPr>
            <w:tcW w:w="4708" w:type="dxa"/>
            <w:vAlign w:val="center"/>
          </w:tcPr>
          <w:p w14:paraId="2B96D96D">
            <w:pPr>
              <w:ind w:firstLine="0" w:firstLineChars="0"/>
              <w:jc w:val="center"/>
              <w:rPr>
                <w:sz w:val="21"/>
              </w:rPr>
            </w:pPr>
            <w:r>
              <w:rPr>
                <w:rFonts w:hint="eastAsia"/>
                <w:sz w:val="21"/>
              </w:rPr>
              <w:t>结构件无变形、裂纹，油缸上下连接牢固、可靠、平衡阀与油缸不得用软管连接</w:t>
            </w:r>
          </w:p>
        </w:tc>
        <w:tc>
          <w:tcPr>
            <w:tcW w:w="1592" w:type="dxa"/>
            <w:vAlign w:val="center"/>
          </w:tcPr>
          <w:p w14:paraId="20CF0E00">
            <w:pPr>
              <w:ind w:firstLine="0" w:firstLineChars="0"/>
              <w:jc w:val="center"/>
              <w:rPr>
                <w:sz w:val="21"/>
              </w:rPr>
            </w:pPr>
          </w:p>
        </w:tc>
      </w:tr>
      <w:tr w14:paraId="76D3272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9" w:hRule="atLeast"/>
        </w:trPr>
        <w:tc>
          <w:tcPr>
            <w:tcW w:w="430" w:type="dxa"/>
            <w:vAlign w:val="center"/>
          </w:tcPr>
          <w:p w14:paraId="6E94BD63">
            <w:pPr>
              <w:ind w:firstLine="0" w:firstLineChars="0"/>
              <w:jc w:val="center"/>
              <w:rPr>
                <w:sz w:val="21"/>
              </w:rPr>
            </w:pPr>
            <w:r>
              <w:rPr>
                <w:rFonts w:hint="eastAsia"/>
                <w:sz w:val="21"/>
              </w:rPr>
              <w:t>7</w:t>
            </w:r>
          </w:p>
        </w:tc>
        <w:tc>
          <w:tcPr>
            <w:tcW w:w="1810" w:type="dxa"/>
            <w:vAlign w:val="center"/>
          </w:tcPr>
          <w:p w14:paraId="3A7507DB">
            <w:pPr>
              <w:ind w:firstLine="0" w:firstLineChars="0"/>
              <w:jc w:val="center"/>
              <w:rPr>
                <w:sz w:val="21"/>
              </w:rPr>
            </w:pPr>
            <w:r>
              <w:rPr>
                <w:rFonts w:hint="eastAsia"/>
                <w:sz w:val="21"/>
              </w:rPr>
              <w:t>配重</w:t>
            </w:r>
          </w:p>
        </w:tc>
        <w:tc>
          <w:tcPr>
            <w:tcW w:w="4708" w:type="dxa"/>
            <w:vAlign w:val="center"/>
          </w:tcPr>
          <w:p w14:paraId="2624CE38">
            <w:pPr>
              <w:ind w:firstLine="0" w:firstLineChars="0"/>
              <w:jc w:val="center"/>
              <w:rPr>
                <w:sz w:val="21"/>
              </w:rPr>
            </w:pPr>
            <w:r>
              <w:rPr>
                <w:rFonts w:hint="eastAsia"/>
                <w:sz w:val="21"/>
              </w:rPr>
              <w:t>按规定堆放、固定连接正确可靠、重量符合设计要求</w:t>
            </w:r>
          </w:p>
        </w:tc>
        <w:tc>
          <w:tcPr>
            <w:tcW w:w="1592" w:type="dxa"/>
            <w:vAlign w:val="center"/>
          </w:tcPr>
          <w:p w14:paraId="598A4FF9">
            <w:pPr>
              <w:ind w:firstLine="0" w:firstLineChars="0"/>
              <w:jc w:val="center"/>
              <w:rPr>
                <w:sz w:val="21"/>
              </w:rPr>
            </w:pPr>
          </w:p>
        </w:tc>
      </w:tr>
      <w:tr w14:paraId="084E5FD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9" w:hRule="atLeast"/>
        </w:trPr>
        <w:tc>
          <w:tcPr>
            <w:tcW w:w="430" w:type="dxa"/>
            <w:vAlign w:val="center"/>
          </w:tcPr>
          <w:p w14:paraId="265AA058">
            <w:pPr>
              <w:ind w:firstLine="0" w:firstLineChars="0"/>
              <w:jc w:val="center"/>
              <w:rPr>
                <w:sz w:val="21"/>
              </w:rPr>
            </w:pPr>
            <w:r>
              <w:rPr>
                <w:rFonts w:hint="eastAsia"/>
                <w:sz w:val="21"/>
              </w:rPr>
              <w:t>8</w:t>
            </w:r>
          </w:p>
        </w:tc>
        <w:tc>
          <w:tcPr>
            <w:tcW w:w="1810" w:type="dxa"/>
            <w:vAlign w:val="center"/>
          </w:tcPr>
          <w:p w14:paraId="38AD0119">
            <w:pPr>
              <w:ind w:firstLine="0" w:firstLineChars="0"/>
              <w:jc w:val="center"/>
              <w:rPr>
                <w:sz w:val="21"/>
              </w:rPr>
            </w:pPr>
            <w:r>
              <w:rPr>
                <w:rFonts w:hint="eastAsia"/>
                <w:sz w:val="21"/>
              </w:rPr>
              <w:t>钢丝绳及其固结</w:t>
            </w:r>
          </w:p>
        </w:tc>
        <w:tc>
          <w:tcPr>
            <w:tcW w:w="4708" w:type="dxa"/>
            <w:vAlign w:val="center"/>
          </w:tcPr>
          <w:p w14:paraId="51D65AE3">
            <w:pPr>
              <w:ind w:firstLine="0" w:firstLineChars="0"/>
              <w:jc w:val="center"/>
              <w:rPr>
                <w:sz w:val="21"/>
              </w:rPr>
            </w:pPr>
            <w:r>
              <w:rPr>
                <w:rFonts w:hint="eastAsia"/>
                <w:sz w:val="21"/>
              </w:rPr>
              <w:t>无严重损伤、变形、固结合理，符合JGJ33-2001、GB5972-86有关要求</w:t>
            </w:r>
          </w:p>
        </w:tc>
        <w:tc>
          <w:tcPr>
            <w:tcW w:w="1592" w:type="dxa"/>
            <w:vAlign w:val="center"/>
          </w:tcPr>
          <w:p w14:paraId="18934C3D">
            <w:pPr>
              <w:ind w:firstLine="0" w:firstLineChars="0"/>
              <w:jc w:val="center"/>
              <w:rPr>
                <w:sz w:val="21"/>
              </w:rPr>
            </w:pPr>
          </w:p>
        </w:tc>
      </w:tr>
      <w:tr w14:paraId="52CCC28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9" w:hRule="atLeast"/>
        </w:trPr>
        <w:tc>
          <w:tcPr>
            <w:tcW w:w="430" w:type="dxa"/>
            <w:vAlign w:val="center"/>
          </w:tcPr>
          <w:p w14:paraId="472DD1E9">
            <w:pPr>
              <w:ind w:firstLine="0" w:firstLineChars="0"/>
              <w:jc w:val="center"/>
              <w:rPr>
                <w:sz w:val="21"/>
              </w:rPr>
            </w:pPr>
            <w:r>
              <w:rPr>
                <w:rFonts w:hint="eastAsia"/>
                <w:sz w:val="21"/>
              </w:rPr>
              <w:t>9</w:t>
            </w:r>
          </w:p>
        </w:tc>
        <w:tc>
          <w:tcPr>
            <w:tcW w:w="1810" w:type="dxa"/>
            <w:vAlign w:val="center"/>
          </w:tcPr>
          <w:p w14:paraId="4650D6BF">
            <w:pPr>
              <w:ind w:firstLine="0" w:firstLineChars="0"/>
              <w:jc w:val="center"/>
              <w:rPr>
                <w:sz w:val="21"/>
              </w:rPr>
            </w:pPr>
            <w:r>
              <w:rPr>
                <w:rFonts w:hint="eastAsia"/>
                <w:sz w:val="21"/>
              </w:rPr>
              <w:t>钢丝绳在卷筒上固定及余留圈娄</w:t>
            </w:r>
          </w:p>
        </w:tc>
        <w:tc>
          <w:tcPr>
            <w:tcW w:w="4708" w:type="dxa"/>
            <w:vAlign w:val="center"/>
          </w:tcPr>
          <w:p w14:paraId="5BAF2388">
            <w:pPr>
              <w:ind w:firstLine="0" w:firstLineChars="0"/>
              <w:jc w:val="center"/>
              <w:rPr>
                <w:sz w:val="21"/>
              </w:rPr>
            </w:pPr>
            <w:r>
              <w:rPr>
                <w:rFonts w:hint="eastAsia"/>
                <w:sz w:val="21"/>
              </w:rPr>
              <w:t>有防松和闩紧性能最少余留不少于3圈</w:t>
            </w:r>
          </w:p>
        </w:tc>
        <w:tc>
          <w:tcPr>
            <w:tcW w:w="1592" w:type="dxa"/>
            <w:vAlign w:val="center"/>
          </w:tcPr>
          <w:p w14:paraId="661B3914">
            <w:pPr>
              <w:ind w:firstLine="0" w:firstLineChars="0"/>
              <w:jc w:val="center"/>
              <w:rPr>
                <w:sz w:val="21"/>
              </w:rPr>
            </w:pPr>
          </w:p>
        </w:tc>
      </w:tr>
      <w:tr w14:paraId="141BA16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0" w:hRule="atLeast"/>
        </w:trPr>
        <w:tc>
          <w:tcPr>
            <w:tcW w:w="430" w:type="dxa"/>
            <w:vAlign w:val="center"/>
          </w:tcPr>
          <w:p w14:paraId="090F1390">
            <w:pPr>
              <w:ind w:firstLine="0" w:firstLineChars="0"/>
              <w:jc w:val="center"/>
              <w:rPr>
                <w:sz w:val="21"/>
              </w:rPr>
            </w:pPr>
            <w:r>
              <w:rPr>
                <w:rFonts w:hint="eastAsia"/>
                <w:sz w:val="21"/>
              </w:rPr>
              <w:t>10</w:t>
            </w:r>
          </w:p>
        </w:tc>
        <w:tc>
          <w:tcPr>
            <w:tcW w:w="1810" w:type="dxa"/>
            <w:vAlign w:val="center"/>
          </w:tcPr>
          <w:p w14:paraId="44DA677F">
            <w:pPr>
              <w:ind w:firstLine="0" w:firstLineChars="0"/>
              <w:jc w:val="center"/>
              <w:rPr>
                <w:sz w:val="21"/>
              </w:rPr>
            </w:pPr>
            <w:r>
              <w:rPr>
                <w:rFonts w:hint="eastAsia"/>
                <w:sz w:val="21"/>
              </w:rPr>
              <w:t>滑轮及滑轮组</w:t>
            </w:r>
          </w:p>
        </w:tc>
        <w:tc>
          <w:tcPr>
            <w:tcW w:w="4708" w:type="dxa"/>
            <w:vAlign w:val="center"/>
          </w:tcPr>
          <w:p w14:paraId="49772464">
            <w:pPr>
              <w:ind w:firstLine="0" w:firstLineChars="0"/>
              <w:jc w:val="center"/>
              <w:rPr>
                <w:sz w:val="21"/>
              </w:rPr>
            </w:pPr>
            <w:r>
              <w:rPr>
                <w:rFonts w:hint="eastAsia"/>
                <w:sz w:val="21"/>
              </w:rPr>
              <w:t>转动自如，润滑良好，应设有效防跳绳装置。</w:t>
            </w:r>
          </w:p>
        </w:tc>
        <w:tc>
          <w:tcPr>
            <w:tcW w:w="1592" w:type="dxa"/>
            <w:vAlign w:val="center"/>
          </w:tcPr>
          <w:p w14:paraId="4C697E84">
            <w:pPr>
              <w:ind w:firstLine="0" w:firstLineChars="0"/>
              <w:jc w:val="center"/>
              <w:rPr>
                <w:sz w:val="21"/>
              </w:rPr>
            </w:pPr>
          </w:p>
        </w:tc>
      </w:tr>
      <w:tr w14:paraId="5997800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2" w:hRule="atLeast"/>
        </w:trPr>
        <w:tc>
          <w:tcPr>
            <w:tcW w:w="430" w:type="dxa"/>
            <w:vAlign w:val="center"/>
          </w:tcPr>
          <w:p w14:paraId="33C48D04">
            <w:pPr>
              <w:ind w:firstLine="0" w:firstLineChars="0"/>
              <w:jc w:val="center"/>
              <w:rPr>
                <w:sz w:val="21"/>
              </w:rPr>
            </w:pPr>
            <w:r>
              <w:rPr>
                <w:rFonts w:hint="eastAsia"/>
                <w:sz w:val="21"/>
              </w:rPr>
              <w:t>11</w:t>
            </w:r>
          </w:p>
        </w:tc>
        <w:tc>
          <w:tcPr>
            <w:tcW w:w="1810" w:type="dxa"/>
            <w:vAlign w:val="center"/>
          </w:tcPr>
          <w:p w14:paraId="5FDE608C">
            <w:pPr>
              <w:ind w:firstLine="0" w:firstLineChars="0"/>
              <w:jc w:val="center"/>
              <w:rPr>
                <w:sz w:val="21"/>
              </w:rPr>
            </w:pPr>
            <w:r>
              <w:rPr>
                <w:rFonts w:hint="eastAsia"/>
                <w:sz w:val="21"/>
              </w:rPr>
              <w:t>爬梯、护圈、栏杆、平台、走台</w:t>
            </w:r>
          </w:p>
        </w:tc>
        <w:tc>
          <w:tcPr>
            <w:tcW w:w="4708" w:type="dxa"/>
            <w:vAlign w:val="center"/>
          </w:tcPr>
          <w:p w14:paraId="6FD569FC">
            <w:pPr>
              <w:ind w:firstLine="0" w:firstLineChars="0"/>
              <w:jc w:val="center"/>
              <w:rPr>
                <w:sz w:val="21"/>
              </w:rPr>
            </w:pPr>
            <w:r>
              <w:rPr>
                <w:rFonts w:hint="eastAsia"/>
                <w:sz w:val="21"/>
              </w:rPr>
              <w:t>符合GB6067-85有关要求</w:t>
            </w:r>
          </w:p>
        </w:tc>
        <w:tc>
          <w:tcPr>
            <w:tcW w:w="1592" w:type="dxa"/>
            <w:vAlign w:val="center"/>
          </w:tcPr>
          <w:p w14:paraId="43E3A23F">
            <w:pPr>
              <w:ind w:firstLine="0" w:firstLineChars="0"/>
              <w:jc w:val="center"/>
              <w:rPr>
                <w:sz w:val="21"/>
              </w:rPr>
            </w:pPr>
          </w:p>
        </w:tc>
      </w:tr>
      <w:tr w14:paraId="7BB8FB4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8" w:hRule="atLeast"/>
        </w:trPr>
        <w:tc>
          <w:tcPr>
            <w:tcW w:w="430" w:type="dxa"/>
            <w:vAlign w:val="center"/>
          </w:tcPr>
          <w:p w14:paraId="164D701B">
            <w:pPr>
              <w:ind w:firstLine="0" w:firstLineChars="0"/>
              <w:jc w:val="center"/>
              <w:rPr>
                <w:sz w:val="21"/>
              </w:rPr>
            </w:pPr>
            <w:r>
              <w:rPr>
                <w:rFonts w:hint="eastAsia"/>
                <w:sz w:val="21"/>
              </w:rPr>
              <w:t>12</w:t>
            </w:r>
          </w:p>
        </w:tc>
        <w:tc>
          <w:tcPr>
            <w:tcW w:w="1810" w:type="dxa"/>
            <w:vAlign w:val="center"/>
          </w:tcPr>
          <w:p w14:paraId="7B4CFFB1">
            <w:pPr>
              <w:ind w:firstLine="0" w:firstLineChars="0"/>
              <w:jc w:val="center"/>
              <w:rPr>
                <w:sz w:val="21"/>
              </w:rPr>
            </w:pPr>
            <w:r>
              <w:rPr>
                <w:rFonts w:hint="eastAsia"/>
                <w:sz w:val="21"/>
              </w:rPr>
              <w:t>吊钩</w:t>
            </w:r>
          </w:p>
        </w:tc>
        <w:tc>
          <w:tcPr>
            <w:tcW w:w="4708" w:type="dxa"/>
            <w:vAlign w:val="center"/>
          </w:tcPr>
          <w:p w14:paraId="23496A05">
            <w:pPr>
              <w:ind w:firstLine="0" w:firstLineChars="0"/>
              <w:jc w:val="center"/>
              <w:rPr>
                <w:sz w:val="21"/>
              </w:rPr>
            </w:pPr>
            <w:r>
              <w:rPr>
                <w:rFonts w:hint="eastAsia"/>
                <w:sz w:val="21"/>
              </w:rPr>
              <w:t>防脱钩装置完好。表面无破口、孔穴、裂纹、凹陷等，不得补焊，挂绳处断面磨损小于高度10%，无永久变形。</w:t>
            </w:r>
          </w:p>
        </w:tc>
        <w:tc>
          <w:tcPr>
            <w:tcW w:w="1592" w:type="dxa"/>
            <w:vAlign w:val="center"/>
          </w:tcPr>
          <w:p w14:paraId="1D5A5332">
            <w:pPr>
              <w:ind w:firstLine="0" w:firstLineChars="0"/>
              <w:jc w:val="center"/>
              <w:rPr>
                <w:sz w:val="21"/>
              </w:rPr>
            </w:pPr>
          </w:p>
        </w:tc>
      </w:tr>
      <w:tr w14:paraId="2D2F311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2" w:hRule="atLeast"/>
        </w:trPr>
        <w:tc>
          <w:tcPr>
            <w:tcW w:w="430" w:type="dxa"/>
            <w:vAlign w:val="center"/>
          </w:tcPr>
          <w:p w14:paraId="01AF564A">
            <w:pPr>
              <w:ind w:firstLine="0" w:firstLineChars="0"/>
              <w:jc w:val="center"/>
              <w:rPr>
                <w:sz w:val="21"/>
              </w:rPr>
            </w:pPr>
            <w:r>
              <w:rPr>
                <w:rFonts w:hint="eastAsia"/>
                <w:sz w:val="21"/>
              </w:rPr>
              <w:t>13</w:t>
            </w:r>
          </w:p>
        </w:tc>
        <w:tc>
          <w:tcPr>
            <w:tcW w:w="1810" w:type="dxa"/>
            <w:vAlign w:val="center"/>
          </w:tcPr>
          <w:p w14:paraId="249600CE">
            <w:pPr>
              <w:ind w:firstLine="0" w:firstLineChars="0"/>
              <w:jc w:val="center"/>
              <w:rPr>
                <w:sz w:val="21"/>
              </w:rPr>
            </w:pPr>
            <w:r>
              <w:rPr>
                <w:rFonts w:hint="eastAsia"/>
                <w:sz w:val="21"/>
              </w:rPr>
              <w:t>制动器</w:t>
            </w:r>
          </w:p>
        </w:tc>
        <w:tc>
          <w:tcPr>
            <w:tcW w:w="4708" w:type="dxa"/>
            <w:vAlign w:val="center"/>
          </w:tcPr>
          <w:p w14:paraId="0BAB21E5">
            <w:pPr>
              <w:ind w:firstLine="0" w:firstLineChars="0"/>
              <w:jc w:val="center"/>
              <w:rPr>
                <w:sz w:val="21"/>
              </w:rPr>
            </w:pPr>
            <w:r>
              <w:rPr>
                <w:rFonts w:hint="eastAsia"/>
                <w:sz w:val="21"/>
              </w:rPr>
              <w:t>制动带（块）清洁，磨损≤原厚度1/2，液压油洁净，油量充足，有防护罩，制动灵敏可靠，间隙正常。</w:t>
            </w:r>
          </w:p>
        </w:tc>
        <w:tc>
          <w:tcPr>
            <w:tcW w:w="1592" w:type="dxa"/>
            <w:vAlign w:val="center"/>
          </w:tcPr>
          <w:p w14:paraId="57AE323A">
            <w:pPr>
              <w:ind w:firstLine="0" w:firstLineChars="0"/>
              <w:jc w:val="center"/>
              <w:rPr>
                <w:sz w:val="21"/>
              </w:rPr>
            </w:pPr>
            <w:r>
              <w:rPr>
                <w:rFonts w:hint="eastAsia"/>
                <w:sz w:val="21"/>
              </w:rPr>
              <w:t>磨损厚度____mm</w:t>
            </w:r>
          </w:p>
        </w:tc>
      </w:tr>
      <w:tr w14:paraId="5CFCF29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restart"/>
            <w:vAlign w:val="center"/>
          </w:tcPr>
          <w:p w14:paraId="7D50DDF7">
            <w:pPr>
              <w:ind w:firstLine="0" w:firstLineChars="0"/>
              <w:jc w:val="center"/>
              <w:rPr>
                <w:sz w:val="21"/>
              </w:rPr>
            </w:pPr>
            <w:r>
              <w:rPr>
                <w:rFonts w:hint="eastAsia"/>
                <w:sz w:val="21"/>
              </w:rPr>
              <w:t>14</w:t>
            </w:r>
          </w:p>
        </w:tc>
        <w:tc>
          <w:tcPr>
            <w:tcW w:w="1810" w:type="dxa"/>
            <w:vMerge w:val="restart"/>
            <w:vAlign w:val="center"/>
          </w:tcPr>
          <w:p w14:paraId="7C17A347">
            <w:pPr>
              <w:ind w:firstLine="0" w:firstLineChars="0"/>
              <w:jc w:val="center"/>
              <w:rPr>
                <w:sz w:val="21"/>
              </w:rPr>
            </w:pPr>
            <w:r>
              <w:rPr>
                <w:rFonts w:hint="eastAsia"/>
                <w:sz w:val="21"/>
              </w:rPr>
              <w:t>安全防护装置</w:t>
            </w:r>
          </w:p>
        </w:tc>
        <w:tc>
          <w:tcPr>
            <w:tcW w:w="4708" w:type="dxa"/>
            <w:vAlign w:val="center"/>
          </w:tcPr>
          <w:p w14:paraId="5C8818C4">
            <w:pPr>
              <w:ind w:firstLine="0" w:firstLineChars="0"/>
              <w:jc w:val="center"/>
              <w:rPr>
                <w:sz w:val="21"/>
              </w:rPr>
            </w:pPr>
            <w:r>
              <w:rPr>
                <w:rFonts w:hint="eastAsia"/>
                <w:sz w:val="21"/>
              </w:rPr>
              <w:t>起重量限制器，调试正确、灵敏有效（填数值）</w:t>
            </w:r>
          </w:p>
        </w:tc>
        <w:tc>
          <w:tcPr>
            <w:tcW w:w="1592" w:type="dxa"/>
            <w:vAlign w:val="center"/>
          </w:tcPr>
          <w:p w14:paraId="27294258">
            <w:pPr>
              <w:ind w:firstLine="0" w:firstLineChars="0"/>
              <w:jc w:val="center"/>
              <w:rPr>
                <w:sz w:val="21"/>
              </w:rPr>
            </w:pPr>
          </w:p>
        </w:tc>
      </w:tr>
      <w:tr w14:paraId="2C54CD7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237E1A73">
            <w:pPr>
              <w:ind w:firstLine="0" w:firstLineChars="0"/>
              <w:jc w:val="center"/>
              <w:rPr>
                <w:sz w:val="21"/>
              </w:rPr>
            </w:pPr>
          </w:p>
        </w:tc>
        <w:tc>
          <w:tcPr>
            <w:tcW w:w="1810" w:type="dxa"/>
            <w:vMerge w:val="continue"/>
            <w:vAlign w:val="center"/>
          </w:tcPr>
          <w:p w14:paraId="23AA475F">
            <w:pPr>
              <w:ind w:firstLine="0" w:firstLineChars="0"/>
              <w:jc w:val="center"/>
              <w:rPr>
                <w:sz w:val="21"/>
              </w:rPr>
            </w:pPr>
          </w:p>
        </w:tc>
        <w:tc>
          <w:tcPr>
            <w:tcW w:w="4708" w:type="dxa"/>
            <w:vAlign w:val="center"/>
          </w:tcPr>
          <w:p w14:paraId="72463FBC">
            <w:pPr>
              <w:ind w:firstLine="0" w:firstLineChars="0"/>
              <w:jc w:val="center"/>
              <w:rPr>
                <w:sz w:val="21"/>
              </w:rPr>
            </w:pPr>
            <w:r>
              <w:rPr>
                <w:rFonts w:hint="eastAsia"/>
                <w:sz w:val="21"/>
              </w:rPr>
              <w:t>起重力矩限制器，调试正确、灵敏有效（填数值）</w:t>
            </w:r>
          </w:p>
        </w:tc>
        <w:tc>
          <w:tcPr>
            <w:tcW w:w="1592" w:type="dxa"/>
            <w:vAlign w:val="center"/>
          </w:tcPr>
          <w:p w14:paraId="2D04C031">
            <w:pPr>
              <w:ind w:firstLine="0" w:firstLineChars="0"/>
              <w:jc w:val="center"/>
              <w:rPr>
                <w:sz w:val="21"/>
              </w:rPr>
            </w:pPr>
          </w:p>
        </w:tc>
      </w:tr>
      <w:tr w14:paraId="36C3A46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622ADFED">
            <w:pPr>
              <w:ind w:firstLine="0" w:firstLineChars="0"/>
              <w:jc w:val="center"/>
              <w:rPr>
                <w:sz w:val="21"/>
              </w:rPr>
            </w:pPr>
          </w:p>
        </w:tc>
        <w:tc>
          <w:tcPr>
            <w:tcW w:w="1810" w:type="dxa"/>
            <w:vMerge w:val="continue"/>
            <w:vAlign w:val="center"/>
          </w:tcPr>
          <w:p w14:paraId="2532A6FF">
            <w:pPr>
              <w:ind w:firstLine="0" w:firstLineChars="0"/>
              <w:jc w:val="center"/>
              <w:rPr>
                <w:sz w:val="21"/>
              </w:rPr>
            </w:pPr>
          </w:p>
        </w:tc>
        <w:tc>
          <w:tcPr>
            <w:tcW w:w="4708" w:type="dxa"/>
            <w:vAlign w:val="center"/>
          </w:tcPr>
          <w:p w14:paraId="3F9CBA96">
            <w:pPr>
              <w:ind w:firstLine="0" w:firstLineChars="0"/>
              <w:jc w:val="center"/>
              <w:rPr>
                <w:sz w:val="21"/>
              </w:rPr>
            </w:pPr>
            <w:r>
              <w:rPr>
                <w:rFonts w:hint="eastAsia"/>
                <w:sz w:val="21"/>
              </w:rPr>
              <w:t>起升高度限制器，调试正确、灵敏有效（填数值）</w:t>
            </w:r>
          </w:p>
        </w:tc>
        <w:tc>
          <w:tcPr>
            <w:tcW w:w="1592" w:type="dxa"/>
            <w:vAlign w:val="center"/>
          </w:tcPr>
          <w:p w14:paraId="059A6D67">
            <w:pPr>
              <w:ind w:firstLine="0" w:firstLineChars="0"/>
              <w:jc w:val="center"/>
              <w:rPr>
                <w:sz w:val="21"/>
              </w:rPr>
            </w:pPr>
          </w:p>
        </w:tc>
      </w:tr>
      <w:tr w14:paraId="2E56472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64809279">
            <w:pPr>
              <w:ind w:firstLine="0" w:firstLineChars="0"/>
              <w:jc w:val="center"/>
              <w:rPr>
                <w:sz w:val="21"/>
              </w:rPr>
            </w:pPr>
          </w:p>
        </w:tc>
        <w:tc>
          <w:tcPr>
            <w:tcW w:w="1810" w:type="dxa"/>
            <w:vMerge w:val="continue"/>
            <w:vAlign w:val="center"/>
          </w:tcPr>
          <w:p w14:paraId="77813DAD">
            <w:pPr>
              <w:ind w:firstLine="0" w:firstLineChars="0"/>
              <w:jc w:val="center"/>
              <w:rPr>
                <w:sz w:val="21"/>
              </w:rPr>
            </w:pPr>
          </w:p>
        </w:tc>
        <w:tc>
          <w:tcPr>
            <w:tcW w:w="4708" w:type="dxa"/>
            <w:vAlign w:val="center"/>
          </w:tcPr>
          <w:p w14:paraId="4A99742F">
            <w:pPr>
              <w:ind w:firstLine="0" w:firstLineChars="0"/>
              <w:jc w:val="center"/>
              <w:rPr>
                <w:sz w:val="21"/>
              </w:rPr>
            </w:pPr>
            <w:r>
              <w:rPr>
                <w:rFonts w:hint="eastAsia"/>
                <w:sz w:val="21"/>
              </w:rPr>
              <w:t>回转限制器、调试正确、有效。</w:t>
            </w:r>
          </w:p>
        </w:tc>
        <w:tc>
          <w:tcPr>
            <w:tcW w:w="1592" w:type="dxa"/>
            <w:vAlign w:val="center"/>
          </w:tcPr>
          <w:p w14:paraId="2A2514AB">
            <w:pPr>
              <w:ind w:firstLine="0" w:firstLineChars="0"/>
              <w:jc w:val="center"/>
              <w:rPr>
                <w:sz w:val="21"/>
              </w:rPr>
            </w:pPr>
          </w:p>
        </w:tc>
      </w:tr>
      <w:tr w14:paraId="7A82F8C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2313B421">
            <w:pPr>
              <w:ind w:firstLine="0" w:firstLineChars="0"/>
              <w:jc w:val="center"/>
              <w:rPr>
                <w:sz w:val="21"/>
              </w:rPr>
            </w:pPr>
          </w:p>
        </w:tc>
        <w:tc>
          <w:tcPr>
            <w:tcW w:w="1810" w:type="dxa"/>
            <w:vMerge w:val="continue"/>
            <w:vAlign w:val="center"/>
          </w:tcPr>
          <w:p w14:paraId="7FE37B4F">
            <w:pPr>
              <w:ind w:firstLine="0" w:firstLineChars="0"/>
              <w:jc w:val="center"/>
              <w:rPr>
                <w:sz w:val="21"/>
              </w:rPr>
            </w:pPr>
          </w:p>
        </w:tc>
        <w:tc>
          <w:tcPr>
            <w:tcW w:w="4708" w:type="dxa"/>
            <w:vAlign w:val="center"/>
          </w:tcPr>
          <w:p w14:paraId="22051C02">
            <w:pPr>
              <w:ind w:firstLine="0" w:firstLineChars="0"/>
              <w:jc w:val="center"/>
              <w:rPr>
                <w:sz w:val="21"/>
              </w:rPr>
            </w:pPr>
            <w:r>
              <w:rPr>
                <w:rFonts w:hint="eastAsia"/>
                <w:sz w:val="21"/>
              </w:rPr>
              <w:t>变幅前后限制器，调试正确、灵敏有效</w:t>
            </w:r>
          </w:p>
        </w:tc>
        <w:tc>
          <w:tcPr>
            <w:tcW w:w="1592" w:type="dxa"/>
            <w:vAlign w:val="center"/>
          </w:tcPr>
          <w:p w14:paraId="09380628">
            <w:pPr>
              <w:ind w:firstLine="0" w:firstLineChars="0"/>
              <w:jc w:val="center"/>
              <w:rPr>
                <w:sz w:val="21"/>
              </w:rPr>
            </w:pPr>
          </w:p>
        </w:tc>
      </w:tr>
      <w:tr w14:paraId="1A0B006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26A102C1">
            <w:pPr>
              <w:ind w:firstLine="0" w:firstLineChars="0"/>
              <w:jc w:val="center"/>
              <w:rPr>
                <w:sz w:val="21"/>
              </w:rPr>
            </w:pPr>
          </w:p>
        </w:tc>
        <w:tc>
          <w:tcPr>
            <w:tcW w:w="1810" w:type="dxa"/>
            <w:vMerge w:val="continue"/>
            <w:vAlign w:val="center"/>
          </w:tcPr>
          <w:p w14:paraId="7B0E908A">
            <w:pPr>
              <w:ind w:firstLine="0" w:firstLineChars="0"/>
              <w:jc w:val="center"/>
              <w:rPr>
                <w:sz w:val="21"/>
              </w:rPr>
            </w:pPr>
          </w:p>
        </w:tc>
        <w:tc>
          <w:tcPr>
            <w:tcW w:w="4708" w:type="dxa"/>
            <w:vAlign w:val="center"/>
          </w:tcPr>
          <w:p w14:paraId="4DF1B980">
            <w:pPr>
              <w:ind w:firstLine="0" w:firstLineChars="0"/>
              <w:jc w:val="center"/>
              <w:rPr>
                <w:sz w:val="21"/>
              </w:rPr>
            </w:pPr>
            <w:r>
              <w:rPr>
                <w:rFonts w:hint="eastAsia"/>
                <w:sz w:val="21"/>
              </w:rPr>
              <w:t>运转机构活动件外露部分应有防护罩</w:t>
            </w:r>
          </w:p>
        </w:tc>
        <w:tc>
          <w:tcPr>
            <w:tcW w:w="1592" w:type="dxa"/>
            <w:vAlign w:val="center"/>
          </w:tcPr>
          <w:p w14:paraId="4B71E2C8">
            <w:pPr>
              <w:ind w:firstLine="0" w:firstLineChars="0"/>
              <w:jc w:val="center"/>
              <w:rPr>
                <w:sz w:val="21"/>
              </w:rPr>
            </w:pPr>
          </w:p>
        </w:tc>
      </w:tr>
      <w:tr w14:paraId="48DF468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5DFE4544">
            <w:pPr>
              <w:ind w:firstLine="0" w:firstLineChars="0"/>
              <w:jc w:val="center"/>
              <w:rPr>
                <w:sz w:val="21"/>
              </w:rPr>
            </w:pPr>
          </w:p>
        </w:tc>
        <w:tc>
          <w:tcPr>
            <w:tcW w:w="1810" w:type="dxa"/>
            <w:vMerge w:val="continue"/>
            <w:vAlign w:val="center"/>
          </w:tcPr>
          <w:p w14:paraId="1F1785B0">
            <w:pPr>
              <w:ind w:firstLine="0" w:firstLineChars="0"/>
              <w:jc w:val="center"/>
              <w:rPr>
                <w:sz w:val="21"/>
              </w:rPr>
            </w:pPr>
          </w:p>
        </w:tc>
        <w:tc>
          <w:tcPr>
            <w:tcW w:w="4708" w:type="dxa"/>
            <w:vAlign w:val="center"/>
          </w:tcPr>
          <w:p w14:paraId="5E8B6884">
            <w:pPr>
              <w:ind w:firstLine="0" w:firstLineChars="0"/>
              <w:jc w:val="center"/>
              <w:rPr>
                <w:sz w:val="21"/>
              </w:rPr>
            </w:pPr>
            <w:r>
              <w:rPr>
                <w:rFonts w:hint="eastAsia"/>
                <w:sz w:val="21"/>
              </w:rPr>
              <w:t>变幅小车应装断绳保护装置，并有效、可靠。</w:t>
            </w:r>
          </w:p>
        </w:tc>
        <w:tc>
          <w:tcPr>
            <w:tcW w:w="1592" w:type="dxa"/>
            <w:vAlign w:val="center"/>
          </w:tcPr>
          <w:p w14:paraId="6942110F">
            <w:pPr>
              <w:ind w:firstLine="0" w:firstLineChars="0"/>
              <w:jc w:val="center"/>
              <w:rPr>
                <w:sz w:val="21"/>
              </w:rPr>
            </w:pPr>
          </w:p>
        </w:tc>
      </w:tr>
      <w:tr w14:paraId="67EB7B8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1DE12826">
            <w:pPr>
              <w:ind w:firstLine="0" w:firstLineChars="0"/>
              <w:jc w:val="center"/>
              <w:rPr>
                <w:sz w:val="21"/>
              </w:rPr>
            </w:pPr>
          </w:p>
        </w:tc>
        <w:tc>
          <w:tcPr>
            <w:tcW w:w="1810" w:type="dxa"/>
            <w:vMerge w:val="continue"/>
            <w:vAlign w:val="center"/>
          </w:tcPr>
          <w:p w14:paraId="48C5A749">
            <w:pPr>
              <w:ind w:firstLine="0" w:firstLineChars="0"/>
              <w:jc w:val="center"/>
              <w:rPr>
                <w:sz w:val="21"/>
              </w:rPr>
            </w:pPr>
          </w:p>
        </w:tc>
        <w:tc>
          <w:tcPr>
            <w:tcW w:w="4708" w:type="dxa"/>
            <w:vAlign w:val="center"/>
          </w:tcPr>
          <w:p w14:paraId="3C9502EE">
            <w:pPr>
              <w:ind w:firstLine="0" w:firstLineChars="0"/>
              <w:jc w:val="center"/>
              <w:rPr>
                <w:sz w:val="21"/>
              </w:rPr>
            </w:pPr>
            <w:r>
              <w:rPr>
                <w:rFonts w:hint="eastAsia"/>
                <w:sz w:val="21"/>
              </w:rPr>
              <w:t>变幅小车应装防坠落装置，并有效、可靠。</w:t>
            </w:r>
          </w:p>
        </w:tc>
        <w:tc>
          <w:tcPr>
            <w:tcW w:w="1592" w:type="dxa"/>
            <w:vAlign w:val="center"/>
          </w:tcPr>
          <w:p w14:paraId="32CCFA05">
            <w:pPr>
              <w:ind w:firstLine="0" w:firstLineChars="0"/>
              <w:jc w:val="center"/>
              <w:rPr>
                <w:sz w:val="21"/>
              </w:rPr>
            </w:pPr>
          </w:p>
        </w:tc>
      </w:tr>
      <w:tr w14:paraId="4B300A1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665342E5">
            <w:pPr>
              <w:ind w:firstLine="0" w:firstLineChars="0"/>
              <w:jc w:val="center"/>
              <w:rPr>
                <w:sz w:val="21"/>
              </w:rPr>
            </w:pPr>
          </w:p>
        </w:tc>
        <w:tc>
          <w:tcPr>
            <w:tcW w:w="1810" w:type="dxa"/>
            <w:vMerge w:val="continue"/>
            <w:vAlign w:val="center"/>
          </w:tcPr>
          <w:p w14:paraId="64A927B7">
            <w:pPr>
              <w:ind w:firstLine="0" w:firstLineChars="0"/>
              <w:jc w:val="center"/>
              <w:rPr>
                <w:sz w:val="21"/>
              </w:rPr>
            </w:pPr>
          </w:p>
        </w:tc>
        <w:tc>
          <w:tcPr>
            <w:tcW w:w="4708" w:type="dxa"/>
            <w:vAlign w:val="center"/>
          </w:tcPr>
          <w:p w14:paraId="079DF39D">
            <w:pPr>
              <w:ind w:firstLine="0" w:firstLineChars="0"/>
              <w:jc w:val="center"/>
              <w:rPr>
                <w:sz w:val="21"/>
              </w:rPr>
            </w:pPr>
            <w:r>
              <w:rPr>
                <w:rFonts w:hint="eastAsia"/>
                <w:sz w:val="21"/>
              </w:rPr>
              <w:t>动臂式塔机有防吊臂后倾装置。</w:t>
            </w:r>
          </w:p>
        </w:tc>
        <w:tc>
          <w:tcPr>
            <w:tcW w:w="1592" w:type="dxa"/>
            <w:vAlign w:val="center"/>
          </w:tcPr>
          <w:p w14:paraId="247EE879">
            <w:pPr>
              <w:ind w:firstLine="0" w:firstLineChars="0"/>
              <w:jc w:val="center"/>
              <w:rPr>
                <w:sz w:val="21"/>
              </w:rPr>
            </w:pPr>
          </w:p>
        </w:tc>
      </w:tr>
      <w:tr w14:paraId="5F34C40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43184299">
            <w:pPr>
              <w:ind w:firstLine="0" w:firstLineChars="0"/>
              <w:jc w:val="center"/>
              <w:rPr>
                <w:sz w:val="21"/>
              </w:rPr>
            </w:pPr>
          </w:p>
        </w:tc>
        <w:tc>
          <w:tcPr>
            <w:tcW w:w="1810" w:type="dxa"/>
            <w:vMerge w:val="continue"/>
            <w:vAlign w:val="center"/>
          </w:tcPr>
          <w:p w14:paraId="347FD05A">
            <w:pPr>
              <w:ind w:firstLine="0" w:firstLineChars="0"/>
              <w:jc w:val="center"/>
              <w:rPr>
                <w:sz w:val="21"/>
              </w:rPr>
            </w:pPr>
          </w:p>
        </w:tc>
        <w:tc>
          <w:tcPr>
            <w:tcW w:w="4708" w:type="dxa"/>
            <w:vAlign w:val="center"/>
          </w:tcPr>
          <w:p w14:paraId="35ACFF90">
            <w:pPr>
              <w:ind w:firstLine="0" w:firstLineChars="0"/>
              <w:jc w:val="center"/>
              <w:rPr>
                <w:sz w:val="21"/>
              </w:rPr>
            </w:pPr>
            <w:r>
              <w:rPr>
                <w:rFonts w:hint="eastAsia"/>
                <w:sz w:val="21"/>
              </w:rPr>
              <w:t>红色障碍灯（总高度≥30m）应装</w:t>
            </w:r>
          </w:p>
        </w:tc>
        <w:tc>
          <w:tcPr>
            <w:tcW w:w="1592" w:type="dxa"/>
            <w:vAlign w:val="center"/>
          </w:tcPr>
          <w:p w14:paraId="539780C4">
            <w:pPr>
              <w:ind w:firstLine="0" w:firstLineChars="0"/>
              <w:jc w:val="center"/>
              <w:rPr>
                <w:sz w:val="21"/>
              </w:rPr>
            </w:pPr>
          </w:p>
        </w:tc>
      </w:tr>
      <w:tr w14:paraId="2BD6880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64A8E167">
            <w:pPr>
              <w:ind w:firstLine="0" w:firstLineChars="0"/>
              <w:jc w:val="center"/>
              <w:rPr>
                <w:sz w:val="21"/>
              </w:rPr>
            </w:pPr>
          </w:p>
        </w:tc>
        <w:tc>
          <w:tcPr>
            <w:tcW w:w="1810" w:type="dxa"/>
            <w:vMerge w:val="continue"/>
            <w:vAlign w:val="center"/>
          </w:tcPr>
          <w:p w14:paraId="478AAF56">
            <w:pPr>
              <w:ind w:firstLine="0" w:firstLineChars="0"/>
              <w:jc w:val="center"/>
              <w:rPr>
                <w:sz w:val="21"/>
              </w:rPr>
            </w:pPr>
          </w:p>
        </w:tc>
        <w:tc>
          <w:tcPr>
            <w:tcW w:w="4708" w:type="dxa"/>
            <w:vAlign w:val="center"/>
          </w:tcPr>
          <w:p w14:paraId="64A5313B">
            <w:pPr>
              <w:ind w:firstLine="0" w:firstLineChars="0"/>
              <w:jc w:val="center"/>
              <w:rPr>
                <w:sz w:val="21"/>
              </w:rPr>
            </w:pPr>
            <w:r>
              <w:rPr>
                <w:rFonts w:hint="eastAsia"/>
                <w:sz w:val="21"/>
              </w:rPr>
              <w:t>升降司机室有防断绳坠落装置。</w:t>
            </w:r>
          </w:p>
        </w:tc>
        <w:tc>
          <w:tcPr>
            <w:tcW w:w="1592" w:type="dxa"/>
            <w:vAlign w:val="center"/>
          </w:tcPr>
          <w:p w14:paraId="37491549">
            <w:pPr>
              <w:ind w:firstLine="0" w:firstLineChars="0"/>
              <w:jc w:val="center"/>
              <w:rPr>
                <w:sz w:val="21"/>
              </w:rPr>
            </w:pPr>
          </w:p>
        </w:tc>
      </w:tr>
      <w:tr w14:paraId="4D38847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6F565782">
            <w:pPr>
              <w:ind w:firstLine="0" w:firstLineChars="0"/>
              <w:jc w:val="center"/>
              <w:rPr>
                <w:sz w:val="21"/>
              </w:rPr>
            </w:pPr>
          </w:p>
        </w:tc>
        <w:tc>
          <w:tcPr>
            <w:tcW w:w="1810" w:type="dxa"/>
            <w:vMerge w:val="continue"/>
            <w:vAlign w:val="center"/>
          </w:tcPr>
          <w:p w14:paraId="4B301101">
            <w:pPr>
              <w:ind w:firstLine="0" w:firstLineChars="0"/>
              <w:jc w:val="center"/>
              <w:rPr>
                <w:sz w:val="21"/>
              </w:rPr>
            </w:pPr>
          </w:p>
        </w:tc>
        <w:tc>
          <w:tcPr>
            <w:tcW w:w="4708" w:type="dxa"/>
            <w:vAlign w:val="center"/>
          </w:tcPr>
          <w:p w14:paraId="39298BE1">
            <w:pPr>
              <w:ind w:firstLine="0" w:firstLineChars="0"/>
              <w:jc w:val="center"/>
              <w:rPr>
                <w:sz w:val="21"/>
              </w:rPr>
            </w:pPr>
            <w:r>
              <w:rPr>
                <w:rFonts w:hint="eastAsia"/>
                <w:sz w:val="21"/>
              </w:rPr>
              <w:t>升降司机室有上、下极极位装置。</w:t>
            </w:r>
          </w:p>
        </w:tc>
        <w:tc>
          <w:tcPr>
            <w:tcW w:w="1592" w:type="dxa"/>
            <w:vAlign w:val="center"/>
          </w:tcPr>
          <w:p w14:paraId="5DF5EE10">
            <w:pPr>
              <w:ind w:firstLine="0" w:firstLineChars="0"/>
              <w:jc w:val="center"/>
              <w:rPr>
                <w:sz w:val="21"/>
              </w:rPr>
            </w:pPr>
          </w:p>
        </w:tc>
      </w:tr>
      <w:tr w14:paraId="220290B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9" w:hRule="atLeast"/>
        </w:trPr>
        <w:tc>
          <w:tcPr>
            <w:tcW w:w="430" w:type="dxa"/>
            <w:vMerge w:val="restart"/>
            <w:vAlign w:val="center"/>
          </w:tcPr>
          <w:p w14:paraId="748A6A2C">
            <w:pPr>
              <w:ind w:firstLine="0" w:firstLineChars="0"/>
              <w:jc w:val="center"/>
              <w:rPr>
                <w:sz w:val="21"/>
              </w:rPr>
            </w:pPr>
            <w:r>
              <w:rPr>
                <w:rFonts w:hint="eastAsia"/>
                <w:sz w:val="21"/>
              </w:rPr>
              <w:t>15</w:t>
            </w:r>
          </w:p>
        </w:tc>
        <w:tc>
          <w:tcPr>
            <w:tcW w:w="1810" w:type="dxa"/>
            <w:vMerge w:val="restart"/>
            <w:vAlign w:val="center"/>
          </w:tcPr>
          <w:p w14:paraId="0CDB56D8">
            <w:pPr>
              <w:ind w:firstLine="0" w:firstLineChars="0"/>
              <w:jc w:val="center"/>
              <w:rPr>
                <w:sz w:val="21"/>
              </w:rPr>
            </w:pPr>
            <w:r>
              <w:rPr>
                <w:rFonts w:hint="eastAsia"/>
                <w:sz w:val="21"/>
              </w:rPr>
              <w:t>电气系统</w:t>
            </w:r>
          </w:p>
        </w:tc>
        <w:tc>
          <w:tcPr>
            <w:tcW w:w="4708" w:type="dxa"/>
            <w:vAlign w:val="center"/>
          </w:tcPr>
          <w:p w14:paraId="5B914DFF">
            <w:pPr>
              <w:ind w:firstLine="0" w:firstLineChars="0"/>
              <w:jc w:val="center"/>
              <w:rPr>
                <w:sz w:val="21"/>
              </w:rPr>
            </w:pPr>
            <w:r>
              <w:rPr>
                <w:rFonts w:hint="eastAsia"/>
                <w:sz w:val="21"/>
              </w:rPr>
              <w:t>有独立专用电箱，并符合要求，有接地装置，安全符合要求，接地电阻阻值不大于4Ω</w:t>
            </w:r>
          </w:p>
        </w:tc>
        <w:tc>
          <w:tcPr>
            <w:tcW w:w="1592" w:type="dxa"/>
            <w:vAlign w:val="center"/>
          </w:tcPr>
          <w:p w14:paraId="405C45CF">
            <w:pPr>
              <w:ind w:firstLine="0" w:firstLineChars="0"/>
              <w:jc w:val="center"/>
              <w:rPr>
                <w:sz w:val="21"/>
              </w:rPr>
            </w:pPr>
          </w:p>
        </w:tc>
      </w:tr>
      <w:tr w14:paraId="1FC2B3B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79540F2E">
            <w:pPr>
              <w:ind w:firstLine="0" w:firstLineChars="0"/>
              <w:jc w:val="center"/>
              <w:rPr>
                <w:sz w:val="21"/>
              </w:rPr>
            </w:pPr>
          </w:p>
        </w:tc>
        <w:tc>
          <w:tcPr>
            <w:tcW w:w="1810" w:type="dxa"/>
            <w:vMerge w:val="continue"/>
            <w:vAlign w:val="center"/>
          </w:tcPr>
          <w:p w14:paraId="7995FD01">
            <w:pPr>
              <w:ind w:firstLine="0" w:firstLineChars="0"/>
              <w:jc w:val="center"/>
              <w:rPr>
                <w:sz w:val="21"/>
              </w:rPr>
            </w:pPr>
          </w:p>
        </w:tc>
        <w:tc>
          <w:tcPr>
            <w:tcW w:w="4708" w:type="dxa"/>
            <w:vAlign w:val="center"/>
          </w:tcPr>
          <w:p w14:paraId="60475011">
            <w:pPr>
              <w:ind w:firstLine="0" w:firstLineChars="0"/>
              <w:jc w:val="center"/>
              <w:rPr>
                <w:sz w:val="21"/>
              </w:rPr>
            </w:pPr>
            <w:r>
              <w:rPr>
                <w:rFonts w:hint="eastAsia"/>
                <w:sz w:val="21"/>
              </w:rPr>
              <w:t>电源箱漏电保护灵敏、可靠</w:t>
            </w:r>
          </w:p>
        </w:tc>
        <w:tc>
          <w:tcPr>
            <w:tcW w:w="1592" w:type="dxa"/>
            <w:vAlign w:val="center"/>
          </w:tcPr>
          <w:p w14:paraId="692AFE87">
            <w:pPr>
              <w:ind w:firstLine="0" w:firstLineChars="0"/>
              <w:jc w:val="center"/>
              <w:rPr>
                <w:sz w:val="21"/>
              </w:rPr>
            </w:pPr>
          </w:p>
        </w:tc>
      </w:tr>
      <w:tr w14:paraId="46E33D6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4537382C">
            <w:pPr>
              <w:ind w:firstLine="0" w:firstLineChars="0"/>
              <w:jc w:val="center"/>
              <w:rPr>
                <w:sz w:val="21"/>
              </w:rPr>
            </w:pPr>
          </w:p>
        </w:tc>
        <w:tc>
          <w:tcPr>
            <w:tcW w:w="1810" w:type="dxa"/>
            <w:vMerge w:val="continue"/>
            <w:vAlign w:val="center"/>
          </w:tcPr>
          <w:p w14:paraId="26E2D8A4">
            <w:pPr>
              <w:ind w:firstLine="0" w:firstLineChars="0"/>
              <w:jc w:val="center"/>
              <w:rPr>
                <w:sz w:val="21"/>
              </w:rPr>
            </w:pPr>
          </w:p>
        </w:tc>
        <w:tc>
          <w:tcPr>
            <w:tcW w:w="4708" w:type="dxa"/>
            <w:vAlign w:val="center"/>
          </w:tcPr>
          <w:p w14:paraId="505B3501">
            <w:pPr>
              <w:ind w:firstLine="0" w:firstLineChars="0"/>
              <w:jc w:val="center"/>
              <w:rPr>
                <w:sz w:val="21"/>
              </w:rPr>
            </w:pPr>
            <w:r>
              <w:rPr>
                <w:rFonts w:hint="eastAsia"/>
                <w:sz w:val="21"/>
              </w:rPr>
              <w:t>电控柜熔断器选配正确</w:t>
            </w:r>
          </w:p>
        </w:tc>
        <w:tc>
          <w:tcPr>
            <w:tcW w:w="1592" w:type="dxa"/>
            <w:vAlign w:val="center"/>
          </w:tcPr>
          <w:p w14:paraId="7AEBD669">
            <w:pPr>
              <w:ind w:firstLine="0" w:firstLineChars="0"/>
              <w:jc w:val="center"/>
              <w:rPr>
                <w:sz w:val="21"/>
              </w:rPr>
            </w:pPr>
          </w:p>
        </w:tc>
      </w:tr>
      <w:tr w14:paraId="2888678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75878435">
            <w:pPr>
              <w:ind w:firstLine="0" w:firstLineChars="0"/>
              <w:jc w:val="center"/>
              <w:rPr>
                <w:sz w:val="21"/>
              </w:rPr>
            </w:pPr>
          </w:p>
        </w:tc>
        <w:tc>
          <w:tcPr>
            <w:tcW w:w="1810" w:type="dxa"/>
            <w:vMerge w:val="continue"/>
            <w:vAlign w:val="center"/>
          </w:tcPr>
          <w:p w14:paraId="5AE0337F">
            <w:pPr>
              <w:ind w:firstLine="0" w:firstLineChars="0"/>
              <w:jc w:val="center"/>
              <w:rPr>
                <w:sz w:val="21"/>
              </w:rPr>
            </w:pPr>
          </w:p>
        </w:tc>
        <w:tc>
          <w:tcPr>
            <w:tcW w:w="4708" w:type="dxa"/>
            <w:vAlign w:val="center"/>
          </w:tcPr>
          <w:p w14:paraId="0D41C3BC">
            <w:pPr>
              <w:ind w:firstLine="0" w:firstLineChars="0"/>
              <w:jc w:val="center"/>
              <w:rPr>
                <w:sz w:val="21"/>
              </w:rPr>
            </w:pPr>
            <w:r>
              <w:rPr>
                <w:rFonts w:hint="eastAsia"/>
                <w:sz w:val="21"/>
              </w:rPr>
              <w:t>控制线路有零位保护，照明线路独立</w:t>
            </w:r>
          </w:p>
        </w:tc>
        <w:tc>
          <w:tcPr>
            <w:tcW w:w="1592" w:type="dxa"/>
            <w:vAlign w:val="center"/>
          </w:tcPr>
          <w:p w14:paraId="32AC447B">
            <w:pPr>
              <w:ind w:firstLine="0" w:firstLineChars="0"/>
              <w:jc w:val="center"/>
              <w:rPr>
                <w:sz w:val="21"/>
              </w:rPr>
            </w:pPr>
          </w:p>
        </w:tc>
      </w:tr>
      <w:tr w14:paraId="52AC847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7" w:hRule="atLeast"/>
        </w:trPr>
        <w:tc>
          <w:tcPr>
            <w:tcW w:w="430" w:type="dxa"/>
            <w:vAlign w:val="center"/>
          </w:tcPr>
          <w:p w14:paraId="10EBB1EA">
            <w:pPr>
              <w:ind w:firstLine="0" w:firstLineChars="0"/>
              <w:jc w:val="center"/>
              <w:rPr>
                <w:sz w:val="21"/>
              </w:rPr>
            </w:pPr>
            <w:r>
              <w:rPr>
                <w:rFonts w:hint="eastAsia"/>
                <w:sz w:val="21"/>
              </w:rPr>
              <w:t>16</w:t>
            </w:r>
          </w:p>
        </w:tc>
        <w:tc>
          <w:tcPr>
            <w:tcW w:w="1810" w:type="dxa"/>
            <w:vAlign w:val="center"/>
          </w:tcPr>
          <w:p w14:paraId="74AB945D">
            <w:pPr>
              <w:ind w:firstLine="0" w:firstLineChars="0"/>
              <w:jc w:val="center"/>
              <w:rPr>
                <w:sz w:val="21"/>
              </w:rPr>
            </w:pPr>
            <w:r>
              <w:rPr>
                <w:rFonts w:hint="eastAsia"/>
                <w:sz w:val="21"/>
              </w:rPr>
              <w:t>司机室</w:t>
            </w:r>
          </w:p>
        </w:tc>
        <w:tc>
          <w:tcPr>
            <w:tcW w:w="4708" w:type="dxa"/>
            <w:vAlign w:val="center"/>
          </w:tcPr>
          <w:p w14:paraId="3AA64CA0">
            <w:pPr>
              <w:ind w:firstLine="0" w:firstLineChars="0"/>
              <w:jc w:val="center"/>
              <w:rPr>
                <w:sz w:val="21"/>
              </w:rPr>
            </w:pPr>
            <w:r>
              <w:rPr>
                <w:rFonts w:hint="eastAsia"/>
                <w:sz w:val="21"/>
              </w:rPr>
              <w:t>结构安全可靠、连接牢固，装设绝缘地板、电铃，配备灭火器</w:t>
            </w:r>
          </w:p>
        </w:tc>
        <w:tc>
          <w:tcPr>
            <w:tcW w:w="1592" w:type="dxa"/>
            <w:vAlign w:val="center"/>
          </w:tcPr>
          <w:p w14:paraId="4AAC17CE">
            <w:pPr>
              <w:ind w:firstLine="0" w:firstLineChars="0"/>
              <w:jc w:val="center"/>
              <w:rPr>
                <w:sz w:val="21"/>
              </w:rPr>
            </w:pPr>
          </w:p>
        </w:tc>
      </w:tr>
      <w:tr w14:paraId="5F5318A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7" w:hRule="atLeast"/>
        </w:trPr>
        <w:tc>
          <w:tcPr>
            <w:tcW w:w="430" w:type="dxa"/>
            <w:vAlign w:val="center"/>
          </w:tcPr>
          <w:p w14:paraId="7552CBFA">
            <w:pPr>
              <w:ind w:firstLine="0" w:firstLineChars="0"/>
              <w:jc w:val="center"/>
              <w:rPr>
                <w:sz w:val="21"/>
              </w:rPr>
            </w:pPr>
            <w:r>
              <w:rPr>
                <w:rFonts w:hint="eastAsia"/>
                <w:sz w:val="21"/>
              </w:rPr>
              <w:t>17</w:t>
            </w:r>
          </w:p>
        </w:tc>
        <w:tc>
          <w:tcPr>
            <w:tcW w:w="1810" w:type="dxa"/>
            <w:vAlign w:val="center"/>
          </w:tcPr>
          <w:p w14:paraId="46C4738F">
            <w:pPr>
              <w:ind w:firstLine="0" w:firstLineChars="0"/>
              <w:jc w:val="center"/>
              <w:rPr>
                <w:sz w:val="21"/>
              </w:rPr>
            </w:pPr>
            <w:r>
              <w:rPr>
                <w:rFonts w:hint="eastAsia"/>
                <w:sz w:val="21"/>
              </w:rPr>
              <w:t>机构部分</w:t>
            </w:r>
          </w:p>
        </w:tc>
        <w:tc>
          <w:tcPr>
            <w:tcW w:w="4708" w:type="dxa"/>
            <w:vAlign w:val="center"/>
          </w:tcPr>
          <w:p w14:paraId="74E59B40">
            <w:pPr>
              <w:ind w:firstLine="0" w:firstLineChars="0"/>
              <w:jc w:val="center"/>
              <w:rPr>
                <w:sz w:val="21"/>
              </w:rPr>
            </w:pPr>
            <w:r>
              <w:rPr>
                <w:rFonts w:hint="eastAsia"/>
                <w:sz w:val="21"/>
              </w:rPr>
              <w:t>运转正常，润滑良好，与结构件连接牢固可靠。卷筒上排绳无跳槽交叠现象。</w:t>
            </w:r>
          </w:p>
        </w:tc>
        <w:tc>
          <w:tcPr>
            <w:tcW w:w="1592" w:type="dxa"/>
            <w:vAlign w:val="center"/>
          </w:tcPr>
          <w:p w14:paraId="5165E79A">
            <w:pPr>
              <w:ind w:firstLine="0" w:firstLineChars="0"/>
              <w:jc w:val="center"/>
              <w:rPr>
                <w:sz w:val="21"/>
              </w:rPr>
            </w:pPr>
          </w:p>
        </w:tc>
      </w:tr>
      <w:tr w14:paraId="44F075D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8" w:hRule="atLeast"/>
        </w:trPr>
        <w:tc>
          <w:tcPr>
            <w:tcW w:w="430" w:type="dxa"/>
            <w:vAlign w:val="center"/>
          </w:tcPr>
          <w:p w14:paraId="454B070C">
            <w:pPr>
              <w:ind w:firstLine="0" w:firstLineChars="0"/>
              <w:jc w:val="center"/>
              <w:rPr>
                <w:sz w:val="21"/>
              </w:rPr>
            </w:pPr>
            <w:r>
              <w:rPr>
                <w:rFonts w:hint="eastAsia"/>
                <w:sz w:val="21"/>
              </w:rPr>
              <w:t>18</w:t>
            </w:r>
          </w:p>
        </w:tc>
        <w:tc>
          <w:tcPr>
            <w:tcW w:w="1810" w:type="dxa"/>
            <w:vAlign w:val="center"/>
          </w:tcPr>
          <w:p w14:paraId="51156544">
            <w:pPr>
              <w:ind w:firstLine="0" w:firstLineChars="0"/>
              <w:jc w:val="center"/>
              <w:rPr>
                <w:sz w:val="21"/>
              </w:rPr>
            </w:pPr>
            <w:r>
              <w:rPr>
                <w:rFonts w:hint="eastAsia"/>
                <w:sz w:val="21"/>
              </w:rPr>
              <w:t>空截试验</w:t>
            </w:r>
          </w:p>
        </w:tc>
        <w:tc>
          <w:tcPr>
            <w:tcW w:w="4708" w:type="dxa"/>
            <w:vAlign w:val="center"/>
          </w:tcPr>
          <w:p w14:paraId="2A180320">
            <w:pPr>
              <w:ind w:firstLine="0" w:firstLineChars="0"/>
              <w:jc w:val="center"/>
              <w:rPr>
                <w:sz w:val="21"/>
              </w:rPr>
            </w:pPr>
            <w:r>
              <w:rPr>
                <w:rFonts w:hint="eastAsia"/>
                <w:sz w:val="21"/>
              </w:rPr>
              <w:t>各工作机构单项动作和联合动作反复三次。各控制器灵敏、可靠、准确，无振动、异响。</w:t>
            </w:r>
          </w:p>
        </w:tc>
        <w:tc>
          <w:tcPr>
            <w:tcW w:w="1592" w:type="dxa"/>
            <w:vAlign w:val="center"/>
          </w:tcPr>
          <w:p w14:paraId="4E61E99A">
            <w:pPr>
              <w:ind w:firstLine="0" w:firstLineChars="0"/>
              <w:jc w:val="center"/>
              <w:rPr>
                <w:sz w:val="21"/>
              </w:rPr>
            </w:pPr>
          </w:p>
        </w:tc>
      </w:tr>
      <w:tr w14:paraId="56D6566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2" w:hRule="atLeast"/>
        </w:trPr>
        <w:tc>
          <w:tcPr>
            <w:tcW w:w="430" w:type="dxa"/>
            <w:vMerge w:val="restart"/>
            <w:vAlign w:val="center"/>
          </w:tcPr>
          <w:p w14:paraId="5ADC33A2">
            <w:pPr>
              <w:ind w:firstLine="0" w:firstLineChars="0"/>
              <w:jc w:val="center"/>
              <w:rPr>
                <w:sz w:val="21"/>
              </w:rPr>
            </w:pPr>
            <w:r>
              <w:rPr>
                <w:rFonts w:hint="eastAsia"/>
                <w:sz w:val="21"/>
              </w:rPr>
              <w:t>19</w:t>
            </w:r>
          </w:p>
        </w:tc>
        <w:tc>
          <w:tcPr>
            <w:tcW w:w="1810" w:type="dxa"/>
            <w:vMerge w:val="restart"/>
            <w:vAlign w:val="center"/>
          </w:tcPr>
          <w:p w14:paraId="3B3B6752">
            <w:pPr>
              <w:ind w:firstLine="0" w:firstLineChars="0"/>
              <w:jc w:val="center"/>
              <w:rPr>
                <w:sz w:val="21"/>
              </w:rPr>
            </w:pPr>
            <w:r>
              <w:rPr>
                <w:rFonts w:hint="eastAsia"/>
                <w:sz w:val="21"/>
              </w:rPr>
              <w:t>额定载荷试验</w:t>
            </w:r>
          </w:p>
        </w:tc>
        <w:tc>
          <w:tcPr>
            <w:tcW w:w="4708" w:type="dxa"/>
            <w:vAlign w:val="center"/>
          </w:tcPr>
          <w:p w14:paraId="51289C87">
            <w:pPr>
              <w:ind w:firstLine="0" w:firstLineChars="0"/>
              <w:jc w:val="center"/>
              <w:rPr>
                <w:sz w:val="21"/>
              </w:rPr>
            </w:pPr>
            <w:r>
              <w:rPr>
                <w:rFonts w:hint="eastAsia"/>
                <w:sz w:val="21"/>
              </w:rPr>
              <w:t>在最大幅度时起升额定起重量，在下降、起升过程中制动三次，以额定速度变幅，全回转。动作正确、制动可靠、钢结构正常。</w:t>
            </w:r>
          </w:p>
        </w:tc>
        <w:tc>
          <w:tcPr>
            <w:tcW w:w="1592" w:type="dxa"/>
            <w:vAlign w:val="center"/>
          </w:tcPr>
          <w:p w14:paraId="066753E9">
            <w:pPr>
              <w:ind w:firstLine="0" w:firstLineChars="0"/>
              <w:jc w:val="center"/>
              <w:rPr>
                <w:sz w:val="21"/>
              </w:rPr>
            </w:pPr>
          </w:p>
        </w:tc>
      </w:tr>
      <w:tr w14:paraId="2425542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5" w:hRule="atLeast"/>
        </w:trPr>
        <w:tc>
          <w:tcPr>
            <w:tcW w:w="430" w:type="dxa"/>
            <w:vMerge w:val="continue"/>
            <w:vAlign w:val="center"/>
          </w:tcPr>
          <w:p w14:paraId="1B7C135B">
            <w:pPr>
              <w:ind w:firstLine="0" w:firstLineChars="0"/>
              <w:jc w:val="center"/>
              <w:rPr>
                <w:sz w:val="21"/>
              </w:rPr>
            </w:pPr>
          </w:p>
        </w:tc>
        <w:tc>
          <w:tcPr>
            <w:tcW w:w="1810" w:type="dxa"/>
            <w:vMerge w:val="continue"/>
            <w:vAlign w:val="center"/>
          </w:tcPr>
          <w:p w14:paraId="65565A2F">
            <w:pPr>
              <w:ind w:firstLine="0" w:firstLineChars="0"/>
              <w:jc w:val="center"/>
              <w:rPr>
                <w:sz w:val="21"/>
              </w:rPr>
            </w:pPr>
          </w:p>
        </w:tc>
        <w:tc>
          <w:tcPr>
            <w:tcW w:w="4708" w:type="dxa"/>
            <w:vAlign w:val="center"/>
          </w:tcPr>
          <w:p w14:paraId="1FBA2B3A">
            <w:pPr>
              <w:ind w:firstLine="0" w:firstLineChars="0"/>
              <w:jc w:val="center"/>
              <w:rPr>
                <w:sz w:val="21"/>
              </w:rPr>
            </w:pPr>
            <w:r>
              <w:rPr>
                <w:rFonts w:hint="eastAsia"/>
                <w:sz w:val="21"/>
              </w:rPr>
              <w:t>吊起最大起重量在相应的最大幅度时，起升、下降过程中制动三次，以额定速度向里变幅（动臂式不试），全回转。动作正确、制动可靠、钢结构正常。</w:t>
            </w:r>
          </w:p>
        </w:tc>
        <w:tc>
          <w:tcPr>
            <w:tcW w:w="1592" w:type="dxa"/>
            <w:vAlign w:val="center"/>
          </w:tcPr>
          <w:p w14:paraId="0EA2216F">
            <w:pPr>
              <w:ind w:firstLine="0" w:firstLineChars="0"/>
              <w:jc w:val="center"/>
              <w:rPr>
                <w:sz w:val="21"/>
              </w:rPr>
            </w:pPr>
          </w:p>
        </w:tc>
      </w:tr>
      <w:tr w14:paraId="7625FB2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4" w:hRule="atLeast"/>
        </w:trPr>
        <w:tc>
          <w:tcPr>
            <w:tcW w:w="430" w:type="dxa"/>
            <w:vMerge w:val="restart"/>
            <w:vAlign w:val="center"/>
          </w:tcPr>
          <w:p w14:paraId="227A1826">
            <w:pPr>
              <w:ind w:firstLine="0" w:firstLineChars="0"/>
              <w:jc w:val="center"/>
              <w:rPr>
                <w:sz w:val="21"/>
              </w:rPr>
            </w:pPr>
            <w:r>
              <w:rPr>
                <w:rFonts w:hint="eastAsia"/>
                <w:sz w:val="21"/>
              </w:rPr>
              <w:t>20</w:t>
            </w:r>
          </w:p>
        </w:tc>
        <w:tc>
          <w:tcPr>
            <w:tcW w:w="1810" w:type="dxa"/>
            <w:vMerge w:val="restart"/>
            <w:vAlign w:val="center"/>
          </w:tcPr>
          <w:p w14:paraId="149EF10C">
            <w:pPr>
              <w:ind w:firstLine="0" w:firstLineChars="0"/>
              <w:jc w:val="center"/>
              <w:rPr>
                <w:sz w:val="21"/>
              </w:rPr>
            </w:pPr>
            <w:r>
              <w:rPr>
                <w:rFonts w:hint="eastAsia"/>
                <w:sz w:val="21"/>
              </w:rPr>
              <w:t>超载10%动载试验</w:t>
            </w:r>
          </w:p>
        </w:tc>
        <w:tc>
          <w:tcPr>
            <w:tcW w:w="4708" w:type="dxa"/>
            <w:vAlign w:val="center"/>
          </w:tcPr>
          <w:p w14:paraId="26BFBF5B">
            <w:pPr>
              <w:ind w:firstLine="0" w:firstLineChars="0"/>
              <w:jc w:val="center"/>
              <w:rPr>
                <w:sz w:val="21"/>
              </w:rPr>
            </w:pPr>
            <w:r>
              <w:rPr>
                <w:rFonts w:hint="eastAsia"/>
                <w:sz w:val="21"/>
              </w:rPr>
              <w:t>最大幅度时吊起相应额定超重量的110%，以额定速度起升、下降变幅、回转。各机构运转灵活，制动可靠，连接无松动和破坏，钢结构完好正常。</w:t>
            </w:r>
          </w:p>
        </w:tc>
        <w:tc>
          <w:tcPr>
            <w:tcW w:w="1592" w:type="dxa"/>
            <w:vAlign w:val="center"/>
          </w:tcPr>
          <w:p w14:paraId="6B18C977">
            <w:pPr>
              <w:ind w:firstLine="0" w:firstLineChars="0"/>
              <w:jc w:val="center"/>
              <w:rPr>
                <w:sz w:val="21"/>
              </w:rPr>
            </w:pPr>
          </w:p>
        </w:tc>
      </w:tr>
      <w:tr w14:paraId="64D949D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5" w:hRule="atLeast"/>
        </w:trPr>
        <w:tc>
          <w:tcPr>
            <w:tcW w:w="430" w:type="dxa"/>
            <w:vMerge w:val="continue"/>
            <w:vAlign w:val="center"/>
          </w:tcPr>
          <w:p w14:paraId="247410D2">
            <w:pPr>
              <w:ind w:firstLine="0" w:firstLineChars="0"/>
              <w:jc w:val="center"/>
              <w:rPr>
                <w:sz w:val="21"/>
              </w:rPr>
            </w:pPr>
          </w:p>
        </w:tc>
        <w:tc>
          <w:tcPr>
            <w:tcW w:w="1810" w:type="dxa"/>
            <w:vMerge w:val="continue"/>
            <w:vAlign w:val="center"/>
          </w:tcPr>
          <w:p w14:paraId="30ABBEA9">
            <w:pPr>
              <w:ind w:firstLine="0" w:firstLineChars="0"/>
              <w:jc w:val="center"/>
              <w:rPr>
                <w:sz w:val="21"/>
              </w:rPr>
            </w:pPr>
          </w:p>
        </w:tc>
        <w:tc>
          <w:tcPr>
            <w:tcW w:w="4708" w:type="dxa"/>
            <w:vAlign w:val="center"/>
          </w:tcPr>
          <w:p w14:paraId="00EBCDFD">
            <w:pPr>
              <w:ind w:firstLine="0" w:firstLineChars="0"/>
              <w:jc w:val="center"/>
              <w:rPr>
                <w:sz w:val="21"/>
              </w:rPr>
            </w:pPr>
            <w:r>
              <w:rPr>
                <w:rFonts w:hint="eastAsia"/>
                <w:sz w:val="21"/>
              </w:rPr>
              <w:t>吊起最大起重量的110%，在相应的最大幅度时起升、下降变幅（向里）、回转。各机构运转灵活，制动可靠，连接无松动和破坏，钢结构完好正常。</w:t>
            </w:r>
          </w:p>
        </w:tc>
        <w:tc>
          <w:tcPr>
            <w:tcW w:w="1592" w:type="dxa"/>
            <w:vAlign w:val="center"/>
          </w:tcPr>
          <w:p w14:paraId="23B8898A">
            <w:pPr>
              <w:ind w:firstLine="0" w:firstLineChars="0"/>
              <w:jc w:val="center"/>
              <w:rPr>
                <w:sz w:val="21"/>
              </w:rPr>
            </w:pPr>
          </w:p>
        </w:tc>
      </w:tr>
      <w:tr w14:paraId="64C1D13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5" w:hRule="atLeast"/>
        </w:trPr>
        <w:tc>
          <w:tcPr>
            <w:tcW w:w="430" w:type="dxa"/>
            <w:vAlign w:val="center"/>
          </w:tcPr>
          <w:p w14:paraId="05B0B6C8">
            <w:pPr>
              <w:ind w:firstLine="0" w:firstLineChars="0"/>
              <w:jc w:val="center"/>
              <w:rPr>
                <w:sz w:val="21"/>
              </w:rPr>
            </w:pPr>
            <w:r>
              <w:rPr>
                <w:rFonts w:hint="eastAsia"/>
                <w:sz w:val="21"/>
              </w:rPr>
              <w:t>21</w:t>
            </w:r>
          </w:p>
        </w:tc>
        <w:tc>
          <w:tcPr>
            <w:tcW w:w="1810" w:type="dxa"/>
            <w:vAlign w:val="center"/>
          </w:tcPr>
          <w:p w14:paraId="6D1108C2">
            <w:pPr>
              <w:ind w:firstLine="0" w:firstLineChars="0"/>
              <w:jc w:val="center"/>
              <w:rPr>
                <w:sz w:val="21"/>
              </w:rPr>
            </w:pPr>
            <w:r>
              <w:rPr>
                <w:rFonts w:hint="eastAsia"/>
                <w:sz w:val="21"/>
              </w:rPr>
              <w:t>超载25%静载试验</w:t>
            </w:r>
          </w:p>
        </w:tc>
        <w:tc>
          <w:tcPr>
            <w:tcW w:w="4708" w:type="dxa"/>
            <w:vAlign w:val="center"/>
          </w:tcPr>
          <w:p w14:paraId="5764E3FC">
            <w:pPr>
              <w:ind w:firstLine="0" w:firstLineChars="0"/>
              <w:jc w:val="center"/>
              <w:rPr>
                <w:sz w:val="21"/>
              </w:rPr>
            </w:pPr>
            <w:r>
              <w:rPr>
                <w:rFonts w:hint="eastAsia"/>
                <w:sz w:val="21"/>
              </w:rPr>
              <w:t>额定载荷的125%，以最低速度吊离地面100-200mm，停留10min。要求不下滑，卸载后，所有部件不得了现裂纹、永久变形、油漆剥落、连接松动等现象。</w:t>
            </w:r>
          </w:p>
        </w:tc>
        <w:tc>
          <w:tcPr>
            <w:tcW w:w="1592" w:type="dxa"/>
            <w:vAlign w:val="center"/>
          </w:tcPr>
          <w:p w14:paraId="4F01287A">
            <w:pPr>
              <w:ind w:firstLine="0" w:firstLineChars="0"/>
              <w:jc w:val="center"/>
              <w:rPr>
                <w:sz w:val="21"/>
              </w:rPr>
            </w:pPr>
          </w:p>
        </w:tc>
      </w:tr>
      <w:tr w14:paraId="5BD2578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0" w:hRule="atLeast"/>
        </w:trPr>
        <w:tc>
          <w:tcPr>
            <w:tcW w:w="430" w:type="dxa"/>
            <w:vAlign w:val="center"/>
          </w:tcPr>
          <w:p w14:paraId="60F55D00">
            <w:pPr>
              <w:ind w:firstLine="0" w:firstLineChars="0"/>
              <w:jc w:val="center"/>
              <w:rPr>
                <w:sz w:val="21"/>
              </w:rPr>
            </w:pPr>
            <w:r>
              <w:rPr>
                <w:rFonts w:hint="eastAsia"/>
                <w:sz w:val="21"/>
              </w:rPr>
              <w:t>验收意见</w:t>
            </w:r>
          </w:p>
        </w:tc>
        <w:tc>
          <w:tcPr>
            <w:tcW w:w="8110" w:type="dxa"/>
            <w:gridSpan w:val="3"/>
            <w:vAlign w:val="center"/>
          </w:tcPr>
          <w:p w14:paraId="18048D1D">
            <w:pPr>
              <w:ind w:firstLine="0" w:firstLineChars="0"/>
              <w:jc w:val="center"/>
              <w:rPr>
                <w:sz w:val="21"/>
              </w:rPr>
            </w:pPr>
            <w:r>
              <w:rPr>
                <w:rFonts w:hint="eastAsia"/>
                <w:sz w:val="21"/>
              </w:rPr>
              <w:t xml:space="preserve"> </w:t>
            </w:r>
          </w:p>
          <w:p w14:paraId="569B7931">
            <w:pPr>
              <w:ind w:firstLine="0" w:firstLineChars="0"/>
              <w:jc w:val="center"/>
              <w:rPr>
                <w:sz w:val="21"/>
              </w:rPr>
            </w:pPr>
            <w:r>
              <w:rPr>
                <w:rFonts w:hint="eastAsia"/>
                <w:sz w:val="21"/>
              </w:rPr>
              <w:t xml:space="preserve"> </w:t>
            </w:r>
          </w:p>
          <w:p w14:paraId="2F78430D">
            <w:pPr>
              <w:ind w:firstLine="0" w:firstLineChars="0"/>
              <w:jc w:val="center"/>
              <w:rPr>
                <w:sz w:val="21"/>
              </w:rPr>
            </w:pPr>
            <w:r>
              <w:rPr>
                <w:rFonts w:hint="eastAsia"/>
                <w:sz w:val="21"/>
              </w:rPr>
              <w:t xml:space="preserve"> </w:t>
            </w:r>
          </w:p>
          <w:p w14:paraId="5CD99835">
            <w:pPr>
              <w:ind w:firstLine="0" w:firstLineChars="0"/>
              <w:jc w:val="center"/>
              <w:rPr>
                <w:sz w:val="21"/>
              </w:rPr>
            </w:pPr>
            <w:r>
              <w:rPr>
                <w:rFonts w:hint="eastAsia"/>
                <w:sz w:val="21"/>
              </w:rPr>
              <w:t xml:space="preserve">                         安装单位公章</w:t>
            </w:r>
          </w:p>
          <w:p w14:paraId="72BB969C">
            <w:pPr>
              <w:ind w:firstLine="0" w:firstLineChars="0"/>
              <w:jc w:val="center"/>
              <w:rPr>
                <w:sz w:val="21"/>
              </w:rPr>
            </w:pPr>
            <w:r>
              <w:rPr>
                <w:rFonts w:hint="eastAsia"/>
                <w:sz w:val="21"/>
              </w:rPr>
              <w:t xml:space="preserve">                         年  月   日</w:t>
            </w:r>
          </w:p>
        </w:tc>
      </w:tr>
      <w:tr w14:paraId="326C321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79" w:hRule="atLeast"/>
        </w:trPr>
        <w:tc>
          <w:tcPr>
            <w:tcW w:w="430" w:type="dxa"/>
            <w:vAlign w:val="center"/>
          </w:tcPr>
          <w:p w14:paraId="18FBC781">
            <w:pPr>
              <w:ind w:firstLine="0" w:firstLineChars="0"/>
              <w:jc w:val="center"/>
              <w:rPr>
                <w:sz w:val="21"/>
              </w:rPr>
            </w:pPr>
            <w:r>
              <w:rPr>
                <w:rFonts w:hint="eastAsia"/>
                <w:sz w:val="21"/>
              </w:rPr>
              <w:t>验收人</w:t>
            </w:r>
          </w:p>
        </w:tc>
        <w:tc>
          <w:tcPr>
            <w:tcW w:w="8110" w:type="dxa"/>
            <w:gridSpan w:val="3"/>
            <w:vAlign w:val="center"/>
          </w:tcPr>
          <w:p w14:paraId="2D58BE67">
            <w:pPr>
              <w:ind w:firstLine="0" w:firstLineChars="0"/>
              <w:jc w:val="center"/>
              <w:rPr>
                <w:sz w:val="21"/>
              </w:rPr>
            </w:pPr>
            <w:r>
              <w:rPr>
                <w:rFonts w:hint="eastAsia"/>
                <w:sz w:val="21"/>
              </w:rPr>
              <w:t>安装单位技术负责人：               使用单位设备主管：</w:t>
            </w:r>
          </w:p>
          <w:p w14:paraId="39CD5CA8">
            <w:pPr>
              <w:ind w:firstLine="0" w:firstLineChars="0"/>
              <w:jc w:val="center"/>
              <w:rPr>
                <w:sz w:val="21"/>
              </w:rPr>
            </w:pPr>
            <w:r>
              <w:rPr>
                <w:rFonts w:hint="eastAsia"/>
                <w:sz w:val="21"/>
              </w:rPr>
              <w:t>安装队长（组长）：                   监理单位：</w:t>
            </w:r>
          </w:p>
          <w:p w14:paraId="2820CDF3">
            <w:pPr>
              <w:ind w:firstLine="0" w:firstLineChars="0"/>
              <w:jc w:val="center"/>
              <w:rPr>
                <w:sz w:val="21"/>
              </w:rPr>
            </w:pPr>
            <w:r>
              <w:rPr>
                <w:rFonts w:hint="eastAsia"/>
                <w:sz w:val="21"/>
              </w:rPr>
              <w:t>其他参检人员：</w:t>
            </w:r>
          </w:p>
        </w:tc>
      </w:tr>
      <w:tr w14:paraId="7191DA3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1" w:hRule="atLeast"/>
        </w:trPr>
        <w:tc>
          <w:tcPr>
            <w:tcW w:w="430" w:type="dxa"/>
            <w:vAlign w:val="center"/>
          </w:tcPr>
          <w:p w14:paraId="34B5EF74">
            <w:pPr>
              <w:ind w:firstLine="0" w:firstLineChars="0"/>
              <w:jc w:val="center"/>
              <w:rPr>
                <w:sz w:val="21"/>
              </w:rPr>
            </w:pPr>
            <w:r>
              <w:rPr>
                <w:rFonts w:hint="eastAsia"/>
                <w:sz w:val="21"/>
              </w:rPr>
              <w:t>注</w:t>
            </w:r>
          </w:p>
        </w:tc>
        <w:tc>
          <w:tcPr>
            <w:tcW w:w="8110" w:type="dxa"/>
            <w:gridSpan w:val="3"/>
            <w:vAlign w:val="center"/>
          </w:tcPr>
          <w:p w14:paraId="5318F7F2">
            <w:pPr>
              <w:ind w:firstLine="0" w:firstLineChars="0"/>
              <w:jc w:val="center"/>
              <w:rPr>
                <w:sz w:val="21"/>
              </w:rPr>
            </w:pPr>
            <w:r>
              <w:rPr>
                <w:rFonts w:hint="eastAsia"/>
                <w:sz w:val="21"/>
              </w:rPr>
              <w:t>检查记录栏能填写具体数据的应尽量填写具体数据，检查有问题的应注明引起问题的原因</w:t>
            </w:r>
          </w:p>
        </w:tc>
      </w:tr>
    </w:tbl>
    <w:p w14:paraId="257E844A">
      <w:pPr>
        <w:pStyle w:val="3"/>
        <w:rPr>
          <w:rFonts w:hint="eastAsia" w:cs="Times New Roman"/>
          <w:lang w:eastAsia="zh-CN"/>
        </w:rPr>
      </w:pPr>
      <w:bookmarkStart w:id="647" w:name="_Toc25982"/>
      <w:r>
        <w:rPr>
          <w:rFonts w:hint="eastAsia" w:cs="Times New Roman"/>
        </w:rPr>
        <w:t>11.</w:t>
      </w:r>
      <w:r>
        <w:rPr>
          <w:rFonts w:hint="eastAsia" w:cs="Times New Roman"/>
          <w:lang w:val="en-US" w:eastAsia="zh-CN"/>
        </w:rPr>
        <w:t>4</w:t>
      </w:r>
      <w:r>
        <w:rPr>
          <w:rFonts w:hint="eastAsia" w:cs="Times New Roman"/>
          <w:lang w:eastAsia="zh-CN"/>
        </w:rPr>
        <w:t>基础计算书</w:t>
      </w:r>
      <w:bookmarkEnd w:id="647"/>
    </w:p>
    <w:p w14:paraId="03A619FC">
      <w:pPr>
        <w:widowControl w:val="0"/>
        <w:spacing w:line="480" w:lineRule="auto"/>
        <w:jc w:val="center"/>
        <w:rPr>
          <w:rFonts w:hint="eastAsia" w:ascii="宋体" w:hAnsi="宋体" w:eastAsia="宋体" w:cs="宋体"/>
          <w:b/>
          <w:i w:val="0"/>
          <w:color w:val="000000"/>
          <w:kern w:val="2"/>
          <w:sz w:val="50"/>
          <w:szCs w:val="24"/>
          <w:u w:val="none"/>
          <w:lang w:val="en-US" w:eastAsia="zh-CN" w:bidi="ar-SA"/>
        </w:rPr>
      </w:pPr>
      <w:r>
        <w:rPr>
          <w:rFonts w:hint="eastAsia" w:ascii="宋体" w:hAnsi="宋体" w:eastAsia="宋体" w:cs="宋体"/>
          <w:b/>
          <w:i w:val="0"/>
          <w:color w:val="000000"/>
          <w:kern w:val="2"/>
          <w:sz w:val="50"/>
          <w:szCs w:val="24"/>
          <w:u w:val="none"/>
          <w:lang w:val="en-US" w:eastAsia="zh-CN" w:bidi="ar-SA"/>
        </w:rPr>
        <w:t>XGT6015-8S1塔机板式基础计算书</w:t>
      </w:r>
    </w:p>
    <w:p w14:paraId="0F35D504">
      <w:pPr>
        <w:numPr>
          <w:ilvl w:val="0"/>
          <w:numId w:val="7"/>
        </w:numPr>
        <w:spacing w:line="360" w:lineRule="auto"/>
        <w:jc w:val="left"/>
        <w:rPr>
          <w:rFonts w:hint="eastAsia"/>
          <w:b/>
          <w:sz w:val="28"/>
          <w:szCs w:val="28"/>
        </w:rPr>
      </w:pPr>
      <w:r>
        <w:rPr>
          <w:rFonts w:hint="eastAsia"/>
          <w:b/>
          <w:sz w:val="28"/>
          <w:szCs w:val="28"/>
        </w:rPr>
        <w:t>计算依据</w:t>
      </w:r>
    </w:p>
    <w:p w14:paraId="6E4A88FE">
      <w:pPr>
        <w:spacing w:line="360" w:lineRule="auto"/>
        <w:jc w:val="left"/>
        <w:rPr>
          <w:rFonts w:hint="eastAsia"/>
          <w:sz w:val="24"/>
        </w:rPr>
      </w:pPr>
      <w:r>
        <w:rPr>
          <w:rFonts w:hint="eastAsia"/>
          <w:sz w:val="24"/>
        </w:rPr>
        <w:t>1、GB/T13752-2017《塔式起重机设计规范》</w:t>
      </w:r>
    </w:p>
    <w:p w14:paraId="62A302A5">
      <w:pPr>
        <w:spacing w:line="360" w:lineRule="auto"/>
        <w:jc w:val="left"/>
        <w:rPr>
          <w:rFonts w:hint="eastAsia"/>
          <w:sz w:val="24"/>
        </w:rPr>
      </w:pPr>
      <w:r>
        <w:rPr>
          <w:rFonts w:hint="eastAsia"/>
          <w:sz w:val="24"/>
        </w:rPr>
        <w:t>2、JGJ/T187-2019《塔式起重机混凝土基础工程技术规程》</w:t>
      </w:r>
    </w:p>
    <w:p w14:paraId="163D02EF">
      <w:pPr>
        <w:spacing w:line="360" w:lineRule="auto"/>
        <w:jc w:val="left"/>
        <w:rPr>
          <w:rFonts w:hint="eastAsia"/>
          <w:sz w:val="24"/>
        </w:rPr>
      </w:pPr>
      <w:r>
        <w:rPr>
          <w:rFonts w:hint="eastAsia"/>
          <w:sz w:val="24"/>
        </w:rPr>
        <w:t>3、</w:t>
      </w:r>
      <w:r>
        <w:rPr>
          <w:rFonts w:hint="eastAsia"/>
          <w:sz w:val="24"/>
          <w:lang w:eastAsia="zh-CN"/>
        </w:rPr>
        <w:t>XGT6015-8S1</w:t>
      </w:r>
      <w:r>
        <w:rPr>
          <w:rFonts w:hint="eastAsia"/>
          <w:sz w:val="24"/>
        </w:rPr>
        <w:t>塔机说明书</w:t>
      </w:r>
    </w:p>
    <w:p w14:paraId="4B293DBF">
      <w:pPr>
        <w:numPr>
          <w:ilvl w:val="0"/>
          <w:numId w:val="7"/>
        </w:numPr>
        <w:spacing w:line="360" w:lineRule="auto"/>
        <w:jc w:val="left"/>
        <w:rPr>
          <w:rFonts w:hint="eastAsia"/>
          <w:b/>
          <w:sz w:val="28"/>
          <w:szCs w:val="28"/>
        </w:rPr>
      </w:pPr>
      <w:r>
        <w:rPr>
          <w:rFonts w:hint="eastAsia"/>
          <w:b/>
          <w:sz w:val="28"/>
          <w:szCs w:val="28"/>
        </w:rPr>
        <w:t>计算说明</w:t>
      </w:r>
    </w:p>
    <w:p w14:paraId="096C01BA">
      <w:pPr>
        <w:spacing w:line="360" w:lineRule="auto"/>
        <w:jc w:val="left"/>
        <w:rPr>
          <w:rFonts w:hint="eastAsia"/>
          <w:sz w:val="24"/>
          <w:lang w:val="en-US" w:eastAsia="zh-CN"/>
        </w:rPr>
      </w:pPr>
      <w:r>
        <w:rPr>
          <w:rFonts w:hint="eastAsia"/>
          <w:sz w:val="24"/>
          <w:lang w:val="en-US" w:eastAsia="zh-CN"/>
        </w:rPr>
        <w:t>1、本计算书仅适用于地基承载力≥160kPa的我公司XGT6015-8S1塔机在以下基础示意图方式的使用；</w:t>
      </w:r>
    </w:p>
    <w:p w14:paraId="08451992">
      <w:pPr>
        <w:spacing w:line="360" w:lineRule="auto"/>
        <w:jc w:val="left"/>
        <w:rPr>
          <w:rFonts w:hint="eastAsia"/>
          <w:sz w:val="24"/>
          <w:lang w:val="en-US" w:eastAsia="zh-CN"/>
        </w:rPr>
      </w:pPr>
      <w:r>
        <w:rPr>
          <w:rFonts w:hint="eastAsia"/>
          <w:sz w:val="24"/>
          <w:lang w:val="en-US" w:eastAsia="zh-CN"/>
        </w:rPr>
        <w:t>2、任何力学、几何参数或结构型式的改变均不再适用于本计算书。</w:t>
      </w:r>
    </w:p>
    <w:p w14:paraId="33007AB2">
      <w:pPr>
        <w:spacing w:line="360" w:lineRule="auto"/>
        <w:jc w:val="left"/>
        <w:rPr>
          <w:rFonts w:hint="eastAsia"/>
          <w:b/>
          <w:sz w:val="28"/>
          <w:szCs w:val="28"/>
        </w:rPr>
      </w:pPr>
      <w:r>
        <w:rPr>
          <w:rFonts w:hint="eastAsia"/>
          <w:b/>
          <w:sz w:val="28"/>
          <w:szCs w:val="28"/>
        </w:rPr>
        <w:t>三、</w:t>
      </w:r>
      <w:r>
        <w:rPr>
          <w:rFonts w:hint="eastAsia"/>
          <w:b/>
          <w:sz w:val="28"/>
          <w:szCs w:val="28"/>
          <w:lang w:eastAsia="zh-CN"/>
        </w:rPr>
        <w:t>XGT6015-8S1</w:t>
      </w:r>
      <w:r>
        <w:rPr>
          <w:rFonts w:hint="eastAsia"/>
          <w:b/>
          <w:sz w:val="28"/>
          <w:szCs w:val="28"/>
        </w:rPr>
        <w:t>塔机作用于基础顶面的载荷</w:t>
      </w:r>
    </w:p>
    <w:p w14:paraId="530FFCF0">
      <w:pPr>
        <w:spacing w:line="360" w:lineRule="auto"/>
        <w:jc w:val="center"/>
        <w:rPr>
          <w:rFonts w:hint="eastAsia" w:ascii="宋体" w:hAnsi="宋体"/>
        </w:rPr>
      </w:pPr>
      <w:r>
        <w:rPr>
          <w:rFonts w:ascii="宋体" w:hAnsi="宋体"/>
        </w:rPr>
        <w:drawing>
          <wp:inline distT="0" distB="0" distL="114300" distR="114300">
            <wp:extent cx="2028190" cy="2012950"/>
            <wp:effectExtent l="0" t="0" r="10160" b="6350"/>
            <wp:docPr id="43" name="图片 31" descr="基础示意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1" descr="基础示意图5"/>
                    <pic:cNvPicPr>
                      <a:picLocks noChangeAspect="1"/>
                    </pic:cNvPicPr>
                  </pic:nvPicPr>
                  <pic:blipFill>
                    <a:blip r:embed="rId77"/>
                    <a:stretch>
                      <a:fillRect/>
                    </a:stretch>
                  </pic:blipFill>
                  <pic:spPr>
                    <a:xfrm>
                      <a:off x="0" y="0"/>
                      <a:ext cx="2028190" cy="2012950"/>
                    </a:xfrm>
                    <a:prstGeom prst="rect">
                      <a:avLst/>
                    </a:prstGeom>
                    <a:noFill/>
                    <a:ln>
                      <a:noFill/>
                    </a:ln>
                  </pic:spPr>
                </pic:pic>
              </a:graphicData>
            </a:graphic>
          </wp:inline>
        </w:drawing>
      </w:r>
    </w:p>
    <w:p w14:paraId="0ADF3A71">
      <w:pPr>
        <w:spacing w:line="360" w:lineRule="auto"/>
        <w:jc w:val="center"/>
        <w:rPr>
          <w:rFonts w:ascii="宋体" w:hAnsi="宋体"/>
          <w:bCs/>
          <w:sz w:val="24"/>
        </w:rPr>
      </w:pPr>
      <w:r>
        <w:rPr>
          <w:rFonts w:hint="eastAsia" w:ascii="宋体" w:hAnsi="宋体"/>
          <w:bCs/>
          <w:sz w:val="24"/>
        </w:rPr>
        <w:t>F</w:t>
      </w:r>
      <w:r>
        <w:rPr>
          <w:rFonts w:hint="eastAsia" w:ascii="宋体" w:hAnsi="宋体"/>
          <w:bCs/>
          <w:sz w:val="24"/>
          <w:vertAlign w:val="subscript"/>
        </w:rPr>
        <w:t>v</w:t>
      </w:r>
      <w:r>
        <w:rPr>
          <w:rFonts w:hint="eastAsia" w:ascii="宋体" w:hAnsi="宋体"/>
          <w:bCs/>
          <w:sz w:val="24"/>
        </w:rPr>
        <w:t>：竖直载荷（kN）     F</w:t>
      </w:r>
      <w:r>
        <w:rPr>
          <w:rFonts w:hint="eastAsia" w:ascii="宋体" w:hAnsi="宋体"/>
          <w:bCs/>
          <w:sz w:val="24"/>
          <w:vertAlign w:val="subscript"/>
        </w:rPr>
        <w:t>h</w:t>
      </w:r>
      <w:r>
        <w:rPr>
          <w:rFonts w:hint="eastAsia" w:ascii="宋体" w:hAnsi="宋体"/>
          <w:bCs/>
          <w:sz w:val="24"/>
        </w:rPr>
        <w:t>：水平载荷（kN）      M</w:t>
      </w:r>
      <w:r>
        <w:rPr>
          <w:rFonts w:hint="eastAsia" w:ascii="宋体" w:hAnsi="宋体"/>
          <w:bCs/>
          <w:sz w:val="24"/>
          <w:vertAlign w:val="subscript"/>
        </w:rPr>
        <w:t>k</w:t>
      </w:r>
      <w:r>
        <w:rPr>
          <w:rFonts w:hint="eastAsia" w:ascii="宋体" w:hAnsi="宋体"/>
          <w:bCs/>
          <w:sz w:val="24"/>
        </w:rPr>
        <w:t>：倾翻力矩（kN.m）</w:t>
      </w:r>
    </w:p>
    <w:tbl>
      <w:tblPr>
        <w:tblStyle w:val="41"/>
        <w:tblW w:w="7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6"/>
        <w:gridCol w:w="1376"/>
        <w:gridCol w:w="1616"/>
        <w:gridCol w:w="1496"/>
        <w:gridCol w:w="1376"/>
        <w:gridCol w:w="1616"/>
      </w:tblGrid>
      <w:tr w14:paraId="773E0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912" w:type="dxa"/>
            <w:gridSpan w:val="3"/>
            <w:noWrap w:val="0"/>
            <w:vAlign w:val="center"/>
          </w:tcPr>
          <w:p w14:paraId="16FB21A2">
            <w:pPr>
              <w:spacing w:line="360" w:lineRule="auto"/>
              <w:ind w:firstLine="1200" w:firstLineChars="500"/>
              <w:rPr>
                <w:rFonts w:ascii="宋体" w:hAnsi="宋体"/>
                <w:sz w:val="24"/>
              </w:rPr>
            </w:pPr>
            <w:r>
              <w:rPr>
                <w:rFonts w:hint="eastAsia" w:ascii="宋体" w:hAnsi="宋体"/>
                <w:sz w:val="24"/>
              </w:rPr>
              <w:t>工作状态</w:t>
            </w:r>
          </w:p>
        </w:tc>
        <w:tc>
          <w:tcPr>
            <w:tcW w:w="3912" w:type="dxa"/>
            <w:gridSpan w:val="3"/>
            <w:noWrap w:val="0"/>
            <w:vAlign w:val="center"/>
          </w:tcPr>
          <w:p w14:paraId="40FAB36F">
            <w:pPr>
              <w:spacing w:line="360" w:lineRule="auto"/>
              <w:ind w:firstLine="960" w:firstLineChars="400"/>
              <w:rPr>
                <w:rFonts w:ascii="宋体" w:hAnsi="宋体"/>
                <w:sz w:val="24"/>
              </w:rPr>
            </w:pPr>
            <w:r>
              <w:rPr>
                <w:rFonts w:hint="eastAsia" w:ascii="宋体" w:hAnsi="宋体"/>
                <w:sz w:val="24"/>
              </w:rPr>
              <w:t>非工作状态</w:t>
            </w:r>
          </w:p>
        </w:tc>
      </w:tr>
      <w:tr w14:paraId="2A944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04" w:type="dxa"/>
            <w:noWrap w:val="0"/>
            <w:vAlign w:val="center"/>
          </w:tcPr>
          <w:p w14:paraId="3924C772">
            <w:pPr>
              <w:spacing w:line="360" w:lineRule="auto"/>
              <w:jc w:val="center"/>
              <w:rPr>
                <w:rFonts w:ascii="宋体" w:hAnsi="宋体"/>
                <w:sz w:val="24"/>
                <w:vertAlign w:val="subscript"/>
              </w:rPr>
            </w:pPr>
            <w:r>
              <w:rPr>
                <w:rFonts w:hint="eastAsia" w:ascii="宋体" w:hAnsi="宋体"/>
                <w:sz w:val="24"/>
              </w:rPr>
              <w:t>F</w:t>
            </w:r>
            <w:r>
              <w:rPr>
                <w:rFonts w:hint="eastAsia" w:ascii="宋体" w:hAnsi="宋体"/>
                <w:sz w:val="24"/>
                <w:vertAlign w:val="subscript"/>
              </w:rPr>
              <w:t>v工</w:t>
            </w:r>
          </w:p>
        </w:tc>
        <w:tc>
          <w:tcPr>
            <w:tcW w:w="1304" w:type="dxa"/>
            <w:noWrap w:val="0"/>
            <w:vAlign w:val="center"/>
          </w:tcPr>
          <w:p w14:paraId="5CAFF708">
            <w:pPr>
              <w:spacing w:line="360" w:lineRule="auto"/>
              <w:jc w:val="center"/>
              <w:rPr>
                <w:rFonts w:ascii="宋体" w:hAnsi="宋体"/>
                <w:sz w:val="24"/>
                <w:vertAlign w:val="subscript"/>
              </w:rPr>
            </w:pPr>
            <w:r>
              <w:rPr>
                <w:rFonts w:hint="eastAsia" w:ascii="宋体" w:hAnsi="宋体"/>
                <w:sz w:val="24"/>
              </w:rPr>
              <w:t>F</w:t>
            </w:r>
            <w:r>
              <w:rPr>
                <w:rFonts w:hint="eastAsia" w:ascii="宋体" w:hAnsi="宋体"/>
                <w:sz w:val="24"/>
                <w:vertAlign w:val="subscript"/>
              </w:rPr>
              <w:t>h工</w:t>
            </w:r>
          </w:p>
        </w:tc>
        <w:tc>
          <w:tcPr>
            <w:tcW w:w="1304" w:type="dxa"/>
            <w:noWrap w:val="0"/>
            <w:vAlign w:val="center"/>
          </w:tcPr>
          <w:p w14:paraId="5AB75775">
            <w:pPr>
              <w:spacing w:line="360" w:lineRule="auto"/>
              <w:jc w:val="center"/>
              <w:rPr>
                <w:rFonts w:ascii="宋体" w:hAnsi="宋体"/>
                <w:sz w:val="24"/>
              </w:rPr>
            </w:pPr>
            <w:r>
              <w:rPr>
                <w:rFonts w:hint="eastAsia" w:ascii="宋体" w:hAnsi="宋体"/>
                <w:sz w:val="24"/>
              </w:rPr>
              <w:t>M</w:t>
            </w:r>
            <w:r>
              <w:rPr>
                <w:rFonts w:hint="eastAsia" w:ascii="宋体" w:hAnsi="宋体"/>
                <w:sz w:val="24"/>
                <w:vertAlign w:val="subscript"/>
              </w:rPr>
              <w:t>k工</w:t>
            </w:r>
          </w:p>
        </w:tc>
        <w:tc>
          <w:tcPr>
            <w:tcW w:w="1304" w:type="dxa"/>
            <w:noWrap w:val="0"/>
            <w:vAlign w:val="center"/>
          </w:tcPr>
          <w:p w14:paraId="7C837060">
            <w:pPr>
              <w:spacing w:line="360" w:lineRule="auto"/>
              <w:jc w:val="center"/>
              <w:rPr>
                <w:rFonts w:ascii="宋体" w:hAnsi="宋体"/>
                <w:sz w:val="24"/>
                <w:vertAlign w:val="subscript"/>
              </w:rPr>
            </w:pPr>
            <w:r>
              <w:rPr>
                <w:rFonts w:hint="eastAsia" w:ascii="宋体" w:hAnsi="宋体"/>
                <w:sz w:val="24"/>
              </w:rPr>
              <w:t>F</w:t>
            </w:r>
            <w:r>
              <w:rPr>
                <w:rFonts w:hint="eastAsia" w:ascii="宋体" w:hAnsi="宋体"/>
                <w:sz w:val="24"/>
                <w:vertAlign w:val="subscript"/>
              </w:rPr>
              <w:t>v非</w:t>
            </w:r>
          </w:p>
        </w:tc>
        <w:tc>
          <w:tcPr>
            <w:tcW w:w="1304" w:type="dxa"/>
            <w:noWrap w:val="0"/>
            <w:vAlign w:val="center"/>
          </w:tcPr>
          <w:p w14:paraId="7126D842">
            <w:pPr>
              <w:spacing w:line="360" w:lineRule="auto"/>
              <w:jc w:val="center"/>
              <w:rPr>
                <w:rFonts w:ascii="宋体" w:hAnsi="宋体"/>
                <w:sz w:val="24"/>
                <w:vertAlign w:val="subscript"/>
              </w:rPr>
            </w:pPr>
            <w:r>
              <w:rPr>
                <w:rFonts w:hint="eastAsia" w:ascii="宋体" w:hAnsi="宋体"/>
                <w:sz w:val="24"/>
              </w:rPr>
              <w:t>F</w:t>
            </w:r>
            <w:r>
              <w:rPr>
                <w:rFonts w:hint="eastAsia" w:ascii="宋体" w:hAnsi="宋体"/>
                <w:sz w:val="24"/>
                <w:vertAlign w:val="subscript"/>
              </w:rPr>
              <w:t>h非</w:t>
            </w:r>
          </w:p>
        </w:tc>
        <w:tc>
          <w:tcPr>
            <w:tcW w:w="1304" w:type="dxa"/>
            <w:noWrap w:val="0"/>
            <w:vAlign w:val="center"/>
          </w:tcPr>
          <w:p w14:paraId="74FA2949">
            <w:pPr>
              <w:spacing w:line="360" w:lineRule="auto"/>
              <w:jc w:val="center"/>
              <w:rPr>
                <w:rFonts w:ascii="宋体" w:hAnsi="宋体"/>
                <w:sz w:val="24"/>
              </w:rPr>
            </w:pPr>
            <w:r>
              <w:rPr>
                <w:rFonts w:hint="eastAsia" w:ascii="宋体" w:hAnsi="宋体"/>
                <w:sz w:val="24"/>
              </w:rPr>
              <w:t>M</w:t>
            </w:r>
            <w:r>
              <w:rPr>
                <w:rFonts w:hint="eastAsia" w:ascii="宋体" w:hAnsi="宋体"/>
                <w:sz w:val="24"/>
                <w:vertAlign w:val="subscript"/>
              </w:rPr>
              <w:t>k非</w:t>
            </w:r>
          </w:p>
        </w:tc>
      </w:tr>
      <w:tr w14:paraId="0BF43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 w:hRule="atLeast"/>
          <w:jc w:val="center"/>
        </w:trPr>
        <w:tc>
          <w:tcPr>
            <w:tcW w:w="1304" w:type="dxa"/>
            <w:noWrap w:val="0"/>
            <w:vAlign w:val="center"/>
          </w:tcPr>
          <w:p w14:paraId="4245DE1B">
            <w:pPr>
              <w:spacing w:line="360" w:lineRule="auto"/>
              <w:jc w:val="center"/>
              <w:rPr>
                <w:rFonts w:hint="eastAsia" w:ascii="宋体" w:hAnsi="宋体" w:eastAsiaTheme="minorEastAsia"/>
                <w:sz w:val="24"/>
                <w:lang w:eastAsia="zh-CN"/>
              </w:rPr>
            </w:pPr>
            <w:r>
              <w:rPr>
                <w:rFonts w:hint="eastAsia" w:ascii="宋体" w:hAnsi="宋体"/>
                <w:sz w:val="24"/>
                <w:lang w:eastAsia="zh-CN"/>
              </w:rPr>
              <w:t>511.00</w:t>
            </w:r>
          </w:p>
        </w:tc>
        <w:tc>
          <w:tcPr>
            <w:tcW w:w="1304" w:type="dxa"/>
            <w:noWrap w:val="0"/>
            <w:vAlign w:val="center"/>
          </w:tcPr>
          <w:p w14:paraId="45A35762">
            <w:pPr>
              <w:spacing w:line="360" w:lineRule="auto"/>
              <w:jc w:val="center"/>
              <w:rPr>
                <w:rFonts w:hint="eastAsia" w:ascii="宋体" w:hAnsi="宋体" w:eastAsiaTheme="minorEastAsia"/>
                <w:sz w:val="24"/>
                <w:lang w:eastAsia="zh-CN"/>
              </w:rPr>
            </w:pPr>
            <w:r>
              <w:rPr>
                <w:rFonts w:hint="eastAsia" w:ascii="宋体" w:hAnsi="宋体"/>
                <w:sz w:val="24"/>
                <w:lang w:eastAsia="zh-CN"/>
              </w:rPr>
              <w:t>25.00</w:t>
            </w:r>
          </w:p>
        </w:tc>
        <w:tc>
          <w:tcPr>
            <w:tcW w:w="1304" w:type="dxa"/>
            <w:noWrap w:val="0"/>
            <w:vAlign w:val="center"/>
          </w:tcPr>
          <w:p w14:paraId="4135B755">
            <w:pPr>
              <w:spacing w:line="360" w:lineRule="auto"/>
              <w:jc w:val="center"/>
              <w:rPr>
                <w:rFonts w:hint="eastAsia" w:ascii="宋体" w:hAnsi="宋体" w:eastAsiaTheme="minorEastAsia"/>
                <w:sz w:val="24"/>
                <w:lang w:eastAsia="zh-CN"/>
              </w:rPr>
            </w:pPr>
            <w:r>
              <w:rPr>
                <w:rFonts w:hint="eastAsia" w:ascii="宋体" w:hAnsi="宋体"/>
                <w:sz w:val="24"/>
                <w:lang w:eastAsia="zh-CN"/>
              </w:rPr>
              <w:t>1777.00</w:t>
            </w:r>
          </w:p>
        </w:tc>
        <w:tc>
          <w:tcPr>
            <w:tcW w:w="1304" w:type="dxa"/>
            <w:noWrap w:val="0"/>
            <w:vAlign w:val="center"/>
          </w:tcPr>
          <w:p w14:paraId="6EBC6C4A">
            <w:pPr>
              <w:spacing w:line="360" w:lineRule="auto"/>
              <w:jc w:val="center"/>
              <w:rPr>
                <w:rFonts w:hint="eastAsia" w:ascii="宋体" w:hAnsi="宋体" w:eastAsiaTheme="minorEastAsia"/>
                <w:sz w:val="24"/>
                <w:lang w:eastAsia="zh-CN"/>
              </w:rPr>
            </w:pPr>
            <w:r>
              <w:rPr>
                <w:rFonts w:hint="eastAsia" w:ascii="宋体" w:hAnsi="宋体"/>
                <w:sz w:val="24"/>
                <w:lang w:eastAsia="zh-CN"/>
              </w:rPr>
              <w:t>497.00</w:t>
            </w:r>
          </w:p>
        </w:tc>
        <w:tc>
          <w:tcPr>
            <w:tcW w:w="1304" w:type="dxa"/>
            <w:noWrap w:val="0"/>
            <w:vAlign w:val="center"/>
          </w:tcPr>
          <w:p w14:paraId="6A590633">
            <w:pPr>
              <w:spacing w:line="360" w:lineRule="auto"/>
              <w:jc w:val="center"/>
              <w:rPr>
                <w:rFonts w:hint="eastAsia" w:ascii="宋体" w:hAnsi="宋体" w:eastAsiaTheme="minorEastAsia"/>
                <w:sz w:val="24"/>
                <w:lang w:eastAsia="zh-CN"/>
              </w:rPr>
            </w:pPr>
            <w:r>
              <w:rPr>
                <w:rFonts w:hint="eastAsia" w:ascii="宋体" w:hAnsi="宋体"/>
                <w:sz w:val="24"/>
                <w:lang w:eastAsia="zh-CN"/>
              </w:rPr>
              <w:t>97.00</w:t>
            </w:r>
          </w:p>
        </w:tc>
        <w:tc>
          <w:tcPr>
            <w:tcW w:w="1304" w:type="dxa"/>
            <w:noWrap w:val="0"/>
            <w:vAlign w:val="center"/>
          </w:tcPr>
          <w:p w14:paraId="0BA0C94A">
            <w:pPr>
              <w:spacing w:line="360" w:lineRule="auto"/>
              <w:jc w:val="center"/>
              <w:rPr>
                <w:rFonts w:hint="eastAsia" w:ascii="宋体" w:hAnsi="宋体" w:eastAsiaTheme="minorEastAsia"/>
                <w:sz w:val="24"/>
                <w:lang w:eastAsia="zh-CN"/>
              </w:rPr>
            </w:pPr>
            <w:r>
              <w:rPr>
                <w:rFonts w:hint="eastAsia" w:ascii="宋体" w:hAnsi="宋体"/>
                <w:sz w:val="24"/>
                <w:lang w:eastAsia="zh-CN"/>
              </w:rPr>
              <w:t>1782.00</w:t>
            </w:r>
          </w:p>
        </w:tc>
      </w:tr>
    </w:tbl>
    <w:p w14:paraId="493A26E7">
      <w:pPr>
        <w:spacing w:line="360" w:lineRule="auto"/>
        <w:jc w:val="left"/>
        <w:rPr>
          <w:rFonts w:hint="eastAsia"/>
          <w:b/>
          <w:sz w:val="30"/>
          <w:szCs w:val="30"/>
        </w:rPr>
      </w:pPr>
      <w:r>
        <w:rPr>
          <w:rFonts w:hint="eastAsia"/>
          <w:b/>
          <w:sz w:val="30"/>
          <w:szCs w:val="30"/>
        </w:rPr>
        <w:t>四、塔机基础参数及示意图</w:t>
      </w:r>
    </w:p>
    <w:p w14:paraId="64A5DE45">
      <w:pPr>
        <w:spacing w:line="360" w:lineRule="auto"/>
        <w:jc w:val="center"/>
        <w:rPr>
          <w:rFonts w:hint="eastAsia"/>
        </w:rPr>
      </w:pPr>
      <w:r>
        <w:drawing>
          <wp:inline distT="0" distB="0" distL="114300" distR="114300">
            <wp:extent cx="2395855" cy="4117975"/>
            <wp:effectExtent l="0" t="0" r="4445" b="15875"/>
            <wp:docPr id="35" name="图片 32" descr="基础示意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2" descr="基础示意图4"/>
                    <pic:cNvPicPr>
                      <a:picLocks noChangeAspect="1"/>
                    </pic:cNvPicPr>
                  </pic:nvPicPr>
                  <pic:blipFill>
                    <a:blip r:embed="rId78"/>
                    <a:stretch>
                      <a:fillRect/>
                    </a:stretch>
                  </pic:blipFill>
                  <pic:spPr>
                    <a:xfrm>
                      <a:off x="0" y="0"/>
                      <a:ext cx="2395855" cy="4117975"/>
                    </a:xfrm>
                    <a:prstGeom prst="rect">
                      <a:avLst/>
                    </a:prstGeom>
                    <a:noFill/>
                    <a:ln>
                      <a:noFill/>
                    </a:ln>
                  </pic:spPr>
                </pic:pic>
              </a:graphicData>
            </a:graphic>
          </wp:inline>
        </w:drawing>
      </w:r>
    </w:p>
    <w:tbl>
      <w:tblPr>
        <w:tblStyle w:val="41"/>
        <w:tblW w:w="82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484"/>
        <w:gridCol w:w="1316"/>
        <w:gridCol w:w="3325"/>
        <w:gridCol w:w="1171"/>
      </w:tblGrid>
      <w:tr w14:paraId="24937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46" w:type="dxa"/>
            <w:noWrap w:val="0"/>
            <w:vAlign w:val="center"/>
          </w:tcPr>
          <w:p w14:paraId="1B0E4C46">
            <w:pPr>
              <w:spacing w:line="360" w:lineRule="auto"/>
              <w:jc w:val="left"/>
              <w:rPr>
                <w:rFonts w:hint="eastAsia"/>
                <w:color w:val="000000"/>
                <w:sz w:val="18"/>
                <w:szCs w:val="18"/>
                <w:lang w:val="zh-CN"/>
              </w:rPr>
            </w:pPr>
            <w:r>
              <w:rPr>
                <w:rFonts w:hint="eastAsia"/>
                <w:color w:val="000000"/>
                <w:sz w:val="18"/>
                <w:szCs w:val="18"/>
                <w:lang w:val="zh-CN"/>
              </w:rPr>
              <w:t>基础底面短边长度b(mm)</w:t>
            </w:r>
          </w:p>
        </w:tc>
        <w:tc>
          <w:tcPr>
            <w:tcW w:w="1158" w:type="dxa"/>
            <w:noWrap w:val="0"/>
            <w:vAlign w:val="center"/>
          </w:tcPr>
          <w:p w14:paraId="37010CA0">
            <w:pPr>
              <w:spacing w:line="360" w:lineRule="auto"/>
              <w:jc w:val="center"/>
              <w:rPr>
                <w:rFonts w:hint="eastAsia" w:ascii="宋体" w:hAnsi="宋体" w:eastAsiaTheme="minorEastAsia"/>
                <w:sz w:val="18"/>
                <w:szCs w:val="18"/>
                <w:lang w:eastAsia="zh-CN"/>
              </w:rPr>
            </w:pPr>
            <w:r>
              <w:rPr>
                <w:rFonts w:hint="eastAsia" w:ascii="宋体" w:hAnsi="宋体"/>
                <w:sz w:val="18"/>
                <w:szCs w:val="18"/>
                <w:lang w:eastAsia="zh-CN"/>
              </w:rPr>
              <w:t>6000</w:t>
            </w:r>
          </w:p>
        </w:tc>
        <w:tc>
          <w:tcPr>
            <w:tcW w:w="3420" w:type="dxa"/>
            <w:noWrap w:val="0"/>
            <w:vAlign w:val="center"/>
          </w:tcPr>
          <w:p w14:paraId="77739C84">
            <w:pPr>
              <w:spacing w:line="360" w:lineRule="auto"/>
              <w:jc w:val="left"/>
              <w:rPr>
                <w:rFonts w:hint="eastAsia"/>
                <w:color w:val="000000"/>
                <w:sz w:val="18"/>
                <w:szCs w:val="18"/>
                <w:lang w:val="zh-CN"/>
              </w:rPr>
            </w:pPr>
            <w:r>
              <w:rPr>
                <w:rFonts w:hint="eastAsia"/>
                <w:color w:val="000000"/>
                <w:sz w:val="18"/>
                <w:szCs w:val="18"/>
                <w:lang w:val="zh-CN"/>
              </w:rPr>
              <w:t>基础底面长边长度l(mm)</w:t>
            </w:r>
          </w:p>
        </w:tc>
        <w:tc>
          <w:tcPr>
            <w:tcW w:w="1172" w:type="dxa"/>
            <w:noWrap w:val="0"/>
            <w:vAlign w:val="center"/>
          </w:tcPr>
          <w:p w14:paraId="653AFC5B">
            <w:pPr>
              <w:spacing w:line="360" w:lineRule="auto"/>
              <w:jc w:val="center"/>
              <w:rPr>
                <w:rFonts w:hint="eastAsia" w:ascii="宋体" w:hAnsi="宋体" w:eastAsiaTheme="minorEastAsia"/>
                <w:sz w:val="18"/>
                <w:szCs w:val="18"/>
                <w:lang w:eastAsia="zh-CN"/>
              </w:rPr>
            </w:pPr>
            <w:r>
              <w:rPr>
                <w:rFonts w:hint="eastAsia" w:ascii="宋体" w:hAnsi="宋体"/>
                <w:sz w:val="18"/>
                <w:szCs w:val="18"/>
                <w:lang w:eastAsia="zh-CN"/>
              </w:rPr>
              <w:t>6000</w:t>
            </w:r>
          </w:p>
        </w:tc>
      </w:tr>
      <w:tr w14:paraId="2CB9F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46" w:type="dxa"/>
            <w:noWrap w:val="0"/>
            <w:vAlign w:val="center"/>
          </w:tcPr>
          <w:p w14:paraId="0232DA3E">
            <w:pPr>
              <w:spacing w:line="360" w:lineRule="auto"/>
              <w:jc w:val="left"/>
              <w:rPr>
                <w:rFonts w:hint="eastAsia"/>
                <w:color w:val="000000"/>
                <w:sz w:val="18"/>
                <w:szCs w:val="18"/>
                <w:lang w:val="zh-CN"/>
              </w:rPr>
            </w:pPr>
            <w:r>
              <w:rPr>
                <w:rFonts w:hint="eastAsia"/>
                <w:color w:val="000000"/>
                <w:sz w:val="18"/>
                <w:szCs w:val="18"/>
                <w:lang w:val="zh-CN"/>
              </w:rPr>
              <w:t>基础厚度h(mm)</w:t>
            </w:r>
          </w:p>
        </w:tc>
        <w:tc>
          <w:tcPr>
            <w:tcW w:w="1158" w:type="dxa"/>
            <w:noWrap w:val="0"/>
            <w:vAlign w:val="center"/>
          </w:tcPr>
          <w:p w14:paraId="7907159A">
            <w:pPr>
              <w:spacing w:line="360" w:lineRule="auto"/>
              <w:jc w:val="center"/>
              <w:rPr>
                <w:rFonts w:hint="eastAsia" w:ascii="宋体" w:hAnsi="宋体" w:eastAsiaTheme="minorEastAsia"/>
                <w:sz w:val="18"/>
                <w:szCs w:val="18"/>
                <w:lang w:eastAsia="zh-CN"/>
              </w:rPr>
            </w:pPr>
            <w:r>
              <w:rPr>
                <w:rFonts w:hint="eastAsia" w:ascii="宋体" w:hAnsi="宋体"/>
                <w:sz w:val="18"/>
                <w:szCs w:val="18"/>
                <w:lang w:eastAsia="zh-CN"/>
              </w:rPr>
              <w:t>2000</w:t>
            </w:r>
          </w:p>
        </w:tc>
        <w:tc>
          <w:tcPr>
            <w:tcW w:w="3420" w:type="dxa"/>
            <w:noWrap w:val="0"/>
            <w:vAlign w:val="center"/>
          </w:tcPr>
          <w:p w14:paraId="5BC85A15">
            <w:pPr>
              <w:spacing w:line="360" w:lineRule="auto"/>
              <w:jc w:val="left"/>
              <w:rPr>
                <w:color w:val="000000"/>
                <w:sz w:val="18"/>
                <w:szCs w:val="18"/>
                <w:lang w:val="zh-CN"/>
              </w:rPr>
            </w:pPr>
            <w:r>
              <w:rPr>
                <w:rFonts w:hint="eastAsia"/>
                <w:color w:val="000000"/>
                <w:sz w:val="18"/>
                <w:szCs w:val="18"/>
                <w:lang w:val="zh-CN"/>
              </w:rPr>
              <w:t>塔身横截面边长b</w:t>
            </w:r>
            <w:r>
              <w:rPr>
                <w:rFonts w:hint="eastAsia"/>
                <w:color w:val="000000"/>
                <w:sz w:val="18"/>
                <w:szCs w:val="18"/>
                <w:vertAlign w:val="subscript"/>
                <w:lang w:val="zh-CN"/>
              </w:rPr>
              <w:t>T</w:t>
            </w:r>
            <w:r>
              <w:rPr>
                <w:rFonts w:hint="eastAsia"/>
                <w:color w:val="000000"/>
                <w:sz w:val="18"/>
                <w:szCs w:val="18"/>
                <w:lang w:val="zh-CN"/>
              </w:rPr>
              <w:t>(mm)</w:t>
            </w:r>
          </w:p>
        </w:tc>
        <w:tc>
          <w:tcPr>
            <w:tcW w:w="1172" w:type="dxa"/>
            <w:noWrap w:val="0"/>
            <w:vAlign w:val="center"/>
          </w:tcPr>
          <w:p w14:paraId="1658731A">
            <w:pPr>
              <w:spacing w:line="360" w:lineRule="auto"/>
              <w:jc w:val="center"/>
              <w:rPr>
                <w:rFonts w:ascii="宋体" w:hAnsi="宋体"/>
                <w:color w:val="000000"/>
                <w:sz w:val="18"/>
                <w:szCs w:val="18"/>
                <w:lang w:val="zh-CN"/>
              </w:rPr>
            </w:pPr>
            <w:r>
              <w:rPr>
                <w:rFonts w:hint="eastAsia" w:ascii="宋体" w:hAnsi="宋体"/>
                <w:color w:val="000000"/>
                <w:sz w:val="18"/>
                <w:szCs w:val="18"/>
                <w:lang w:val="zh-CN"/>
              </w:rPr>
              <w:t>1600</w:t>
            </w:r>
          </w:p>
        </w:tc>
      </w:tr>
      <w:tr w14:paraId="4E4EF2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2546" w:type="dxa"/>
            <w:noWrap w:val="0"/>
            <w:vAlign w:val="center"/>
          </w:tcPr>
          <w:p w14:paraId="19F9A675">
            <w:pPr>
              <w:spacing w:line="360" w:lineRule="auto"/>
              <w:jc w:val="left"/>
              <w:rPr>
                <w:color w:val="000000"/>
                <w:sz w:val="18"/>
                <w:szCs w:val="18"/>
                <w:lang w:val="zh-CN"/>
              </w:rPr>
            </w:pPr>
            <w:r>
              <w:rPr>
                <w:color w:val="000000"/>
                <w:sz w:val="18"/>
                <w:szCs w:val="18"/>
                <w:lang w:val="zh-CN"/>
              </w:rPr>
              <w:t>基础混凝土强度等级</w:t>
            </w:r>
          </w:p>
        </w:tc>
        <w:tc>
          <w:tcPr>
            <w:tcW w:w="1158" w:type="dxa"/>
            <w:noWrap w:val="0"/>
            <w:vAlign w:val="center"/>
          </w:tcPr>
          <w:p w14:paraId="444115C0">
            <w:pPr>
              <w:spacing w:line="360" w:lineRule="auto"/>
              <w:jc w:val="center"/>
              <w:rPr>
                <w:rFonts w:ascii="宋体" w:hAnsi="宋体"/>
                <w:color w:val="000000"/>
                <w:sz w:val="18"/>
                <w:szCs w:val="18"/>
                <w:lang w:val="zh-CN"/>
              </w:rPr>
            </w:pPr>
            <w:r>
              <w:rPr>
                <w:rFonts w:hint="eastAsia" w:ascii="宋体" w:hAnsi="宋体"/>
                <w:color w:val="000000"/>
                <w:sz w:val="18"/>
                <w:szCs w:val="18"/>
                <w:lang w:val="zh-CN"/>
              </w:rPr>
              <w:t>C35</w:t>
            </w:r>
          </w:p>
        </w:tc>
        <w:tc>
          <w:tcPr>
            <w:tcW w:w="3420" w:type="dxa"/>
            <w:noWrap w:val="0"/>
            <w:vAlign w:val="center"/>
          </w:tcPr>
          <w:p w14:paraId="6F5A4FDA">
            <w:pPr>
              <w:spacing w:line="360" w:lineRule="auto"/>
              <w:jc w:val="left"/>
              <w:rPr>
                <w:color w:val="000000"/>
                <w:sz w:val="18"/>
                <w:szCs w:val="18"/>
                <w:lang w:val="zh-CN"/>
              </w:rPr>
            </w:pPr>
            <w:r>
              <w:rPr>
                <w:rFonts w:hint="eastAsia"/>
                <w:color w:val="000000"/>
                <w:sz w:val="18"/>
                <w:szCs w:val="18"/>
                <w:lang w:val="zh-CN"/>
              </w:rPr>
              <w:t>混凝土轴心抗拉强度设计值</w:t>
            </w:r>
            <w:r>
              <w:rPr>
                <w:rFonts w:hint="eastAsia"/>
                <w:i/>
                <w:color w:val="000000"/>
                <w:sz w:val="18"/>
                <w:szCs w:val="18"/>
                <w:lang w:val="zh-CN"/>
              </w:rPr>
              <w:t>f</w:t>
            </w:r>
            <w:r>
              <w:rPr>
                <w:rFonts w:hint="eastAsia"/>
                <w:color w:val="000000"/>
                <w:sz w:val="18"/>
                <w:szCs w:val="18"/>
                <w:vertAlign w:val="subscript"/>
                <w:lang w:val="zh-CN"/>
              </w:rPr>
              <w:t>t</w:t>
            </w:r>
            <w:r>
              <w:rPr>
                <w:rFonts w:hint="eastAsia"/>
                <w:color w:val="000000"/>
                <w:sz w:val="18"/>
                <w:szCs w:val="18"/>
                <w:lang w:val="zh-CN"/>
              </w:rPr>
              <w:t xml:space="preserve"> (</w:t>
            </w:r>
            <w:r>
              <w:rPr>
                <w:color w:val="000000"/>
                <w:sz w:val="18"/>
                <w:szCs w:val="18"/>
                <w:lang w:val="zh-CN"/>
              </w:rPr>
              <w:t xml:space="preserve"> N/mm²</w:t>
            </w:r>
            <w:r>
              <w:rPr>
                <w:rFonts w:hint="eastAsia"/>
                <w:color w:val="000000"/>
                <w:sz w:val="18"/>
                <w:szCs w:val="18"/>
                <w:lang w:val="zh-CN"/>
              </w:rPr>
              <w:t>)</w:t>
            </w:r>
          </w:p>
        </w:tc>
        <w:tc>
          <w:tcPr>
            <w:tcW w:w="1172" w:type="dxa"/>
            <w:noWrap w:val="0"/>
            <w:vAlign w:val="center"/>
          </w:tcPr>
          <w:p w14:paraId="57AA7ACC">
            <w:pPr>
              <w:spacing w:line="360" w:lineRule="auto"/>
              <w:jc w:val="center"/>
              <w:rPr>
                <w:rFonts w:ascii="宋体" w:hAnsi="宋体"/>
                <w:color w:val="000000"/>
                <w:sz w:val="18"/>
                <w:szCs w:val="18"/>
                <w:lang w:val="zh-CN"/>
              </w:rPr>
            </w:pPr>
            <w:r>
              <w:rPr>
                <w:rFonts w:hint="eastAsia" w:ascii="宋体" w:hAnsi="宋体"/>
                <w:color w:val="000000"/>
                <w:sz w:val="18"/>
                <w:szCs w:val="18"/>
                <w:lang w:val="zh-CN"/>
              </w:rPr>
              <w:t>1.57</w:t>
            </w:r>
          </w:p>
        </w:tc>
      </w:tr>
      <w:tr w14:paraId="76200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2" w:hRule="atLeast"/>
          <w:jc w:val="center"/>
        </w:trPr>
        <w:tc>
          <w:tcPr>
            <w:tcW w:w="2546" w:type="dxa"/>
            <w:noWrap w:val="0"/>
            <w:vAlign w:val="center"/>
          </w:tcPr>
          <w:p w14:paraId="6EC69F96">
            <w:pPr>
              <w:spacing w:line="360" w:lineRule="auto"/>
              <w:jc w:val="left"/>
              <w:rPr>
                <w:color w:val="000000"/>
                <w:sz w:val="18"/>
                <w:szCs w:val="18"/>
                <w:lang w:val="zh-CN"/>
              </w:rPr>
            </w:pPr>
            <w:r>
              <w:rPr>
                <w:rFonts w:hint="eastAsia"/>
                <w:color w:val="000000"/>
                <w:sz w:val="18"/>
                <w:szCs w:val="18"/>
                <w:lang w:val="zh-CN"/>
              </w:rPr>
              <w:t>钢筋材质型号</w:t>
            </w:r>
          </w:p>
        </w:tc>
        <w:tc>
          <w:tcPr>
            <w:tcW w:w="1158" w:type="dxa"/>
            <w:noWrap w:val="0"/>
            <w:vAlign w:val="center"/>
          </w:tcPr>
          <w:p w14:paraId="5D05EF62">
            <w:pPr>
              <w:spacing w:line="360" w:lineRule="auto"/>
              <w:jc w:val="center"/>
              <w:rPr>
                <w:rFonts w:ascii="宋体" w:hAnsi="宋体"/>
                <w:color w:val="000000"/>
                <w:sz w:val="18"/>
                <w:szCs w:val="18"/>
                <w:lang w:val="zh-CN"/>
              </w:rPr>
            </w:pPr>
            <w:r>
              <w:rPr>
                <w:rFonts w:hint="eastAsia" w:ascii="宋体" w:hAnsi="宋体"/>
                <w:color w:val="000000"/>
                <w:sz w:val="18"/>
                <w:szCs w:val="18"/>
                <w:lang w:val="zh-CN"/>
              </w:rPr>
              <w:t>HRB335</w:t>
            </w:r>
          </w:p>
        </w:tc>
        <w:tc>
          <w:tcPr>
            <w:tcW w:w="3420" w:type="dxa"/>
            <w:noWrap w:val="0"/>
            <w:vAlign w:val="center"/>
          </w:tcPr>
          <w:p w14:paraId="0D186F38">
            <w:pPr>
              <w:spacing w:line="360" w:lineRule="auto"/>
              <w:jc w:val="left"/>
              <w:rPr>
                <w:color w:val="000000"/>
                <w:sz w:val="18"/>
                <w:szCs w:val="18"/>
                <w:lang w:val="zh-CN"/>
              </w:rPr>
            </w:pPr>
            <w:r>
              <w:rPr>
                <w:rFonts w:hint="eastAsia"/>
                <w:color w:val="000000"/>
                <w:sz w:val="18"/>
                <w:szCs w:val="18"/>
                <w:lang w:val="zh-CN"/>
              </w:rPr>
              <w:t>钢筋抗拉、抗压强度设计值</w:t>
            </w:r>
            <w:r>
              <w:rPr>
                <w:rFonts w:hint="eastAsia"/>
                <w:i/>
                <w:color w:val="000000"/>
                <w:sz w:val="18"/>
                <w:szCs w:val="18"/>
                <w:lang w:val="zh-CN"/>
              </w:rPr>
              <w:t>f</w:t>
            </w:r>
            <w:r>
              <w:rPr>
                <w:rFonts w:hint="eastAsia"/>
                <w:color w:val="000000"/>
                <w:sz w:val="18"/>
                <w:szCs w:val="18"/>
                <w:vertAlign w:val="subscript"/>
                <w:lang w:val="zh-CN"/>
              </w:rPr>
              <w:t>y</w:t>
            </w:r>
            <w:r>
              <w:rPr>
                <w:rFonts w:hint="eastAsia"/>
                <w:color w:val="000000"/>
                <w:sz w:val="18"/>
                <w:szCs w:val="18"/>
                <w:lang w:val="zh-CN"/>
              </w:rPr>
              <w:t xml:space="preserve"> (MPa)</w:t>
            </w:r>
          </w:p>
        </w:tc>
        <w:tc>
          <w:tcPr>
            <w:tcW w:w="1172" w:type="dxa"/>
            <w:noWrap w:val="0"/>
            <w:vAlign w:val="center"/>
          </w:tcPr>
          <w:p w14:paraId="5D50F06E">
            <w:pPr>
              <w:spacing w:line="360" w:lineRule="auto"/>
              <w:jc w:val="center"/>
              <w:rPr>
                <w:rFonts w:ascii="宋体" w:hAnsi="宋体"/>
                <w:color w:val="000000"/>
                <w:sz w:val="18"/>
                <w:szCs w:val="18"/>
                <w:lang w:val="zh-CN"/>
              </w:rPr>
            </w:pPr>
            <w:r>
              <w:rPr>
                <w:rFonts w:hint="eastAsia" w:ascii="宋体" w:hAnsi="宋体"/>
                <w:color w:val="000000"/>
                <w:sz w:val="18"/>
                <w:szCs w:val="18"/>
                <w:lang w:val="zh-CN"/>
              </w:rPr>
              <w:t>300</w:t>
            </w:r>
          </w:p>
        </w:tc>
      </w:tr>
      <w:tr w14:paraId="0836A7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jc w:val="center"/>
        </w:trPr>
        <w:tc>
          <w:tcPr>
            <w:tcW w:w="2546" w:type="dxa"/>
            <w:noWrap w:val="0"/>
            <w:vAlign w:val="center"/>
          </w:tcPr>
          <w:p w14:paraId="76FBBEF9">
            <w:pPr>
              <w:spacing w:line="360" w:lineRule="auto"/>
              <w:jc w:val="left"/>
              <w:rPr>
                <w:color w:val="000000"/>
                <w:sz w:val="18"/>
                <w:szCs w:val="18"/>
                <w:lang w:val="zh-CN"/>
              </w:rPr>
            </w:pPr>
            <w:r>
              <w:rPr>
                <w:rFonts w:hint="eastAsia"/>
                <w:color w:val="000000"/>
                <w:sz w:val="18"/>
                <w:szCs w:val="18"/>
                <w:lang w:val="zh-CN"/>
              </w:rPr>
              <w:t>底层钢筋直径d(mm)</w:t>
            </w:r>
          </w:p>
        </w:tc>
        <w:tc>
          <w:tcPr>
            <w:tcW w:w="1158" w:type="dxa"/>
            <w:noWrap w:val="0"/>
            <w:vAlign w:val="center"/>
          </w:tcPr>
          <w:p w14:paraId="20DA1866">
            <w:pPr>
              <w:spacing w:line="360" w:lineRule="auto"/>
              <w:jc w:val="center"/>
              <w:rPr>
                <w:rFonts w:ascii="宋体" w:hAnsi="宋体"/>
                <w:color w:val="000000"/>
                <w:sz w:val="18"/>
                <w:szCs w:val="18"/>
                <w:lang w:val="zh-CN"/>
              </w:rPr>
            </w:pPr>
            <w:r>
              <w:rPr>
                <w:rFonts w:hint="eastAsia" w:ascii="宋体" w:hAnsi="宋体"/>
                <w:color w:val="000000"/>
                <w:sz w:val="18"/>
                <w:szCs w:val="18"/>
                <w:lang w:val="zh-CN"/>
              </w:rPr>
              <w:t>φ25</w:t>
            </w:r>
          </w:p>
        </w:tc>
        <w:tc>
          <w:tcPr>
            <w:tcW w:w="3420" w:type="dxa"/>
            <w:noWrap w:val="0"/>
            <w:vAlign w:val="center"/>
          </w:tcPr>
          <w:p w14:paraId="29FE618C">
            <w:pPr>
              <w:spacing w:line="360" w:lineRule="auto"/>
              <w:jc w:val="left"/>
              <w:rPr>
                <w:rFonts w:hint="eastAsia"/>
                <w:color w:val="000000"/>
                <w:sz w:val="18"/>
                <w:szCs w:val="18"/>
                <w:lang w:val="zh-CN"/>
              </w:rPr>
            </w:pPr>
            <w:r>
              <w:rPr>
                <w:rFonts w:hint="eastAsia"/>
                <w:color w:val="000000"/>
                <w:sz w:val="18"/>
                <w:szCs w:val="18"/>
                <w:lang w:val="zh-CN"/>
              </w:rPr>
              <w:t>上层钢筋直径d'(mm)</w:t>
            </w:r>
          </w:p>
        </w:tc>
        <w:tc>
          <w:tcPr>
            <w:tcW w:w="1172" w:type="dxa"/>
            <w:noWrap w:val="0"/>
            <w:vAlign w:val="center"/>
          </w:tcPr>
          <w:p w14:paraId="3B1D1EE6">
            <w:pPr>
              <w:spacing w:line="360" w:lineRule="auto"/>
              <w:jc w:val="center"/>
              <w:rPr>
                <w:rFonts w:hint="eastAsia" w:ascii="宋体" w:hAnsi="宋体"/>
                <w:color w:val="000000"/>
                <w:sz w:val="18"/>
                <w:szCs w:val="18"/>
                <w:lang w:val="zh-CN"/>
              </w:rPr>
            </w:pPr>
            <w:r>
              <w:rPr>
                <w:rFonts w:hint="eastAsia" w:ascii="宋体" w:hAnsi="宋体"/>
                <w:color w:val="000000"/>
                <w:sz w:val="18"/>
                <w:szCs w:val="18"/>
                <w:lang w:val="zh-CN"/>
              </w:rPr>
              <w:t>φ25</w:t>
            </w:r>
          </w:p>
        </w:tc>
      </w:tr>
      <w:tr w14:paraId="36C61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46" w:type="dxa"/>
            <w:noWrap w:val="0"/>
            <w:vAlign w:val="center"/>
          </w:tcPr>
          <w:p w14:paraId="6D4D2F41">
            <w:pPr>
              <w:spacing w:line="360" w:lineRule="auto"/>
              <w:jc w:val="left"/>
              <w:rPr>
                <w:color w:val="000000"/>
                <w:sz w:val="18"/>
                <w:szCs w:val="18"/>
                <w:lang w:val="zh-CN"/>
              </w:rPr>
            </w:pPr>
            <w:r>
              <w:rPr>
                <w:rFonts w:hint="eastAsia"/>
                <w:color w:val="000000"/>
                <w:sz w:val="18"/>
                <w:szCs w:val="18"/>
                <w:lang w:val="zh-CN"/>
              </w:rPr>
              <w:t>长度b向单层钢筋数量n</w:t>
            </w:r>
            <w:r>
              <w:rPr>
                <w:rFonts w:hint="eastAsia"/>
                <w:color w:val="000000"/>
                <w:sz w:val="18"/>
                <w:szCs w:val="18"/>
                <w:vertAlign w:val="subscript"/>
                <w:lang w:val="zh-CN"/>
              </w:rPr>
              <w:t>b</w:t>
            </w:r>
          </w:p>
        </w:tc>
        <w:tc>
          <w:tcPr>
            <w:tcW w:w="1158" w:type="dxa"/>
            <w:noWrap w:val="0"/>
            <w:vAlign w:val="center"/>
          </w:tcPr>
          <w:p w14:paraId="29693419">
            <w:pPr>
              <w:spacing w:line="360" w:lineRule="auto"/>
              <w:jc w:val="center"/>
              <w:rPr>
                <w:rFonts w:hint="eastAsia" w:ascii="宋体" w:hAnsi="宋体"/>
                <w:color w:val="000000"/>
                <w:sz w:val="18"/>
                <w:szCs w:val="18"/>
                <w:lang w:val="zh-CN"/>
              </w:rPr>
            </w:pPr>
            <w:r>
              <w:rPr>
                <w:rFonts w:hint="eastAsia" w:ascii="宋体" w:hAnsi="宋体"/>
                <w:color w:val="000000"/>
                <w:sz w:val="18"/>
                <w:szCs w:val="18"/>
                <w:lang w:val="zh-CN"/>
              </w:rPr>
              <w:t>40</w:t>
            </w:r>
          </w:p>
        </w:tc>
        <w:tc>
          <w:tcPr>
            <w:tcW w:w="3420" w:type="dxa"/>
            <w:noWrap w:val="0"/>
            <w:vAlign w:val="center"/>
          </w:tcPr>
          <w:p w14:paraId="0FFE21EA">
            <w:pPr>
              <w:spacing w:line="360" w:lineRule="auto"/>
              <w:jc w:val="left"/>
              <w:rPr>
                <w:rFonts w:hint="eastAsia"/>
                <w:color w:val="000000"/>
                <w:sz w:val="18"/>
                <w:szCs w:val="18"/>
                <w:lang w:val="zh-CN"/>
              </w:rPr>
            </w:pPr>
            <w:r>
              <w:rPr>
                <w:rFonts w:hint="eastAsia"/>
                <w:color w:val="000000"/>
                <w:sz w:val="18"/>
                <w:szCs w:val="18"/>
                <w:lang w:val="zh-CN"/>
              </w:rPr>
              <w:t>宽度l向单层钢筋数量n</w:t>
            </w:r>
            <w:r>
              <w:rPr>
                <w:rFonts w:hint="eastAsia"/>
                <w:color w:val="000000"/>
                <w:sz w:val="18"/>
                <w:szCs w:val="18"/>
                <w:vertAlign w:val="subscript"/>
                <w:lang w:val="zh-CN"/>
              </w:rPr>
              <w:t>l</w:t>
            </w:r>
          </w:p>
        </w:tc>
        <w:tc>
          <w:tcPr>
            <w:tcW w:w="1172" w:type="dxa"/>
            <w:noWrap w:val="0"/>
            <w:vAlign w:val="center"/>
          </w:tcPr>
          <w:p w14:paraId="49F6E94F">
            <w:pPr>
              <w:spacing w:line="360" w:lineRule="auto"/>
              <w:jc w:val="center"/>
              <w:rPr>
                <w:rFonts w:hint="eastAsia" w:ascii="宋体" w:hAnsi="宋体"/>
                <w:color w:val="000000"/>
                <w:sz w:val="18"/>
                <w:szCs w:val="18"/>
                <w:lang w:val="zh-CN"/>
              </w:rPr>
            </w:pPr>
            <w:r>
              <w:rPr>
                <w:rFonts w:hint="eastAsia" w:ascii="宋体" w:hAnsi="宋体"/>
                <w:color w:val="000000"/>
                <w:sz w:val="18"/>
                <w:szCs w:val="18"/>
                <w:lang w:val="zh-CN"/>
              </w:rPr>
              <w:t>40</w:t>
            </w:r>
          </w:p>
        </w:tc>
      </w:tr>
      <w:tr w14:paraId="3ED87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46" w:type="dxa"/>
            <w:noWrap w:val="0"/>
            <w:vAlign w:val="center"/>
          </w:tcPr>
          <w:p w14:paraId="721A0545">
            <w:pPr>
              <w:spacing w:line="360" w:lineRule="auto"/>
              <w:jc w:val="left"/>
              <w:rPr>
                <w:rFonts w:hint="eastAsia"/>
                <w:color w:val="000000"/>
                <w:sz w:val="18"/>
                <w:szCs w:val="18"/>
                <w:lang w:val="zh-CN"/>
              </w:rPr>
            </w:pPr>
            <w:r>
              <w:rPr>
                <w:color w:val="000000"/>
                <w:sz w:val="18"/>
                <w:szCs w:val="18"/>
                <w:lang w:val="zh-CN"/>
              </w:rPr>
              <w:t>基础混凝土保护层厚度</w:t>
            </w:r>
            <w:r>
              <w:rPr>
                <w:rFonts w:hint="eastAsia"/>
                <w:color w:val="000000"/>
                <w:sz w:val="18"/>
                <w:szCs w:val="18"/>
                <w:lang w:val="zh-CN"/>
              </w:rPr>
              <w:t>c(mm)</w:t>
            </w:r>
          </w:p>
        </w:tc>
        <w:tc>
          <w:tcPr>
            <w:tcW w:w="1158" w:type="dxa"/>
            <w:noWrap w:val="0"/>
            <w:vAlign w:val="center"/>
          </w:tcPr>
          <w:p w14:paraId="40C73512">
            <w:pPr>
              <w:spacing w:line="360" w:lineRule="auto"/>
              <w:jc w:val="center"/>
              <w:rPr>
                <w:rFonts w:hint="eastAsia" w:ascii="宋体" w:hAnsi="宋体"/>
                <w:color w:val="000000"/>
                <w:sz w:val="18"/>
                <w:szCs w:val="18"/>
                <w:lang w:val="zh-CN"/>
              </w:rPr>
            </w:pPr>
            <w:r>
              <w:rPr>
                <w:rFonts w:hint="eastAsia" w:ascii="宋体" w:hAnsi="宋体"/>
                <w:color w:val="000000"/>
                <w:sz w:val="18"/>
                <w:szCs w:val="18"/>
                <w:lang w:val="zh-CN"/>
              </w:rPr>
              <w:t>50</w:t>
            </w:r>
          </w:p>
        </w:tc>
        <w:tc>
          <w:tcPr>
            <w:tcW w:w="3420" w:type="dxa"/>
            <w:noWrap w:val="0"/>
            <w:vAlign w:val="center"/>
          </w:tcPr>
          <w:p w14:paraId="107174F4">
            <w:pPr>
              <w:spacing w:line="360" w:lineRule="auto"/>
              <w:jc w:val="left"/>
              <w:rPr>
                <w:rFonts w:hint="eastAsia"/>
                <w:color w:val="000000"/>
                <w:sz w:val="18"/>
                <w:szCs w:val="18"/>
                <w:lang w:val="zh-CN"/>
              </w:rPr>
            </w:pPr>
            <w:r>
              <w:rPr>
                <w:rFonts w:hint="eastAsia"/>
                <w:color w:val="000000"/>
                <w:sz w:val="18"/>
                <w:szCs w:val="18"/>
                <w:lang w:val="zh-CN"/>
              </w:rPr>
              <w:t>地基承载能力特征值f</w:t>
            </w:r>
            <w:r>
              <w:rPr>
                <w:rFonts w:hint="eastAsia"/>
                <w:color w:val="000000"/>
                <w:sz w:val="18"/>
                <w:szCs w:val="18"/>
                <w:vertAlign w:val="subscript"/>
                <w:lang w:val="zh-CN"/>
              </w:rPr>
              <w:t>a</w:t>
            </w:r>
            <w:r>
              <w:rPr>
                <w:rFonts w:hint="eastAsia"/>
                <w:color w:val="000000"/>
                <w:sz w:val="18"/>
                <w:szCs w:val="18"/>
                <w:lang w:val="zh-CN"/>
              </w:rPr>
              <w:t>(kPa)</w:t>
            </w:r>
          </w:p>
        </w:tc>
        <w:tc>
          <w:tcPr>
            <w:tcW w:w="1172" w:type="dxa"/>
            <w:noWrap w:val="0"/>
            <w:vAlign w:val="center"/>
          </w:tcPr>
          <w:p w14:paraId="26F3E70D">
            <w:pPr>
              <w:spacing w:line="360" w:lineRule="auto"/>
              <w:jc w:val="center"/>
              <w:rPr>
                <w:rFonts w:hint="eastAsia" w:ascii="宋体" w:hAnsi="宋体"/>
                <w:color w:val="000000"/>
                <w:sz w:val="18"/>
                <w:szCs w:val="18"/>
                <w:lang w:val="zh-CN"/>
              </w:rPr>
            </w:pPr>
            <w:r>
              <w:rPr>
                <w:rFonts w:hint="eastAsia" w:ascii="宋体" w:hAnsi="宋体"/>
                <w:color w:val="000000"/>
                <w:sz w:val="18"/>
                <w:szCs w:val="18"/>
                <w:lang w:val="zh-CN"/>
              </w:rPr>
              <w:t>160</w:t>
            </w:r>
          </w:p>
        </w:tc>
      </w:tr>
      <w:tr w14:paraId="686E2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46" w:type="dxa"/>
            <w:noWrap w:val="0"/>
            <w:vAlign w:val="center"/>
          </w:tcPr>
          <w:p w14:paraId="6A5953B3">
            <w:pPr>
              <w:spacing w:line="360" w:lineRule="auto"/>
              <w:jc w:val="left"/>
              <w:rPr>
                <w:color w:val="000000"/>
                <w:sz w:val="18"/>
                <w:szCs w:val="18"/>
                <w:lang w:val="zh-CN"/>
              </w:rPr>
            </w:pPr>
            <w:r>
              <w:rPr>
                <w:color w:val="000000"/>
                <w:sz w:val="18"/>
                <w:szCs w:val="18"/>
                <w:lang w:val="zh-CN"/>
              </w:rPr>
              <w:t>基础混凝土自重</w:t>
            </w:r>
            <w:r>
              <w:rPr>
                <w:rFonts w:hint="eastAsia"/>
                <w:color w:val="000000"/>
                <w:sz w:val="18"/>
                <w:szCs w:val="18"/>
                <w:lang w:val="zh-CN"/>
              </w:rPr>
              <w:t>ρ(</w:t>
            </w:r>
            <w:r>
              <w:rPr>
                <w:color w:val="000000"/>
                <w:sz w:val="18"/>
                <w:szCs w:val="18"/>
                <w:lang w:val="zh-CN"/>
              </w:rPr>
              <w:t>kN/m</w:t>
            </w:r>
            <w:r>
              <w:rPr>
                <w:color w:val="000000"/>
                <w:sz w:val="24"/>
                <w:vertAlign w:val="superscript"/>
                <w:lang w:val="zh-CN"/>
              </w:rPr>
              <w:t>3</w:t>
            </w:r>
            <w:r>
              <w:rPr>
                <w:rFonts w:hint="eastAsia"/>
                <w:color w:val="000000"/>
                <w:sz w:val="18"/>
                <w:szCs w:val="18"/>
                <w:lang w:val="zh-CN"/>
              </w:rPr>
              <w:t>)</w:t>
            </w:r>
          </w:p>
        </w:tc>
        <w:tc>
          <w:tcPr>
            <w:tcW w:w="1158" w:type="dxa"/>
            <w:noWrap w:val="0"/>
            <w:vAlign w:val="center"/>
          </w:tcPr>
          <w:p w14:paraId="5595D4C4">
            <w:pPr>
              <w:spacing w:line="360" w:lineRule="auto"/>
              <w:jc w:val="center"/>
              <w:rPr>
                <w:rFonts w:ascii="宋体" w:hAnsi="宋体"/>
                <w:color w:val="000000"/>
                <w:sz w:val="18"/>
                <w:szCs w:val="18"/>
                <w:lang w:val="zh-CN"/>
              </w:rPr>
            </w:pPr>
            <w:r>
              <w:rPr>
                <w:rFonts w:ascii="宋体" w:hAnsi="宋体"/>
                <w:color w:val="000000"/>
                <w:sz w:val="18"/>
                <w:szCs w:val="18"/>
                <w:lang w:val="zh-CN"/>
              </w:rPr>
              <w:t>25</w:t>
            </w:r>
          </w:p>
        </w:tc>
        <w:tc>
          <w:tcPr>
            <w:tcW w:w="3420" w:type="dxa"/>
            <w:noWrap w:val="0"/>
            <w:vAlign w:val="center"/>
          </w:tcPr>
          <w:p w14:paraId="55AA0BE3">
            <w:pPr>
              <w:spacing w:line="360" w:lineRule="auto"/>
              <w:jc w:val="left"/>
              <w:rPr>
                <w:rFonts w:hint="eastAsia"/>
                <w:color w:val="000000"/>
                <w:sz w:val="18"/>
                <w:szCs w:val="18"/>
                <w:lang w:val="zh-CN"/>
              </w:rPr>
            </w:pPr>
            <w:r>
              <w:rPr>
                <w:rFonts w:hint="eastAsia"/>
                <w:color w:val="000000"/>
                <w:sz w:val="18"/>
                <w:szCs w:val="18"/>
                <w:lang w:val="zh-CN"/>
              </w:rPr>
              <w:t>由标准组合转化为基本组合的分项系数</w:t>
            </w:r>
            <w:r>
              <w:rPr>
                <w:color w:val="000000"/>
                <w:sz w:val="18"/>
                <w:szCs w:val="18"/>
                <w:lang w:val="zh-CN"/>
              </w:rPr>
              <w:t>γ</w:t>
            </w:r>
          </w:p>
        </w:tc>
        <w:tc>
          <w:tcPr>
            <w:tcW w:w="1172" w:type="dxa"/>
            <w:noWrap w:val="0"/>
            <w:vAlign w:val="center"/>
          </w:tcPr>
          <w:p w14:paraId="5930DCE7">
            <w:pPr>
              <w:spacing w:line="360" w:lineRule="auto"/>
              <w:jc w:val="center"/>
              <w:rPr>
                <w:rFonts w:hint="eastAsia" w:ascii="宋体" w:hAnsi="宋体"/>
                <w:color w:val="000000"/>
                <w:sz w:val="18"/>
                <w:szCs w:val="18"/>
                <w:lang w:val="zh-CN"/>
              </w:rPr>
            </w:pPr>
            <w:r>
              <w:rPr>
                <w:rFonts w:hint="eastAsia" w:ascii="宋体" w:hAnsi="宋体"/>
                <w:color w:val="000000"/>
                <w:sz w:val="18"/>
                <w:szCs w:val="18"/>
                <w:lang w:val="zh-CN"/>
              </w:rPr>
              <w:t>1.35</w:t>
            </w:r>
          </w:p>
        </w:tc>
      </w:tr>
    </w:tbl>
    <w:p w14:paraId="3C4D1B1A">
      <w:pPr>
        <w:spacing w:line="360" w:lineRule="auto"/>
        <w:jc w:val="left"/>
        <w:rPr>
          <w:rFonts w:hint="eastAsia"/>
          <w:b/>
          <w:sz w:val="30"/>
          <w:szCs w:val="30"/>
        </w:rPr>
      </w:pPr>
      <w:r>
        <w:rPr>
          <w:rFonts w:hint="eastAsia"/>
          <w:b/>
          <w:sz w:val="30"/>
          <w:szCs w:val="30"/>
        </w:rPr>
        <w:t>五、地基承载力计算</w:t>
      </w:r>
    </w:p>
    <w:p w14:paraId="37ACE416">
      <w:pPr>
        <w:numPr>
          <w:ilvl w:val="0"/>
          <w:numId w:val="8"/>
        </w:numPr>
        <w:spacing w:line="360" w:lineRule="auto"/>
        <w:ind w:left="426" w:hanging="421"/>
        <w:jc w:val="left"/>
        <w:rPr>
          <w:rFonts w:hint="eastAsia"/>
          <w:sz w:val="24"/>
        </w:rPr>
      </w:pPr>
      <w:r>
        <w:rPr>
          <w:rFonts w:hint="eastAsia"/>
          <w:sz w:val="24"/>
        </w:rPr>
        <w:t>基础自重标准值：</w:t>
      </w:r>
    </w:p>
    <w:p w14:paraId="644CCABA">
      <w:pPr>
        <w:spacing w:line="360" w:lineRule="auto"/>
        <w:jc w:val="left"/>
        <w:rPr>
          <w:rFonts w:hint="eastAsia"/>
          <w:lang w:eastAsia="zh-CN"/>
        </w:rPr>
      </w:pPr>
      <w:r>
        <w:rPr>
          <w:position w:val="-12"/>
        </w:rPr>
        <w:object>
          <v:shape id="_x0000_i1025" o:spt="75" type="#_x0000_t75" style="height:18pt;width:52pt;" o:ole="t" filled="f" o:preferrelative="t" stroked="f" coordsize="21600,21600">
            <v:path/>
            <v:fill on="f" alignshape="1" focussize="0,0"/>
            <v:stroke on="f"/>
            <v:imagedata r:id="rId80" grayscale="f" bilevel="f" o:title=""/>
            <o:lock v:ext="edit" aspectratio="t"/>
            <w10:wrap type="none"/>
            <w10:anchorlock/>
          </v:shape>
          <o:OLEObject Type="Embed" ProgID="Equation.DSMT4" ShapeID="_x0000_i1025" DrawAspect="Content" ObjectID="_1468075725" r:id="rId79">
            <o:LockedField>false</o:LockedField>
          </o:OLEObject>
        </w:object>
      </w:r>
      <w:r>
        <w:rPr>
          <w:rFonts w:hint="eastAsia"/>
          <w:lang w:eastAsia="zh-CN"/>
        </w:rPr>
        <w:t>=25×6000×6000×2000/1000000000=1800.00 kN</w:t>
      </w:r>
    </w:p>
    <w:p w14:paraId="365E1D8C">
      <w:pPr>
        <w:spacing w:line="360" w:lineRule="auto"/>
        <w:jc w:val="left"/>
        <w:rPr>
          <w:rFonts w:hint="eastAsia"/>
          <w:lang w:eastAsia="zh-CN"/>
        </w:rPr>
      </w:pPr>
      <w:r>
        <w:rPr>
          <w:rFonts w:hint="eastAsia"/>
          <w:lang w:eastAsia="zh-CN"/>
        </w:rPr>
        <w:t>2. 基础底面抵抗矩：</w:t>
      </w:r>
    </w:p>
    <w:p w14:paraId="049EB231">
      <w:pPr>
        <w:spacing w:line="360" w:lineRule="auto"/>
        <w:jc w:val="left"/>
        <w:rPr>
          <w:rFonts w:hint="eastAsia"/>
          <w:lang w:eastAsia="zh-CN"/>
        </w:rPr>
      </w:pPr>
      <w:r>
        <w:rPr>
          <w:position w:val="-12"/>
        </w:rPr>
        <w:object>
          <v:shape id="_x0000_i1026" o:spt="75" type="#_x0000_t75" style="height:18.8pt;width:58.25pt;" o:ole="t" filled="f" o:preferrelative="t" stroked="f" coordsize="21600,21600">
            <v:path/>
            <v:fill on="f" alignshape="1" focussize="0,0"/>
            <v:stroke on="f"/>
            <v:imagedata r:id="rId82" grayscale="f" bilevel="f" o:title=""/>
            <o:lock v:ext="edit" aspectratio="t"/>
            <w10:wrap type="none"/>
            <w10:anchorlock/>
          </v:shape>
          <o:OLEObject Type="Embed" ProgID="Equation.DSMT4" ShapeID="_x0000_i1026" DrawAspect="Content" ObjectID="_1468075726" r:id="rId81">
            <o:LockedField>false</o:LockedField>
          </o:OLEObject>
        </w:object>
      </w:r>
      <w:r>
        <w:rPr>
          <w:rFonts w:hint="eastAsia"/>
          <w:lang w:eastAsia="zh-CN"/>
        </w:rPr>
        <w:t>=6000×6000×6000/6=36000000000.00 mm^3;</w:t>
      </w:r>
    </w:p>
    <w:p w14:paraId="0CB5182D">
      <w:pPr>
        <w:spacing w:line="360" w:lineRule="auto"/>
        <w:jc w:val="left"/>
        <w:rPr>
          <w:rFonts w:hint="eastAsia"/>
          <w:lang w:eastAsia="zh-CN"/>
        </w:rPr>
      </w:pPr>
      <w:r>
        <w:rPr>
          <w:position w:val="-14"/>
        </w:rPr>
        <w:object>
          <v:shape id="_x0000_i1027" o:spt="75" type="#_x0000_t75" style="height:20.05pt;width:56.95pt;" o:ole="t" filled="f" o:preferrelative="t" stroked="f" coordsize="21600,21600">
            <v:path/>
            <v:fill on="f" alignshape="1" focussize="0,0"/>
            <v:stroke on="f"/>
            <v:imagedata r:id="rId84" grayscale="f" bilevel="f" o:title=""/>
            <o:lock v:ext="edit" aspectratio="t"/>
            <w10:wrap type="none"/>
            <w10:anchorlock/>
          </v:shape>
          <o:OLEObject Type="Embed" ProgID="Equation.DSMT4" ShapeID="_x0000_i1027" DrawAspect="Content" ObjectID="_1468075727" r:id="rId83">
            <o:LockedField>false</o:LockedField>
          </o:OLEObject>
        </w:object>
      </w:r>
      <w:r>
        <w:rPr>
          <w:rFonts w:hint="eastAsia"/>
          <w:lang w:eastAsia="zh-CN"/>
        </w:rPr>
        <w:t>=6000×6000×6000/6=36000000000.00 mm^3;</w:t>
      </w:r>
    </w:p>
    <w:p w14:paraId="72E04F50">
      <w:pPr>
        <w:spacing w:line="360" w:lineRule="auto"/>
        <w:jc w:val="left"/>
        <w:rPr>
          <w:rFonts w:hint="eastAsia"/>
          <w:lang w:eastAsia="zh-CN"/>
        </w:rPr>
      </w:pPr>
      <w:r>
        <w:rPr>
          <w:rFonts w:hint="eastAsia"/>
          <w:lang w:eastAsia="zh-CN"/>
        </w:rPr>
        <w:t>3. 基础对地基的平均压力：</w:t>
      </w:r>
    </w:p>
    <w:p w14:paraId="5A759D96">
      <w:pPr>
        <w:spacing w:line="360" w:lineRule="auto"/>
        <w:jc w:val="left"/>
        <w:rPr>
          <w:rFonts w:hint="eastAsia"/>
          <w:lang w:eastAsia="zh-CN"/>
        </w:rPr>
      </w:pPr>
      <w:r>
        <w:rPr>
          <w:rFonts w:hint="eastAsia"/>
        </w:rPr>
        <w:t>工作状态：</w:t>
      </w:r>
      <w:r>
        <w:rPr>
          <w:position w:val="-24"/>
        </w:rPr>
        <w:object>
          <v:shape id="_x0000_i1028" o:spt="75" type="#_x0000_t75" style="height:31.3pt;width:76.85pt;" o:ole="t" filled="f" o:preferrelative="t" stroked="f" coordsize="21600,21600">
            <v:path/>
            <v:fill on="f" alignshape="1" focussize="0,0"/>
            <v:stroke on="f"/>
            <v:imagedata r:id="rId86" grayscale="f" bilevel="f" o:title=""/>
            <o:lock v:ext="edit" aspectratio="t"/>
            <w10:wrap type="none"/>
            <w10:anchorlock/>
          </v:shape>
          <o:OLEObject Type="Embed" ProgID="Equation.DSMT4" ShapeID="_x0000_i1028" DrawAspect="Content" ObjectID="_1468075728" r:id="rId85">
            <o:LockedField>false</o:LockedField>
          </o:OLEObject>
        </w:object>
      </w:r>
      <w:r>
        <w:rPr>
          <w:rFonts w:hint="eastAsia"/>
          <w:lang w:eastAsia="zh-CN"/>
        </w:rPr>
        <w:t>=(511.00+1800.00)*1000000/(6000×6000)=64.19 kPa;</w:t>
      </w:r>
    </w:p>
    <w:p w14:paraId="34EB4A2E">
      <w:pPr>
        <w:spacing w:line="360" w:lineRule="auto"/>
        <w:jc w:val="left"/>
        <w:rPr>
          <w:rFonts w:hint="eastAsia"/>
          <w:lang w:eastAsia="zh-CN"/>
        </w:rPr>
      </w:pPr>
      <w:r>
        <w:rPr>
          <w:rFonts w:hint="eastAsia"/>
        </w:rPr>
        <w:t>非工作状态：</w:t>
      </w:r>
      <w:r>
        <w:rPr>
          <w:position w:val="-24"/>
        </w:rPr>
        <w:object>
          <v:shape id="_x0000_i1029" o:spt="75" type="#_x0000_t75" style="height:32.25pt;width:76.85pt;" o:ole="t" filled="f" o:preferrelative="t" stroked="f" coordsize="21600,21600">
            <v:path/>
            <v:fill on="f" alignshape="1" focussize="0,0"/>
            <v:stroke on="f"/>
            <v:imagedata r:id="rId88" grayscale="f" bilevel="f" o:title=""/>
            <o:lock v:ext="edit" aspectratio="t"/>
            <w10:wrap type="none"/>
            <w10:anchorlock/>
          </v:shape>
          <o:OLEObject Type="Embed" ProgID="Equation.DSMT4" ShapeID="_x0000_i1029" DrawAspect="Content" ObjectID="_1468075729" r:id="rId87">
            <o:LockedField>false</o:LockedField>
          </o:OLEObject>
        </w:object>
      </w:r>
      <w:r>
        <w:rPr>
          <w:rFonts w:hint="eastAsia"/>
          <w:lang w:eastAsia="zh-CN"/>
        </w:rPr>
        <w:t>=(497.00+1800.00)*1000000/(6000×6000)=63.81 kPa;</w:t>
      </w:r>
    </w:p>
    <w:p w14:paraId="316C1B76">
      <w:pPr>
        <w:spacing w:line="360" w:lineRule="auto"/>
        <w:jc w:val="left"/>
        <w:rPr>
          <w:rFonts w:hint="eastAsia"/>
          <w:lang w:eastAsia="zh-CN"/>
        </w:rPr>
      </w:pPr>
      <w:r>
        <w:rPr>
          <w:rFonts w:hint="eastAsia"/>
          <w:lang w:eastAsia="zh-CN"/>
        </w:rPr>
        <w:t>4. 偏心距：</w:t>
      </w:r>
    </w:p>
    <w:p w14:paraId="11F3B1DF">
      <w:pPr>
        <w:spacing w:line="360" w:lineRule="auto"/>
        <w:jc w:val="left"/>
        <w:rPr>
          <w:rFonts w:hint="eastAsia"/>
          <w:lang w:eastAsia="zh-CN"/>
        </w:rPr>
      </w:pPr>
      <w:r>
        <w:rPr>
          <w:rFonts w:hint="eastAsia"/>
        </w:rPr>
        <w:t>工作状态：</w:t>
      </w:r>
      <w:r>
        <w:rPr>
          <w:position w:val="-30"/>
        </w:rPr>
        <w:object>
          <v:shape id="_x0000_i1030" o:spt="75" type="#_x0000_t75" style="height:34pt;width:88pt;" o:ole="t" filled="f" o:preferrelative="t" stroked="f" coordsize="21600,21600">
            <v:path/>
            <v:fill on="f" alignshape="1" focussize="0,0"/>
            <v:stroke on="f"/>
            <v:imagedata r:id="rId90" grayscale="f" bilevel="f" o:title=""/>
            <o:lock v:ext="edit" aspectratio="t"/>
            <w10:wrap type="none"/>
            <w10:anchorlock/>
          </v:shape>
          <o:OLEObject Type="Embed" ProgID="Equation.DSMT4" ShapeID="_x0000_i1030" DrawAspect="Content" ObjectID="_1468075730" r:id="rId89">
            <o:LockedField>false</o:LockedField>
          </o:OLEObject>
        </w:object>
      </w:r>
      <w:r>
        <w:rPr>
          <w:rFonts w:hint="eastAsia"/>
          <w:lang w:eastAsia="zh-CN"/>
        </w:rPr>
        <w:t>=(1777.00×1000+25.00×2000)/(511.00+1800.00)=790.57 mm;</w:t>
      </w:r>
    </w:p>
    <w:p w14:paraId="52581E52">
      <w:pPr>
        <w:spacing w:line="360" w:lineRule="auto"/>
        <w:jc w:val="left"/>
        <w:rPr>
          <w:rFonts w:hint="eastAsia"/>
          <w:lang w:eastAsia="zh-CN"/>
        </w:rPr>
      </w:pPr>
      <w:r>
        <w:rPr>
          <w:rFonts w:hint="eastAsia"/>
        </w:rPr>
        <w:t>非工作状态：</w:t>
      </w:r>
      <w:r>
        <w:rPr>
          <w:position w:val="-32"/>
        </w:rPr>
        <w:object>
          <v:shape id="_x0000_i1031" o:spt="75" type="#_x0000_t75" style="height:36pt;width:88pt;" o:ole="t" filled="f" o:preferrelative="t" stroked="f" coordsize="21600,21600">
            <v:path/>
            <v:fill on="f" alignshape="1" focussize="0,0"/>
            <v:stroke on="f"/>
            <v:imagedata r:id="rId92" grayscale="f" bilevel="f" o:title=""/>
            <o:lock v:ext="edit" aspectratio="t"/>
            <w10:wrap type="none"/>
            <w10:anchorlock/>
          </v:shape>
          <o:OLEObject Type="Embed" ProgID="Equation.DSMT4" ShapeID="_x0000_i1031" DrawAspect="Content" ObjectID="_1468075731" r:id="rId91">
            <o:LockedField>false</o:LockedField>
          </o:OLEObject>
        </w:object>
      </w:r>
      <w:r>
        <w:rPr>
          <w:rFonts w:hint="eastAsia"/>
          <w:lang w:eastAsia="zh-CN"/>
        </w:rPr>
        <w:t>=(1782.00×1000+97.00×2000)/(497.00+1800.00)=860.25 mm;</w:t>
      </w:r>
    </w:p>
    <w:p w14:paraId="796F9DA9">
      <w:pPr>
        <w:spacing w:line="360" w:lineRule="auto"/>
        <w:jc w:val="left"/>
        <w:rPr>
          <w:rFonts w:hint="eastAsia"/>
          <w:lang w:eastAsia="zh-CN"/>
        </w:rPr>
      </w:pPr>
      <w:r>
        <w:rPr>
          <w:rFonts w:hint="eastAsia"/>
          <w:lang w:eastAsia="zh-CN"/>
        </w:rPr>
        <w:t>基础边长比≤1.1,按方形基础核算</w:t>
      </w:r>
    </w:p>
    <w:p w14:paraId="5A131C99">
      <w:pPr>
        <w:spacing w:line="360" w:lineRule="auto"/>
        <w:jc w:val="center"/>
        <w:rPr>
          <w:rFonts w:hint="eastAsia"/>
        </w:rPr>
      </w:pPr>
      <w:r>
        <w:drawing>
          <wp:inline distT="0" distB="0" distL="114300" distR="114300">
            <wp:extent cx="4279265" cy="4248150"/>
            <wp:effectExtent l="0" t="0" r="6985" b="0"/>
            <wp:docPr id="33" name="图片 40" descr="基础示意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0" descr="基础示意图6"/>
                    <pic:cNvPicPr>
                      <a:picLocks noChangeAspect="1"/>
                    </pic:cNvPicPr>
                  </pic:nvPicPr>
                  <pic:blipFill>
                    <a:blip r:embed="rId93"/>
                    <a:stretch>
                      <a:fillRect/>
                    </a:stretch>
                  </pic:blipFill>
                  <pic:spPr>
                    <a:xfrm>
                      <a:off x="0" y="0"/>
                      <a:ext cx="4279265" cy="4248150"/>
                    </a:xfrm>
                    <a:prstGeom prst="rect">
                      <a:avLst/>
                    </a:prstGeom>
                    <a:noFill/>
                    <a:ln>
                      <a:noFill/>
                    </a:ln>
                  </pic:spPr>
                </pic:pic>
              </a:graphicData>
            </a:graphic>
          </wp:inline>
        </w:drawing>
      </w:r>
    </w:p>
    <w:p w14:paraId="2783D5F4">
      <w:pPr>
        <w:spacing w:line="360" w:lineRule="auto"/>
        <w:jc w:val="left"/>
        <w:rPr>
          <w:rFonts w:hint="eastAsia"/>
          <w:lang w:val="en-US" w:eastAsia="zh-CN"/>
        </w:rPr>
      </w:pPr>
      <w:r>
        <w:rPr>
          <w:rFonts w:hint="eastAsia"/>
          <w:lang w:val="en-US" w:eastAsia="zh-CN"/>
        </w:rPr>
        <w:t>5、相应于荷载效应标准组合时，同时作用于基础X、Y方向的倾覆力矩：</w:t>
      </w:r>
    </w:p>
    <w:p w14:paraId="64CC183D">
      <w:pPr>
        <w:spacing w:line="360" w:lineRule="auto"/>
        <w:jc w:val="left"/>
        <w:rPr>
          <w:rFonts w:hint="eastAsia"/>
          <w:lang w:eastAsia="zh-CN"/>
        </w:rPr>
      </w:pPr>
      <w:r>
        <w:t>工作状态</w:t>
      </w:r>
      <w:r>
        <w:rPr>
          <w:rFonts w:hint="eastAsia"/>
        </w:rPr>
        <w:t>：</w:t>
      </w:r>
      <w:r>
        <w:rPr>
          <w:position w:val="-30"/>
        </w:rPr>
        <w:object>
          <v:shape id="_x0000_i1032" o:spt="75" type="#_x0000_t75" style="height:33.8pt;width:82.75pt;" o:ole="t" filled="f" o:preferrelative="t" stroked="f" coordsize="21600,21600">
            <v:path/>
            <v:fill on="f" alignshape="1" focussize="0,0"/>
            <v:stroke on="f"/>
            <v:imagedata r:id="rId95" grayscale="f" bilevel="f" o:title=""/>
            <o:lock v:ext="edit" aspectratio="t"/>
            <w10:wrap type="none"/>
            <w10:anchorlock/>
          </v:shape>
          <o:OLEObject Type="Embed" ProgID="Equation.DSMT4" ShapeID="_x0000_i1032" DrawAspect="Content" ObjectID="_1468075732" r:id="rId94">
            <o:LockedField>false</o:LockedField>
          </o:OLEObject>
        </w:object>
      </w:r>
      <w:r>
        <w:rPr>
          <w:rFonts w:hint="eastAsia"/>
          <w:lang w:eastAsia="zh-CN"/>
        </w:rPr>
        <w:t>=1777.00×6000/√(6000×6000+6000×6000)=1256.53 kN.m;</w:t>
      </w:r>
    </w:p>
    <w:p w14:paraId="3607749B">
      <w:pPr>
        <w:spacing w:line="360" w:lineRule="auto"/>
        <w:jc w:val="left"/>
        <w:rPr>
          <w:rFonts w:hint="eastAsia"/>
          <w:lang w:eastAsia="zh-CN"/>
        </w:rPr>
      </w:pPr>
      <w:r>
        <w:rPr>
          <w:position w:val="-30"/>
        </w:rPr>
        <w:object>
          <v:shape id="_x0000_i1033" o:spt="75" type="#_x0000_t75" style="height:33.8pt;width:83.75pt;" o:ole="t" filled="f" o:preferrelative="t" stroked="f" coordsize="21600,21600">
            <v:path/>
            <v:fill on="f" alignshape="1" focussize="0,0"/>
            <v:stroke on="f"/>
            <v:imagedata r:id="rId97" grayscale="f" bilevel="f" o:title=""/>
            <o:lock v:ext="edit" aspectratio="t"/>
            <w10:wrap type="none"/>
            <w10:anchorlock/>
          </v:shape>
          <o:OLEObject Type="Embed" ProgID="Equation.DSMT4" ShapeID="_x0000_i1033" DrawAspect="Content" ObjectID="_1468075733" r:id="rId96">
            <o:LockedField>false</o:LockedField>
          </o:OLEObject>
        </w:object>
      </w:r>
      <w:r>
        <w:rPr>
          <w:rFonts w:hint="eastAsia"/>
          <w:lang w:eastAsia="zh-CN"/>
        </w:rPr>
        <w:t>=1777.00×6000/√(6000×6000+6000×6000)=1256.53 kN.m;</w:t>
      </w:r>
    </w:p>
    <w:p w14:paraId="21E12A58">
      <w:pPr>
        <w:rPr>
          <w:rFonts w:hint="eastAsia"/>
          <w:lang w:eastAsia="zh-CN"/>
        </w:rPr>
      </w:pPr>
      <w:r>
        <w:t>非工作状态</w:t>
      </w:r>
      <w:r>
        <w:rPr>
          <w:rFonts w:hint="eastAsia"/>
        </w:rPr>
        <w:t>：</w:t>
      </w:r>
      <w:r>
        <w:rPr>
          <w:position w:val="-30"/>
        </w:rPr>
        <w:object>
          <v:shape id="_x0000_i1034" o:spt="75" type="#_x0000_t75" style="height:34.8pt;width:82.75pt;" o:ole="t" filled="f" o:preferrelative="t" stroked="f" coordsize="21600,21600">
            <v:path/>
            <v:fill on="f" alignshape="1" focussize="0,0"/>
            <v:stroke on="f"/>
            <v:imagedata r:id="rId99" grayscale="f" bilevel="f" o:title=""/>
            <o:lock v:ext="edit" aspectratio="t"/>
            <w10:wrap type="none"/>
            <w10:anchorlock/>
          </v:shape>
          <o:OLEObject Type="Embed" ProgID="Equation.DSMT4" ShapeID="_x0000_i1034" DrawAspect="Content" ObjectID="_1468075734" r:id="rId98">
            <o:LockedField>false</o:LockedField>
          </o:OLEObject>
        </w:object>
      </w:r>
      <w:r>
        <w:rPr>
          <w:rFonts w:hint="eastAsia"/>
          <w:lang w:eastAsia="zh-CN"/>
        </w:rPr>
        <w:t>=1782.00×6000/sqrt(6000×6000+6000×6000)=1260.06 kN.m;</w:t>
      </w:r>
    </w:p>
    <w:p w14:paraId="65909F1F">
      <w:pPr>
        <w:rPr>
          <w:rFonts w:hint="eastAsia"/>
          <w:lang w:eastAsia="zh-CN"/>
        </w:rPr>
      </w:pPr>
      <w:r>
        <w:rPr>
          <w:position w:val="-30"/>
        </w:rPr>
        <w:object>
          <v:shape id="_x0000_i1035" o:spt="75" type="#_x0000_t75" style="height:34.8pt;width:83.75pt;" o:ole="t" filled="f" o:preferrelative="t" stroked="f" coordsize="21600,21600">
            <v:path/>
            <v:fill on="f" alignshape="1" focussize="0,0"/>
            <v:stroke on="f"/>
            <v:imagedata r:id="rId101" grayscale="f" bilevel="f" o:title=""/>
            <o:lock v:ext="edit" aspectratio="t"/>
            <w10:wrap type="none"/>
            <w10:anchorlock/>
          </v:shape>
          <o:OLEObject Type="Embed" ProgID="Equation.DSMT4" ShapeID="_x0000_i1035" DrawAspect="Content" ObjectID="_1468075735" r:id="rId100">
            <o:LockedField>false</o:LockedField>
          </o:OLEObject>
        </w:object>
      </w:r>
      <w:r>
        <w:rPr>
          <w:rFonts w:hint="eastAsia"/>
          <w:lang w:eastAsia="zh-CN"/>
        </w:rPr>
        <w:t>=1782.00×6000/√(6000×6000+6000×6000)=1260.06 kN.m;</w:t>
      </w:r>
    </w:p>
    <w:p w14:paraId="0D96E0C4">
      <w:pPr>
        <w:rPr>
          <w:rFonts w:hint="eastAsia"/>
          <w:lang w:eastAsia="zh-CN"/>
        </w:rPr>
      </w:pPr>
      <w:r>
        <w:rPr>
          <w:rFonts w:hint="eastAsia"/>
          <w:lang w:eastAsia="zh-CN"/>
        </w:rPr>
        <w:t>6、偏心距在X方向投影长度：</w:t>
      </w:r>
    </w:p>
    <w:p w14:paraId="701101CC">
      <w:pPr>
        <w:spacing w:line="360" w:lineRule="auto"/>
        <w:jc w:val="left"/>
        <w:rPr>
          <w:rFonts w:hint="eastAsia"/>
          <w:lang w:eastAsia="zh-CN"/>
        </w:rPr>
      </w:pPr>
      <w:r>
        <w:t>工作状态</w:t>
      </w:r>
      <w:r>
        <w:rPr>
          <w:rFonts w:hint="eastAsia"/>
        </w:rPr>
        <w:t>：</w:t>
      </w:r>
      <w:r>
        <w:rPr>
          <w:position w:val="-30"/>
        </w:rPr>
        <w:object>
          <v:shape id="_x0000_i1036" o:spt="75" type="#_x0000_t75" style="height:33.8pt;width:73pt;" o:ole="t" filled="f" o:preferrelative="t" stroked="f" coordsize="21600,21600">
            <v:path/>
            <v:fill on="f" alignshape="1" focussize="0,0"/>
            <v:stroke on="f"/>
            <v:imagedata r:id="rId103" grayscale="f" bilevel="f" o:title=""/>
            <o:lock v:ext="edit" aspectratio="t"/>
            <w10:wrap type="none"/>
            <w10:anchorlock/>
          </v:shape>
          <o:OLEObject Type="Embed" ProgID="Equation.DSMT4" ShapeID="_x0000_i1036" DrawAspect="Content" ObjectID="_1468075736" r:id="rId102">
            <o:LockedField>false</o:LockedField>
          </o:OLEObject>
        </w:object>
      </w:r>
      <w:r>
        <w:rPr>
          <w:rFonts w:hint="eastAsia"/>
          <w:lang w:eastAsia="zh-CN"/>
        </w:rPr>
        <w:t>=790.57×6000/√(6000×6000+6000×6000)=559.02 mm;</w:t>
      </w:r>
    </w:p>
    <w:p w14:paraId="37CB55C1">
      <w:pPr>
        <w:spacing w:line="360" w:lineRule="auto"/>
        <w:jc w:val="left"/>
        <w:rPr>
          <w:rFonts w:hint="eastAsia"/>
          <w:lang w:eastAsia="zh-CN"/>
        </w:rPr>
      </w:pPr>
      <w:r>
        <w:t>非工作状态</w:t>
      </w:r>
      <w:r>
        <w:rPr>
          <w:rFonts w:hint="eastAsia"/>
        </w:rPr>
        <w:t>：</w:t>
      </w:r>
      <w:r>
        <w:rPr>
          <w:position w:val="-30"/>
        </w:rPr>
        <w:object>
          <v:shape id="_x0000_i1037" o:spt="75" type="#_x0000_t75" style="height:34.8pt;width:73pt;" o:ole="t" filled="f" o:preferrelative="t" stroked="f" coordsize="21600,21600">
            <v:path/>
            <v:fill on="f" alignshape="1" focussize="0,0"/>
            <v:stroke on="f"/>
            <v:imagedata r:id="rId105" grayscale="f" bilevel="f" o:title=""/>
            <o:lock v:ext="edit" aspectratio="t"/>
            <w10:wrap type="none"/>
            <w10:anchorlock/>
          </v:shape>
          <o:OLEObject Type="Embed" ProgID="Equation.DSMT4" ShapeID="_x0000_i1037" DrawAspect="Content" ObjectID="_1468075737" r:id="rId104">
            <o:LockedField>false</o:LockedField>
          </o:OLEObject>
        </w:object>
      </w:r>
      <w:r>
        <w:rPr>
          <w:rFonts w:hint="eastAsia"/>
          <w:lang w:eastAsia="zh-CN"/>
        </w:rPr>
        <w:t>=860.25×6000/√(6000×6000+6000×6000)=608.29 mm;</w:t>
      </w:r>
    </w:p>
    <w:p w14:paraId="08FBA335">
      <w:pPr>
        <w:spacing w:line="360" w:lineRule="auto"/>
        <w:jc w:val="left"/>
        <w:rPr>
          <w:rFonts w:hint="eastAsia"/>
          <w:lang w:eastAsia="zh-CN"/>
        </w:rPr>
      </w:pPr>
      <w:r>
        <w:rPr>
          <w:rFonts w:hint="eastAsia"/>
          <w:lang w:eastAsia="zh-CN"/>
        </w:rPr>
        <w:t>7、偏心距在Y方向投影长度：</w:t>
      </w:r>
    </w:p>
    <w:p w14:paraId="6EB2805C">
      <w:pPr>
        <w:spacing w:line="360" w:lineRule="auto"/>
        <w:jc w:val="left"/>
        <w:rPr>
          <w:rFonts w:hint="eastAsia"/>
          <w:lang w:eastAsia="zh-CN"/>
        </w:rPr>
      </w:pPr>
      <w:r>
        <w:t>工作状态</w:t>
      </w:r>
      <w:r>
        <w:rPr>
          <w:rFonts w:hint="eastAsia"/>
        </w:rPr>
        <w:t>：</w:t>
      </w:r>
      <w:r>
        <w:rPr>
          <w:position w:val="-30"/>
        </w:rPr>
        <w:object>
          <v:shape id="_x0000_i1038" o:spt="75" type="#_x0000_t75" style="height:33.8pt;width:72.15pt;" o:ole="t" filled="f" o:preferrelative="t" stroked="f" coordsize="21600,21600">
            <v:path/>
            <v:fill on="f" alignshape="1" focussize="0,0"/>
            <v:stroke on="f"/>
            <v:imagedata r:id="rId107" grayscale="f" bilevel="f" o:title=""/>
            <o:lock v:ext="edit" aspectratio="t"/>
            <w10:wrap type="none"/>
            <w10:anchorlock/>
          </v:shape>
          <o:OLEObject Type="Embed" ProgID="Equation.DSMT4" ShapeID="_x0000_i1038" DrawAspect="Content" ObjectID="_1468075738" r:id="rId106">
            <o:LockedField>false</o:LockedField>
          </o:OLEObject>
        </w:object>
      </w:r>
      <w:r>
        <w:rPr>
          <w:rFonts w:hint="eastAsia"/>
          <w:lang w:eastAsia="zh-CN"/>
        </w:rPr>
        <w:t>=790.57×6000/√(6000×6000+6000×6000)=559.02 mm;</w:t>
      </w:r>
    </w:p>
    <w:p w14:paraId="29DDE1FE">
      <w:pPr>
        <w:spacing w:line="360" w:lineRule="auto"/>
        <w:jc w:val="left"/>
        <w:rPr>
          <w:rFonts w:hint="eastAsia"/>
          <w:lang w:eastAsia="zh-CN"/>
        </w:rPr>
      </w:pPr>
      <w:r>
        <w:rPr>
          <w:rFonts w:hint="eastAsia"/>
        </w:rPr>
        <w:t>非工作状态：</w:t>
      </w:r>
      <w:r>
        <w:rPr>
          <w:position w:val="-30"/>
        </w:rPr>
        <w:object>
          <v:shape id="_x0000_i1039" o:spt="75" type="#_x0000_t75" style="height:34.8pt;width:72.15pt;" o:ole="t" filled="f" o:preferrelative="t" stroked="f" coordsize="21600,21600">
            <v:path/>
            <v:fill on="f" alignshape="1" focussize="0,0"/>
            <v:stroke on="f"/>
            <v:imagedata r:id="rId109" grayscale="f" bilevel="f" o:title=""/>
            <o:lock v:ext="edit" aspectratio="t"/>
            <w10:wrap type="none"/>
            <w10:anchorlock/>
          </v:shape>
          <o:OLEObject Type="Embed" ProgID="Equation.DSMT4" ShapeID="_x0000_i1039" DrawAspect="Content" ObjectID="_1468075739" r:id="rId108">
            <o:LockedField>false</o:LockedField>
          </o:OLEObject>
        </w:object>
      </w:r>
      <w:r>
        <w:rPr>
          <w:rFonts w:hint="eastAsia"/>
          <w:lang w:eastAsia="zh-CN"/>
        </w:rPr>
        <w:t>=860.25×6000/√(6000×6000+6000×6000)=608.29 mm;</w:t>
      </w:r>
    </w:p>
    <w:p w14:paraId="1C45BF9C">
      <w:pPr>
        <w:spacing w:line="360" w:lineRule="auto"/>
        <w:jc w:val="left"/>
        <w:rPr>
          <w:rFonts w:hint="eastAsia"/>
          <w:lang w:eastAsia="zh-CN"/>
        </w:rPr>
      </w:pPr>
      <w:r>
        <w:rPr>
          <w:rFonts w:hint="eastAsia"/>
          <w:lang w:eastAsia="zh-CN"/>
        </w:rPr>
        <w:t>8、偏心荷载合力作用点至eb一侧X方向基础边缘的距离：</w:t>
      </w:r>
    </w:p>
    <w:p w14:paraId="6B2A2E83">
      <w:pPr>
        <w:spacing w:line="360" w:lineRule="auto"/>
        <w:jc w:val="left"/>
        <w:rPr>
          <w:rFonts w:hint="eastAsia"/>
          <w:lang w:eastAsia="zh-CN"/>
        </w:rPr>
      </w:pPr>
      <w:r>
        <w:t>工作状态</w:t>
      </w:r>
      <w:r>
        <w:rPr>
          <w:rFonts w:hint="eastAsia"/>
        </w:rPr>
        <w:t>：</w:t>
      </w:r>
      <w:r>
        <w:rPr>
          <w:position w:val="-24"/>
        </w:rPr>
        <w:object>
          <v:shape id="_x0000_i1040" o:spt="75" type="#_x0000_t75" style="height:31.3pt;width:61.65pt;" o:ole="t" filled="f" o:preferrelative="t" stroked="f" coordsize="21600,21600">
            <v:path/>
            <v:fill on="f" alignshape="1" focussize="0,0"/>
            <v:stroke on="f"/>
            <v:imagedata r:id="rId111" grayscale="f" bilevel="f" o:title=""/>
            <o:lock v:ext="edit" aspectratio="t"/>
            <w10:wrap type="none"/>
            <w10:anchorlock/>
          </v:shape>
          <o:OLEObject Type="Embed" ProgID="Equation.DSMT4" ShapeID="_x0000_i1040" DrawAspect="Content" ObjectID="_1468075740" r:id="rId110">
            <o:LockedField>false</o:LockedField>
          </o:OLEObject>
        </w:object>
      </w:r>
      <w:r>
        <w:rPr>
          <w:rFonts w:hint="eastAsia"/>
          <w:lang w:eastAsia="zh-CN"/>
        </w:rPr>
        <w:t>=6000/2-559.02=2440.98 mm;</w:t>
      </w:r>
    </w:p>
    <w:p w14:paraId="3C224FF1">
      <w:pPr>
        <w:spacing w:line="360" w:lineRule="auto"/>
        <w:jc w:val="left"/>
        <w:rPr>
          <w:rFonts w:hint="eastAsia"/>
          <w:lang w:eastAsia="zh-CN"/>
        </w:rPr>
      </w:pPr>
      <w:r>
        <w:rPr>
          <w:rFonts w:hint="eastAsia"/>
        </w:rPr>
        <w:t>非工作</w:t>
      </w:r>
      <w:r>
        <w:t>状态</w:t>
      </w:r>
      <w:r>
        <w:rPr>
          <w:rFonts w:hint="eastAsia"/>
        </w:rPr>
        <w:t>：</w:t>
      </w:r>
      <w:r>
        <w:rPr>
          <w:position w:val="-24"/>
        </w:rPr>
        <w:object>
          <v:shape id="_x0000_i1041" o:spt="75" type="#_x0000_t75" style="height:31.3pt;width:61.65pt;" o:ole="t" filled="f" o:preferrelative="t" stroked="f" coordsize="21600,21600">
            <v:path/>
            <v:fill on="f" alignshape="1" focussize="0,0"/>
            <v:stroke on="f"/>
            <v:imagedata r:id="rId113" grayscale="f" bilevel="f" o:title=""/>
            <o:lock v:ext="edit" aspectratio="t"/>
            <w10:wrap type="none"/>
            <w10:anchorlock/>
          </v:shape>
          <o:OLEObject Type="Embed" ProgID="Equation.DSMT4" ShapeID="_x0000_i1041" DrawAspect="Content" ObjectID="_1468075741" r:id="rId112">
            <o:LockedField>false</o:LockedField>
          </o:OLEObject>
        </w:object>
      </w:r>
      <w:r>
        <w:rPr>
          <w:rFonts w:hint="eastAsia"/>
          <w:lang w:eastAsia="zh-CN"/>
        </w:rPr>
        <w:t>=6000/2-608.29=2391.71 mm;</w:t>
      </w:r>
    </w:p>
    <w:p w14:paraId="0CF2954A">
      <w:pPr>
        <w:spacing w:line="360" w:lineRule="auto"/>
        <w:jc w:val="left"/>
        <w:rPr>
          <w:rFonts w:hint="eastAsia"/>
          <w:lang w:eastAsia="zh-CN"/>
        </w:rPr>
      </w:pPr>
      <w:r>
        <w:rPr>
          <w:rFonts w:hint="eastAsia"/>
          <w:lang w:eastAsia="zh-CN"/>
        </w:rPr>
        <w:t>9、偏心荷载合力作用点至el一侧Y方向基础边缘的距离：</w:t>
      </w:r>
    </w:p>
    <w:p w14:paraId="3AC9EFBC">
      <w:pPr>
        <w:spacing w:line="360" w:lineRule="auto"/>
        <w:jc w:val="left"/>
        <w:rPr>
          <w:rFonts w:hint="eastAsia"/>
          <w:lang w:eastAsia="zh-CN"/>
        </w:rPr>
      </w:pPr>
      <w:r>
        <w:t>工作状态</w:t>
      </w:r>
      <w:r>
        <w:rPr>
          <w:rFonts w:hint="eastAsia"/>
        </w:rPr>
        <w:t>：</w:t>
      </w:r>
      <w:r>
        <w:rPr>
          <w:position w:val="-24"/>
        </w:rPr>
        <w:object>
          <v:shape id="_x0000_i1042" o:spt="75" type="#_x0000_t75" style="height:31.3pt;width:59.25pt;" o:ole="t" filled="f" o:preferrelative="t" stroked="f" coordsize="21600,21600">
            <v:path/>
            <v:fill on="f" alignshape="1" focussize="0,0"/>
            <v:stroke on="f"/>
            <v:imagedata r:id="rId115" grayscale="f" bilevel="f" o:title=""/>
            <o:lock v:ext="edit" aspectratio="t"/>
            <w10:wrap type="none"/>
            <w10:anchorlock/>
          </v:shape>
          <o:OLEObject Type="Embed" ProgID="Equation.DSMT4" ShapeID="_x0000_i1042" DrawAspect="Content" ObjectID="_1468075742" r:id="rId114">
            <o:LockedField>false</o:LockedField>
          </o:OLEObject>
        </w:object>
      </w:r>
      <w:r>
        <w:rPr>
          <w:rFonts w:hint="eastAsia"/>
          <w:lang w:eastAsia="zh-CN"/>
        </w:rPr>
        <w:t>=6000/2-559.02=2440.98 mm;</w:t>
      </w:r>
    </w:p>
    <w:p w14:paraId="2C6A237F">
      <w:pPr>
        <w:spacing w:line="360" w:lineRule="auto"/>
        <w:jc w:val="left"/>
        <w:rPr>
          <w:rFonts w:hint="eastAsia"/>
          <w:lang w:eastAsia="zh-CN"/>
        </w:rPr>
      </w:pPr>
      <w:r>
        <w:rPr>
          <w:rFonts w:hint="eastAsia"/>
        </w:rPr>
        <w:t>非工作状态：</w:t>
      </w:r>
      <w:r>
        <w:rPr>
          <w:position w:val="-24"/>
        </w:rPr>
        <w:object>
          <v:shape id="_x0000_i1043" o:spt="75" type="#_x0000_t75" style="height:31.3pt;width:59.25pt;" o:ole="t" filled="f" o:preferrelative="t" stroked="f" coordsize="21600,21600">
            <v:path/>
            <v:fill on="f" alignshape="1" focussize="0,0"/>
            <v:stroke on="f"/>
            <v:imagedata r:id="rId117" grayscale="f" bilevel="f" o:title=""/>
            <o:lock v:ext="edit" aspectratio="t"/>
            <w10:wrap type="none"/>
            <w10:anchorlock/>
          </v:shape>
          <o:OLEObject Type="Embed" ProgID="Equation.DSMT4" ShapeID="_x0000_i1043" DrawAspect="Content" ObjectID="_1468075743" r:id="rId116">
            <o:LockedField>false</o:LockedField>
          </o:OLEObject>
        </w:object>
      </w:r>
      <w:r>
        <w:rPr>
          <w:rFonts w:hint="eastAsia"/>
          <w:lang w:eastAsia="zh-CN"/>
        </w:rPr>
        <w:t>=6000/2-608.29=2391.71 mm;</w:t>
      </w:r>
    </w:p>
    <w:p w14:paraId="716A1F93">
      <w:pPr>
        <w:spacing w:line="360" w:lineRule="auto"/>
        <w:jc w:val="left"/>
        <w:rPr>
          <w:rFonts w:hint="eastAsia"/>
          <w:lang w:eastAsia="zh-CN"/>
        </w:rPr>
      </w:pPr>
      <w:r>
        <w:rPr>
          <w:rFonts w:hint="eastAsia"/>
          <w:lang w:eastAsia="zh-CN"/>
        </w:rPr>
        <w:t>10、相应于荷载效应标准组合时，基础边缘的最小压力值：</w:t>
      </w:r>
    </w:p>
    <w:p w14:paraId="259B8A87">
      <w:pPr>
        <w:spacing w:line="360" w:lineRule="auto"/>
        <w:jc w:val="left"/>
        <w:rPr>
          <w:rFonts w:hint="eastAsia"/>
          <w:lang w:eastAsia="zh-CN"/>
        </w:rPr>
      </w:pPr>
      <w:r>
        <w:t>工作状态</w:t>
      </w:r>
      <w:r>
        <w:rPr>
          <w:rFonts w:hint="eastAsia"/>
        </w:rPr>
        <w:t>：</w:t>
      </w:r>
      <w:r>
        <w:rPr>
          <w:position w:val="-32"/>
        </w:rPr>
        <w:object>
          <v:shape id="_x0000_i1044" o:spt="75" type="#_x0000_t75" style="height:36.95pt;width:141pt;" o:ole="t" filled="f" o:preferrelative="t" stroked="f" coordsize="21600,21600">
            <v:path/>
            <v:fill on="f" alignshape="1" focussize="0,0"/>
            <v:stroke on="f"/>
            <v:imagedata r:id="rId119" grayscale="f" bilevel="f" o:title=""/>
            <o:lock v:ext="edit" aspectratio="t"/>
            <w10:wrap type="none"/>
            <w10:anchorlock/>
          </v:shape>
          <o:OLEObject Type="Embed" ProgID="Equation.DSMT4" ShapeID="_x0000_i1044" DrawAspect="Content" ObjectID="_1468075744" r:id="rId118">
            <o:LockedField>false</o:LockedField>
          </o:OLEObject>
        </w:object>
      </w:r>
      <w:r>
        <w:rPr>
          <w:rFonts w:hint="eastAsia"/>
          <w:lang w:eastAsia="zh-CN"/>
        </w:rPr>
        <w:t>=64.19-1256.53/(36000000000.00/1000000000)-1256.53/(36000000000.00/1000000000)=-5.61 kPa;</w:t>
      </w:r>
    </w:p>
    <w:p w14:paraId="4A1BBADE">
      <w:pPr>
        <w:spacing w:line="360" w:lineRule="auto"/>
        <w:jc w:val="left"/>
        <w:rPr>
          <w:rFonts w:hint="eastAsia"/>
          <w:lang w:eastAsia="zh-CN"/>
        </w:rPr>
      </w:pPr>
      <w:r>
        <w:rPr>
          <w:rFonts w:hint="eastAsia"/>
        </w:rPr>
        <w:t>非工作状态：</w:t>
      </w:r>
      <w:r>
        <w:rPr>
          <w:position w:val="-32"/>
        </w:rPr>
        <w:object>
          <v:shape id="_x0000_i1045" o:spt="75" type="#_x0000_t75" style="height:36.95pt;width:142pt;" o:ole="t" filled="f" o:preferrelative="t" stroked="f" coordsize="21600,21600">
            <v:path/>
            <v:fill on="f" alignshape="1" focussize="0,0"/>
            <v:stroke on="f"/>
            <v:imagedata r:id="rId121" grayscale="f" bilevel="f" o:title=""/>
            <o:lock v:ext="edit" aspectratio="t"/>
            <w10:wrap type="none"/>
            <w10:anchorlock/>
          </v:shape>
          <o:OLEObject Type="Embed" ProgID="Equation.DSMT4" ShapeID="_x0000_i1045" DrawAspect="Content" ObjectID="_1468075745" r:id="rId120">
            <o:LockedField>false</o:LockedField>
          </o:OLEObject>
        </w:object>
      </w:r>
      <w:r>
        <w:rPr>
          <w:rFonts w:hint="eastAsia"/>
          <w:lang w:eastAsia="zh-CN"/>
        </w:rPr>
        <w:t>=63.81-1260.06/(36000000000.00/1000000000)-1260.06/(36000000000.00/1000000000)=-6.20 kPa;</w:t>
      </w:r>
    </w:p>
    <w:p w14:paraId="2114DBA0">
      <w:pPr>
        <w:spacing w:line="360" w:lineRule="auto"/>
        <w:jc w:val="left"/>
        <w:rPr>
          <w:rFonts w:hint="eastAsia"/>
          <w:lang w:eastAsia="zh-CN"/>
        </w:rPr>
      </w:pPr>
      <w:r>
        <w:rPr>
          <w:rFonts w:hint="eastAsia"/>
          <w:lang w:eastAsia="zh-CN"/>
        </w:rPr>
        <w:t>11、相应于荷载效应标准组合时，基础边缘的最大压力值：</w:t>
      </w:r>
    </w:p>
    <w:p w14:paraId="0CE3FBEB">
      <w:pPr>
        <w:spacing w:line="360" w:lineRule="auto"/>
        <w:jc w:val="left"/>
        <w:rPr>
          <w:rFonts w:hint="eastAsia"/>
          <w:lang w:eastAsia="zh-CN"/>
        </w:rPr>
      </w:pPr>
      <w:r>
        <w:rPr>
          <w:rFonts w:hint="eastAsia"/>
        </w:rPr>
        <w:t>工作状态：</w:t>
      </w:r>
      <w:r>
        <w:rPr>
          <w:position w:val="-30"/>
        </w:rPr>
        <w:object>
          <v:shape id="_x0000_i1046" o:spt="75" type="#_x0000_t75" style="height:34.35pt;width:89.75pt;" o:ole="t" filled="f" o:preferrelative="t" stroked="f" coordsize="21600,21600">
            <v:path/>
            <v:fill on="f" alignshape="1" focussize="0,0"/>
            <v:stroke on="f"/>
            <v:imagedata r:id="rId123" grayscale="f" bilevel="f" o:title=""/>
            <o:lock v:ext="edit" aspectratio="t"/>
            <w10:wrap type="none"/>
            <w10:anchorlock/>
          </v:shape>
          <o:OLEObject Type="Embed" ProgID="Equation.DSMT4" ShapeID="_x0000_i1046" DrawAspect="Content" ObjectID="_1468075746" r:id="rId122">
            <o:LockedField>false</o:LockedField>
          </o:OLEObject>
        </w:object>
      </w:r>
      <w:r>
        <w:rPr>
          <w:rFonts w:hint="eastAsia"/>
          <w:lang w:eastAsia="zh-CN"/>
        </w:rPr>
        <w:t>=(511.00+1800.00)*1000000/(3×2440.98×2440.98)=129.29 kPa;</w:t>
      </w:r>
    </w:p>
    <w:p w14:paraId="490E5D37">
      <w:pPr>
        <w:spacing w:line="360" w:lineRule="auto"/>
        <w:jc w:val="left"/>
        <w:rPr>
          <w:rFonts w:hint="eastAsia"/>
          <w:lang w:eastAsia="zh-CN"/>
        </w:rPr>
      </w:pPr>
      <w:r>
        <w:rPr>
          <w:rFonts w:hint="eastAsia"/>
        </w:rPr>
        <w:t>非工作状态：</w:t>
      </w:r>
      <w:r>
        <w:rPr>
          <w:position w:val="-32"/>
        </w:rPr>
        <w:object>
          <v:shape id="_x0000_i1047" o:spt="75" type="#_x0000_t75" style="height:36.35pt;width:90.75pt;" o:ole="t" filled="f" o:preferrelative="t" stroked="f" coordsize="21600,21600">
            <v:path/>
            <v:fill on="f" alignshape="1" focussize="0,0"/>
            <v:stroke on="f"/>
            <v:imagedata r:id="rId125" grayscale="f" bilevel="f" o:title=""/>
            <o:lock v:ext="edit" aspectratio="t"/>
            <w10:wrap type="none"/>
            <w10:anchorlock/>
          </v:shape>
          <o:OLEObject Type="Embed" ProgID="Equation.DSMT4" ShapeID="_x0000_i1047" DrawAspect="Content" ObjectID="_1468075747" r:id="rId124">
            <o:LockedField>false</o:LockedField>
          </o:OLEObject>
        </w:object>
      </w:r>
      <w:r>
        <w:rPr>
          <w:rFonts w:hint="eastAsia"/>
          <w:lang w:eastAsia="zh-CN"/>
        </w:rPr>
        <w:t>=(497.00+1800.00)*1000000/(3×2391.71×2391.71)=133.85 kPa;</w:t>
      </w:r>
    </w:p>
    <w:p w14:paraId="1535FAA2">
      <w:pPr>
        <w:spacing w:line="360" w:lineRule="auto"/>
        <w:jc w:val="left"/>
        <w:rPr>
          <w:rFonts w:hint="eastAsia" w:ascii="宋体" w:hAnsi="宋体" w:eastAsia="宋体" w:cs="宋体"/>
          <w:b w:val="0"/>
          <w:i w:val="0"/>
          <w:color w:val="000000"/>
          <w:kern w:val="2"/>
          <w:sz w:val="24"/>
          <w:szCs w:val="24"/>
          <w:u w:val="none"/>
          <w:lang w:val="en-US" w:eastAsia="zh-CN" w:bidi="ar-SA"/>
        </w:rPr>
      </w:pPr>
      <w:r>
        <w:rPr>
          <w:rFonts w:hint="eastAsia" w:ascii="宋体" w:hAnsi="宋体" w:eastAsia="宋体" w:cs="宋体"/>
          <w:b w:val="0"/>
          <w:i w:val="0"/>
          <w:color w:val="000000"/>
          <w:kern w:val="2"/>
          <w:sz w:val="24"/>
          <w:szCs w:val="24"/>
          <w:u w:val="none"/>
          <w:lang w:val="en-US" w:eastAsia="zh-CN" w:bidi="ar-SA"/>
        </w:rPr>
        <w:t>(Pk=64.19kPa)≤(fa=160kPa);</w:t>
      </w:r>
    </w:p>
    <w:p w14:paraId="08B1BFD4">
      <w:pPr>
        <w:spacing w:line="360" w:lineRule="auto"/>
        <w:jc w:val="left"/>
        <w:rPr>
          <w:rFonts w:hint="eastAsia" w:ascii="宋体" w:hAnsi="宋体" w:eastAsia="宋体" w:cs="宋体"/>
          <w:b/>
          <w:i w:val="0"/>
          <w:color w:val="0000C8"/>
          <w:kern w:val="2"/>
          <w:sz w:val="28"/>
          <w:szCs w:val="24"/>
          <w:u w:val="none"/>
          <w:lang w:val="en-US" w:eastAsia="zh-CN" w:bidi="ar-SA"/>
        </w:rPr>
      </w:pPr>
      <w:r>
        <w:rPr>
          <w:rFonts w:hint="eastAsia" w:ascii="宋体" w:hAnsi="宋体" w:eastAsia="宋体" w:cs="宋体"/>
          <w:b/>
          <w:i w:val="0"/>
          <w:color w:val="0000C8"/>
          <w:kern w:val="2"/>
          <w:sz w:val="28"/>
          <w:szCs w:val="24"/>
          <w:u w:val="none"/>
          <w:lang w:val="en-US" w:eastAsia="zh-CN" w:bidi="ar-SA"/>
        </w:rPr>
        <w:t>轴心作用时地基承载力满足要求！</w:t>
      </w:r>
    </w:p>
    <w:p w14:paraId="15DFEF19">
      <w:pPr>
        <w:spacing w:line="360" w:lineRule="auto"/>
        <w:jc w:val="left"/>
        <w:rPr>
          <w:rFonts w:hint="eastAsia" w:ascii="宋体" w:hAnsi="宋体" w:eastAsia="宋体" w:cs="宋体"/>
          <w:b w:val="0"/>
          <w:i w:val="0"/>
          <w:color w:val="000000"/>
          <w:kern w:val="2"/>
          <w:sz w:val="24"/>
          <w:szCs w:val="24"/>
          <w:u w:val="none"/>
          <w:lang w:val="en-US" w:eastAsia="zh-CN" w:bidi="ar-SA"/>
        </w:rPr>
      </w:pPr>
      <w:r>
        <w:rPr>
          <w:rFonts w:hint="eastAsia" w:ascii="宋体" w:hAnsi="宋体" w:eastAsia="宋体" w:cs="宋体"/>
          <w:b w:val="0"/>
          <w:i w:val="0"/>
          <w:color w:val="000000"/>
          <w:kern w:val="2"/>
          <w:sz w:val="24"/>
          <w:szCs w:val="24"/>
          <w:u w:val="none"/>
          <w:lang w:val="en-US" w:eastAsia="zh-CN" w:bidi="ar-SA"/>
        </w:rPr>
        <w:t>(Pkmax=133.85kPa)≤(1.2fa=192kPa);</w:t>
      </w:r>
    </w:p>
    <w:p w14:paraId="2F7F4D92">
      <w:pPr>
        <w:spacing w:line="360" w:lineRule="auto"/>
        <w:jc w:val="left"/>
        <w:rPr>
          <w:rFonts w:hint="eastAsia" w:ascii="宋体" w:hAnsi="宋体" w:eastAsia="宋体" w:cs="宋体"/>
          <w:b/>
          <w:i w:val="0"/>
          <w:color w:val="0000C8"/>
          <w:kern w:val="2"/>
          <w:sz w:val="28"/>
          <w:szCs w:val="24"/>
          <w:u w:val="none"/>
          <w:lang w:val="en-US" w:eastAsia="zh-CN" w:bidi="ar-SA"/>
        </w:rPr>
      </w:pPr>
      <w:r>
        <w:rPr>
          <w:rFonts w:hint="eastAsia" w:ascii="宋体" w:hAnsi="宋体" w:eastAsia="宋体" w:cs="宋体"/>
          <w:b/>
          <w:i w:val="0"/>
          <w:color w:val="0000C8"/>
          <w:kern w:val="2"/>
          <w:sz w:val="28"/>
          <w:szCs w:val="24"/>
          <w:u w:val="none"/>
          <w:lang w:val="en-US" w:eastAsia="zh-CN" w:bidi="ar-SA"/>
        </w:rPr>
        <w:t>偏心作用时地基承载力满足要求！</w:t>
      </w:r>
    </w:p>
    <w:p w14:paraId="37D9210F">
      <w:pPr>
        <w:spacing w:line="360" w:lineRule="auto"/>
        <w:jc w:val="left"/>
        <w:rPr>
          <w:rFonts w:hint="eastAsia"/>
          <w:b/>
          <w:sz w:val="30"/>
          <w:szCs w:val="30"/>
        </w:rPr>
      </w:pPr>
      <w:r>
        <w:rPr>
          <w:rFonts w:hint="eastAsia"/>
          <w:b/>
          <w:sz w:val="30"/>
          <w:szCs w:val="30"/>
        </w:rPr>
        <w:t>六、基础抗倾覆稳定性计算</w:t>
      </w:r>
    </w:p>
    <w:p w14:paraId="260A521D">
      <w:pPr>
        <w:spacing w:line="360" w:lineRule="auto"/>
        <w:jc w:val="left"/>
        <w:rPr>
          <w:rFonts w:hint="eastAsia" w:ascii="宋体" w:hAnsi="宋体" w:eastAsia="宋体" w:cs="宋体"/>
          <w:b w:val="0"/>
          <w:i w:val="0"/>
          <w:color w:val="000000"/>
          <w:kern w:val="2"/>
          <w:sz w:val="24"/>
          <w:szCs w:val="24"/>
          <w:u w:val="none"/>
          <w:lang w:val="en-US" w:eastAsia="zh-CN" w:bidi="ar-SA"/>
        </w:rPr>
      </w:pPr>
      <w:r>
        <w:rPr>
          <w:rFonts w:hint="eastAsia" w:ascii="宋体" w:hAnsi="宋体" w:eastAsia="宋体" w:cs="宋体"/>
          <w:b w:val="0"/>
          <w:i w:val="0"/>
          <w:color w:val="000000"/>
          <w:kern w:val="2"/>
          <w:sz w:val="24"/>
          <w:szCs w:val="24"/>
          <w:u w:val="none"/>
          <w:lang w:val="en-US" w:eastAsia="zh-CN" w:bidi="ar-SA"/>
        </w:rPr>
        <w:t>(l/b=6000.00/6000.00=1.00)≤1.1,按方形基础计算;</w:t>
      </w:r>
    </w:p>
    <w:p w14:paraId="0093597D">
      <w:pPr>
        <w:spacing w:line="360" w:lineRule="auto"/>
        <w:jc w:val="left"/>
        <w:rPr>
          <w:rFonts w:hint="eastAsia" w:ascii="宋体" w:hAnsi="宋体" w:eastAsia="宋体" w:cs="宋体"/>
          <w:b w:val="0"/>
          <w:i w:val="0"/>
          <w:color w:val="000000"/>
          <w:kern w:val="2"/>
          <w:sz w:val="24"/>
          <w:szCs w:val="24"/>
          <w:u w:val="none"/>
          <w:lang w:val="en-US" w:eastAsia="zh-CN" w:bidi="ar-SA"/>
        </w:rPr>
      </w:pPr>
      <w:r>
        <w:rPr>
          <w:rFonts w:hint="eastAsia" w:ascii="宋体" w:hAnsi="宋体" w:eastAsia="宋体" w:cs="宋体"/>
          <w:b w:val="0"/>
          <w:i w:val="0"/>
          <w:color w:val="000000"/>
          <w:kern w:val="2"/>
          <w:sz w:val="24"/>
          <w:szCs w:val="24"/>
          <w:u w:val="none"/>
          <w:lang w:val="en-US" w:eastAsia="zh-CN" w:bidi="ar-SA"/>
        </w:rPr>
        <w:t>(P</w:t>
      </w:r>
      <w:r>
        <w:rPr>
          <w:rFonts w:hint="eastAsia" w:ascii="宋体" w:hAnsi="宋体" w:eastAsia="宋体" w:cs="宋体"/>
          <w:b w:val="0"/>
          <w:i w:val="0"/>
          <w:color w:val="000000"/>
          <w:kern w:val="2"/>
          <w:sz w:val="16"/>
          <w:szCs w:val="24"/>
          <w:u w:val="none"/>
          <w:lang w:val="en-US" w:eastAsia="zh-CN" w:bidi="ar-SA"/>
        </w:rPr>
        <w:t>k工min</w:t>
      </w:r>
      <w:r>
        <w:rPr>
          <w:rFonts w:hint="eastAsia" w:ascii="宋体" w:hAnsi="宋体" w:eastAsia="宋体" w:cs="宋体"/>
          <w:b w:val="0"/>
          <w:i w:val="0"/>
          <w:color w:val="000000"/>
          <w:kern w:val="2"/>
          <w:sz w:val="24"/>
          <w:szCs w:val="24"/>
          <w:u w:val="none"/>
          <w:lang w:val="en-US" w:eastAsia="zh-CN" w:bidi="ar-SA"/>
        </w:rPr>
        <w:t>=-5.61)&lt;0;</w:t>
      </w:r>
    </w:p>
    <w:p w14:paraId="4367DB41">
      <w:pPr>
        <w:spacing w:line="360" w:lineRule="auto"/>
        <w:jc w:val="left"/>
        <w:rPr>
          <w:rFonts w:hint="eastAsia" w:ascii="宋体" w:hAnsi="宋体" w:eastAsia="宋体" w:cs="宋体"/>
          <w:b w:val="0"/>
          <w:i w:val="0"/>
          <w:color w:val="000000"/>
          <w:kern w:val="2"/>
          <w:sz w:val="24"/>
          <w:szCs w:val="24"/>
          <w:u w:val="none"/>
          <w:lang w:val="en-US" w:eastAsia="zh-CN" w:bidi="ar-SA"/>
        </w:rPr>
      </w:pPr>
      <w:r>
        <w:rPr>
          <w:rFonts w:hint="eastAsia"/>
        </w:rPr>
        <w:t>（</w:t>
      </w:r>
      <w:r>
        <w:rPr>
          <w:position w:val="-12"/>
        </w:rPr>
        <w:object>
          <v:shape id="_x0000_i1048" o:spt="75" type="#_x0000_t75" style="height:19pt;width:27pt;" o:ole="t" filled="f" o:preferrelative="t" stroked="f" coordsize="21600,21600">
            <v:path/>
            <v:fill on="f" alignshape="1" focussize="0,0"/>
            <v:stroke on="f"/>
            <v:imagedata r:id="rId127" grayscale="f" bilevel="f" o:title=""/>
            <o:lock v:ext="edit" aspectratio="t"/>
            <w10:wrap type="none"/>
            <w10:anchorlock/>
          </v:shape>
          <o:OLEObject Type="Embed" ProgID="Equation.DSMT4" ShapeID="_x0000_i1048" DrawAspect="Content" ObjectID="_1468075748" r:id="rId126">
            <o:LockedField>false</o:LockedField>
          </o:OLEObject>
        </w:object>
      </w:r>
      <w:r>
        <w:rPr>
          <w:rFonts w:hint="eastAsia" w:ascii="宋体" w:hAnsi="宋体" w:eastAsia="宋体" w:cs="宋体"/>
          <w:b w:val="0"/>
          <w:i w:val="0"/>
          <w:color w:val="000000"/>
          <w:kern w:val="2"/>
          <w:sz w:val="24"/>
          <w:szCs w:val="24"/>
          <w:u w:val="none"/>
          <w:lang w:val="en-US" w:eastAsia="zh-CN" w:bidi="ar-SA"/>
        </w:rPr>
        <w:t>=2440.98×2440.98=5958406.87)</w:t>
      </w:r>
    </w:p>
    <w:p w14:paraId="2B2B5CBF">
      <w:pPr>
        <w:spacing w:line="360" w:lineRule="auto"/>
        <w:jc w:val="left"/>
        <w:rPr>
          <w:rFonts w:hint="eastAsia" w:ascii="宋体" w:hAnsi="宋体" w:eastAsia="宋体" w:cs="宋体"/>
          <w:b w:val="0"/>
          <w:i w:val="0"/>
          <w:color w:val="000000"/>
          <w:kern w:val="2"/>
          <w:sz w:val="24"/>
          <w:szCs w:val="24"/>
          <w:u w:val="none"/>
          <w:lang w:val="en-US" w:eastAsia="zh-CN" w:bidi="ar-SA"/>
        </w:rPr>
      </w:pPr>
      <w:r>
        <w:rPr>
          <w:rFonts w:hint="eastAsia" w:ascii="宋体" w:hAnsi="宋体" w:eastAsia="宋体" w:cs="宋体"/>
          <w:b w:val="0"/>
          <w:i w:val="0"/>
          <w:color w:val="000000"/>
          <w:kern w:val="2"/>
          <w:sz w:val="24"/>
          <w:szCs w:val="24"/>
          <w:u w:val="none"/>
          <w:lang w:val="en-US" w:eastAsia="zh-CN" w:bidi="ar-SA"/>
        </w:rPr>
        <w:t>≥(0.125bl=0.125×6000.00×6000.00=4500000.00);</w:t>
      </w:r>
    </w:p>
    <w:p w14:paraId="66C1EBB2">
      <w:pPr>
        <w:spacing w:line="360" w:lineRule="auto"/>
        <w:jc w:val="left"/>
        <w:rPr>
          <w:rFonts w:hint="eastAsia" w:ascii="宋体" w:hAnsi="宋体" w:eastAsia="宋体" w:cs="宋体"/>
          <w:b/>
          <w:i w:val="0"/>
          <w:color w:val="0000C8"/>
          <w:kern w:val="2"/>
          <w:sz w:val="28"/>
          <w:szCs w:val="24"/>
          <w:u w:val="none"/>
          <w:lang w:val="en-US" w:eastAsia="zh-CN" w:bidi="ar-SA"/>
        </w:rPr>
      </w:pPr>
      <w:r>
        <w:rPr>
          <w:rFonts w:hint="eastAsia" w:ascii="宋体" w:hAnsi="宋体" w:eastAsia="宋体" w:cs="宋体"/>
          <w:b/>
          <w:i w:val="0"/>
          <w:color w:val="0000C8"/>
          <w:kern w:val="2"/>
          <w:sz w:val="28"/>
          <w:szCs w:val="24"/>
          <w:u w:val="none"/>
          <w:lang w:val="en-US" w:eastAsia="zh-CN" w:bidi="ar-SA"/>
        </w:rPr>
        <w:t>塔机工作状态基础抗倾覆稳定性满足要求！</w:t>
      </w:r>
    </w:p>
    <w:p w14:paraId="68BB408E">
      <w:pPr>
        <w:spacing w:line="360" w:lineRule="auto"/>
        <w:jc w:val="left"/>
        <w:rPr>
          <w:rFonts w:hint="eastAsia" w:ascii="宋体" w:hAnsi="宋体" w:eastAsia="宋体" w:cs="宋体"/>
          <w:b/>
          <w:i w:val="0"/>
          <w:color w:val="000000"/>
          <w:kern w:val="2"/>
          <w:sz w:val="24"/>
          <w:szCs w:val="24"/>
          <w:u w:val="none"/>
          <w:lang w:val="en-US" w:eastAsia="zh-CN" w:bidi="ar-SA"/>
        </w:rPr>
      </w:pPr>
      <w:r>
        <w:rPr>
          <w:rFonts w:hint="eastAsia" w:ascii="宋体" w:hAnsi="宋体" w:eastAsia="宋体" w:cs="宋体"/>
          <w:b/>
          <w:i w:val="0"/>
          <w:color w:val="0000C8"/>
          <w:kern w:val="2"/>
          <w:sz w:val="28"/>
          <w:szCs w:val="24"/>
          <w:u w:val="none"/>
          <w:lang w:val="en-US" w:eastAsia="zh-CN" w:bidi="ar-SA"/>
        </w:rPr>
        <w:t>(P</w:t>
      </w:r>
      <w:r>
        <w:rPr>
          <w:rFonts w:hint="eastAsia" w:ascii="宋体" w:hAnsi="宋体" w:eastAsia="宋体" w:cs="宋体"/>
          <w:b/>
          <w:i w:val="0"/>
          <w:color w:val="000000"/>
          <w:kern w:val="2"/>
          <w:sz w:val="16"/>
          <w:szCs w:val="24"/>
          <w:u w:val="none"/>
          <w:lang w:val="en-US" w:eastAsia="zh-CN" w:bidi="ar-SA"/>
        </w:rPr>
        <w:t>k非min</w:t>
      </w:r>
      <w:r>
        <w:rPr>
          <w:rFonts w:hint="eastAsia" w:ascii="宋体" w:hAnsi="宋体" w:eastAsia="宋体" w:cs="宋体"/>
          <w:b/>
          <w:i w:val="0"/>
          <w:color w:val="000000"/>
          <w:kern w:val="2"/>
          <w:sz w:val="24"/>
          <w:szCs w:val="24"/>
          <w:u w:val="none"/>
          <w:lang w:val="en-US" w:eastAsia="zh-CN" w:bidi="ar-SA"/>
        </w:rPr>
        <w:t>=-6.20)&lt;0;</w:t>
      </w:r>
    </w:p>
    <w:p w14:paraId="4D80B06F">
      <w:pPr>
        <w:spacing w:line="360" w:lineRule="auto"/>
        <w:jc w:val="left"/>
        <w:rPr>
          <w:rFonts w:hint="eastAsia" w:ascii="宋体" w:hAnsi="宋体" w:eastAsia="宋体" w:cs="宋体"/>
          <w:b w:val="0"/>
          <w:i w:val="0"/>
          <w:color w:val="000000"/>
          <w:kern w:val="2"/>
          <w:sz w:val="24"/>
          <w:szCs w:val="24"/>
          <w:u w:val="none"/>
          <w:lang w:val="en-US" w:eastAsia="zh-CN" w:bidi="ar-SA"/>
        </w:rPr>
      </w:pPr>
      <w:r>
        <w:rPr>
          <w:rFonts w:hint="eastAsia"/>
        </w:rPr>
        <w:t>（</w:t>
      </w:r>
      <w:r>
        <w:rPr>
          <w:position w:val="-14"/>
        </w:rPr>
        <w:object>
          <v:shape id="_x0000_i1049" o:spt="75" type="#_x0000_t75" style="height:20pt;width:27pt;" o:ole="t" filled="f" o:preferrelative="t" stroked="f" coordsize="21600,21600">
            <v:path/>
            <v:fill on="f" alignshape="1" focussize="0,0"/>
            <v:stroke on="f"/>
            <v:imagedata r:id="rId129" grayscale="f" bilevel="f" o:title=""/>
            <o:lock v:ext="edit" aspectratio="t"/>
            <w10:wrap type="none"/>
            <w10:anchorlock/>
          </v:shape>
          <o:OLEObject Type="Embed" ProgID="Equation.DSMT4" ShapeID="_x0000_i1049" DrawAspect="Content" ObjectID="_1468075749" r:id="rId128">
            <o:LockedField>false</o:LockedField>
          </o:OLEObject>
        </w:object>
      </w:r>
      <w:r>
        <w:rPr>
          <w:rFonts w:hint="eastAsia" w:ascii="宋体" w:hAnsi="宋体" w:eastAsia="宋体" w:cs="宋体"/>
          <w:b w:val="0"/>
          <w:i w:val="0"/>
          <w:color w:val="000000"/>
          <w:kern w:val="2"/>
          <w:sz w:val="24"/>
          <w:szCs w:val="24"/>
          <w:u w:val="none"/>
          <w:lang w:val="en-US" w:eastAsia="zh-CN" w:bidi="ar-SA"/>
        </w:rPr>
        <w:t>=2391.71×2391.71=5720274.91)</w:t>
      </w:r>
    </w:p>
    <w:p w14:paraId="2304312A">
      <w:pPr>
        <w:spacing w:line="360" w:lineRule="auto"/>
        <w:jc w:val="left"/>
        <w:rPr>
          <w:rFonts w:hint="eastAsia" w:ascii="宋体" w:hAnsi="宋体" w:eastAsia="宋体" w:cs="宋体"/>
          <w:b w:val="0"/>
          <w:i w:val="0"/>
          <w:color w:val="000000"/>
          <w:kern w:val="2"/>
          <w:sz w:val="24"/>
          <w:szCs w:val="24"/>
          <w:u w:val="none"/>
          <w:lang w:val="en-US" w:eastAsia="zh-CN" w:bidi="ar-SA"/>
        </w:rPr>
      </w:pPr>
      <w:r>
        <w:rPr>
          <w:rFonts w:hint="eastAsia" w:ascii="宋体" w:hAnsi="宋体" w:eastAsia="宋体" w:cs="宋体"/>
          <w:b w:val="0"/>
          <w:i w:val="0"/>
          <w:color w:val="000000"/>
          <w:kern w:val="2"/>
          <w:sz w:val="24"/>
          <w:szCs w:val="24"/>
          <w:u w:val="none"/>
          <w:lang w:val="en-US" w:eastAsia="zh-CN" w:bidi="ar-SA"/>
        </w:rPr>
        <w:t>≥(0.125bl=0.125×6000.00×6000.00=4500000.00);</w:t>
      </w:r>
    </w:p>
    <w:p w14:paraId="67090C1D">
      <w:pPr>
        <w:spacing w:line="360" w:lineRule="auto"/>
        <w:jc w:val="left"/>
        <w:rPr>
          <w:rFonts w:hint="eastAsia" w:ascii="宋体" w:hAnsi="宋体" w:eastAsia="宋体" w:cs="宋体"/>
          <w:b/>
          <w:i w:val="0"/>
          <w:color w:val="0000C8"/>
          <w:kern w:val="2"/>
          <w:sz w:val="28"/>
          <w:szCs w:val="24"/>
          <w:u w:val="none"/>
          <w:lang w:val="en-US" w:eastAsia="zh-CN" w:bidi="ar-SA"/>
        </w:rPr>
      </w:pPr>
      <w:r>
        <w:rPr>
          <w:rFonts w:hint="eastAsia" w:ascii="宋体" w:hAnsi="宋体" w:eastAsia="宋体" w:cs="宋体"/>
          <w:b/>
          <w:i w:val="0"/>
          <w:color w:val="0000C8"/>
          <w:kern w:val="2"/>
          <w:sz w:val="28"/>
          <w:szCs w:val="24"/>
          <w:u w:val="none"/>
          <w:lang w:val="en-US" w:eastAsia="zh-CN" w:bidi="ar-SA"/>
        </w:rPr>
        <w:t>塔机非工作状态基础抗倾覆稳定性满足要求！</w:t>
      </w:r>
    </w:p>
    <w:p w14:paraId="7865E344">
      <w:pPr>
        <w:spacing w:line="360" w:lineRule="auto"/>
        <w:jc w:val="left"/>
        <w:rPr>
          <w:rFonts w:hint="eastAsia"/>
          <w:b/>
          <w:sz w:val="30"/>
          <w:szCs w:val="30"/>
        </w:rPr>
      </w:pPr>
      <w:r>
        <w:rPr>
          <w:rFonts w:hint="eastAsia"/>
          <w:b/>
          <w:sz w:val="30"/>
          <w:szCs w:val="30"/>
        </w:rPr>
        <w:t>七、配筋率计算</w:t>
      </w:r>
    </w:p>
    <w:p w14:paraId="462652C5">
      <w:pPr>
        <w:spacing w:line="360" w:lineRule="auto"/>
        <w:jc w:val="left"/>
        <w:rPr>
          <w:rFonts w:hint="eastAsia" w:ascii="宋体" w:hAnsi="宋体" w:eastAsia="宋体" w:cs="宋体"/>
          <w:b w:val="0"/>
          <w:i w:val="0"/>
          <w:color w:val="000000"/>
          <w:kern w:val="2"/>
          <w:sz w:val="24"/>
          <w:szCs w:val="24"/>
          <w:u w:val="none"/>
          <w:lang w:val="en-US" w:eastAsia="zh-CN" w:bidi="ar-SA"/>
        </w:rPr>
      </w:pPr>
      <w:r>
        <w:rPr>
          <w:rFonts w:hint="eastAsia" w:ascii="宋体" w:hAnsi="宋体" w:eastAsia="宋体" w:cs="宋体"/>
          <w:b w:val="0"/>
          <w:i w:val="0"/>
          <w:color w:val="000000"/>
          <w:kern w:val="2"/>
          <w:sz w:val="24"/>
          <w:szCs w:val="24"/>
          <w:u w:val="none"/>
          <w:lang w:val="en-US" w:eastAsia="zh-CN" w:bidi="ar-SA"/>
        </w:rPr>
        <w:t>1、底层受拉钢筋合力点至截面近边缘距离：</w:t>
      </w:r>
    </w:p>
    <w:p w14:paraId="6446868C">
      <w:pPr>
        <w:spacing w:line="360" w:lineRule="auto"/>
        <w:jc w:val="left"/>
        <w:rPr>
          <w:rFonts w:hint="eastAsia"/>
          <w:lang w:eastAsia="zh-CN"/>
        </w:rPr>
      </w:pPr>
      <w:r>
        <w:rPr>
          <w:position w:val="-12"/>
        </w:rPr>
        <w:object>
          <v:shape id="_x0000_i1050" o:spt="75" type="#_x0000_t75" style="height:18pt;width:63pt;" o:ole="t" filled="f" o:preferrelative="t" stroked="f" coordsize="21600,21600">
            <v:path/>
            <v:fill on="f" alignshape="1" focussize="0,0"/>
            <v:stroke on="f"/>
            <v:imagedata r:id="rId131" grayscale="f" bilevel="f" o:title=""/>
            <o:lock v:ext="edit" aspectratio="t"/>
            <w10:wrap type="none"/>
            <w10:anchorlock/>
          </v:shape>
          <o:OLEObject Type="Embed" ProgID="Equation.DSMT4" ShapeID="_x0000_i1050" DrawAspect="Content" ObjectID="_1468075750" r:id="rId130">
            <o:LockedField>false</o:LockedField>
          </o:OLEObject>
        </w:object>
      </w:r>
      <w:r>
        <w:rPr>
          <w:rFonts w:hint="eastAsia"/>
          <w:lang w:eastAsia="zh-CN"/>
        </w:rPr>
        <w:t>=50.00+1.5×25.00=87.50 mm;</w:t>
      </w:r>
    </w:p>
    <w:p w14:paraId="37E41794">
      <w:pPr>
        <w:spacing w:line="360" w:lineRule="auto"/>
        <w:jc w:val="left"/>
        <w:rPr>
          <w:rFonts w:hint="eastAsia"/>
          <w:lang w:eastAsia="zh-CN"/>
        </w:rPr>
      </w:pPr>
      <w:r>
        <w:rPr>
          <w:rFonts w:hint="eastAsia"/>
          <w:lang w:eastAsia="zh-CN"/>
        </w:rPr>
        <w:t>2、表层受压钢筋合力点至截面近边缘距离：</w:t>
      </w:r>
    </w:p>
    <w:p w14:paraId="21285876">
      <w:pPr>
        <w:spacing w:line="360" w:lineRule="auto"/>
        <w:jc w:val="left"/>
        <w:rPr>
          <w:rFonts w:hint="eastAsia"/>
          <w:lang w:eastAsia="zh-CN"/>
        </w:rPr>
      </w:pPr>
      <w:r>
        <w:rPr>
          <w:position w:val="-12"/>
        </w:rPr>
        <w:object>
          <v:shape id="_x0000_i1051" o:spt="75" type="#_x0000_t75" style="height:19pt;width:65pt;" o:ole="t" filled="f" o:preferrelative="t" stroked="f" coordsize="21600,21600">
            <v:path/>
            <v:fill on="f" alignshape="1" focussize="0,0"/>
            <v:stroke on="f"/>
            <v:imagedata r:id="rId133" grayscale="f" bilevel="f" o:title=""/>
            <o:lock v:ext="edit" aspectratio="t"/>
            <w10:wrap type="none"/>
            <w10:anchorlock/>
          </v:shape>
          <o:OLEObject Type="Embed" ProgID="Equation.DSMT4" ShapeID="_x0000_i1051" DrawAspect="Content" ObjectID="_1468075751" r:id="rId132">
            <o:LockedField>false</o:LockedField>
          </o:OLEObject>
        </w:object>
      </w:r>
      <w:r>
        <w:rPr>
          <w:rFonts w:hint="eastAsia"/>
          <w:lang w:eastAsia="zh-CN"/>
        </w:rPr>
        <w:t>=50.00+1.5×25.00=87.50 mm;</w:t>
      </w:r>
    </w:p>
    <w:p w14:paraId="074BDF75">
      <w:pPr>
        <w:spacing w:line="360" w:lineRule="auto"/>
        <w:jc w:val="left"/>
        <w:rPr>
          <w:rFonts w:hint="eastAsia"/>
          <w:lang w:eastAsia="zh-CN"/>
        </w:rPr>
      </w:pPr>
      <w:r>
        <w:rPr>
          <w:rFonts w:hint="eastAsia"/>
          <w:lang w:eastAsia="zh-CN"/>
        </w:rPr>
        <w:t>3、底层受拉钢筋截面积：</w:t>
      </w:r>
    </w:p>
    <w:p w14:paraId="6312ABF3">
      <w:pPr>
        <w:spacing w:line="360" w:lineRule="auto"/>
        <w:jc w:val="left"/>
        <w:rPr>
          <w:rFonts w:hint="eastAsia"/>
          <w:lang w:eastAsia="zh-CN"/>
        </w:rPr>
      </w:pPr>
      <w:r>
        <w:rPr>
          <w:rFonts w:hint="eastAsia"/>
        </w:rPr>
        <w:t>X轴(长度b)方向：</w:t>
      </w:r>
      <w:r>
        <w:rPr>
          <w:position w:val="-24"/>
        </w:rPr>
        <w:object>
          <v:shape id="_x0000_i1052" o:spt="75" type="#_x0000_t75" style="height:33pt;width:64pt;" o:ole="t" filled="f" o:preferrelative="t" stroked="f" coordsize="21600,21600">
            <v:path/>
            <v:fill on="f" alignshape="1" focussize="0,0"/>
            <v:stroke on="f"/>
            <v:imagedata r:id="rId135" grayscale="f" bilevel="f" o:title=""/>
            <o:lock v:ext="edit" aspectratio="t"/>
            <w10:wrap type="none"/>
            <w10:anchorlock/>
          </v:shape>
          <o:OLEObject Type="Embed" ProgID="Equation.DSMT4" ShapeID="_x0000_i1052" DrawAspect="Content" ObjectID="_1468075752" r:id="rId134">
            <o:LockedField>false</o:LockedField>
          </o:OLEObject>
        </w:object>
      </w:r>
      <w:r>
        <w:rPr>
          <w:rFonts w:hint="eastAsia"/>
          <w:lang w:eastAsia="zh-CN"/>
        </w:rPr>
        <w:t>=40×3.14×25×25/4=19625.00 mm^2;</w:t>
      </w:r>
    </w:p>
    <w:p w14:paraId="6572FD53">
      <w:pPr>
        <w:spacing w:line="360" w:lineRule="auto"/>
        <w:jc w:val="left"/>
        <w:rPr>
          <w:rFonts w:hint="eastAsia"/>
          <w:lang w:eastAsia="zh-CN"/>
        </w:rPr>
      </w:pPr>
      <w:r>
        <w:rPr>
          <w:rFonts w:hint="eastAsia"/>
        </w:rPr>
        <w:t>Y轴(长度l)方向：</w:t>
      </w:r>
      <w:r>
        <w:rPr>
          <w:position w:val="-24"/>
        </w:rPr>
        <w:object>
          <v:shape id="_x0000_i1053" o:spt="75" type="#_x0000_t75" style="height:33pt;width:60.95pt;" o:ole="t" filled="f" o:preferrelative="t" stroked="f" coordsize="21600,21600">
            <v:path/>
            <v:fill on="f" alignshape="1" focussize="0,0"/>
            <v:stroke on="f"/>
            <v:imagedata r:id="rId137" grayscale="f" bilevel="f" o:title=""/>
            <o:lock v:ext="edit" aspectratio="t"/>
            <w10:wrap type="none"/>
            <w10:anchorlock/>
          </v:shape>
          <o:OLEObject Type="Embed" ProgID="Equation.DSMT4" ShapeID="_x0000_i1053" DrawAspect="Content" ObjectID="_1468075753" r:id="rId136">
            <o:LockedField>false</o:LockedField>
          </o:OLEObject>
        </w:object>
      </w:r>
      <w:r>
        <w:rPr>
          <w:rFonts w:hint="eastAsia"/>
          <w:lang w:eastAsia="zh-CN"/>
        </w:rPr>
        <w:t>=40×3.14×25×25/4=19625.00 mm^2;</w:t>
      </w:r>
    </w:p>
    <w:p w14:paraId="0F57937E">
      <w:pPr>
        <w:spacing w:line="360" w:lineRule="auto"/>
        <w:jc w:val="left"/>
        <w:rPr>
          <w:rFonts w:hint="eastAsia"/>
          <w:lang w:eastAsia="zh-CN"/>
        </w:rPr>
      </w:pPr>
      <w:r>
        <w:rPr>
          <w:rFonts w:hint="eastAsia"/>
          <w:lang w:eastAsia="zh-CN"/>
        </w:rPr>
        <w:t>4、配筋率：</w:t>
      </w:r>
    </w:p>
    <w:p w14:paraId="3BE3DBF0">
      <w:pPr>
        <w:spacing w:line="360" w:lineRule="auto"/>
        <w:jc w:val="left"/>
        <w:rPr>
          <w:rFonts w:hint="eastAsia"/>
          <w:lang w:eastAsia="zh-CN"/>
        </w:rPr>
      </w:pPr>
      <w:r>
        <w:rPr>
          <w:rFonts w:hint="eastAsia"/>
        </w:rPr>
        <w:t>X轴(长度b)方向：</w:t>
      </w:r>
      <w:r>
        <w:rPr>
          <w:position w:val="-32"/>
        </w:rPr>
        <w:object>
          <v:shape id="_x0000_i1054" o:spt="75" type="#_x0000_t75" style="height:35pt;width:110pt;" o:ole="t" filled="f" o:preferrelative="t" stroked="f" coordsize="21600,21600">
            <v:path/>
            <v:fill on="f" alignshape="1" focussize="0,0"/>
            <v:stroke on="f"/>
            <v:imagedata r:id="rId139" grayscale="f" bilevel="f" o:title=""/>
            <o:lock v:ext="edit" aspectratio="t"/>
            <w10:wrap type="none"/>
            <w10:anchorlock/>
          </v:shape>
          <o:OLEObject Type="Embed" ProgID="Equation.DSMT4" ShapeID="_x0000_i1054" DrawAspect="Content" ObjectID="_1468075754" r:id="rId138">
            <o:LockedField>false</o:LockedField>
          </o:OLEObject>
        </w:object>
      </w:r>
      <w:r>
        <w:rPr>
          <w:rFonts w:hint="eastAsia"/>
          <w:lang w:eastAsia="zh-CN"/>
        </w:rPr>
        <w:t>=19625.00/(6000×(2000-87.50))=0.17%;</w:t>
      </w:r>
    </w:p>
    <w:p w14:paraId="057E7D82">
      <w:pPr>
        <w:spacing w:line="360" w:lineRule="auto"/>
        <w:jc w:val="left"/>
        <w:rPr>
          <w:rFonts w:hint="eastAsia"/>
          <w:lang w:eastAsia="zh-CN"/>
        </w:rPr>
      </w:pPr>
      <w:r>
        <w:rPr>
          <w:rFonts w:hint="eastAsia"/>
        </w:rPr>
        <w:t>Y轴(长度l)方向：</w:t>
      </w:r>
      <w:r>
        <w:rPr>
          <w:position w:val="-32"/>
        </w:rPr>
        <w:object>
          <v:shape id="_x0000_i1055" o:spt="75" type="#_x0000_t75" style="height:35pt;width:105pt;" o:ole="t" filled="f" o:preferrelative="t" stroked="f" coordsize="21600,21600">
            <v:path/>
            <v:fill on="f" alignshape="1" focussize="0,0"/>
            <v:stroke on="f"/>
            <v:imagedata r:id="rId141" grayscale="f" bilevel="f" o:title=""/>
            <o:lock v:ext="edit" aspectratio="t"/>
            <w10:wrap type="none"/>
            <w10:anchorlock/>
          </v:shape>
          <o:OLEObject Type="Embed" ProgID="Equation.DSMT4" ShapeID="_x0000_i1055" DrawAspect="Content" ObjectID="_1468075755" r:id="rId140">
            <o:LockedField>false</o:LockedField>
          </o:OLEObject>
        </w:object>
      </w:r>
      <w:r>
        <w:rPr>
          <w:rFonts w:hint="eastAsia"/>
          <w:lang w:eastAsia="zh-CN"/>
        </w:rPr>
        <w:t>=19625.00/(6000×(2000-87.50))=0.17%;</w:t>
      </w:r>
    </w:p>
    <w:p w14:paraId="1FF3BECA">
      <w:pPr>
        <w:spacing w:line="360" w:lineRule="auto"/>
        <w:jc w:val="left"/>
        <w:rPr>
          <w:rFonts w:hint="eastAsia"/>
          <w:lang w:eastAsia="zh-CN"/>
        </w:rPr>
      </w:pPr>
      <w:r>
        <w:rPr>
          <w:rFonts w:hint="eastAsia"/>
          <w:lang w:eastAsia="zh-CN"/>
        </w:rPr>
        <w:t>配筋率(ρ=0.17%)≥0.15%,且配筋间距&lt;=200mm</w:t>
      </w:r>
    </w:p>
    <w:p w14:paraId="30FEE857">
      <w:pPr>
        <w:spacing w:line="360" w:lineRule="auto"/>
        <w:jc w:val="left"/>
        <w:rPr>
          <w:rFonts w:hint="eastAsia" w:ascii="宋体" w:hAnsi="宋体" w:eastAsia="宋体" w:cs="宋体"/>
          <w:b/>
          <w:i w:val="0"/>
          <w:color w:val="0000C8"/>
          <w:kern w:val="2"/>
          <w:sz w:val="28"/>
          <w:szCs w:val="24"/>
          <w:u w:val="none"/>
          <w:lang w:val="en-US" w:eastAsia="zh-CN" w:bidi="ar-SA"/>
        </w:rPr>
      </w:pPr>
      <w:r>
        <w:rPr>
          <w:rFonts w:hint="eastAsia" w:ascii="宋体" w:hAnsi="宋体" w:eastAsia="宋体" w:cs="宋体"/>
          <w:b/>
          <w:i w:val="0"/>
          <w:color w:val="0000C8"/>
          <w:kern w:val="2"/>
          <w:sz w:val="28"/>
          <w:szCs w:val="24"/>
          <w:u w:val="none"/>
          <w:lang w:val="en-US" w:eastAsia="zh-CN" w:bidi="ar-SA"/>
        </w:rPr>
        <w:t>塔机基础配筋率满足要求！</w:t>
      </w:r>
    </w:p>
    <w:p w14:paraId="777D83E4">
      <w:pPr>
        <w:spacing w:line="360" w:lineRule="auto"/>
        <w:jc w:val="left"/>
        <w:rPr>
          <w:rFonts w:hint="eastAsia"/>
          <w:b/>
          <w:sz w:val="30"/>
          <w:szCs w:val="30"/>
        </w:rPr>
      </w:pPr>
      <w:r>
        <w:rPr>
          <w:rFonts w:hint="eastAsia"/>
          <w:b/>
          <w:sz w:val="30"/>
          <w:szCs w:val="30"/>
        </w:rPr>
        <w:t>八、正截面受弯承载力计算</w:t>
      </w:r>
    </w:p>
    <w:p w14:paraId="275D6A04">
      <w:pPr>
        <w:spacing w:line="360" w:lineRule="auto"/>
        <w:jc w:val="left"/>
        <w:rPr>
          <w:rFonts w:hint="eastAsia" w:ascii="宋体" w:hAnsi="宋体" w:eastAsia="宋体" w:cs="宋体"/>
          <w:b w:val="0"/>
          <w:i w:val="0"/>
          <w:color w:val="000000"/>
          <w:kern w:val="2"/>
          <w:sz w:val="24"/>
          <w:szCs w:val="24"/>
          <w:u w:val="none"/>
          <w:lang w:val="en-US" w:eastAsia="zh-CN" w:bidi="ar-SA"/>
        </w:rPr>
      </w:pPr>
      <w:r>
        <w:rPr>
          <w:rFonts w:hint="eastAsia" w:ascii="宋体" w:hAnsi="宋体" w:eastAsia="宋体" w:cs="宋体"/>
          <w:b w:val="0"/>
          <w:i w:val="0"/>
          <w:color w:val="000000"/>
          <w:kern w:val="2"/>
          <w:sz w:val="24"/>
          <w:szCs w:val="24"/>
          <w:u w:val="none"/>
          <w:lang w:val="en-US" w:eastAsia="zh-CN" w:bidi="ar-SA"/>
        </w:rPr>
        <w:t>1、基础边缘至塔身边缘I-I截面的距离：</w:t>
      </w:r>
    </w:p>
    <w:p w14:paraId="0E3CCC69">
      <w:pPr>
        <w:spacing w:line="360" w:lineRule="auto"/>
        <w:jc w:val="left"/>
        <w:rPr>
          <w:rFonts w:hint="eastAsia"/>
          <w:lang w:eastAsia="zh-CN"/>
        </w:rPr>
      </w:pPr>
      <w:r>
        <w:rPr>
          <w:position w:val="-24"/>
        </w:rPr>
        <w:object>
          <v:shape id="_x0000_i1056" o:spt="75" type="#_x0000_t75" style="height:33pt;width:59pt;" o:ole="t" filled="f" o:preferrelative="t" stroked="f" coordsize="21600,21600">
            <v:path/>
            <v:fill on="f" alignshape="1" focussize="0,0"/>
            <v:stroke on="f"/>
            <v:imagedata r:id="rId143" grayscale="f" bilevel="f" o:title=""/>
            <o:lock v:ext="edit" aspectratio="t"/>
            <w10:wrap type="none"/>
            <w10:anchorlock/>
          </v:shape>
          <o:OLEObject Type="Embed" ProgID="Equation.DSMT4" ShapeID="_x0000_i1056" DrawAspect="Content" ObjectID="_1468075756" r:id="rId142">
            <o:LockedField>false</o:LockedField>
          </o:OLEObject>
        </w:object>
      </w:r>
      <w:r>
        <w:rPr>
          <w:rFonts w:hint="eastAsia"/>
          <w:lang w:eastAsia="zh-CN"/>
        </w:rPr>
        <w:t>=(6000.00-1600.00)/2=2200.00 mm;</w:t>
      </w:r>
    </w:p>
    <w:p w14:paraId="760FF2E6">
      <w:pPr>
        <w:spacing w:line="360" w:lineRule="auto"/>
        <w:jc w:val="left"/>
        <w:rPr>
          <w:rFonts w:hint="eastAsia"/>
          <w:lang w:eastAsia="zh-CN"/>
        </w:rPr>
      </w:pPr>
      <w:r>
        <w:rPr>
          <w:rFonts w:hint="eastAsia"/>
          <w:lang w:eastAsia="zh-CN"/>
        </w:rPr>
        <w:t>2、I-I截面处的地基净反力：</w:t>
      </w:r>
    </w:p>
    <w:p w14:paraId="1405D613">
      <w:pPr>
        <w:spacing w:line="360" w:lineRule="auto"/>
        <w:jc w:val="left"/>
        <w:rPr>
          <w:rFonts w:hint="eastAsia"/>
          <w:lang w:eastAsia="zh-CN"/>
        </w:rPr>
      </w:pPr>
      <w:r>
        <w:rPr>
          <w:rFonts w:hint="eastAsia"/>
          <w:lang w:eastAsia="zh-CN"/>
        </w:rPr>
        <w:t>偏心距e工&lt;=b/6</w:t>
      </w:r>
    </w:p>
    <w:p w14:paraId="31D4CE9F">
      <w:pPr>
        <w:spacing w:line="360" w:lineRule="auto"/>
        <w:jc w:val="left"/>
        <w:rPr>
          <w:rFonts w:hint="eastAsia"/>
          <w:lang w:eastAsia="zh-CN"/>
        </w:rPr>
      </w:pPr>
      <w:r>
        <w:rPr>
          <w:rFonts w:hint="eastAsia"/>
        </w:rPr>
        <w:t>工作状态：</w:t>
      </w:r>
      <w:r>
        <w:rPr>
          <w:position w:val="-24"/>
        </w:rPr>
        <w:object>
          <v:shape id="_x0000_i1057" o:spt="75" type="#_x0000_t75" style="height:31pt;width:168pt;" o:ole="t" filled="f" o:preferrelative="t" stroked="f" coordsize="21600,21600">
            <v:path/>
            <v:fill on="f" alignshape="1" focussize="0,0"/>
            <v:stroke on="f"/>
            <v:imagedata r:id="rId145" grayscale="f" bilevel="f" o:title=""/>
            <o:lock v:ext="edit" aspectratio="t"/>
            <w10:wrap type="none"/>
            <w10:anchorlock/>
          </v:shape>
          <o:OLEObject Type="Embed" ProgID="Equation.DSMT4" ShapeID="_x0000_i1057" DrawAspect="Content" ObjectID="_1468075757" r:id="rId144">
            <o:LockedField>false</o:LockedField>
          </o:OLEObject>
        </w:object>
      </w:r>
      <w:r>
        <w:rPr>
          <w:rFonts w:hint="eastAsia"/>
          <w:lang w:eastAsia="zh-CN"/>
        </w:rPr>
        <w:t>=(6000-2200.00)×(129.29--5.61)/6000+-5.61=79.82 kPa;</w:t>
      </w:r>
    </w:p>
    <w:p w14:paraId="70E22F2E">
      <w:pPr>
        <w:spacing w:line="360" w:lineRule="auto"/>
        <w:jc w:val="left"/>
        <w:rPr>
          <w:rFonts w:hint="eastAsia"/>
          <w:lang w:eastAsia="zh-CN"/>
        </w:rPr>
      </w:pPr>
      <w:r>
        <w:rPr>
          <w:rFonts w:hint="eastAsia"/>
          <w:lang w:eastAsia="zh-CN"/>
        </w:rPr>
        <w:t>偏心距e非&lt;=b/6</w:t>
      </w:r>
    </w:p>
    <w:p w14:paraId="49B1BA7F">
      <w:pPr>
        <w:spacing w:line="360" w:lineRule="auto"/>
        <w:jc w:val="left"/>
        <w:rPr>
          <w:rFonts w:hint="eastAsia"/>
          <w:lang w:eastAsia="zh-CN"/>
        </w:rPr>
      </w:pPr>
      <w:r>
        <w:rPr>
          <w:rFonts w:hint="eastAsia"/>
        </w:rPr>
        <w:t>非工作状态：</w:t>
      </w:r>
      <w:r>
        <w:rPr>
          <w:position w:val="-24"/>
        </w:rPr>
        <w:object>
          <v:shape id="_x0000_i1058" o:spt="75" type="#_x0000_t75" style="height:31pt;width:168pt;" o:ole="t" filled="f" o:preferrelative="t" stroked="f" coordsize="21600,21600">
            <v:path/>
            <v:fill on="f" alignshape="1" focussize="0,0"/>
            <v:stroke on="f"/>
            <v:imagedata r:id="rId147" grayscale="f" bilevel="f" o:title=""/>
            <o:lock v:ext="edit" aspectratio="t"/>
            <w10:wrap type="none"/>
            <w10:anchorlock/>
          </v:shape>
          <o:OLEObject Type="Embed" ProgID="Equation.DSMT4" ShapeID="_x0000_i1058" DrawAspect="Content" ObjectID="_1468075758" r:id="rId146">
            <o:LockedField>false</o:LockedField>
          </o:OLEObject>
        </w:object>
      </w:r>
      <w:r>
        <w:rPr>
          <w:rFonts w:hint="eastAsia"/>
          <w:lang w:eastAsia="zh-CN"/>
        </w:rPr>
        <w:t>=(6000-2200.00)×(133.85--6.20)/6000+-6.20=82.50 kPa;</w:t>
      </w:r>
    </w:p>
    <w:p w14:paraId="31160275">
      <w:pPr>
        <w:spacing w:line="360" w:lineRule="auto"/>
        <w:jc w:val="left"/>
        <w:rPr>
          <w:rFonts w:hint="eastAsia"/>
          <w:lang w:eastAsia="zh-CN"/>
        </w:rPr>
      </w:pPr>
      <w:r>
        <w:rPr>
          <w:rFonts w:hint="eastAsia"/>
          <w:lang w:eastAsia="zh-CN"/>
        </w:rPr>
        <w:t>3、作用于I-I截面处的弯矩标准值：</w:t>
      </w:r>
    </w:p>
    <w:p w14:paraId="6C6E29CA">
      <w:pPr>
        <w:spacing w:line="360" w:lineRule="auto"/>
        <w:jc w:val="left"/>
        <w:rPr>
          <w:rFonts w:hint="eastAsia"/>
          <w:lang w:eastAsia="zh-CN"/>
        </w:rPr>
      </w:pPr>
      <w:r>
        <w:rPr>
          <w:rFonts w:hint="eastAsia"/>
        </w:rPr>
        <w:t>工作状态：</w:t>
      </w:r>
      <w:r>
        <w:rPr>
          <w:position w:val="-28"/>
        </w:rPr>
        <w:object>
          <v:shape id="_x0000_i1059" o:spt="75" type="#_x0000_t75" style="height:35pt;width:156pt;" o:ole="t" filled="f" o:preferrelative="t" stroked="f" coordsize="21600,21600">
            <v:path/>
            <v:fill on="f" alignshape="1" focussize="0,0"/>
            <v:stroke on="f"/>
            <v:imagedata r:id="rId149" grayscale="f" bilevel="f" o:title=""/>
            <o:lock v:ext="edit" aspectratio="t"/>
            <w10:wrap type="none"/>
            <w10:anchorlock/>
          </v:shape>
          <o:OLEObject Type="Embed" ProgID="Equation.DSMT4" ShapeID="_x0000_i1059" DrawAspect="Content" ObjectID="_1468075759" r:id="rId148">
            <o:LockedField>false</o:LockedField>
          </o:OLEObject>
        </w:object>
      </w:r>
      <w:r>
        <w:rPr>
          <w:rFonts w:hint="eastAsia"/>
          <w:lang w:eastAsia="zh-CN"/>
        </w:rPr>
        <w:t>=6000×2200.00×2200.00/1000000000×(129.29+79.82-(2×1800.00)/(6000×6000/1000000))/4=792.12 kN.m;</w:t>
      </w:r>
    </w:p>
    <w:p w14:paraId="3F5A9710">
      <w:pPr>
        <w:spacing w:line="360" w:lineRule="auto"/>
        <w:jc w:val="left"/>
        <w:rPr>
          <w:rFonts w:hint="eastAsia"/>
          <w:lang w:eastAsia="zh-CN"/>
        </w:rPr>
      </w:pPr>
      <w:r>
        <w:rPr>
          <w:rFonts w:hint="eastAsia"/>
        </w:rPr>
        <w:t>非工作状态：</w:t>
      </w:r>
      <w:r>
        <w:rPr>
          <w:position w:val="-28"/>
        </w:rPr>
        <w:object>
          <v:shape id="_x0000_i1060" o:spt="75" type="#_x0000_t75" style="height:35pt;width:156pt;" o:ole="t" filled="f" o:preferrelative="t" stroked="f" coordsize="21600,21600">
            <v:path/>
            <v:fill on="f" alignshape="1" focussize="0,0"/>
            <v:stroke on="f"/>
            <v:imagedata r:id="rId151" grayscale="f" bilevel="f" o:title=""/>
            <o:lock v:ext="edit" aspectratio="t"/>
            <w10:wrap type="none"/>
            <w10:anchorlock/>
          </v:shape>
          <o:OLEObject Type="Embed" ProgID="Equation.DSMT4" ShapeID="_x0000_i1060" DrawAspect="Content" ObjectID="_1468075760" r:id="rId150">
            <o:LockedField>false</o:LockedField>
          </o:OLEObject>
        </w:object>
      </w:r>
      <w:r>
        <w:rPr>
          <w:rFonts w:hint="eastAsia"/>
          <w:lang w:eastAsia="zh-CN"/>
        </w:rPr>
        <w:t>=6000×2200.00×2200.00/1000000000×(133.85+82.50-(2×1800.00)/(6000×6000/1000000))/4=844.71 kN.m;</w:t>
      </w:r>
    </w:p>
    <w:p w14:paraId="346880BA">
      <w:pPr>
        <w:spacing w:line="360" w:lineRule="auto"/>
        <w:jc w:val="left"/>
        <w:rPr>
          <w:rFonts w:hint="eastAsia"/>
          <w:lang w:eastAsia="zh-CN"/>
        </w:rPr>
      </w:pPr>
      <w:r>
        <w:rPr>
          <w:rFonts w:hint="eastAsia"/>
          <w:lang w:eastAsia="zh-CN"/>
        </w:rPr>
        <w:t>4、I-I截面处的弯矩设计值：</w:t>
      </w:r>
    </w:p>
    <w:p w14:paraId="52368C51">
      <w:pPr>
        <w:spacing w:line="360" w:lineRule="auto"/>
        <w:jc w:val="left"/>
        <w:rPr>
          <w:rFonts w:hint="eastAsia"/>
          <w:lang w:eastAsia="zh-CN"/>
        </w:rPr>
      </w:pPr>
      <w:r>
        <w:rPr>
          <w:rFonts w:hint="eastAsia"/>
        </w:rPr>
        <w:t>工作状态：</w:t>
      </w:r>
      <w:r>
        <w:rPr>
          <w:position w:val="-12"/>
        </w:rPr>
        <w:object>
          <v:shape id="_x0000_i1061" o:spt="75" type="#_x0000_t75" style="height:18pt;width:66pt;" o:ole="t" filled="f" o:preferrelative="t" stroked="f" coordsize="21600,21600">
            <v:path/>
            <v:fill on="f" alignshape="1" focussize="0,0"/>
            <v:stroke on="f"/>
            <v:imagedata r:id="rId153" grayscale="f" bilevel="f" o:title=""/>
            <o:lock v:ext="edit" aspectratio="t"/>
            <w10:wrap type="none"/>
            <w10:anchorlock/>
          </v:shape>
          <o:OLEObject Type="Embed" ProgID="Equation.DSMT4" ShapeID="_x0000_i1061" DrawAspect="Content" ObjectID="_1468075761" r:id="rId152">
            <o:LockedField>false</o:LockedField>
          </o:OLEObject>
        </w:object>
      </w:r>
      <w:r>
        <w:rPr>
          <w:rFonts w:hint="eastAsia"/>
          <w:lang w:eastAsia="zh-CN"/>
        </w:rPr>
        <w:t>=1.35×792.12=1069.36 kN.m;</w:t>
      </w:r>
    </w:p>
    <w:p w14:paraId="700DAFBA">
      <w:pPr>
        <w:spacing w:line="360" w:lineRule="auto"/>
        <w:jc w:val="left"/>
        <w:rPr>
          <w:rFonts w:hint="eastAsia"/>
          <w:lang w:eastAsia="zh-CN"/>
        </w:rPr>
      </w:pPr>
      <w:r>
        <w:rPr>
          <w:rFonts w:hint="eastAsia"/>
        </w:rPr>
        <w:t>非工作状态：</w:t>
      </w:r>
      <w:r>
        <w:rPr>
          <w:position w:val="-14"/>
        </w:rPr>
        <w:object>
          <v:shape id="_x0000_i1062" o:spt="75" type="#_x0000_t75" style="height:19pt;width:66pt;" o:ole="t" filled="f" o:preferrelative="t" stroked="f" coordsize="21600,21600">
            <v:path/>
            <v:fill on="f" alignshape="1" focussize="0,0"/>
            <v:stroke on="f"/>
            <v:imagedata r:id="rId155" grayscale="f" bilevel="f" o:title=""/>
            <o:lock v:ext="edit" aspectratio="t"/>
            <w10:wrap type="none"/>
            <w10:anchorlock/>
          </v:shape>
          <o:OLEObject Type="Embed" ProgID="Equation.DSMT4" ShapeID="_x0000_i1062" DrawAspect="Content" ObjectID="_1468075762" r:id="rId154">
            <o:LockedField>false</o:LockedField>
          </o:OLEObject>
        </w:object>
      </w:r>
      <w:r>
        <w:rPr>
          <w:rFonts w:hint="eastAsia"/>
          <w:lang w:eastAsia="zh-CN"/>
        </w:rPr>
        <w:t>=1.35×844.71=1140.36 kN.m;</w:t>
      </w:r>
    </w:p>
    <w:p w14:paraId="264D41F8">
      <w:pPr>
        <w:spacing w:line="360" w:lineRule="auto"/>
        <w:jc w:val="left"/>
        <w:rPr>
          <w:rFonts w:hint="eastAsia"/>
          <w:lang w:eastAsia="zh-CN"/>
        </w:rPr>
      </w:pPr>
      <w:r>
        <w:rPr>
          <w:rFonts w:hint="eastAsia"/>
          <w:lang w:eastAsia="zh-CN"/>
        </w:rPr>
        <w:t>5、I-I截面处的许用弯矩：</w:t>
      </w:r>
    </w:p>
    <w:p w14:paraId="4D25A6E2">
      <w:pPr>
        <w:spacing w:line="360" w:lineRule="auto"/>
        <w:jc w:val="left"/>
        <w:rPr>
          <w:rFonts w:hint="eastAsia"/>
          <w:lang w:eastAsia="zh-CN"/>
        </w:rPr>
      </w:pPr>
      <w:r>
        <w:rPr>
          <w:position w:val="-16"/>
        </w:rPr>
        <w:object>
          <v:shape id="_x0000_i1063" o:spt="75" type="#_x0000_t75" style="height:22pt;width:117pt;" o:ole="t" filled="f" o:preferrelative="t" stroked="f" coordsize="21600,21600">
            <v:path/>
            <v:fill on="f" alignshape="1" focussize="0,0"/>
            <v:stroke on="f"/>
            <v:imagedata r:id="rId157" grayscale="f" bilevel="f" o:title=""/>
            <o:lock v:ext="edit" aspectratio="t"/>
            <w10:wrap type="none"/>
            <w10:anchorlock/>
          </v:shape>
          <o:OLEObject Type="Embed" ProgID="Equation.DSMT4" ShapeID="_x0000_i1063" DrawAspect="Content" ObjectID="_1468075763" r:id="rId156">
            <o:LockedField>false</o:LockedField>
          </o:OLEObject>
        </w:object>
      </w:r>
      <w:r>
        <w:rPr>
          <w:rFonts w:hint="eastAsia"/>
          <w:lang w:eastAsia="zh-CN"/>
        </w:rPr>
        <w:t>=300.00×19625.00×(2000-87.50-87.50)=10744.69 kN.m;</w:t>
      </w:r>
    </w:p>
    <w:p w14:paraId="2D585B11">
      <w:pPr>
        <w:spacing w:line="360" w:lineRule="auto"/>
        <w:jc w:val="left"/>
        <w:rPr>
          <w:rFonts w:hint="eastAsia"/>
          <w:lang w:eastAsia="zh-CN"/>
        </w:rPr>
      </w:pPr>
      <w:r>
        <w:rPr>
          <w:rFonts w:hint="eastAsia"/>
          <w:lang w:eastAsia="zh-CN"/>
        </w:rPr>
        <w:t>I-I截面弯矩设计值(Ms=844.71kN.m)≤([M]=10744.69kN.m);</w:t>
      </w:r>
    </w:p>
    <w:p w14:paraId="56EDEA61">
      <w:pPr>
        <w:spacing w:line="360" w:lineRule="auto"/>
        <w:jc w:val="left"/>
        <w:rPr>
          <w:rFonts w:hint="eastAsia" w:ascii="宋体" w:hAnsi="宋体" w:eastAsia="宋体" w:cs="宋体"/>
          <w:b/>
          <w:i w:val="0"/>
          <w:color w:val="0000C8"/>
          <w:kern w:val="2"/>
          <w:sz w:val="28"/>
          <w:szCs w:val="24"/>
          <w:u w:val="none"/>
          <w:lang w:val="en-US" w:eastAsia="zh-CN" w:bidi="ar-SA"/>
        </w:rPr>
      </w:pPr>
      <w:r>
        <w:rPr>
          <w:rFonts w:hint="eastAsia" w:ascii="宋体" w:hAnsi="宋体" w:eastAsia="宋体" w:cs="宋体"/>
          <w:b/>
          <w:i w:val="0"/>
          <w:color w:val="0000C8"/>
          <w:kern w:val="2"/>
          <w:sz w:val="28"/>
          <w:szCs w:val="24"/>
          <w:u w:val="none"/>
          <w:lang w:val="en-US" w:eastAsia="zh-CN" w:bidi="ar-SA"/>
        </w:rPr>
        <w:t>塔机基础正截面抗弯满足要求！</w:t>
      </w:r>
    </w:p>
    <w:p w14:paraId="4DBBF2C1">
      <w:pPr>
        <w:spacing w:line="360" w:lineRule="auto"/>
        <w:jc w:val="left"/>
        <w:rPr>
          <w:rFonts w:hint="eastAsia"/>
          <w:b/>
          <w:sz w:val="30"/>
          <w:szCs w:val="30"/>
        </w:rPr>
      </w:pPr>
      <w:r>
        <w:rPr>
          <w:rFonts w:hint="eastAsia"/>
          <w:b/>
          <w:sz w:val="30"/>
          <w:szCs w:val="30"/>
        </w:rPr>
        <w:t>九、受冲切承载力计算</w:t>
      </w:r>
    </w:p>
    <w:p w14:paraId="061090F3">
      <w:pPr>
        <w:spacing w:line="360" w:lineRule="auto"/>
        <w:jc w:val="left"/>
        <w:rPr>
          <w:rFonts w:hint="eastAsia" w:ascii="宋体" w:hAnsi="宋体" w:eastAsia="宋体" w:cs="宋体"/>
          <w:b w:val="0"/>
          <w:i w:val="0"/>
          <w:color w:val="000000"/>
          <w:kern w:val="2"/>
          <w:sz w:val="24"/>
          <w:szCs w:val="24"/>
          <w:u w:val="none"/>
          <w:lang w:val="en-US" w:eastAsia="zh-CN" w:bidi="ar-SA"/>
        </w:rPr>
      </w:pPr>
      <w:r>
        <w:rPr>
          <w:rFonts w:hint="eastAsia" w:ascii="宋体" w:hAnsi="宋体" w:eastAsia="宋体" w:cs="宋体"/>
          <w:b w:val="0"/>
          <w:i w:val="0"/>
          <w:color w:val="000000"/>
          <w:kern w:val="2"/>
          <w:sz w:val="24"/>
          <w:szCs w:val="24"/>
          <w:u w:val="none"/>
          <w:lang w:val="en-US" w:eastAsia="zh-CN" w:bidi="ar-SA"/>
        </w:rPr>
        <w:t>1、截面高度影响系数：</w:t>
      </w:r>
    </w:p>
    <w:p w14:paraId="28CBF39C">
      <w:pPr>
        <w:spacing w:line="360" w:lineRule="auto"/>
        <w:jc w:val="left"/>
        <w:rPr>
          <w:rFonts w:hint="eastAsia" w:ascii="宋体" w:hAnsi="宋体" w:eastAsia="宋体" w:cs="宋体"/>
          <w:b w:val="0"/>
          <w:i w:val="0"/>
          <w:color w:val="000000"/>
          <w:kern w:val="2"/>
          <w:sz w:val="24"/>
          <w:szCs w:val="24"/>
          <w:u w:val="none"/>
          <w:lang w:val="en-US" w:eastAsia="zh-CN" w:bidi="ar-SA"/>
        </w:rPr>
      </w:pPr>
      <w:r>
        <w:rPr>
          <w:rFonts w:hint="eastAsia" w:ascii="宋体" w:hAnsi="宋体" w:eastAsia="宋体" w:cs="宋体"/>
          <w:b w:val="0"/>
          <w:i w:val="0"/>
          <w:color w:val="000000"/>
          <w:kern w:val="2"/>
          <w:sz w:val="24"/>
          <w:szCs w:val="24"/>
          <w:u w:val="none"/>
          <w:lang w:val="en-US" w:eastAsia="zh-CN" w:bidi="ar-SA"/>
        </w:rPr>
        <w:t>基础高度2000mm≥2000mm，Bhp=0.90;</w:t>
      </w:r>
    </w:p>
    <w:p w14:paraId="5169EF9B">
      <w:pPr>
        <w:spacing w:line="360" w:lineRule="auto"/>
        <w:jc w:val="left"/>
        <w:rPr>
          <w:rFonts w:hint="eastAsia" w:ascii="宋体" w:hAnsi="宋体" w:eastAsia="宋体" w:cs="宋体"/>
          <w:b w:val="0"/>
          <w:i w:val="0"/>
          <w:color w:val="000000"/>
          <w:kern w:val="2"/>
          <w:sz w:val="24"/>
          <w:szCs w:val="24"/>
          <w:u w:val="none"/>
          <w:lang w:val="en-US" w:eastAsia="zh-CN" w:bidi="ar-SA"/>
        </w:rPr>
      </w:pPr>
      <w:r>
        <w:rPr>
          <w:rFonts w:hint="eastAsia" w:ascii="宋体" w:hAnsi="宋体" w:eastAsia="宋体" w:cs="宋体"/>
          <w:b w:val="0"/>
          <w:i w:val="0"/>
          <w:color w:val="000000"/>
          <w:kern w:val="2"/>
          <w:sz w:val="24"/>
          <w:szCs w:val="24"/>
          <w:u w:val="none"/>
          <w:lang w:val="en-US" w:eastAsia="zh-CN" w:bidi="ar-SA"/>
        </w:rPr>
        <w:t>2、冲切破坏锥体有效高度：</w:t>
      </w:r>
    </w:p>
    <w:p w14:paraId="510AB3C1">
      <w:pPr>
        <w:spacing w:line="360" w:lineRule="auto"/>
        <w:jc w:val="left"/>
        <w:rPr>
          <w:rFonts w:hint="eastAsia"/>
          <w:lang w:eastAsia="zh-CN"/>
        </w:rPr>
      </w:pPr>
      <w:r>
        <w:rPr>
          <w:position w:val="-12"/>
        </w:rPr>
        <w:object>
          <v:shape id="_x0000_i1064" o:spt="75" type="#_x0000_t75" style="height:18pt;width:52pt;" o:ole="t" filled="f" o:preferrelative="t" stroked="f" coordsize="21600,21600">
            <v:path/>
            <v:fill on="f" alignshape="1" focussize="0,0"/>
            <v:stroke on="f"/>
            <v:imagedata r:id="rId159" grayscale="f" bilevel="f" o:title=""/>
            <o:lock v:ext="edit" aspectratio="t"/>
            <w10:wrap type="none"/>
            <w10:anchorlock/>
          </v:shape>
          <o:OLEObject Type="Embed" ProgID="Equation.DSMT4" ShapeID="_x0000_i1064" DrawAspect="Content" ObjectID="_1468075764" r:id="rId158">
            <o:LockedField>false</o:LockedField>
          </o:OLEObject>
        </w:object>
      </w:r>
      <w:r>
        <w:rPr>
          <w:rFonts w:hint="eastAsia"/>
          <w:lang w:eastAsia="zh-CN"/>
        </w:rPr>
        <w:t>=2000-87.50=1912.50 mm;</w:t>
      </w:r>
    </w:p>
    <w:p w14:paraId="0107E676">
      <w:pPr>
        <w:spacing w:line="360" w:lineRule="auto"/>
        <w:jc w:val="left"/>
        <w:rPr>
          <w:rFonts w:hint="eastAsia"/>
          <w:lang w:eastAsia="zh-CN"/>
        </w:rPr>
      </w:pPr>
      <w:r>
        <w:rPr>
          <w:rFonts w:hint="eastAsia"/>
          <w:lang w:eastAsia="zh-CN"/>
        </w:rPr>
        <w:t>3、冲切锥体最不利一侧计算长度：</w:t>
      </w:r>
    </w:p>
    <w:p w14:paraId="1FC2D7A9">
      <w:pPr>
        <w:spacing w:line="360" w:lineRule="auto"/>
        <w:jc w:val="left"/>
        <w:rPr>
          <w:rFonts w:hint="eastAsia"/>
          <w:lang w:eastAsia="zh-CN"/>
        </w:rPr>
      </w:pPr>
      <w:r>
        <w:rPr>
          <w:position w:val="-12"/>
        </w:rPr>
        <w:object>
          <v:shape id="_x0000_i1065" o:spt="75" type="#_x0000_t75" style="height:18pt;width:58pt;" o:ole="t" filled="f" o:preferrelative="t" stroked="f" coordsize="21600,21600">
            <v:path/>
            <v:fill on="f" alignshape="1" focussize="0,0"/>
            <v:stroke on="f"/>
            <v:imagedata r:id="rId161" grayscale="f" bilevel="f" o:title=""/>
            <o:lock v:ext="edit" aspectratio="t"/>
            <w10:wrap type="none"/>
            <w10:anchorlock/>
          </v:shape>
          <o:OLEObject Type="Embed" ProgID="Equation.DSMT4" ShapeID="_x0000_i1065" DrawAspect="Content" ObjectID="_1468075765" r:id="rId160">
            <o:LockedField>false</o:LockedField>
          </o:OLEObject>
        </w:object>
      </w:r>
      <w:r>
        <w:rPr>
          <w:rFonts w:hint="eastAsia"/>
          <w:lang w:eastAsia="zh-CN"/>
        </w:rPr>
        <w:t>=1600+1912.50=3512.50 mm;</w:t>
      </w:r>
    </w:p>
    <w:p w14:paraId="2521D8F4">
      <w:pPr>
        <w:spacing w:line="360" w:lineRule="auto"/>
        <w:jc w:val="left"/>
        <w:rPr>
          <w:rFonts w:hint="eastAsia"/>
          <w:lang w:eastAsia="zh-CN"/>
        </w:rPr>
      </w:pPr>
      <w:r>
        <w:rPr>
          <w:rFonts w:hint="eastAsia"/>
          <w:lang w:eastAsia="zh-CN"/>
        </w:rPr>
        <w:t>4、冲切锥体最不利一侧斜截面下边长：</w:t>
      </w:r>
    </w:p>
    <w:p w14:paraId="4CD87213">
      <w:pPr>
        <w:spacing w:line="360" w:lineRule="auto"/>
        <w:jc w:val="left"/>
        <w:rPr>
          <w:rFonts w:hint="eastAsia"/>
          <w:lang w:eastAsia="zh-CN"/>
        </w:rPr>
      </w:pPr>
      <w:r>
        <w:rPr>
          <w:position w:val="-12"/>
        </w:rPr>
        <w:object>
          <v:shape id="_x0000_i1066" o:spt="75" type="#_x0000_t75" style="height:18pt;width:62pt;" o:ole="t" filled="f" o:preferrelative="t" stroked="f" coordsize="21600,21600">
            <v:path/>
            <v:fill on="f" alignshape="1" focussize="0,0"/>
            <v:stroke on="f"/>
            <v:imagedata r:id="rId163" grayscale="f" bilevel="f" o:title=""/>
            <o:lock v:ext="edit" aspectratio="t"/>
            <w10:wrap type="none"/>
            <w10:anchorlock/>
          </v:shape>
          <o:OLEObject Type="Embed" ProgID="Equation.DSMT4" ShapeID="_x0000_i1066" DrawAspect="Content" ObjectID="_1468075766" r:id="rId162">
            <o:LockedField>false</o:LockedField>
          </o:OLEObject>
        </w:object>
      </w:r>
      <w:r>
        <w:rPr>
          <w:rFonts w:hint="eastAsia"/>
          <w:lang w:eastAsia="zh-CN"/>
        </w:rPr>
        <w:t>=1600+2×1912.50=5425.00 mm;</w:t>
      </w:r>
    </w:p>
    <w:p w14:paraId="42CDE4C8">
      <w:pPr>
        <w:spacing w:line="360" w:lineRule="auto"/>
        <w:jc w:val="left"/>
        <w:rPr>
          <w:rFonts w:hint="eastAsia"/>
          <w:lang w:eastAsia="zh-CN"/>
        </w:rPr>
      </w:pPr>
      <w:r>
        <w:rPr>
          <w:rFonts w:hint="eastAsia"/>
          <w:lang w:eastAsia="zh-CN"/>
        </w:rPr>
        <w:t>5、冲切验算时取用的基底面积：</w:t>
      </w:r>
    </w:p>
    <w:p w14:paraId="352768AA">
      <w:pPr>
        <w:spacing w:line="360" w:lineRule="auto"/>
        <w:jc w:val="left"/>
        <w:rPr>
          <w:rFonts w:hint="eastAsia"/>
          <w:lang w:eastAsia="zh-CN"/>
        </w:rPr>
      </w:pPr>
      <w:r>
        <w:rPr>
          <w:position w:val="-24"/>
        </w:rPr>
        <w:object>
          <v:shape id="_x0000_i1067" o:spt="75" type="#_x0000_t75" style="height:33pt;width:80pt;" o:ole="t" filled="f" o:preferrelative="t" stroked="f" coordsize="21600,21600">
            <v:path/>
            <v:fill on="f" alignshape="1" focussize="0,0"/>
            <v:stroke on="f"/>
            <v:imagedata r:id="rId165" grayscale="f" bilevel="f" o:title=""/>
            <o:lock v:ext="edit" aspectratio="t"/>
            <w10:wrap type="none"/>
            <w10:anchorlock/>
          </v:shape>
          <o:OLEObject Type="Embed" ProgID="Equation.DSMT4" ShapeID="_x0000_i1067" DrawAspect="Content" ObjectID="_1468075767" r:id="rId164">
            <o:LockedField>false</o:LockedField>
          </o:OLEObject>
        </w:object>
      </w:r>
      <w:r>
        <w:rPr>
          <w:rFonts w:hint="eastAsia"/>
          <w:lang w:eastAsia="zh-CN"/>
        </w:rPr>
        <w:t>=(2×6000×6000-6000×6000-5425.00×5425.00)/4=1642343.75 mm^2;</w:t>
      </w:r>
    </w:p>
    <w:p w14:paraId="3E049FFF">
      <w:pPr>
        <w:spacing w:line="360" w:lineRule="auto"/>
        <w:jc w:val="left"/>
        <w:rPr>
          <w:rFonts w:hint="eastAsia"/>
          <w:lang w:eastAsia="zh-CN"/>
        </w:rPr>
      </w:pPr>
      <w:r>
        <w:rPr>
          <w:rFonts w:hint="eastAsia"/>
          <w:lang w:eastAsia="zh-CN"/>
        </w:rPr>
        <w:t>6、地基土净反力设计值：</w:t>
      </w:r>
    </w:p>
    <w:p w14:paraId="2C2CC2EB">
      <w:pPr>
        <w:spacing w:line="360" w:lineRule="auto"/>
        <w:jc w:val="left"/>
        <w:rPr>
          <w:rFonts w:hint="eastAsia"/>
          <w:lang w:eastAsia="zh-CN"/>
        </w:rPr>
      </w:pPr>
      <w:r>
        <w:rPr>
          <w:rFonts w:hint="eastAsia"/>
        </w:rPr>
        <w:t>工作状态：</w:t>
      </w:r>
      <w:r>
        <w:rPr>
          <w:position w:val="-28"/>
        </w:rPr>
        <w:object>
          <v:shape id="_x0000_i1068" o:spt="75" type="#_x0000_t75" style="height:34pt;width:119pt;" o:ole="t" filled="f" o:preferrelative="t" stroked="f" coordsize="21600,21600">
            <v:path/>
            <v:fill on="f" alignshape="1" focussize="0,0"/>
            <v:stroke on="f"/>
            <v:imagedata r:id="rId167" grayscale="f" bilevel="f" o:title=""/>
            <o:lock v:ext="edit" aspectratio="t"/>
            <w10:wrap type="none"/>
            <w10:anchorlock/>
          </v:shape>
          <o:OLEObject Type="Embed" ProgID="Equation.DSMT4" ShapeID="_x0000_i1068" DrawAspect="Content" ObjectID="_1468075768" r:id="rId166">
            <o:LockedField>false</o:LockedField>
          </o:OLEObject>
        </w:object>
      </w:r>
      <w:r>
        <w:rPr>
          <w:rFonts w:hint="eastAsia"/>
          <w:lang w:eastAsia="zh-CN"/>
        </w:rPr>
        <w:t>=1.35×(129.29-1800.00×1000000/(6000×6000))×1642343.75/1000000=175.79 kN;</w:t>
      </w:r>
    </w:p>
    <w:p w14:paraId="34042B46">
      <w:pPr>
        <w:spacing w:line="360" w:lineRule="auto"/>
        <w:jc w:val="left"/>
        <w:rPr>
          <w:rFonts w:hint="eastAsia"/>
          <w:lang w:eastAsia="zh-CN"/>
        </w:rPr>
      </w:pPr>
      <w:r>
        <w:rPr>
          <w:rFonts w:hint="eastAsia"/>
        </w:rPr>
        <w:t>非工作状态：</w:t>
      </w:r>
      <w:r>
        <w:rPr>
          <w:position w:val="-28"/>
        </w:rPr>
        <w:object>
          <v:shape id="_x0000_i1069" o:spt="75" type="#_x0000_t75" style="height:34pt;width:119pt;" o:ole="t" filled="f" o:preferrelative="t" stroked="f" coordsize="21600,21600">
            <v:path/>
            <v:fill on="f" alignshape="1" focussize="0,0"/>
            <v:stroke on="f"/>
            <v:imagedata r:id="rId169" grayscale="f" bilevel="f" o:title=""/>
            <o:lock v:ext="edit" aspectratio="t"/>
            <w10:wrap type="none"/>
            <w10:anchorlock/>
          </v:shape>
          <o:OLEObject Type="Embed" ProgID="Equation.DSMT4" ShapeID="_x0000_i1069" DrawAspect="Content" ObjectID="_1468075769" r:id="rId168">
            <o:LockedField>false</o:LockedField>
          </o:OLEObject>
        </w:object>
      </w:r>
      <w:r>
        <w:rPr>
          <w:rFonts w:hint="eastAsia"/>
          <w:lang w:eastAsia="zh-CN"/>
        </w:rPr>
        <w:t>=1.35×(133.85-1800.00×1000000/(6000×6000))×1642343.75/1000000=185.91 kN;</w:t>
      </w:r>
    </w:p>
    <w:p w14:paraId="09754D7A">
      <w:pPr>
        <w:spacing w:line="360" w:lineRule="auto"/>
        <w:jc w:val="left"/>
        <w:rPr>
          <w:rFonts w:hint="eastAsia"/>
          <w:lang w:eastAsia="zh-CN"/>
        </w:rPr>
      </w:pPr>
      <w:r>
        <w:rPr>
          <w:rFonts w:hint="eastAsia"/>
          <w:lang w:eastAsia="zh-CN"/>
        </w:rPr>
        <w:t>7、基本载荷时地基土净反力许用值：</w:t>
      </w:r>
    </w:p>
    <w:p w14:paraId="68423C29">
      <w:pPr>
        <w:spacing w:line="360" w:lineRule="auto"/>
        <w:jc w:val="left"/>
        <w:rPr>
          <w:rFonts w:hint="eastAsia"/>
          <w:lang w:eastAsia="zh-CN"/>
        </w:rPr>
      </w:pPr>
      <w:r>
        <w:rPr>
          <w:position w:val="-14"/>
        </w:rPr>
        <w:object>
          <v:shape id="_x0000_i1070" o:spt="75" type="#_x0000_t75" style="height:19pt;width:92pt;" o:ole="t" filled="f" o:preferrelative="t" stroked="f" coordsize="21600,21600">
            <v:path/>
            <v:fill on="f" alignshape="1" focussize="0,0"/>
            <v:stroke on="f"/>
            <v:imagedata r:id="rId171" grayscale="f" bilevel="f" o:title=""/>
            <o:lock v:ext="edit" aspectratio="t"/>
            <w10:wrap type="none"/>
            <w10:anchorlock/>
          </v:shape>
          <o:OLEObject Type="Embed" ProgID="Equation.DSMT4" ShapeID="_x0000_i1070" DrawAspect="Content" ObjectID="_1468075770" r:id="rId170">
            <o:LockedField>false</o:LockedField>
          </o:OLEObject>
        </w:object>
      </w:r>
      <w:r>
        <w:rPr>
          <w:rFonts w:hint="eastAsia"/>
          <w:lang w:eastAsia="zh-CN"/>
        </w:rPr>
        <w:t>=0.7×0.90×1.57×3512.50×1912.50/1000=6644.43 kN;</w:t>
      </w:r>
    </w:p>
    <w:p w14:paraId="16452F4D">
      <w:pPr>
        <w:spacing w:line="360" w:lineRule="auto"/>
        <w:jc w:val="left"/>
        <w:rPr>
          <w:rFonts w:hint="eastAsia"/>
          <w:lang w:eastAsia="zh-CN"/>
        </w:rPr>
      </w:pPr>
      <w:r>
        <w:rPr>
          <w:rFonts w:hint="eastAsia"/>
          <w:lang w:eastAsia="zh-CN"/>
        </w:rPr>
        <w:t>基本载荷时地基土净反力设计值(Fl=185.91kN)≤([Fl]=6644.43kN);</w:t>
      </w:r>
    </w:p>
    <w:p w14:paraId="55F58EE4">
      <w:pPr>
        <w:spacing w:line="360" w:lineRule="auto"/>
        <w:jc w:val="left"/>
        <w:rPr>
          <w:rFonts w:hint="eastAsia"/>
          <w:lang w:val="en-US" w:eastAsia="zh-CN"/>
        </w:rPr>
      </w:pPr>
      <w:r>
        <w:rPr>
          <w:rFonts w:hint="eastAsia" w:ascii="宋体" w:hAnsi="宋体" w:eastAsia="宋体" w:cs="宋体"/>
          <w:b/>
          <w:i w:val="0"/>
          <w:color w:val="0000C8"/>
          <w:kern w:val="2"/>
          <w:sz w:val="28"/>
          <w:szCs w:val="24"/>
          <w:u w:val="none"/>
          <w:lang w:val="en-US" w:eastAsia="zh-CN" w:bidi="ar-SA"/>
        </w:rPr>
        <w:t>塔机基础抗冲切满足要求！</w:t>
      </w:r>
    </w:p>
    <w:p w14:paraId="20341A88">
      <w:pPr>
        <w:spacing w:line="360" w:lineRule="auto"/>
        <w:jc w:val="left"/>
        <w:rPr>
          <w:rFonts w:hint="default"/>
        </w:rPr>
      </w:pPr>
    </w:p>
    <w:sectPr>
      <w:footerReference r:id="rId9" w:type="default"/>
      <w:pgSz w:w="11906" w:h="16838"/>
      <w:pgMar w:top="1417" w:right="1304" w:bottom="1417" w:left="1587" w:header="850" w:footer="992" w:gutter="0"/>
      <w:pgBorders>
        <w:top w:val="none" w:sz="0" w:space="0"/>
        <w:left w:val="none" w:sz="0" w:space="0"/>
        <w:bottom w:val="none" w:sz="0" w:space="0"/>
        <w:right w:val="none" w:sz="0" w:space="0"/>
      </w:pgBorders>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A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668F05D-27FE-4FC0-8DEE-BE08786ED1A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1290A1DA-FACC-4CA2-ABFD-CB7E6B8DF01B}"/>
  </w:font>
  <w:font w:name="仿宋">
    <w:panose1 w:val="02010609060101010101"/>
    <w:charset w:val="86"/>
    <w:family w:val="modern"/>
    <w:pitch w:val="default"/>
    <w:sig w:usb0="800002BF" w:usb1="38CF7CFA" w:usb2="00000016" w:usb3="00000000" w:csb0="00040001" w:csb1="00000000"/>
    <w:embedRegular r:id="rId3" w:fontKey="{328F01EF-1732-40C0-8653-BCEC24B149F0}"/>
  </w:font>
  <w:font w:name="Cambria">
    <w:panose1 w:val="02040503050406030204"/>
    <w:charset w:val="00"/>
    <w:family w:val="roman"/>
    <w:pitch w:val="default"/>
    <w:sig w:usb0="E00002FF" w:usb1="400004FF"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Arial Unicode MS">
    <w:altName w:val="宋体"/>
    <w:panose1 w:val="020B0604020202020204"/>
    <w:charset w:val="86"/>
    <w:family w:val="auto"/>
    <w:pitch w:val="default"/>
    <w:sig w:usb0="00000000" w:usb1="00000000" w:usb2="0000003F" w:usb3="00000000" w:csb0="603F01FF" w:csb1="FFFF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21F8200E-26ED-4929-AE54-6F939CEA9269}"/>
  </w:font>
  <w:font w:name="Dutch801 Rm BT">
    <w:altName w:val="Times New Roman"/>
    <w:panose1 w:val="02020603060505020304"/>
    <w:charset w:val="00"/>
    <w:family w:val="roman"/>
    <w:pitch w:val="default"/>
    <w:sig w:usb0="00000000" w:usb1="00000000" w:usb2="00000000" w:usb3="00000000" w:csb0="00000000" w:csb1="00000000"/>
  </w:font>
  <w:font w:name="楷体_GB2312">
    <w:panose1 w:val="02010609030101010101"/>
    <w:charset w:val="86"/>
    <w:family w:val="modern"/>
    <w:pitch w:val="default"/>
    <w:sig w:usb0="00000001" w:usb1="080E0000" w:usb2="00000000" w:usb3="00000000" w:csb0="00040000" w:csb1="00000000"/>
    <w:embedRegular r:id="rId5" w:fontKey="{24C1D5CC-9725-4AFC-A951-6E2EFE614C1A}"/>
  </w:font>
  <w:font w:name="Tahoma">
    <w:panose1 w:val="020B0604030504040204"/>
    <w:charset w:val="00"/>
    <w:family w:val="swiss"/>
    <w:pitch w:val="default"/>
    <w:sig w:usb0="E1002EFF" w:usb1="C000605B" w:usb2="00000029" w:usb3="00000000" w:csb0="200101FF" w:csb1="20280000"/>
    <w:embedRegular r:id="rId6" w:fontKey="{A93EBC9B-C6CE-4B5C-9619-4A5058958051}"/>
  </w:font>
  <w:font w:name="微软雅黑">
    <w:panose1 w:val="020B0503020204020204"/>
    <w:charset w:val="86"/>
    <w:family w:val="swiss"/>
    <w:pitch w:val="default"/>
    <w:sig w:usb0="80000287" w:usb1="280F3C52" w:usb2="00000016" w:usb3="00000000" w:csb0="0004001F" w:csb1="00000000"/>
    <w:embedRegular r:id="rId7" w:fontKey="{50F6A373-473E-4B6D-BF36-4514941FA7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642DA">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FD4BB">
    <w:pPr>
      <w:pStyle w:val="2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78F3C">
    <w:pPr>
      <w:pStyle w:val="2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9F23E">
    <w:pPr>
      <w:pStyle w:val="26"/>
    </w:pPr>
    <w:r>
      <mc:AlternateContent>
        <mc:Choice Requires="wps">
          <w:drawing>
            <wp:anchor distT="0" distB="0" distL="114300" distR="114300" simplePos="0" relativeHeight="251664384" behindDoc="0" locked="0" layoutInCell="1" allowOverlap="1">
              <wp:simplePos x="0" y="0"/>
              <wp:positionH relativeFrom="margin">
                <wp:posOffset>2714625</wp:posOffset>
              </wp:positionH>
              <wp:positionV relativeFrom="paragraph">
                <wp:posOffset>-1905</wp:posOffset>
              </wp:positionV>
              <wp:extent cx="685800" cy="5334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685800" cy="533400"/>
                      </a:xfrm>
                      <a:prstGeom prst="rect">
                        <a:avLst/>
                      </a:prstGeom>
                      <a:noFill/>
                      <a:ln w="6350">
                        <a:noFill/>
                      </a:ln>
                      <a:effectLst/>
                    </wps:spPr>
                    <wps:txbx>
                      <w:txbxContent>
                        <w:sdt>
                          <w:sdtPr>
                            <w:id w:val="147463724"/>
                          </w:sdtPr>
                          <w:sdtContent>
                            <w:p w14:paraId="1E93DC3A">
                              <w:pPr>
                                <w:pStyle w:val="26"/>
                              </w:pPr>
                              <w:r>
                                <w:fldChar w:fldCharType="begin"/>
                              </w:r>
                              <w:r>
                                <w:instrText xml:space="preserve">PAGE   \* MERGEFORMAT</w:instrText>
                              </w:r>
                              <w:r>
                                <w:fldChar w:fldCharType="separate"/>
                              </w:r>
                              <w:r>
                                <w:rPr>
                                  <w:lang w:val="zh-CN"/>
                                </w:rPr>
                                <w:t>36</w:t>
                              </w:r>
                              <w:r>
                                <w:rPr>
                                  <w:lang w:val="zh-CN"/>
                                </w:rPr>
                                <w:fldChar w:fldCharType="end"/>
                              </w:r>
                            </w:p>
                          </w:sdtContent>
                        </w:sdt>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3.75pt;margin-top:-0.15pt;height:42pt;width:54pt;mso-position-horizontal-relative:margin;z-index:251664384;mso-width-relative:page;mso-height-relative:page;" filled="f" stroked="f" coordsize="21600,21600" o:gfxdata="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MzfWV1wAAAAgBAAAPAAAAAAAAAAEAIAAAACIAAABkcnMvZG93bnJl&#10;di54bWxQSwECFAAUAAAACACHTuJAiNIAZTcCAABlBAAADgAAAAAAAAABACAAAAAmAQAAZHJzL2Uy&#10;b0RvYy54bWxQSwUGAAAAAAYABgBZAQAAzwUAAAAA&#10;">
              <v:fill on="f" focussize="0,0"/>
              <v:stroke on="f" weight="0.5pt"/>
              <v:imagedata o:title=""/>
              <o:lock v:ext="edit" aspectratio="f"/>
              <v:textbox inset="0mm,0mm,0mm,0mm">
                <w:txbxContent>
                  <w:sdt>
                    <w:sdtPr>
                      <w:id w:val="147463724"/>
                    </w:sdtPr>
                    <w:sdtContent>
                      <w:p w14:paraId="1E93DC3A">
                        <w:pPr>
                          <w:pStyle w:val="26"/>
                        </w:pPr>
                        <w:r>
                          <w:fldChar w:fldCharType="begin"/>
                        </w:r>
                        <w:r>
                          <w:instrText xml:space="preserve">PAGE   \* MERGEFORMAT</w:instrText>
                        </w:r>
                        <w:r>
                          <w:fldChar w:fldCharType="separate"/>
                        </w:r>
                        <w:r>
                          <w:rPr>
                            <w:lang w:val="zh-CN"/>
                          </w:rPr>
                          <w:t>36</w:t>
                        </w:r>
                        <w:r>
                          <w:rPr>
                            <w:lang w:val="zh-CN"/>
                          </w:rPr>
                          <w:fldChar w:fldCharType="end"/>
                        </w:r>
                      </w:p>
                    </w:sdtContent>
                  </w:sdt>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EC71D">
    <w:pPr>
      <w:pStyle w:val="27"/>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9E9A60"/>
    <w:multiLevelType w:val="singleLevel"/>
    <w:tmpl w:val="109E9A60"/>
    <w:lvl w:ilvl="0" w:tentative="0">
      <w:start w:val="1"/>
      <w:numFmt w:val="decimal"/>
      <w:lvlText w:val="(%1)"/>
      <w:lvlJc w:val="left"/>
      <w:pPr>
        <w:ind w:left="425" w:hanging="425"/>
      </w:pPr>
      <w:rPr>
        <w:rFonts w:hint="default"/>
      </w:rPr>
    </w:lvl>
  </w:abstractNum>
  <w:abstractNum w:abstractNumId="1">
    <w:nsid w:val="1E3B6E68"/>
    <w:multiLevelType w:val="multilevel"/>
    <w:tmpl w:val="1E3B6E68"/>
    <w:lvl w:ilvl="0" w:tentative="0">
      <w:start w:val="1"/>
      <w:numFmt w:val="japaneseCounting"/>
      <w:lvlText w:val="%1、"/>
      <w:lvlJc w:val="left"/>
      <w:pPr>
        <w:ind w:left="720" w:hanging="720"/>
      </w:pPr>
      <w:rPr>
        <w:rFonts w:hint="default"/>
      </w:rPr>
    </w:lvl>
    <w:lvl w:ilvl="1" w:tentative="0">
      <w:start w:val="1"/>
      <w:numFmt w:val="decimal"/>
      <w:lvlText w:val="%2、"/>
      <w:lvlJc w:val="left"/>
      <w:pPr>
        <w:ind w:left="1215" w:hanging="795"/>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FC6B92C"/>
    <w:multiLevelType w:val="singleLevel"/>
    <w:tmpl w:val="1FC6B92C"/>
    <w:lvl w:ilvl="0" w:tentative="0">
      <w:start w:val="1"/>
      <w:numFmt w:val="decimal"/>
      <w:suff w:val="nothing"/>
      <w:lvlText w:val="（%1）"/>
      <w:lvlJc w:val="left"/>
    </w:lvl>
  </w:abstractNum>
  <w:abstractNum w:abstractNumId="3">
    <w:nsid w:val="22303B1A"/>
    <w:multiLevelType w:val="multilevel"/>
    <w:tmpl w:val="22303B1A"/>
    <w:lvl w:ilvl="0" w:tentative="0">
      <w:start w:val="1"/>
      <w:numFmt w:val="decimal"/>
      <w:lvlText w:val="%1."/>
      <w:lvlJc w:val="left"/>
      <w:pPr>
        <w:ind w:left="425" w:hanging="425"/>
      </w:pPr>
      <w:rPr>
        <w:rFonts w:hint="eastAsia"/>
      </w:rPr>
    </w:lvl>
    <w:lvl w:ilvl="1" w:tentative="0">
      <w:start w:val="1"/>
      <w:numFmt w:val="decimal"/>
      <w:lvlText w:val="%1.%2."/>
      <w:lvlJc w:val="left"/>
      <w:pPr>
        <w:ind w:left="284" w:firstLine="0"/>
      </w:pPr>
      <w:rPr>
        <w:rFonts w:hint="eastAsia"/>
      </w:rPr>
    </w:lvl>
    <w:lvl w:ilvl="2" w:tentative="0">
      <w:start w:val="1"/>
      <w:numFmt w:val="decimal"/>
      <w:pStyle w:val="160"/>
      <w:lvlText w:val="%1.%2.%3."/>
      <w:lvlJc w:val="left"/>
      <w:pPr>
        <w:ind w:left="993"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4">
    <w:nsid w:val="2C1E2400"/>
    <w:multiLevelType w:val="multilevel"/>
    <w:tmpl w:val="2C1E2400"/>
    <w:lvl w:ilvl="0" w:tentative="0">
      <w:start w:val="1"/>
      <w:numFmt w:val="decimal"/>
      <w:pStyle w:val="159"/>
      <w:lvlText w:val="表%1"/>
      <w:lvlJc w:val="left"/>
      <w:pPr>
        <w:ind w:left="704" w:hanging="420"/>
      </w:pPr>
      <w:rPr>
        <w:rFonts w:hint="default" w:ascii="Times New Roman" w:hAnsi="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3AE48DB"/>
    <w:multiLevelType w:val="multilevel"/>
    <w:tmpl w:val="33AE48DB"/>
    <w:lvl w:ilvl="0" w:tentative="0">
      <w:start w:val="1"/>
      <w:numFmt w:val="decimal"/>
      <w:lvlText w:val="%1."/>
      <w:lvlJc w:val="left"/>
      <w:pPr>
        <w:ind w:left="704" w:hanging="420"/>
      </w:p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6">
    <w:nsid w:val="3EE64154"/>
    <w:multiLevelType w:val="multilevel"/>
    <w:tmpl w:val="3EE64154"/>
    <w:lvl w:ilvl="0" w:tentative="0">
      <w:start w:val="1"/>
      <w:numFmt w:val="decimal"/>
      <w:lvlText w:val="%1 "/>
      <w:lvlJc w:val="left"/>
      <w:pPr>
        <w:ind w:left="665" w:hanging="425"/>
      </w:pPr>
      <w:rPr>
        <w:rFonts w:hint="eastAsia"/>
      </w:rPr>
    </w:lvl>
    <w:lvl w:ilvl="1" w:tentative="0">
      <w:start w:val="1"/>
      <w:numFmt w:val="decimal"/>
      <w:suff w:val="space"/>
      <w:lvlText w:val="%1.%2"/>
      <w:lvlJc w:val="left"/>
      <w:pPr>
        <w:ind w:left="425" w:hanging="425"/>
      </w:pPr>
      <w:rPr>
        <w:rFonts w:hint="eastAsia"/>
      </w:rPr>
    </w:lvl>
    <w:lvl w:ilvl="2" w:tentative="0">
      <w:start w:val="1"/>
      <w:numFmt w:val="decimal"/>
      <w:suff w:val="space"/>
      <w:lvlText w:val="%1.%2.%3"/>
      <w:lvlJc w:val="left"/>
      <w:pPr>
        <w:ind w:left="425" w:hanging="425"/>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Restart w:val="1"/>
      <w:pStyle w:val="8"/>
      <w:suff w:val="space"/>
      <w:lvlText w:val="表%1-%8"/>
      <w:lvlJc w:val="center"/>
      <w:pPr>
        <w:ind w:left="0" w:firstLine="0"/>
      </w:pPr>
      <w:rPr>
        <w:rFonts w:hint="eastAsia"/>
      </w:rPr>
    </w:lvl>
    <w:lvl w:ilvl="8" w:tentative="0">
      <w:start w:val="1"/>
      <w:numFmt w:val="decimal"/>
      <w:lvlRestart w:val="1"/>
      <w:suff w:val="space"/>
      <w:lvlText w:val="图%1-%9"/>
      <w:lvlJc w:val="center"/>
      <w:pPr>
        <w:ind w:left="0" w:firstLine="0"/>
      </w:pPr>
      <w:rPr>
        <w:rFonts w:hint="eastAsia"/>
      </w:rPr>
    </w:lvl>
  </w:abstractNum>
  <w:abstractNum w:abstractNumId="7">
    <w:nsid w:val="595D9F6A"/>
    <w:multiLevelType w:val="multilevel"/>
    <w:tmpl w:val="595D9F6A"/>
    <w:lvl w:ilvl="0" w:tentative="0">
      <w:start w:val="1"/>
      <w:numFmt w:val="decimal"/>
      <w:suff w:val="nothing"/>
      <w:lvlText w:val="第%1章 "/>
      <w:lvlJc w:val="center"/>
      <w:pPr>
        <w:ind w:left="5244" w:firstLine="0"/>
      </w:pPr>
      <w:rPr>
        <w:rFonts w:hint="default" w:ascii="Times New Roman" w:hAnsi="Times New Roman" w:eastAsia="宋体"/>
        <w:b/>
        <w:bCs w:val="0"/>
        <w:i w:val="0"/>
        <w:iCs w:val="0"/>
        <w:caps w:val="0"/>
        <w:smallCaps w:val="0"/>
        <w:strike w:val="0"/>
        <w:dstrike w:val="0"/>
        <w:vanish w:val="0"/>
        <w:spacing w:val="0"/>
        <w:position w:val="0"/>
        <w:sz w:val="3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decimal"/>
      <w:isLgl/>
      <w:suff w:val="nothing"/>
      <w:lvlText w:val="%1.%2 "/>
      <w:lvlJc w:val="left"/>
      <w:pPr>
        <w:ind w:left="2835" w:firstLine="0"/>
      </w:pPr>
      <w:rPr>
        <w:rFonts w:hint="eastAsia" w:ascii="宋体" w:hAnsi="宋体" w:eastAsia="宋体" w:cs="宋体"/>
      </w:rPr>
    </w:lvl>
    <w:lvl w:ilvl="2" w:tentative="0">
      <w:start w:val="1"/>
      <w:numFmt w:val="decimal"/>
      <w:isLgl/>
      <w:suff w:val="nothing"/>
      <w:lvlText w:val="%1.%2.%3 "/>
      <w:lvlJc w:val="left"/>
      <w:pPr>
        <w:ind w:left="3544" w:firstLine="0"/>
      </w:pPr>
      <w:rPr>
        <w:rFonts w:hint="eastAsia" w:ascii="宋体" w:hAnsi="宋体" w:eastAsia="宋体" w:cs="宋体"/>
      </w:rPr>
    </w:lvl>
    <w:lvl w:ilvl="3" w:tentative="0">
      <w:start w:val="1"/>
      <w:numFmt w:val="decimal"/>
      <w:isLgl/>
      <w:suff w:val="nothing"/>
      <w:lvlText w:val="%1.%2.%3.%4 "/>
      <w:lvlJc w:val="left"/>
      <w:pPr>
        <w:ind w:left="2409" w:firstLine="0"/>
      </w:pPr>
      <w:rPr>
        <w:rFonts w:hint="default" w:ascii="宋体" w:hAnsi="宋体" w:eastAsia="宋体" w:cs="宋体"/>
      </w:rPr>
    </w:lvl>
    <w:lvl w:ilvl="4" w:tentative="0">
      <w:start w:val="1"/>
      <w:numFmt w:val="decimal"/>
      <w:isLgl/>
      <w:suff w:val="nothing"/>
      <w:lvlText w:val="%5."/>
      <w:lvlJc w:val="left"/>
      <w:pPr>
        <w:ind w:left="1008" w:hanging="1008"/>
      </w:pPr>
      <w:rPr>
        <w:rFonts w:hint="default" w:ascii="宋体" w:hAnsi="宋体" w:eastAsia="宋体" w:cs="宋体"/>
      </w:rPr>
    </w:lvl>
    <w:lvl w:ilvl="5" w:tentative="0">
      <w:start w:val="1"/>
      <w:numFmt w:val="decimal"/>
      <w:lvlRestart w:val="2"/>
      <w:pStyle w:val="7"/>
      <w:suff w:val="nothing"/>
      <w:lvlText w:val="图%1.%2-%6 "/>
      <w:lvlJc w:val="left"/>
      <w:pPr>
        <w:ind w:left="3827" w:firstLine="0"/>
      </w:pPr>
      <w:rPr>
        <w:rFonts w:hint="eastAsia" w:ascii="黑体" w:hAnsi="宋体" w:eastAsia="黑体" w:cs="宋体"/>
        <w:b/>
        <w:i w:val="0"/>
        <w:sz w:val="21"/>
      </w:rPr>
    </w:lvl>
    <w:lvl w:ilvl="6" w:tentative="0">
      <w:start w:val="1"/>
      <w:numFmt w:val="decimal"/>
      <w:lvlRestart w:val="2"/>
      <w:suff w:val="nothing"/>
      <w:lvlText w:val="表%1.%2-%7 "/>
      <w:lvlJc w:val="center"/>
      <w:pPr>
        <w:ind w:left="4110" w:firstLine="0"/>
      </w:pPr>
      <w:rPr>
        <w:rFonts w:hint="eastAsia" w:ascii="黑体" w:hAnsi="宋体" w:eastAsia="黑体" w:cs="宋体"/>
        <w:b/>
        <w:i w:val="0"/>
        <w:sz w:val="21"/>
        <w:lang w:val="en-US"/>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num w:numId="1">
    <w:abstractNumId w:val="7"/>
  </w:num>
  <w:num w:numId="2">
    <w:abstractNumId w:val="6"/>
  </w:num>
  <w:num w:numId="3">
    <w:abstractNumId w:val="4"/>
  </w:num>
  <w:num w:numId="4">
    <w:abstractNumId w:val="3"/>
  </w:num>
  <w:num w:numId="5">
    <w:abstractNumId w:val="2"/>
  </w:num>
  <w:num w:numId="6">
    <w:abstractNumId w:val="0"/>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0"/>
  <w:drawingGridHorizontalSpacing w:val="140"/>
  <w:drawingGridVerticalSpacing w:val="38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JjNTQxMzI5N2U2YmJmZjM0ZmIzYTE2OWQ0MTYxNjAifQ=="/>
  </w:docVars>
  <w:rsids>
    <w:rsidRoot w:val="00724879"/>
    <w:rsid w:val="00000644"/>
    <w:rsid w:val="00000883"/>
    <w:rsid w:val="00001995"/>
    <w:rsid w:val="000041D0"/>
    <w:rsid w:val="000049C8"/>
    <w:rsid w:val="00005368"/>
    <w:rsid w:val="00005715"/>
    <w:rsid w:val="000138A4"/>
    <w:rsid w:val="00016781"/>
    <w:rsid w:val="000218F7"/>
    <w:rsid w:val="00023935"/>
    <w:rsid w:val="00031268"/>
    <w:rsid w:val="00031A13"/>
    <w:rsid w:val="000328CC"/>
    <w:rsid w:val="00035F91"/>
    <w:rsid w:val="00040D97"/>
    <w:rsid w:val="00042B3D"/>
    <w:rsid w:val="00046330"/>
    <w:rsid w:val="00052C6F"/>
    <w:rsid w:val="00054923"/>
    <w:rsid w:val="00055C5B"/>
    <w:rsid w:val="000563C8"/>
    <w:rsid w:val="00056E79"/>
    <w:rsid w:val="00062E21"/>
    <w:rsid w:val="000632D6"/>
    <w:rsid w:val="0006478A"/>
    <w:rsid w:val="00066A76"/>
    <w:rsid w:val="000713A0"/>
    <w:rsid w:val="00073B9A"/>
    <w:rsid w:val="00075508"/>
    <w:rsid w:val="000900E7"/>
    <w:rsid w:val="000944D7"/>
    <w:rsid w:val="000955A2"/>
    <w:rsid w:val="0009641E"/>
    <w:rsid w:val="00096567"/>
    <w:rsid w:val="000978EB"/>
    <w:rsid w:val="000A0062"/>
    <w:rsid w:val="000A0BBC"/>
    <w:rsid w:val="000A2A98"/>
    <w:rsid w:val="000A3315"/>
    <w:rsid w:val="000A3388"/>
    <w:rsid w:val="000A540E"/>
    <w:rsid w:val="000A5B84"/>
    <w:rsid w:val="000B4B88"/>
    <w:rsid w:val="000B745B"/>
    <w:rsid w:val="000C02C3"/>
    <w:rsid w:val="000C0CC4"/>
    <w:rsid w:val="000C4320"/>
    <w:rsid w:val="000C469C"/>
    <w:rsid w:val="000D0E12"/>
    <w:rsid w:val="000D3A0B"/>
    <w:rsid w:val="000D3D42"/>
    <w:rsid w:val="000D470F"/>
    <w:rsid w:val="000D608B"/>
    <w:rsid w:val="000D6872"/>
    <w:rsid w:val="000D6A7A"/>
    <w:rsid w:val="000D7C1D"/>
    <w:rsid w:val="000D7D75"/>
    <w:rsid w:val="000E110C"/>
    <w:rsid w:val="000F2B67"/>
    <w:rsid w:val="000F514B"/>
    <w:rsid w:val="000F517C"/>
    <w:rsid w:val="00100878"/>
    <w:rsid w:val="001010B6"/>
    <w:rsid w:val="00104DA4"/>
    <w:rsid w:val="00106683"/>
    <w:rsid w:val="00106744"/>
    <w:rsid w:val="0011643E"/>
    <w:rsid w:val="0012049D"/>
    <w:rsid w:val="001243E5"/>
    <w:rsid w:val="0012520E"/>
    <w:rsid w:val="00127581"/>
    <w:rsid w:val="001277B7"/>
    <w:rsid w:val="00127B91"/>
    <w:rsid w:val="00134AB0"/>
    <w:rsid w:val="00136186"/>
    <w:rsid w:val="001377C9"/>
    <w:rsid w:val="00140FF8"/>
    <w:rsid w:val="001414B6"/>
    <w:rsid w:val="00147584"/>
    <w:rsid w:val="00147C64"/>
    <w:rsid w:val="00150A98"/>
    <w:rsid w:val="00155273"/>
    <w:rsid w:val="0016081B"/>
    <w:rsid w:val="001609F7"/>
    <w:rsid w:val="00160AAD"/>
    <w:rsid w:val="00160B4F"/>
    <w:rsid w:val="0016210B"/>
    <w:rsid w:val="0016581B"/>
    <w:rsid w:val="001704B2"/>
    <w:rsid w:val="00170B51"/>
    <w:rsid w:val="00171B6B"/>
    <w:rsid w:val="00172913"/>
    <w:rsid w:val="00174392"/>
    <w:rsid w:val="00174799"/>
    <w:rsid w:val="00182FF9"/>
    <w:rsid w:val="001864E1"/>
    <w:rsid w:val="00187856"/>
    <w:rsid w:val="00193EA5"/>
    <w:rsid w:val="00195848"/>
    <w:rsid w:val="001A2D6D"/>
    <w:rsid w:val="001A3340"/>
    <w:rsid w:val="001A483D"/>
    <w:rsid w:val="001A57CD"/>
    <w:rsid w:val="001A6938"/>
    <w:rsid w:val="001A7B9E"/>
    <w:rsid w:val="001B0482"/>
    <w:rsid w:val="001B266A"/>
    <w:rsid w:val="001B3166"/>
    <w:rsid w:val="001B5472"/>
    <w:rsid w:val="001B6005"/>
    <w:rsid w:val="001C0475"/>
    <w:rsid w:val="001C3FFC"/>
    <w:rsid w:val="001C53C8"/>
    <w:rsid w:val="001C5CF7"/>
    <w:rsid w:val="001D1894"/>
    <w:rsid w:val="001D2C3E"/>
    <w:rsid w:val="001D3611"/>
    <w:rsid w:val="001E0782"/>
    <w:rsid w:val="001E15EE"/>
    <w:rsid w:val="001E16CA"/>
    <w:rsid w:val="001E4A16"/>
    <w:rsid w:val="002022D1"/>
    <w:rsid w:val="00203D3A"/>
    <w:rsid w:val="002050D8"/>
    <w:rsid w:val="00210400"/>
    <w:rsid w:val="00211465"/>
    <w:rsid w:val="00211A06"/>
    <w:rsid w:val="00211FE7"/>
    <w:rsid w:val="00214CD6"/>
    <w:rsid w:val="002151C6"/>
    <w:rsid w:val="00216FE5"/>
    <w:rsid w:val="00222EAA"/>
    <w:rsid w:val="00224618"/>
    <w:rsid w:val="002257DC"/>
    <w:rsid w:val="00233B57"/>
    <w:rsid w:val="00240C6B"/>
    <w:rsid w:val="00243502"/>
    <w:rsid w:val="00243895"/>
    <w:rsid w:val="002468D6"/>
    <w:rsid w:val="00252075"/>
    <w:rsid w:val="00252982"/>
    <w:rsid w:val="00252F7F"/>
    <w:rsid w:val="00254E40"/>
    <w:rsid w:val="0025717E"/>
    <w:rsid w:val="00261890"/>
    <w:rsid w:val="0026526D"/>
    <w:rsid w:val="00266A5C"/>
    <w:rsid w:val="002718A5"/>
    <w:rsid w:val="00274D2A"/>
    <w:rsid w:val="002818FC"/>
    <w:rsid w:val="0028232B"/>
    <w:rsid w:val="00282F04"/>
    <w:rsid w:val="00282F83"/>
    <w:rsid w:val="002879C4"/>
    <w:rsid w:val="00287B95"/>
    <w:rsid w:val="00287E0C"/>
    <w:rsid w:val="0029104B"/>
    <w:rsid w:val="00293D75"/>
    <w:rsid w:val="002A1E4D"/>
    <w:rsid w:val="002A2102"/>
    <w:rsid w:val="002A2300"/>
    <w:rsid w:val="002A2651"/>
    <w:rsid w:val="002A5A7B"/>
    <w:rsid w:val="002B0703"/>
    <w:rsid w:val="002B0DFE"/>
    <w:rsid w:val="002B0F24"/>
    <w:rsid w:val="002B3948"/>
    <w:rsid w:val="002B584E"/>
    <w:rsid w:val="002B5EEC"/>
    <w:rsid w:val="002B6755"/>
    <w:rsid w:val="002B7B60"/>
    <w:rsid w:val="002C2AE0"/>
    <w:rsid w:val="002C7EC9"/>
    <w:rsid w:val="002D2191"/>
    <w:rsid w:val="002D231D"/>
    <w:rsid w:val="002D4493"/>
    <w:rsid w:val="002E0C65"/>
    <w:rsid w:val="002E1AC1"/>
    <w:rsid w:val="002E23B5"/>
    <w:rsid w:val="002E24A3"/>
    <w:rsid w:val="002E3579"/>
    <w:rsid w:val="002E7986"/>
    <w:rsid w:val="002F18A9"/>
    <w:rsid w:val="002F484B"/>
    <w:rsid w:val="002F77BE"/>
    <w:rsid w:val="00310125"/>
    <w:rsid w:val="0031131E"/>
    <w:rsid w:val="00312CEC"/>
    <w:rsid w:val="00315B02"/>
    <w:rsid w:val="00317074"/>
    <w:rsid w:val="00317CA1"/>
    <w:rsid w:val="00322BBE"/>
    <w:rsid w:val="003251E1"/>
    <w:rsid w:val="00325BD7"/>
    <w:rsid w:val="003261DE"/>
    <w:rsid w:val="0032627E"/>
    <w:rsid w:val="003266F0"/>
    <w:rsid w:val="003274C9"/>
    <w:rsid w:val="00327D16"/>
    <w:rsid w:val="00335CB9"/>
    <w:rsid w:val="00337508"/>
    <w:rsid w:val="003417F9"/>
    <w:rsid w:val="00343737"/>
    <w:rsid w:val="003439DA"/>
    <w:rsid w:val="00344FFF"/>
    <w:rsid w:val="00346ACF"/>
    <w:rsid w:val="00347C6F"/>
    <w:rsid w:val="00351898"/>
    <w:rsid w:val="003522F3"/>
    <w:rsid w:val="00352A46"/>
    <w:rsid w:val="00352D2E"/>
    <w:rsid w:val="00353F25"/>
    <w:rsid w:val="003557D5"/>
    <w:rsid w:val="0035754C"/>
    <w:rsid w:val="00360F54"/>
    <w:rsid w:val="0036192F"/>
    <w:rsid w:val="00364EE0"/>
    <w:rsid w:val="003653EF"/>
    <w:rsid w:val="003655F2"/>
    <w:rsid w:val="00371095"/>
    <w:rsid w:val="00374B25"/>
    <w:rsid w:val="003813F8"/>
    <w:rsid w:val="00384114"/>
    <w:rsid w:val="00384594"/>
    <w:rsid w:val="00384668"/>
    <w:rsid w:val="00386FCB"/>
    <w:rsid w:val="003905A6"/>
    <w:rsid w:val="00393210"/>
    <w:rsid w:val="0039362D"/>
    <w:rsid w:val="003936F6"/>
    <w:rsid w:val="00395549"/>
    <w:rsid w:val="00395A1D"/>
    <w:rsid w:val="00395CBE"/>
    <w:rsid w:val="00397A60"/>
    <w:rsid w:val="00397C8A"/>
    <w:rsid w:val="00397F10"/>
    <w:rsid w:val="003A1B3B"/>
    <w:rsid w:val="003A2344"/>
    <w:rsid w:val="003A2DFE"/>
    <w:rsid w:val="003A4EAC"/>
    <w:rsid w:val="003A6519"/>
    <w:rsid w:val="003A6902"/>
    <w:rsid w:val="003B1B71"/>
    <w:rsid w:val="003B7062"/>
    <w:rsid w:val="003C095E"/>
    <w:rsid w:val="003C44F5"/>
    <w:rsid w:val="003C5CB7"/>
    <w:rsid w:val="003C6403"/>
    <w:rsid w:val="003C796D"/>
    <w:rsid w:val="003D168F"/>
    <w:rsid w:val="003E0314"/>
    <w:rsid w:val="003E0E43"/>
    <w:rsid w:val="003E22FC"/>
    <w:rsid w:val="003E33D1"/>
    <w:rsid w:val="003E566B"/>
    <w:rsid w:val="003E6B53"/>
    <w:rsid w:val="003F3E44"/>
    <w:rsid w:val="003F444E"/>
    <w:rsid w:val="003F452B"/>
    <w:rsid w:val="003F4DDB"/>
    <w:rsid w:val="003F578C"/>
    <w:rsid w:val="003F6641"/>
    <w:rsid w:val="00401A81"/>
    <w:rsid w:val="004025BB"/>
    <w:rsid w:val="00403E93"/>
    <w:rsid w:val="00405934"/>
    <w:rsid w:val="00405F3A"/>
    <w:rsid w:val="004108F5"/>
    <w:rsid w:val="00411BFC"/>
    <w:rsid w:val="00415470"/>
    <w:rsid w:val="00415DC1"/>
    <w:rsid w:val="00417FBD"/>
    <w:rsid w:val="004221D8"/>
    <w:rsid w:val="0042275D"/>
    <w:rsid w:val="00425D69"/>
    <w:rsid w:val="00427B0D"/>
    <w:rsid w:val="00434580"/>
    <w:rsid w:val="00436F64"/>
    <w:rsid w:val="004427AA"/>
    <w:rsid w:val="00444185"/>
    <w:rsid w:val="00444D07"/>
    <w:rsid w:val="0044725B"/>
    <w:rsid w:val="00447E9A"/>
    <w:rsid w:val="00453FCA"/>
    <w:rsid w:val="0045480C"/>
    <w:rsid w:val="0046206F"/>
    <w:rsid w:val="004666D1"/>
    <w:rsid w:val="004750F6"/>
    <w:rsid w:val="00475404"/>
    <w:rsid w:val="00481AD8"/>
    <w:rsid w:val="00482871"/>
    <w:rsid w:val="0048509A"/>
    <w:rsid w:val="004873BB"/>
    <w:rsid w:val="00487BF3"/>
    <w:rsid w:val="00487D57"/>
    <w:rsid w:val="00487F19"/>
    <w:rsid w:val="0049181D"/>
    <w:rsid w:val="004931D0"/>
    <w:rsid w:val="00494386"/>
    <w:rsid w:val="00494DAA"/>
    <w:rsid w:val="00494DF0"/>
    <w:rsid w:val="00494EC4"/>
    <w:rsid w:val="00494F18"/>
    <w:rsid w:val="004A1008"/>
    <w:rsid w:val="004A2FB4"/>
    <w:rsid w:val="004A4EA8"/>
    <w:rsid w:val="004B1800"/>
    <w:rsid w:val="004C01EC"/>
    <w:rsid w:val="004C1D84"/>
    <w:rsid w:val="004C78D4"/>
    <w:rsid w:val="004D1CFD"/>
    <w:rsid w:val="004E0C35"/>
    <w:rsid w:val="004E2CCA"/>
    <w:rsid w:val="004E44E8"/>
    <w:rsid w:val="004E4675"/>
    <w:rsid w:val="004E7DA2"/>
    <w:rsid w:val="004F1233"/>
    <w:rsid w:val="004F4266"/>
    <w:rsid w:val="00503C16"/>
    <w:rsid w:val="00503C79"/>
    <w:rsid w:val="00511163"/>
    <w:rsid w:val="00523D95"/>
    <w:rsid w:val="00524330"/>
    <w:rsid w:val="005245AA"/>
    <w:rsid w:val="0052586D"/>
    <w:rsid w:val="00526CB5"/>
    <w:rsid w:val="0053001E"/>
    <w:rsid w:val="0053126E"/>
    <w:rsid w:val="00531F9D"/>
    <w:rsid w:val="00532A55"/>
    <w:rsid w:val="00533D4F"/>
    <w:rsid w:val="00535727"/>
    <w:rsid w:val="00546652"/>
    <w:rsid w:val="0055351C"/>
    <w:rsid w:val="00554787"/>
    <w:rsid w:val="00561AE1"/>
    <w:rsid w:val="005721A3"/>
    <w:rsid w:val="00572459"/>
    <w:rsid w:val="0057451A"/>
    <w:rsid w:val="00574661"/>
    <w:rsid w:val="005749D7"/>
    <w:rsid w:val="0058230B"/>
    <w:rsid w:val="00584743"/>
    <w:rsid w:val="00584F68"/>
    <w:rsid w:val="005900ED"/>
    <w:rsid w:val="00591870"/>
    <w:rsid w:val="00592654"/>
    <w:rsid w:val="00596D4D"/>
    <w:rsid w:val="005A096A"/>
    <w:rsid w:val="005A1854"/>
    <w:rsid w:val="005A240A"/>
    <w:rsid w:val="005A39B6"/>
    <w:rsid w:val="005A3C17"/>
    <w:rsid w:val="005A4FE6"/>
    <w:rsid w:val="005B0C6A"/>
    <w:rsid w:val="005B17D7"/>
    <w:rsid w:val="005B3796"/>
    <w:rsid w:val="005B3CC8"/>
    <w:rsid w:val="005B5D65"/>
    <w:rsid w:val="005C16C4"/>
    <w:rsid w:val="005C3AF7"/>
    <w:rsid w:val="005C61B2"/>
    <w:rsid w:val="005C7EF8"/>
    <w:rsid w:val="005D08C6"/>
    <w:rsid w:val="005D0B80"/>
    <w:rsid w:val="005D2BC7"/>
    <w:rsid w:val="005D2FB3"/>
    <w:rsid w:val="005D7EA9"/>
    <w:rsid w:val="005E4F19"/>
    <w:rsid w:val="005F0331"/>
    <w:rsid w:val="005F082D"/>
    <w:rsid w:val="005F3A13"/>
    <w:rsid w:val="00600E39"/>
    <w:rsid w:val="006033F0"/>
    <w:rsid w:val="006036D7"/>
    <w:rsid w:val="00604E1A"/>
    <w:rsid w:val="006052B0"/>
    <w:rsid w:val="00607D2A"/>
    <w:rsid w:val="00610A45"/>
    <w:rsid w:val="00611596"/>
    <w:rsid w:val="00611911"/>
    <w:rsid w:val="00616542"/>
    <w:rsid w:val="00616BEC"/>
    <w:rsid w:val="006173A6"/>
    <w:rsid w:val="00620F88"/>
    <w:rsid w:val="00621869"/>
    <w:rsid w:val="00623438"/>
    <w:rsid w:val="00624C09"/>
    <w:rsid w:val="00624F9C"/>
    <w:rsid w:val="006257CF"/>
    <w:rsid w:val="00626F18"/>
    <w:rsid w:val="00626FD0"/>
    <w:rsid w:val="00635413"/>
    <w:rsid w:val="00636542"/>
    <w:rsid w:val="0064498E"/>
    <w:rsid w:val="00647AE5"/>
    <w:rsid w:val="00647BD7"/>
    <w:rsid w:val="006507D4"/>
    <w:rsid w:val="00652AD7"/>
    <w:rsid w:val="00652B59"/>
    <w:rsid w:val="00654C7C"/>
    <w:rsid w:val="00657B0D"/>
    <w:rsid w:val="00660E55"/>
    <w:rsid w:val="006721EE"/>
    <w:rsid w:val="0067448F"/>
    <w:rsid w:val="00675491"/>
    <w:rsid w:val="00677B0F"/>
    <w:rsid w:val="00682617"/>
    <w:rsid w:val="00684627"/>
    <w:rsid w:val="00687066"/>
    <w:rsid w:val="00687E02"/>
    <w:rsid w:val="006919C4"/>
    <w:rsid w:val="0069372B"/>
    <w:rsid w:val="00697D3E"/>
    <w:rsid w:val="006A123D"/>
    <w:rsid w:val="006A3F1D"/>
    <w:rsid w:val="006A532D"/>
    <w:rsid w:val="006B01F6"/>
    <w:rsid w:val="006B1CB8"/>
    <w:rsid w:val="006B5391"/>
    <w:rsid w:val="006B6712"/>
    <w:rsid w:val="006C1774"/>
    <w:rsid w:val="006C237C"/>
    <w:rsid w:val="006C24BB"/>
    <w:rsid w:val="006C4780"/>
    <w:rsid w:val="006C7395"/>
    <w:rsid w:val="006D2FE9"/>
    <w:rsid w:val="006D3A56"/>
    <w:rsid w:val="006D4005"/>
    <w:rsid w:val="006D6F93"/>
    <w:rsid w:val="006E03C6"/>
    <w:rsid w:val="006E0B56"/>
    <w:rsid w:val="006E31D5"/>
    <w:rsid w:val="006E3274"/>
    <w:rsid w:val="006E376B"/>
    <w:rsid w:val="006E4292"/>
    <w:rsid w:val="006E4822"/>
    <w:rsid w:val="006E4A0C"/>
    <w:rsid w:val="006E6537"/>
    <w:rsid w:val="006F0E82"/>
    <w:rsid w:val="006F79EF"/>
    <w:rsid w:val="007024CD"/>
    <w:rsid w:val="007028FC"/>
    <w:rsid w:val="00704473"/>
    <w:rsid w:val="00715A7C"/>
    <w:rsid w:val="0072028F"/>
    <w:rsid w:val="00723B11"/>
    <w:rsid w:val="00724879"/>
    <w:rsid w:val="00726856"/>
    <w:rsid w:val="00726C9B"/>
    <w:rsid w:val="00727A79"/>
    <w:rsid w:val="007331E0"/>
    <w:rsid w:val="00734C1D"/>
    <w:rsid w:val="007402E7"/>
    <w:rsid w:val="00742050"/>
    <w:rsid w:val="0074483C"/>
    <w:rsid w:val="00747CE8"/>
    <w:rsid w:val="00754FEB"/>
    <w:rsid w:val="007628AE"/>
    <w:rsid w:val="00763741"/>
    <w:rsid w:val="007648A9"/>
    <w:rsid w:val="0076595A"/>
    <w:rsid w:val="00773355"/>
    <w:rsid w:val="0077381D"/>
    <w:rsid w:val="0077391D"/>
    <w:rsid w:val="007747FB"/>
    <w:rsid w:val="00776A4F"/>
    <w:rsid w:val="00782EC7"/>
    <w:rsid w:val="007837A2"/>
    <w:rsid w:val="00787337"/>
    <w:rsid w:val="0078752C"/>
    <w:rsid w:val="00787ED5"/>
    <w:rsid w:val="0079676F"/>
    <w:rsid w:val="0079767C"/>
    <w:rsid w:val="00797D6E"/>
    <w:rsid w:val="007A11D4"/>
    <w:rsid w:val="007B209A"/>
    <w:rsid w:val="007B2E06"/>
    <w:rsid w:val="007B44D8"/>
    <w:rsid w:val="007B5353"/>
    <w:rsid w:val="007C7E63"/>
    <w:rsid w:val="007D061B"/>
    <w:rsid w:val="007D1470"/>
    <w:rsid w:val="007D23AC"/>
    <w:rsid w:val="007D2A22"/>
    <w:rsid w:val="007E1248"/>
    <w:rsid w:val="007E64B4"/>
    <w:rsid w:val="007E6C38"/>
    <w:rsid w:val="007E7B97"/>
    <w:rsid w:val="007F1D95"/>
    <w:rsid w:val="007F67D9"/>
    <w:rsid w:val="0080188F"/>
    <w:rsid w:val="008034CF"/>
    <w:rsid w:val="00805644"/>
    <w:rsid w:val="0081186C"/>
    <w:rsid w:val="008122EB"/>
    <w:rsid w:val="008127E8"/>
    <w:rsid w:val="0081339A"/>
    <w:rsid w:val="0081424F"/>
    <w:rsid w:val="00820AB5"/>
    <w:rsid w:val="008213C9"/>
    <w:rsid w:val="00822F94"/>
    <w:rsid w:val="00824008"/>
    <w:rsid w:val="0082716C"/>
    <w:rsid w:val="008273CB"/>
    <w:rsid w:val="00830543"/>
    <w:rsid w:val="008308F8"/>
    <w:rsid w:val="008319EC"/>
    <w:rsid w:val="0083295E"/>
    <w:rsid w:val="00832CC4"/>
    <w:rsid w:val="00833E49"/>
    <w:rsid w:val="008357B3"/>
    <w:rsid w:val="00837876"/>
    <w:rsid w:val="0083796F"/>
    <w:rsid w:val="00837F0C"/>
    <w:rsid w:val="00840308"/>
    <w:rsid w:val="00844FFF"/>
    <w:rsid w:val="008465C6"/>
    <w:rsid w:val="00850C2B"/>
    <w:rsid w:val="0085243F"/>
    <w:rsid w:val="0085280E"/>
    <w:rsid w:val="00853E23"/>
    <w:rsid w:val="00856679"/>
    <w:rsid w:val="0085696C"/>
    <w:rsid w:val="00860B4F"/>
    <w:rsid w:val="00861F6F"/>
    <w:rsid w:val="00862570"/>
    <w:rsid w:val="00862C03"/>
    <w:rsid w:val="008657CD"/>
    <w:rsid w:val="00871092"/>
    <w:rsid w:val="00871331"/>
    <w:rsid w:val="00874034"/>
    <w:rsid w:val="00876B1C"/>
    <w:rsid w:val="00876C9D"/>
    <w:rsid w:val="008827AA"/>
    <w:rsid w:val="00884337"/>
    <w:rsid w:val="00886334"/>
    <w:rsid w:val="0089091E"/>
    <w:rsid w:val="00890E52"/>
    <w:rsid w:val="008917C3"/>
    <w:rsid w:val="0089437A"/>
    <w:rsid w:val="008971A0"/>
    <w:rsid w:val="008A068B"/>
    <w:rsid w:val="008B1629"/>
    <w:rsid w:val="008B7D73"/>
    <w:rsid w:val="008C185C"/>
    <w:rsid w:val="008C4321"/>
    <w:rsid w:val="008C6815"/>
    <w:rsid w:val="008D11C6"/>
    <w:rsid w:val="008D501F"/>
    <w:rsid w:val="008D7A9A"/>
    <w:rsid w:val="008E1768"/>
    <w:rsid w:val="008E5D4B"/>
    <w:rsid w:val="008F08B2"/>
    <w:rsid w:val="008F3FCB"/>
    <w:rsid w:val="0090087D"/>
    <w:rsid w:val="00900C09"/>
    <w:rsid w:val="00906AD5"/>
    <w:rsid w:val="00907D61"/>
    <w:rsid w:val="00911741"/>
    <w:rsid w:val="00912200"/>
    <w:rsid w:val="0091411A"/>
    <w:rsid w:val="00915428"/>
    <w:rsid w:val="009163EA"/>
    <w:rsid w:val="00916561"/>
    <w:rsid w:val="009172A8"/>
    <w:rsid w:val="00921AD7"/>
    <w:rsid w:val="00925181"/>
    <w:rsid w:val="00925531"/>
    <w:rsid w:val="009259D6"/>
    <w:rsid w:val="00927722"/>
    <w:rsid w:val="00934A79"/>
    <w:rsid w:val="00934B61"/>
    <w:rsid w:val="00940801"/>
    <w:rsid w:val="00942125"/>
    <w:rsid w:val="009433E1"/>
    <w:rsid w:val="00950176"/>
    <w:rsid w:val="0095019A"/>
    <w:rsid w:val="00953378"/>
    <w:rsid w:val="00954F16"/>
    <w:rsid w:val="00957456"/>
    <w:rsid w:val="00957E4D"/>
    <w:rsid w:val="009611EB"/>
    <w:rsid w:val="00962121"/>
    <w:rsid w:val="00962B7B"/>
    <w:rsid w:val="009639FC"/>
    <w:rsid w:val="00964761"/>
    <w:rsid w:val="00964A6D"/>
    <w:rsid w:val="0097246F"/>
    <w:rsid w:val="00975C0F"/>
    <w:rsid w:val="00976A0F"/>
    <w:rsid w:val="0098323A"/>
    <w:rsid w:val="00993E38"/>
    <w:rsid w:val="00994B56"/>
    <w:rsid w:val="00994BC9"/>
    <w:rsid w:val="009958BE"/>
    <w:rsid w:val="00997B69"/>
    <w:rsid w:val="009A1B32"/>
    <w:rsid w:val="009A4569"/>
    <w:rsid w:val="009A6B9F"/>
    <w:rsid w:val="009A6C2B"/>
    <w:rsid w:val="009B461C"/>
    <w:rsid w:val="009B4A15"/>
    <w:rsid w:val="009B4A33"/>
    <w:rsid w:val="009B5FAA"/>
    <w:rsid w:val="009B6442"/>
    <w:rsid w:val="009B7970"/>
    <w:rsid w:val="009D226B"/>
    <w:rsid w:val="009D59A2"/>
    <w:rsid w:val="009E48CE"/>
    <w:rsid w:val="009E61F0"/>
    <w:rsid w:val="009E7CBC"/>
    <w:rsid w:val="009F050D"/>
    <w:rsid w:val="009F674C"/>
    <w:rsid w:val="009F67BF"/>
    <w:rsid w:val="009F70B5"/>
    <w:rsid w:val="00A01E68"/>
    <w:rsid w:val="00A03439"/>
    <w:rsid w:val="00A0425A"/>
    <w:rsid w:val="00A0512F"/>
    <w:rsid w:val="00A128F9"/>
    <w:rsid w:val="00A12911"/>
    <w:rsid w:val="00A12919"/>
    <w:rsid w:val="00A12B09"/>
    <w:rsid w:val="00A17F20"/>
    <w:rsid w:val="00A205AF"/>
    <w:rsid w:val="00A21799"/>
    <w:rsid w:val="00A22979"/>
    <w:rsid w:val="00A234F0"/>
    <w:rsid w:val="00A24381"/>
    <w:rsid w:val="00A26074"/>
    <w:rsid w:val="00A31C7A"/>
    <w:rsid w:val="00A33FA1"/>
    <w:rsid w:val="00A40403"/>
    <w:rsid w:val="00A44F1D"/>
    <w:rsid w:val="00A45F19"/>
    <w:rsid w:val="00A46715"/>
    <w:rsid w:val="00A46748"/>
    <w:rsid w:val="00A46BB3"/>
    <w:rsid w:val="00A50FC9"/>
    <w:rsid w:val="00A62BEF"/>
    <w:rsid w:val="00A63A7B"/>
    <w:rsid w:val="00A70B92"/>
    <w:rsid w:val="00A8020D"/>
    <w:rsid w:val="00A807DB"/>
    <w:rsid w:val="00A8133B"/>
    <w:rsid w:val="00A82AA2"/>
    <w:rsid w:val="00A83413"/>
    <w:rsid w:val="00A84609"/>
    <w:rsid w:val="00A8525F"/>
    <w:rsid w:val="00A85505"/>
    <w:rsid w:val="00A92ACF"/>
    <w:rsid w:val="00A94AB6"/>
    <w:rsid w:val="00A94C30"/>
    <w:rsid w:val="00A94E0E"/>
    <w:rsid w:val="00A95152"/>
    <w:rsid w:val="00A96D46"/>
    <w:rsid w:val="00AA08AA"/>
    <w:rsid w:val="00AA0B54"/>
    <w:rsid w:val="00AA23D6"/>
    <w:rsid w:val="00AA2D91"/>
    <w:rsid w:val="00AA5FD5"/>
    <w:rsid w:val="00AA7408"/>
    <w:rsid w:val="00AB268E"/>
    <w:rsid w:val="00AB5AC6"/>
    <w:rsid w:val="00AB70BD"/>
    <w:rsid w:val="00AB73F7"/>
    <w:rsid w:val="00AC461A"/>
    <w:rsid w:val="00AD2CF8"/>
    <w:rsid w:val="00AD47A2"/>
    <w:rsid w:val="00AD4BD8"/>
    <w:rsid w:val="00AD4CC5"/>
    <w:rsid w:val="00AD5AB3"/>
    <w:rsid w:val="00AD5C3B"/>
    <w:rsid w:val="00AD7338"/>
    <w:rsid w:val="00AE2350"/>
    <w:rsid w:val="00AE242F"/>
    <w:rsid w:val="00AE43B9"/>
    <w:rsid w:val="00AE5BDD"/>
    <w:rsid w:val="00AE6837"/>
    <w:rsid w:val="00AE766F"/>
    <w:rsid w:val="00AF3DA7"/>
    <w:rsid w:val="00AF5BC0"/>
    <w:rsid w:val="00B04845"/>
    <w:rsid w:val="00B051FA"/>
    <w:rsid w:val="00B05BD1"/>
    <w:rsid w:val="00B069DF"/>
    <w:rsid w:val="00B11BBB"/>
    <w:rsid w:val="00B142BD"/>
    <w:rsid w:val="00B15848"/>
    <w:rsid w:val="00B15AB1"/>
    <w:rsid w:val="00B23845"/>
    <w:rsid w:val="00B23D27"/>
    <w:rsid w:val="00B24E6A"/>
    <w:rsid w:val="00B2520F"/>
    <w:rsid w:val="00B26B3F"/>
    <w:rsid w:val="00B33114"/>
    <w:rsid w:val="00B33EEA"/>
    <w:rsid w:val="00B34445"/>
    <w:rsid w:val="00B35253"/>
    <w:rsid w:val="00B35C33"/>
    <w:rsid w:val="00B3687F"/>
    <w:rsid w:val="00B4045B"/>
    <w:rsid w:val="00B454B4"/>
    <w:rsid w:val="00B454C6"/>
    <w:rsid w:val="00B45541"/>
    <w:rsid w:val="00B637D3"/>
    <w:rsid w:val="00B663EC"/>
    <w:rsid w:val="00B70479"/>
    <w:rsid w:val="00B70A11"/>
    <w:rsid w:val="00B720EB"/>
    <w:rsid w:val="00B74B03"/>
    <w:rsid w:val="00B80E41"/>
    <w:rsid w:val="00B81DA4"/>
    <w:rsid w:val="00B82651"/>
    <w:rsid w:val="00B84C85"/>
    <w:rsid w:val="00B92CF8"/>
    <w:rsid w:val="00B92D1A"/>
    <w:rsid w:val="00B9563B"/>
    <w:rsid w:val="00B95FD1"/>
    <w:rsid w:val="00BA1F6B"/>
    <w:rsid w:val="00BA48D0"/>
    <w:rsid w:val="00BB0517"/>
    <w:rsid w:val="00BB495E"/>
    <w:rsid w:val="00BC37B6"/>
    <w:rsid w:val="00BC5130"/>
    <w:rsid w:val="00BD0869"/>
    <w:rsid w:val="00BD2C35"/>
    <w:rsid w:val="00BD4133"/>
    <w:rsid w:val="00BD4185"/>
    <w:rsid w:val="00BD4507"/>
    <w:rsid w:val="00BD5B66"/>
    <w:rsid w:val="00BD642C"/>
    <w:rsid w:val="00BD7EDB"/>
    <w:rsid w:val="00BE2D25"/>
    <w:rsid w:val="00BE3250"/>
    <w:rsid w:val="00BE4547"/>
    <w:rsid w:val="00BE5D37"/>
    <w:rsid w:val="00BE761C"/>
    <w:rsid w:val="00BE793A"/>
    <w:rsid w:val="00BF1588"/>
    <w:rsid w:val="00BF3BDE"/>
    <w:rsid w:val="00C01396"/>
    <w:rsid w:val="00C03B9C"/>
    <w:rsid w:val="00C1398C"/>
    <w:rsid w:val="00C16A76"/>
    <w:rsid w:val="00C17D7A"/>
    <w:rsid w:val="00C20904"/>
    <w:rsid w:val="00C22E00"/>
    <w:rsid w:val="00C26261"/>
    <w:rsid w:val="00C3241B"/>
    <w:rsid w:val="00C33ECE"/>
    <w:rsid w:val="00C3698C"/>
    <w:rsid w:val="00C407E6"/>
    <w:rsid w:val="00C40DCA"/>
    <w:rsid w:val="00C42AAE"/>
    <w:rsid w:val="00C449B7"/>
    <w:rsid w:val="00C45545"/>
    <w:rsid w:val="00C466CC"/>
    <w:rsid w:val="00C47225"/>
    <w:rsid w:val="00C509CB"/>
    <w:rsid w:val="00C51045"/>
    <w:rsid w:val="00C52E8E"/>
    <w:rsid w:val="00C548A1"/>
    <w:rsid w:val="00C55083"/>
    <w:rsid w:val="00C55ECA"/>
    <w:rsid w:val="00C61073"/>
    <w:rsid w:val="00C634F7"/>
    <w:rsid w:val="00C63E92"/>
    <w:rsid w:val="00C6590B"/>
    <w:rsid w:val="00C677EE"/>
    <w:rsid w:val="00C7019B"/>
    <w:rsid w:val="00C70B4C"/>
    <w:rsid w:val="00C74D76"/>
    <w:rsid w:val="00C75BF7"/>
    <w:rsid w:val="00C773EC"/>
    <w:rsid w:val="00C778FE"/>
    <w:rsid w:val="00C7792C"/>
    <w:rsid w:val="00C86C5C"/>
    <w:rsid w:val="00C87F97"/>
    <w:rsid w:val="00C902AF"/>
    <w:rsid w:val="00C929F5"/>
    <w:rsid w:val="00C96955"/>
    <w:rsid w:val="00CA0D76"/>
    <w:rsid w:val="00CA1F65"/>
    <w:rsid w:val="00CA5623"/>
    <w:rsid w:val="00CB0821"/>
    <w:rsid w:val="00CB0E1C"/>
    <w:rsid w:val="00CB27AC"/>
    <w:rsid w:val="00CB6139"/>
    <w:rsid w:val="00CC1A1C"/>
    <w:rsid w:val="00CC27CF"/>
    <w:rsid w:val="00CC621C"/>
    <w:rsid w:val="00CC6D0B"/>
    <w:rsid w:val="00CD1456"/>
    <w:rsid w:val="00CD2580"/>
    <w:rsid w:val="00CD2815"/>
    <w:rsid w:val="00CE2845"/>
    <w:rsid w:val="00CF02F5"/>
    <w:rsid w:val="00CF7315"/>
    <w:rsid w:val="00CF7C15"/>
    <w:rsid w:val="00D03387"/>
    <w:rsid w:val="00D041ED"/>
    <w:rsid w:val="00D05A81"/>
    <w:rsid w:val="00D06432"/>
    <w:rsid w:val="00D07670"/>
    <w:rsid w:val="00D10473"/>
    <w:rsid w:val="00D11220"/>
    <w:rsid w:val="00D20906"/>
    <w:rsid w:val="00D21731"/>
    <w:rsid w:val="00D24304"/>
    <w:rsid w:val="00D27503"/>
    <w:rsid w:val="00D27707"/>
    <w:rsid w:val="00D3125E"/>
    <w:rsid w:val="00D36B1E"/>
    <w:rsid w:val="00D36C00"/>
    <w:rsid w:val="00D37B04"/>
    <w:rsid w:val="00D41FEC"/>
    <w:rsid w:val="00D45078"/>
    <w:rsid w:val="00D45929"/>
    <w:rsid w:val="00D4760E"/>
    <w:rsid w:val="00D47B69"/>
    <w:rsid w:val="00D51E50"/>
    <w:rsid w:val="00D51F61"/>
    <w:rsid w:val="00D52560"/>
    <w:rsid w:val="00D54E77"/>
    <w:rsid w:val="00D55BBF"/>
    <w:rsid w:val="00D55F10"/>
    <w:rsid w:val="00D57F0E"/>
    <w:rsid w:val="00D618EF"/>
    <w:rsid w:val="00D65365"/>
    <w:rsid w:val="00D70B4D"/>
    <w:rsid w:val="00D81425"/>
    <w:rsid w:val="00D83E26"/>
    <w:rsid w:val="00D8724C"/>
    <w:rsid w:val="00D90AE7"/>
    <w:rsid w:val="00D9271B"/>
    <w:rsid w:val="00D929E5"/>
    <w:rsid w:val="00D944FD"/>
    <w:rsid w:val="00D94A95"/>
    <w:rsid w:val="00D94B49"/>
    <w:rsid w:val="00DA164A"/>
    <w:rsid w:val="00DB35C0"/>
    <w:rsid w:val="00DB4118"/>
    <w:rsid w:val="00DC3B71"/>
    <w:rsid w:val="00DC4283"/>
    <w:rsid w:val="00DD2105"/>
    <w:rsid w:val="00DD3DC9"/>
    <w:rsid w:val="00DD5C8B"/>
    <w:rsid w:val="00DD6015"/>
    <w:rsid w:val="00DD6197"/>
    <w:rsid w:val="00DD7531"/>
    <w:rsid w:val="00DE0D83"/>
    <w:rsid w:val="00DE57D3"/>
    <w:rsid w:val="00DE6151"/>
    <w:rsid w:val="00DE7C2E"/>
    <w:rsid w:val="00DF215B"/>
    <w:rsid w:val="00DF438C"/>
    <w:rsid w:val="00E015F1"/>
    <w:rsid w:val="00E03E55"/>
    <w:rsid w:val="00E07AE0"/>
    <w:rsid w:val="00E11BA8"/>
    <w:rsid w:val="00E1261D"/>
    <w:rsid w:val="00E144CB"/>
    <w:rsid w:val="00E16D1D"/>
    <w:rsid w:val="00E20353"/>
    <w:rsid w:val="00E2526F"/>
    <w:rsid w:val="00E26F57"/>
    <w:rsid w:val="00E30169"/>
    <w:rsid w:val="00E31F44"/>
    <w:rsid w:val="00E32FA0"/>
    <w:rsid w:val="00E331F5"/>
    <w:rsid w:val="00E3641E"/>
    <w:rsid w:val="00E417AA"/>
    <w:rsid w:val="00E42A06"/>
    <w:rsid w:val="00E45AAB"/>
    <w:rsid w:val="00E45BFF"/>
    <w:rsid w:val="00E604BC"/>
    <w:rsid w:val="00E67991"/>
    <w:rsid w:val="00E7141E"/>
    <w:rsid w:val="00E731C3"/>
    <w:rsid w:val="00E80908"/>
    <w:rsid w:val="00E80AD9"/>
    <w:rsid w:val="00E82984"/>
    <w:rsid w:val="00E82D03"/>
    <w:rsid w:val="00E84ECD"/>
    <w:rsid w:val="00E84FD4"/>
    <w:rsid w:val="00E86014"/>
    <w:rsid w:val="00E8714C"/>
    <w:rsid w:val="00E958EB"/>
    <w:rsid w:val="00EA023F"/>
    <w:rsid w:val="00EA0A16"/>
    <w:rsid w:val="00EA30F0"/>
    <w:rsid w:val="00EA4CC3"/>
    <w:rsid w:val="00EA67E4"/>
    <w:rsid w:val="00EB4008"/>
    <w:rsid w:val="00EB4572"/>
    <w:rsid w:val="00EB51A1"/>
    <w:rsid w:val="00EB6C63"/>
    <w:rsid w:val="00EC3C6E"/>
    <w:rsid w:val="00EC45C3"/>
    <w:rsid w:val="00EC74F2"/>
    <w:rsid w:val="00ED5395"/>
    <w:rsid w:val="00ED675C"/>
    <w:rsid w:val="00EF229C"/>
    <w:rsid w:val="00EF27EB"/>
    <w:rsid w:val="00EF35AA"/>
    <w:rsid w:val="00EF4EDF"/>
    <w:rsid w:val="00EF5035"/>
    <w:rsid w:val="00EF74D1"/>
    <w:rsid w:val="00EF76A0"/>
    <w:rsid w:val="00F0074B"/>
    <w:rsid w:val="00F01443"/>
    <w:rsid w:val="00F0696D"/>
    <w:rsid w:val="00F07415"/>
    <w:rsid w:val="00F10A21"/>
    <w:rsid w:val="00F13BFD"/>
    <w:rsid w:val="00F13E34"/>
    <w:rsid w:val="00F15658"/>
    <w:rsid w:val="00F17CD4"/>
    <w:rsid w:val="00F20AA1"/>
    <w:rsid w:val="00F2164B"/>
    <w:rsid w:val="00F312DC"/>
    <w:rsid w:val="00F3314F"/>
    <w:rsid w:val="00F37D6B"/>
    <w:rsid w:val="00F40E7F"/>
    <w:rsid w:val="00F41BB0"/>
    <w:rsid w:val="00F465C3"/>
    <w:rsid w:val="00F50C13"/>
    <w:rsid w:val="00F526AB"/>
    <w:rsid w:val="00F53040"/>
    <w:rsid w:val="00F53ECE"/>
    <w:rsid w:val="00F56946"/>
    <w:rsid w:val="00F60B14"/>
    <w:rsid w:val="00F651BB"/>
    <w:rsid w:val="00F65862"/>
    <w:rsid w:val="00F661C8"/>
    <w:rsid w:val="00F667A0"/>
    <w:rsid w:val="00F66E9F"/>
    <w:rsid w:val="00F70EB9"/>
    <w:rsid w:val="00F72341"/>
    <w:rsid w:val="00F72949"/>
    <w:rsid w:val="00F766CD"/>
    <w:rsid w:val="00F77FBF"/>
    <w:rsid w:val="00F87CD1"/>
    <w:rsid w:val="00F911FA"/>
    <w:rsid w:val="00F93E04"/>
    <w:rsid w:val="00F94E1C"/>
    <w:rsid w:val="00F9704C"/>
    <w:rsid w:val="00FA032E"/>
    <w:rsid w:val="00FA098F"/>
    <w:rsid w:val="00FA1EF9"/>
    <w:rsid w:val="00FA34D8"/>
    <w:rsid w:val="00FA78F0"/>
    <w:rsid w:val="00FA7E4E"/>
    <w:rsid w:val="00FB464E"/>
    <w:rsid w:val="00FC23D5"/>
    <w:rsid w:val="00FC3131"/>
    <w:rsid w:val="00FC31F3"/>
    <w:rsid w:val="00FC49A2"/>
    <w:rsid w:val="00FC790D"/>
    <w:rsid w:val="00FD0316"/>
    <w:rsid w:val="00FD0910"/>
    <w:rsid w:val="00FD0C6D"/>
    <w:rsid w:val="00FD124D"/>
    <w:rsid w:val="00FD4CEB"/>
    <w:rsid w:val="00FD7F63"/>
    <w:rsid w:val="00FE0ABD"/>
    <w:rsid w:val="00FE1CCB"/>
    <w:rsid w:val="00FE2D1F"/>
    <w:rsid w:val="00FE3AB9"/>
    <w:rsid w:val="00FE48F7"/>
    <w:rsid w:val="00FE4A59"/>
    <w:rsid w:val="00FE4CFB"/>
    <w:rsid w:val="00FE5073"/>
    <w:rsid w:val="00FE7167"/>
    <w:rsid w:val="00FF27B0"/>
    <w:rsid w:val="00FF51D9"/>
    <w:rsid w:val="01050F22"/>
    <w:rsid w:val="011F7B62"/>
    <w:rsid w:val="012449C1"/>
    <w:rsid w:val="013E3C69"/>
    <w:rsid w:val="016B3AB9"/>
    <w:rsid w:val="017309C2"/>
    <w:rsid w:val="01804A4C"/>
    <w:rsid w:val="01842DFD"/>
    <w:rsid w:val="019D6AB9"/>
    <w:rsid w:val="01B70159"/>
    <w:rsid w:val="022B147B"/>
    <w:rsid w:val="02473B64"/>
    <w:rsid w:val="024E68F9"/>
    <w:rsid w:val="026034A4"/>
    <w:rsid w:val="026B1259"/>
    <w:rsid w:val="027F559A"/>
    <w:rsid w:val="028D07AE"/>
    <w:rsid w:val="029F19F6"/>
    <w:rsid w:val="02A82A5A"/>
    <w:rsid w:val="02AA3C0C"/>
    <w:rsid w:val="03013B6D"/>
    <w:rsid w:val="031C1E88"/>
    <w:rsid w:val="034A66A9"/>
    <w:rsid w:val="035954C6"/>
    <w:rsid w:val="036C58F1"/>
    <w:rsid w:val="037C3925"/>
    <w:rsid w:val="038D16A3"/>
    <w:rsid w:val="03A04F32"/>
    <w:rsid w:val="03B35954"/>
    <w:rsid w:val="03D754CE"/>
    <w:rsid w:val="03F77431"/>
    <w:rsid w:val="04310077"/>
    <w:rsid w:val="04B75C12"/>
    <w:rsid w:val="04C17856"/>
    <w:rsid w:val="05621708"/>
    <w:rsid w:val="056A0193"/>
    <w:rsid w:val="057463BE"/>
    <w:rsid w:val="05B747B5"/>
    <w:rsid w:val="05F257ED"/>
    <w:rsid w:val="06077EDF"/>
    <w:rsid w:val="06687665"/>
    <w:rsid w:val="066E1B3F"/>
    <w:rsid w:val="069F5975"/>
    <w:rsid w:val="06AB702E"/>
    <w:rsid w:val="06C63DCA"/>
    <w:rsid w:val="06E72E78"/>
    <w:rsid w:val="06ED4932"/>
    <w:rsid w:val="06FE57E9"/>
    <w:rsid w:val="0722574C"/>
    <w:rsid w:val="074B6EE2"/>
    <w:rsid w:val="07635FCF"/>
    <w:rsid w:val="07952355"/>
    <w:rsid w:val="07993CD2"/>
    <w:rsid w:val="079B438E"/>
    <w:rsid w:val="07C00E4E"/>
    <w:rsid w:val="07E21FBD"/>
    <w:rsid w:val="07F05134"/>
    <w:rsid w:val="07F43A9E"/>
    <w:rsid w:val="080413FB"/>
    <w:rsid w:val="08236132"/>
    <w:rsid w:val="082A7B12"/>
    <w:rsid w:val="082D13CD"/>
    <w:rsid w:val="08910D3A"/>
    <w:rsid w:val="08EB55E1"/>
    <w:rsid w:val="092E38AA"/>
    <w:rsid w:val="094840A2"/>
    <w:rsid w:val="09AB2883"/>
    <w:rsid w:val="09D956DD"/>
    <w:rsid w:val="0A144128"/>
    <w:rsid w:val="0A740EC6"/>
    <w:rsid w:val="0A93759F"/>
    <w:rsid w:val="0A94204F"/>
    <w:rsid w:val="0B094001"/>
    <w:rsid w:val="0B1129A9"/>
    <w:rsid w:val="0B226094"/>
    <w:rsid w:val="0B3348DE"/>
    <w:rsid w:val="0B51492D"/>
    <w:rsid w:val="0B5F6C33"/>
    <w:rsid w:val="0B6A29E8"/>
    <w:rsid w:val="0BEB6927"/>
    <w:rsid w:val="0BF441D0"/>
    <w:rsid w:val="0C0555AD"/>
    <w:rsid w:val="0C1B7CB9"/>
    <w:rsid w:val="0C6A5DB6"/>
    <w:rsid w:val="0CA5180B"/>
    <w:rsid w:val="0CB44F3B"/>
    <w:rsid w:val="0D042A38"/>
    <w:rsid w:val="0D06420C"/>
    <w:rsid w:val="0D411DDA"/>
    <w:rsid w:val="0D5B63A5"/>
    <w:rsid w:val="0D5F5E5E"/>
    <w:rsid w:val="0D7039A8"/>
    <w:rsid w:val="0D76383F"/>
    <w:rsid w:val="0D8C4BF5"/>
    <w:rsid w:val="0D95362E"/>
    <w:rsid w:val="0DAA6A9C"/>
    <w:rsid w:val="0E76520D"/>
    <w:rsid w:val="0F11511A"/>
    <w:rsid w:val="0F742663"/>
    <w:rsid w:val="0F87270E"/>
    <w:rsid w:val="0FD35905"/>
    <w:rsid w:val="1016261D"/>
    <w:rsid w:val="101A5DC2"/>
    <w:rsid w:val="102137F8"/>
    <w:rsid w:val="102742DA"/>
    <w:rsid w:val="10421E41"/>
    <w:rsid w:val="10A1053B"/>
    <w:rsid w:val="10A569D5"/>
    <w:rsid w:val="10CC24D4"/>
    <w:rsid w:val="10E13477"/>
    <w:rsid w:val="10ED236B"/>
    <w:rsid w:val="11005262"/>
    <w:rsid w:val="110E3A9D"/>
    <w:rsid w:val="11401B02"/>
    <w:rsid w:val="118F09DB"/>
    <w:rsid w:val="11977F42"/>
    <w:rsid w:val="11DE5657"/>
    <w:rsid w:val="11E63867"/>
    <w:rsid w:val="12107727"/>
    <w:rsid w:val="121C431D"/>
    <w:rsid w:val="123D3828"/>
    <w:rsid w:val="12583692"/>
    <w:rsid w:val="126729B3"/>
    <w:rsid w:val="12702CBF"/>
    <w:rsid w:val="1286695D"/>
    <w:rsid w:val="12D645A8"/>
    <w:rsid w:val="13815D2A"/>
    <w:rsid w:val="13A02D2C"/>
    <w:rsid w:val="13EB21F9"/>
    <w:rsid w:val="141334FE"/>
    <w:rsid w:val="141718F3"/>
    <w:rsid w:val="14367166"/>
    <w:rsid w:val="14384B85"/>
    <w:rsid w:val="147B7EA8"/>
    <w:rsid w:val="14912DB8"/>
    <w:rsid w:val="14D33FD6"/>
    <w:rsid w:val="15083B80"/>
    <w:rsid w:val="15704420"/>
    <w:rsid w:val="1573694A"/>
    <w:rsid w:val="159A73CA"/>
    <w:rsid w:val="159B37AB"/>
    <w:rsid w:val="15AE0893"/>
    <w:rsid w:val="15C3541D"/>
    <w:rsid w:val="16092F9E"/>
    <w:rsid w:val="161902B1"/>
    <w:rsid w:val="16265A17"/>
    <w:rsid w:val="163E343B"/>
    <w:rsid w:val="16C87BC4"/>
    <w:rsid w:val="170161DF"/>
    <w:rsid w:val="172A3808"/>
    <w:rsid w:val="178B5123"/>
    <w:rsid w:val="17BF29C5"/>
    <w:rsid w:val="17DC3B1F"/>
    <w:rsid w:val="18626607"/>
    <w:rsid w:val="186D5E50"/>
    <w:rsid w:val="18740854"/>
    <w:rsid w:val="188D0F93"/>
    <w:rsid w:val="18B41B21"/>
    <w:rsid w:val="18CE050C"/>
    <w:rsid w:val="18D6083C"/>
    <w:rsid w:val="18DE39CE"/>
    <w:rsid w:val="19170A30"/>
    <w:rsid w:val="197E58BE"/>
    <w:rsid w:val="19B25CAA"/>
    <w:rsid w:val="19B74495"/>
    <w:rsid w:val="1A6F5517"/>
    <w:rsid w:val="1A84767D"/>
    <w:rsid w:val="1AA40DB0"/>
    <w:rsid w:val="1ABB2312"/>
    <w:rsid w:val="1ABB4B41"/>
    <w:rsid w:val="1AD532F2"/>
    <w:rsid w:val="1ADF3AB2"/>
    <w:rsid w:val="1B1E1106"/>
    <w:rsid w:val="1B3754CA"/>
    <w:rsid w:val="1B431D5E"/>
    <w:rsid w:val="1B675B6A"/>
    <w:rsid w:val="1B753136"/>
    <w:rsid w:val="1B917C60"/>
    <w:rsid w:val="1BC4186F"/>
    <w:rsid w:val="1BD712B5"/>
    <w:rsid w:val="1BDF5B2E"/>
    <w:rsid w:val="1BF1662C"/>
    <w:rsid w:val="1C18527A"/>
    <w:rsid w:val="1C2362A8"/>
    <w:rsid w:val="1C533032"/>
    <w:rsid w:val="1C750D55"/>
    <w:rsid w:val="1C9F6B22"/>
    <w:rsid w:val="1CD92ABF"/>
    <w:rsid w:val="1CEA0A84"/>
    <w:rsid w:val="1CF278EF"/>
    <w:rsid w:val="1D1502E7"/>
    <w:rsid w:val="1D5200E6"/>
    <w:rsid w:val="1D6F5C49"/>
    <w:rsid w:val="1D77357B"/>
    <w:rsid w:val="1D8334A3"/>
    <w:rsid w:val="1DB037B1"/>
    <w:rsid w:val="1E384765"/>
    <w:rsid w:val="1E6037E4"/>
    <w:rsid w:val="1E6E5F01"/>
    <w:rsid w:val="1E747140"/>
    <w:rsid w:val="1EC31060"/>
    <w:rsid w:val="1EC66636"/>
    <w:rsid w:val="1EE53480"/>
    <w:rsid w:val="1F09750E"/>
    <w:rsid w:val="1F0B14D8"/>
    <w:rsid w:val="1F4E7AE0"/>
    <w:rsid w:val="1F777037"/>
    <w:rsid w:val="1FA22A40"/>
    <w:rsid w:val="1FED6F19"/>
    <w:rsid w:val="203F51A4"/>
    <w:rsid w:val="20675EC0"/>
    <w:rsid w:val="20A151FA"/>
    <w:rsid w:val="20BE0430"/>
    <w:rsid w:val="20DF4E94"/>
    <w:rsid w:val="211F7121"/>
    <w:rsid w:val="21343AEF"/>
    <w:rsid w:val="21441968"/>
    <w:rsid w:val="21630098"/>
    <w:rsid w:val="21650DA9"/>
    <w:rsid w:val="21806D02"/>
    <w:rsid w:val="218E1CF5"/>
    <w:rsid w:val="21932099"/>
    <w:rsid w:val="21A41C3A"/>
    <w:rsid w:val="21E77118"/>
    <w:rsid w:val="22162FAB"/>
    <w:rsid w:val="22317971"/>
    <w:rsid w:val="2245212B"/>
    <w:rsid w:val="22AB2C71"/>
    <w:rsid w:val="22AD1941"/>
    <w:rsid w:val="22BC6E8E"/>
    <w:rsid w:val="22D0011A"/>
    <w:rsid w:val="22F909E6"/>
    <w:rsid w:val="22FC3C77"/>
    <w:rsid w:val="230A659F"/>
    <w:rsid w:val="233A4603"/>
    <w:rsid w:val="23E353C7"/>
    <w:rsid w:val="23E54F04"/>
    <w:rsid w:val="23F46D37"/>
    <w:rsid w:val="240D3AC6"/>
    <w:rsid w:val="24975A86"/>
    <w:rsid w:val="24C8172F"/>
    <w:rsid w:val="25210786"/>
    <w:rsid w:val="2521226E"/>
    <w:rsid w:val="25380364"/>
    <w:rsid w:val="255114C8"/>
    <w:rsid w:val="25A85A48"/>
    <w:rsid w:val="25E550B1"/>
    <w:rsid w:val="26127823"/>
    <w:rsid w:val="26355609"/>
    <w:rsid w:val="26761685"/>
    <w:rsid w:val="26BF7019"/>
    <w:rsid w:val="26C87581"/>
    <w:rsid w:val="271D1426"/>
    <w:rsid w:val="27373A96"/>
    <w:rsid w:val="277C422A"/>
    <w:rsid w:val="279C1684"/>
    <w:rsid w:val="279F537D"/>
    <w:rsid w:val="28942A08"/>
    <w:rsid w:val="289E3630"/>
    <w:rsid w:val="28D50016"/>
    <w:rsid w:val="28E74668"/>
    <w:rsid w:val="290A11FB"/>
    <w:rsid w:val="292D7DED"/>
    <w:rsid w:val="295C08D5"/>
    <w:rsid w:val="296C5733"/>
    <w:rsid w:val="2978116E"/>
    <w:rsid w:val="297F5AE7"/>
    <w:rsid w:val="2998076B"/>
    <w:rsid w:val="29BB4E8C"/>
    <w:rsid w:val="29F94BCD"/>
    <w:rsid w:val="2A001015"/>
    <w:rsid w:val="2A17569E"/>
    <w:rsid w:val="2A341386"/>
    <w:rsid w:val="2A3C0E89"/>
    <w:rsid w:val="2ACD2201"/>
    <w:rsid w:val="2AF14141"/>
    <w:rsid w:val="2B255788"/>
    <w:rsid w:val="2B3844C7"/>
    <w:rsid w:val="2B4D50F0"/>
    <w:rsid w:val="2B7D3C27"/>
    <w:rsid w:val="2BC6774D"/>
    <w:rsid w:val="2BD15B8F"/>
    <w:rsid w:val="2BEC7C7F"/>
    <w:rsid w:val="2BF57C61"/>
    <w:rsid w:val="2BF7102B"/>
    <w:rsid w:val="2C191714"/>
    <w:rsid w:val="2C347E8F"/>
    <w:rsid w:val="2C471B3F"/>
    <w:rsid w:val="2C864D5D"/>
    <w:rsid w:val="2CEA065B"/>
    <w:rsid w:val="2D3D6F20"/>
    <w:rsid w:val="2D656E6C"/>
    <w:rsid w:val="2D823CB1"/>
    <w:rsid w:val="2DA15F07"/>
    <w:rsid w:val="2DE127F3"/>
    <w:rsid w:val="2E81053F"/>
    <w:rsid w:val="2E861045"/>
    <w:rsid w:val="2E9F2A9A"/>
    <w:rsid w:val="2EF2089D"/>
    <w:rsid w:val="2F0A1F67"/>
    <w:rsid w:val="2F624FE4"/>
    <w:rsid w:val="2F682CE1"/>
    <w:rsid w:val="2F6B528D"/>
    <w:rsid w:val="2F755393"/>
    <w:rsid w:val="2FE33874"/>
    <w:rsid w:val="300470CD"/>
    <w:rsid w:val="30295295"/>
    <w:rsid w:val="302E7063"/>
    <w:rsid w:val="30302CF0"/>
    <w:rsid w:val="30527173"/>
    <w:rsid w:val="307C27A2"/>
    <w:rsid w:val="30A026C7"/>
    <w:rsid w:val="30C45E54"/>
    <w:rsid w:val="30D13D5C"/>
    <w:rsid w:val="30E468D3"/>
    <w:rsid w:val="31240E7F"/>
    <w:rsid w:val="31A66B54"/>
    <w:rsid w:val="31AC317A"/>
    <w:rsid w:val="31DF77E5"/>
    <w:rsid w:val="31F938DC"/>
    <w:rsid w:val="32014E85"/>
    <w:rsid w:val="325102FD"/>
    <w:rsid w:val="325A65CE"/>
    <w:rsid w:val="325F4087"/>
    <w:rsid w:val="32672F3B"/>
    <w:rsid w:val="328861ED"/>
    <w:rsid w:val="32D17C89"/>
    <w:rsid w:val="32DD33F0"/>
    <w:rsid w:val="32DE0457"/>
    <w:rsid w:val="32ED7014"/>
    <w:rsid w:val="32F03C6A"/>
    <w:rsid w:val="33022814"/>
    <w:rsid w:val="33207530"/>
    <w:rsid w:val="33365593"/>
    <w:rsid w:val="336B3B2C"/>
    <w:rsid w:val="337D36DE"/>
    <w:rsid w:val="33AD7BD2"/>
    <w:rsid w:val="33B62270"/>
    <w:rsid w:val="33C61EE3"/>
    <w:rsid w:val="33E81E5A"/>
    <w:rsid w:val="33F23FBB"/>
    <w:rsid w:val="34357FFF"/>
    <w:rsid w:val="34612644"/>
    <w:rsid w:val="346B34F2"/>
    <w:rsid w:val="34B025C2"/>
    <w:rsid w:val="34CE6CB1"/>
    <w:rsid w:val="34D262F0"/>
    <w:rsid w:val="34DB7DEB"/>
    <w:rsid w:val="34DC42B0"/>
    <w:rsid w:val="351E5DA3"/>
    <w:rsid w:val="352D194B"/>
    <w:rsid w:val="35371F6A"/>
    <w:rsid w:val="353D23CD"/>
    <w:rsid w:val="3588021D"/>
    <w:rsid w:val="35EE60E8"/>
    <w:rsid w:val="35FC0F9C"/>
    <w:rsid w:val="36397E1F"/>
    <w:rsid w:val="36730100"/>
    <w:rsid w:val="368B6332"/>
    <w:rsid w:val="368D01D3"/>
    <w:rsid w:val="36CB5494"/>
    <w:rsid w:val="36D14E27"/>
    <w:rsid w:val="36F668DB"/>
    <w:rsid w:val="36F71EED"/>
    <w:rsid w:val="37327D18"/>
    <w:rsid w:val="374C2700"/>
    <w:rsid w:val="37591E60"/>
    <w:rsid w:val="37702892"/>
    <w:rsid w:val="377F2AD5"/>
    <w:rsid w:val="377F3076"/>
    <w:rsid w:val="379F3BC9"/>
    <w:rsid w:val="37C2777B"/>
    <w:rsid w:val="37D927A8"/>
    <w:rsid w:val="380213A2"/>
    <w:rsid w:val="38077B76"/>
    <w:rsid w:val="385374D9"/>
    <w:rsid w:val="38DD6884"/>
    <w:rsid w:val="392C7F2E"/>
    <w:rsid w:val="39392D21"/>
    <w:rsid w:val="394549EE"/>
    <w:rsid w:val="39785A2E"/>
    <w:rsid w:val="3980674F"/>
    <w:rsid w:val="39BA3337"/>
    <w:rsid w:val="39E53F50"/>
    <w:rsid w:val="39E76710"/>
    <w:rsid w:val="39F11255"/>
    <w:rsid w:val="39F974B6"/>
    <w:rsid w:val="3A351B95"/>
    <w:rsid w:val="3A385B75"/>
    <w:rsid w:val="3A711E44"/>
    <w:rsid w:val="3AAF0705"/>
    <w:rsid w:val="3AD21575"/>
    <w:rsid w:val="3B05678F"/>
    <w:rsid w:val="3B381CFE"/>
    <w:rsid w:val="3B397075"/>
    <w:rsid w:val="3B781DA2"/>
    <w:rsid w:val="3BC339AE"/>
    <w:rsid w:val="3BC433C4"/>
    <w:rsid w:val="3BCA7C0B"/>
    <w:rsid w:val="3BCF3250"/>
    <w:rsid w:val="3BD1255F"/>
    <w:rsid w:val="3C0356A1"/>
    <w:rsid w:val="3C086CF8"/>
    <w:rsid w:val="3C365228"/>
    <w:rsid w:val="3C7D6FA4"/>
    <w:rsid w:val="3CA1672C"/>
    <w:rsid w:val="3CD75A09"/>
    <w:rsid w:val="3D023F8C"/>
    <w:rsid w:val="3D685AD3"/>
    <w:rsid w:val="3D7546D4"/>
    <w:rsid w:val="3D7E75D8"/>
    <w:rsid w:val="3D883804"/>
    <w:rsid w:val="3DD62AA6"/>
    <w:rsid w:val="3E183655"/>
    <w:rsid w:val="3E6776D1"/>
    <w:rsid w:val="3E6B0E07"/>
    <w:rsid w:val="3EA679BB"/>
    <w:rsid w:val="3F2A5A1C"/>
    <w:rsid w:val="3F2D2E17"/>
    <w:rsid w:val="3F4D5D5C"/>
    <w:rsid w:val="3F600A17"/>
    <w:rsid w:val="3F987513"/>
    <w:rsid w:val="3FB12FC1"/>
    <w:rsid w:val="400B3B35"/>
    <w:rsid w:val="400D3374"/>
    <w:rsid w:val="404D19C2"/>
    <w:rsid w:val="40B05AAD"/>
    <w:rsid w:val="40B97638"/>
    <w:rsid w:val="40CF687B"/>
    <w:rsid w:val="40F7781A"/>
    <w:rsid w:val="40FF08CA"/>
    <w:rsid w:val="411B4789"/>
    <w:rsid w:val="412A2C1A"/>
    <w:rsid w:val="4136266A"/>
    <w:rsid w:val="416A5251"/>
    <w:rsid w:val="41931657"/>
    <w:rsid w:val="41CB7F5F"/>
    <w:rsid w:val="41E87BA7"/>
    <w:rsid w:val="41EA3241"/>
    <w:rsid w:val="41EB0411"/>
    <w:rsid w:val="41F94E5F"/>
    <w:rsid w:val="41FA52CC"/>
    <w:rsid w:val="42280188"/>
    <w:rsid w:val="42480AAB"/>
    <w:rsid w:val="429D17C3"/>
    <w:rsid w:val="42D8208A"/>
    <w:rsid w:val="42D83AB5"/>
    <w:rsid w:val="42DA0EF4"/>
    <w:rsid w:val="430361AE"/>
    <w:rsid w:val="431E1EAC"/>
    <w:rsid w:val="433230F1"/>
    <w:rsid w:val="4381008F"/>
    <w:rsid w:val="43B81900"/>
    <w:rsid w:val="43BB2059"/>
    <w:rsid w:val="43CD640F"/>
    <w:rsid w:val="43E043E7"/>
    <w:rsid w:val="43EE4A68"/>
    <w:rsid w:val="441B3B85"/>
    <w:rsid w:val="44516656"/>
    <w:rsid w:val="44581532"/>
    <w:rsid w:val="445E0CFF"/>
    <w:rsid w:val="44770E38"/>
    <w:rsid w:val="450B3BFA"/>
    <w:rsid w:val="453815E9"/>
    <w:rsid w:val="454327B4"/>
    <w:rsid w:val="4550160D"/>
    <w:rsid w:val="45640D96"/>
    <w:rsid w:val="456865A2"/>
    <w:rsid w:val="45904030"/>
    <w:rsid w:val="459C5C4D"/>
    <w:rsid w:val="45B54A90"/>
    <w:rsid w:val="45C156DD"/>
    <w:rsid w:val="45D85916"/>
    <w:rsid w:val="460014D0"/>
    <w:rsid w:val="46040D75"/>
    <w:rsid w:val="46120993"/>
    <w:rsid w:val="462207C0"/>
    <w:rsid w:val="463217D3"/>
    <w:rsid w:val="4645703E"/>
    <w:rsid w:val="467C7431"/>
    <w:rsid w:val="469A3487"/>
    <w:rsid w:val="46B170F3"/>
    <w:rsid w:val="46BB0903"/>
    <w:rsid w:val="474169EC"/>
    <w:rsid w:val="47676E22"/>
    <w:rsid w:val="47A85730"/>
    <w:rsid w:val="47B910FD"/>
    <w:rsid w:val="47D00388"/>
    <w:rsid w:val="47EB386F"/>
    <w:rsid w:val="47F82D44"/>
    <w:rsid w:val="484E555F"/>
    <w:rsid w:val="485C05C3"/>
    <w:rsid w:val="4904108C"/>
    <w:rsid w:val="49542C5D"/>
    <w:rsid w:val="4969702A"/>
    <w:rsid w:val="49A02D6D"/>
    <w:rsid w:val="4A0330F2"/>
    <w:rsid w:val="4A2F3EE7"/>
    <w:rsid w:val="4A5139D3"/>
    <w:rsid w:val="4A5C53EB"/>
    <w:rsid w:val="4AB668F2"/>
    <w:rsid w:val="4AF1415C"/>
    <w:rsid w:val="4B0215FB"/>
    <w:rsid w:val="4B054C48"/>
    <w:rsid w:val="4B9C55AC"/>
    <w:rsid w:val="4B9F6E4A"/>
    <w:rsid w:val="4BB027A9"/>
    <w:rsid w:val="4BC17910"/>
    <w:rsid w:val="4BC475A2"/>
    <w:rsid w:val="4BD25472"/>
    <w:rsid w:val="4C2C2DD4"/>
    <w:rsid w:val="4C3B7D39"/>
    <w:rsid w:val="4CB2063E"/>
    <w:rsid w:val="4CCF2069"/>
    <w:rsid w:val="4CF53C2B"/>
    <w:rsid w:val="4D0D1214"/>
    <w:rsid w:val="4D7A36CB"/>
    <w:rsid w:val="4D7F0CE1"/>
    <w:rsid w:val="4DE2147D"/>
    <w:rsid w:val="4E0B39B2"/>
    <w:rsid w:val="4E5C70C5"/>
    <w:rsid w:val="4E9F0072"/>
    <w:rsid w:val="4EC51267"/>
    <w:rsid w:val="4EC71589"/>
    <w:rsid w:val="4EC76DE4"/>
    <w:rsid w:val="4EF1052E"/>
    <w:rsid w:val="4EFB1495"/>
    <w:rsid w:val="4F205884"/>
    <w:rsid w:val="4F2B78F1"/>
    <w:rsid w:val="4F710579"/>
    <w:rsid w:val="4FA806FF"/>
    <w:rsid w:val="50250266"/>
    <w:rsid w:val="504B6577"/>
    <w:rsid w:val="50514D49"/>
    <w:rsid w:val="507C59AC"/>
    <w:rsid w:val="50973D80"/>
    <w:rsid w:val="509F3025"/>
    <w:rsid w:val="50A14AF6"/>
    <w:rsid w:val="50AF1599"/>
    <w:rsid w:val="50F32B6A"/>
    <w:rsid w:val="5108372E"/>
    <w:rsid w:val="511B1FB9"/>
    <w:rsid w:val="5137401E"/>
    <w:rsid w:val="51387B25"/>
    <w:rsid w:val="51477D68"/>
    <w:rsid w:val="51B7313F"/>
    <w:rsid w:val="51B80C66"/>
    <w:rsid w:val="51C13FBE"/>
    <w:rsid w:val="51D80B5D"/>
    <w:rsid w:val="51E101BC"/>
    <w:rsid w:val="51EF032B"/>
    <w:rsid w:val="51F2372E"/>
    <w:rsid w:val="523825AC"/>
    <w:rsid w:val="52666914"/>
    <w:rsid w:val="529C2335"/>
    <w:rsid w:val="52A03BD4"/>
    <w:rsid w:val="52AB58C1"/>
    <w:rsid w:val="52C8137C"/>
    <w:rsid w:val="53020733"/>
    <w:rsid w:val="532205E6"/>
    <w:rsid w:val="532B3B64"/>
    <w:rsid w:val="534E193B"/>
    <w:rsid w:val="539A63C4"/>
    <w:rsid w:val="53A92F73"/>
    <w:rsid w:val="544133ED"/>
    <w:rsid w:val="54792C9E"/>
    <w:rsid w:val="54A30B71"/>
    <w:rsid w:val="551408A9"/>
    <w:rsid w:val="55394C0C"/>
    <w:rsid w:val="5550126A"/>
    <w:rsid w:val="556E7FB9"/>
    <w:rsid w:val="55741347"/>
    <w:rsid w:val="55802B56"/>
    <w:rsid w:val="55986E84"/>
    <w:rsid w:val="559C7E4A"/>
    <w:rsid w:val="55CA4BAF"/>
    <w:rsid w:val="55DB2097"/>
    <w:rsid w:val="55F2570C"/>
    <w:rsid w:val="5602396B"/>
    <w:rsid w:val="56033C16"/>
    <w:rsid w:val="56550F9C"/>
    <w:rsid w:val="565B702F"/>
    <w:rsid w:val="56693043"/>
    <w:rsid w:val="56BA4761"/>
    <w:rsid w:val="56C71FF0"/>
    <w:rsid w:val="56D007FF"/>
    <w:rsid w:val="56DA167E"/>
    <w:rsid w:val="56F62496"/>
    <w:rsid w:val="571A0B7B"/>
    <w:rsid w:val="577B0FB6"/>
    <w:rsid w:val="577B2EC4"/>
    <w:rsid w:val="578223FB"/>
    <w:rsid w:val="578A700B"/>
    <w:rsid w:val="5798756F"/>
    <w:rsid w:val="579E7811"/>
    <w:rsid w:val="57BE3253"/>
    <w:rsid w:val="58704048"/>
    <w:rsid w:val="589A030F"/>
    <w:rsid w:val="58C051FD"/>
    <w:rsid w:val="58E97E41"/>
    <w:rsid w:val="58EB2142"/>
    <w:rsid w:val="59307226"/>
    <w:rsid w:val="59543905"/>
    <w:rsid w:val="599B4D17"/>
    <w:rsid w:val="59AA6FA9"/>
    <w:rsid w:val="59D658C2"/>
    <w:rsid w:val="59F829AE"/>
    <w:rsid w:val="5A4A2677"/>
    <w:rsid w:val="5A601268"/>
    <w:rsid w:val="5AA83147"/>
    <w:rsid w:val="5AF357FA"/>
    <w:rsid w:val="5B1A473F"/>
    <w:rsid w:val="5B882075"/>
    <w:rsid w:val="5BA842F6"/>
    <w:rsid w:val="5BBE1C1E"/>
    <w:rsid w:val="5C0257BE"/>
    <w:rsid w:val="5C904B4E"/>
    <w:rsid w:val="5C9B7CEB"/>
    <w:rsid w:val="5CD220E1"/>
    <w:rsid w:val="5CDF79EE"/>
    <w:rsid w:val="5D02548B"/>
    <w:rsid w:val="5DD07EC1"/>
    <w:rsid w:val="5DD26970"/>
    <w:rsid w:val="5DF534E4"/>
    <w:rsid w:val="5E153E1E"/>
    <w:rsid w:val="5E2F4E1C"/>
    <w:rsid w:val="5E4203B1"/>
    <w:rsid w:val="5E503FE7"/>
    <w:rsid w:val="5E5A241C"/>
    <w:rsid w:val="5E713C9A"/>
    <w:rsid w:val="5EA45CB3"/>
    <w:rsid w:val="5EAC538E"/>
    <w:rsid w:val="5EE344C5"/>
    <w:rsid w:val="5EF105BD"/>
    <w:rsid w:val="5EF552A7"/>
    <w:rsid w:val="5EF5694A"/>
    <w:rsid w:val="5EFF2CC1"/>
    <w:rsid w:val="5F010AFA"/>
    <w:rsid w:val="5F092790"/>
    <w:rsid w:val="5F0B0A36"/>
    <w:rsid w:val="5F2B0CC9"/>
    <w:rsid w:val="5F417AF8"/>
    <w:rsid w:val="5F4E7745"/>
    <w:rsid w:val="5F525B95"/>
    <w:rsid w:val="5FAB3156"/>
    <w:rsid w:val="5FC35F7B"/>
    <w:rsid w:val="5FF91DDC"/>
    <w:rsid w:val="6004676E"/>
    <w:rsid w:val="60063D12"/>
    <w:rsid w:val="60123C37"/>
    <w:rsid w:val="603D3843"/>
    <w:rsid w:val="60583159"/>
    <w:rsid w:val="607E307A"/>
    <w:rsid w:val="60CF6128"/>
    <w:rsid w:val="61161505"/>
    <w:rsid w:val="613208D9"/>
    <w:rsid w:val="61377FE2"/>
    <w:rsid w:val="6160437C"/>
    <w:rsid w:val="61911D4A"/>
    <w:rsid w:val="61FF4E5E"/>
    <w:rsid w:val="62277716"/>
    <w:rsid w:val="62976475"/>
    <w:rsid w:val="63001DEA"/>
    <w:rsid w:val="6328604A"/>
    <w:rsid w:val="6333639E"/>
    <w:rsid w:val="63360FCC"/>
    <w:rsid w:val="63586C4E"/>
    <w:rsid w:val="637A1B2F"/>
    <w:rsid w:val="64091D58"/>
    <w:rsid w:val="64462101"/>
    <w:rsid w:val="64566C6D"/>
    <w:rsid w:val="64685FFD"/>
    <w:rsid w:val="64741836"/>
    <w:rsid w:val="64A80F6D"/>
    <w:rsid w:val="64D82FC8"/>
    <w:rsid w:val="651641EE"/>
    <w:rsid w:val="65302769"/>
    <w:rsid w:val="654151AE"/>
    <w:rsid w:val="655A40B6"/>
    <w:rsid w:val="657C13D6"/>
    <w:rsid w:val="65934AA6"/>
    <w:rsid w:val="65FD1678"/>
    <w:rsid w:val="66190CA1"/>
    <w:rsid w:val="66230554"/>
    <w:rsid w:val="667016B7"/>
    <w:rsid w:val="66CE5350"/>
    <w:rsid w:val="66CF4630"/>
    <w:rsid w:val="66E06A6A"/>
    <w:rsid w:val="66E17344"/>
    <w:rsid w:val="675E48A3"/>
    <w:rsid w:val="67746F85"/>
    <w:rsid w:val="67A01A6C"/>
    <w:rsid w:val="67C34C57"/>
    <w:rsid w:val="67C4640D"/>
    <w:rsid w:val="67D14257"/>
    <w:rsid w:val="67F578D6"/>
    <w:rsid w:val="682A34D4"/>
    <w:rsid w:val="68624A44"/>
    <w:rsid w:val="68660C16"/>
    <w:rsid w:val="68920E84"/>
    <w:rsid w:val="694516F6"/>
    <w:rsid w:val="697E6745"/>
    <w:rsid w:val="698D42DB"/>
    <w:rsid w:val="69977538"/>
    <w:rsid w:val="69C443F5"/>
    <w:rsid w:val="69D17CBF"/>
    <w:rsid w:val="69F30A14"/>
    <w:rsid w:val="69FD3B5B"/>
    <w:rsid w:val="69FD5DCB"/>
    <w:rsid w:val="6A4924BB"/>
    <w:rsid w:val="6AED6227"/>
    <w:rsid w:val="6AF6662F"/>
    <w:rsid w:val="6B122370"/>
    <w:rsid w:val="6B1C1E0E"/>
    <w:rsid w:val="6B361121"/>
    <w:rsid w:val="6B3F371F"/>
    <w:rsid w:val="6B9765C4"/>
    <w:rsid w:val="6B9C0022"/>
    <w:rsid w:val="6C4405BB"/>
    <w:rsid w:val="6C775F53"/>
    <w:rsid w:val="6C90660F"/>
    <w:rsid w:val="6CAF0778"/>
    <w:rsid w:val="6CBA65FD"/>
    <w:rsid w:val="6CC22541"/>
    <w:rsid w:val="6CF5456C"/>
    <w:rsid w:val="6D0449A2"/>
    <w:rsid w:val="6D7E0B5E"/>
    <w:rsid w:val="6D8D384D"/>
    <w:rsid w:val="6D9503C4"/>
    <w:rsid w:val="6D9F3AE8"/>
    <w:rsid w:val="6DA0787D"/>
    <w:rsid w:val="6DB874E1"/>
    <w:rsid w:val="6DCD749D"/>
    <w:rsid w:val="6DED6479"/>
    <w:rsid w:val="6E597B85"/>
    <w:rsid w:val="6E85086A"/>
    <w:rsid w:val="6F4D2493"/>
    <w:rsid w:val="6F547DC8"/>
    <w:rsid w:val="6F5E1D4C"/>
    <w:rsid w:val="6F5F72BB"/>
    <w:rsid w:val="6F8C4DB8"/>
    <w:rsid w:val="6FCA73BC"/>
    <w:rsid w:val="702A612A"/>
    <w:rsid w:val="7038392F"/>
    <w:rsid w:val="7042692B"/>
    <w:rsid w:val="707D5C10"/>
    <w:rsid w:val="709A5B0D"/>
    <w:rsid w:val="70A1528F"/>
    <w:rsid w:val="70B83290"/>
    <w:rsid w:val="70C51FBD"/>
    <w:rsid w:val="70CE7706"/>
    <w:rsid w:val="710A4633"/>
    <w:rsid w:val="71173E25"/>
    <w:rsid w:val="711D243B"/>
    <w:rsid w:val="712C1933"/>
    <w:rsid w:val="71651E9F"/>
    <w:rsid w:val="71692481"/>
    <w:rsid w:val="71BB31C5"/>
    <w:rsid w:val="71D74D30"/>
    <w:rsid w:val="71F16AFB"/>
    <w:rsid w:val="722E2F6D"/>
    <w:rsid w:val="723807EA"/>
    <w:rsid w:val="72A41061"/>
    <w:rsid w:val="72BD72B5"/>
    <w:rsid w:val="733C4DFB"/>
    <w:rsid w:val="73497518"/>
    <w:rsid w:val="736B5B4D"/>
    <w:rsid w:val="737064CF"/>
    <w:rsid w:val="73883693"/>
    <w:rsid w:val="73D131E3"/>
    <w:rsid w:val="73DF029A"/>
    <w:rsid w:val="73EF4854"/>
    <w:rsid w:val="74077A88"/>
    <w:rsid w:val="743C01A9"/>
    <w:rsid w:val="743D707D"/>
    <w:rsid w:val="745769FE"/>
    <w:rsid w:val="748E226B"/>
    <w:rsid w:val="74CF090A"/>
    <w:rsid w:val="74D437E0"/>
    <w:rsid w:val="74DA48CB"/>
    <w:rsid w:val="74E21F0E"/>
    <w:rsid w:val="74E602FA"/>
    <w:rsid w:val="750000AA"/>
    <w:rsid w:val="75427FD2"/>
    <w:rsid w:val="759D030E"/>
    <w:rsid w:val="75A60C51"/>
    <w:rsid w:val="75CF7CEC"/>
    <w:rsid w:val="75DB4D9F"/>
    <w:rsid w:val="760957C3"/>
    <w:rsid w:val="764A5A81"/>
    <w:rsid w:val="76D01393"/>
    <w:rsid w:val="77016B13"/>
    <w:rsid w:val="772B5562"/>
    <w:rsid w:val="773B361B"/>
    <w:rsid w:val="775070C7"/>
    <w:rsid w:val="77650DC8"/>
    <w:rsid w:val="77BE31C2"/>
    <w:rsid w:val="77EE3B00"/>
    <w:rsid w:val="780C16CD"/>
    <w:rsid w:val="78300CA6"/>
    <w:rsid w:val="78515BD6"/>
    <w:rsid w:val="785D4FB4"/>
    <w:rsid w:val="78732FE4"/>
    <w:rsid w:val="78876C1E"/>
    <w:rsid w:val="789631FF"/>
    <w:rsid w:val="78B57E42"/>
    <w:rsid w:val="78F135EE"/>
    <w:rsid w:val="79090B02"/>
    <w:rsid w:val="79122E8B"/>
    <w:rsid w:val="7929789D"/>
    <w:rsid w:val="793D51A9"/>
    <w:rsid w:val="795F3441"/>
    <w:rsid w:val="797A48CF"/>
    <w:rsid w:val="79A427DF"/>
    <w:rsid w:val="79AD6A52"/>
    <w:rsid w:val="79B6033E"/>
    <w:rsid w:val="79E01D6F"/>
    <w:rsid w:val="7A077BBF"/>
    <w:rsid w:val="7A2219DF"/>
    <w:rsid w:val="7A3B0E99"/>
    <w:rsid w:val="7A9329E8"/>
    <w:rsid w:val="7AB12451"/>
    <w:rsid w:val="7AD45B3A"/>
    <w:rsid w:val="7AFF1AF2"/>
    <w:rsid w:val="7B191935"/>
    <w:rsid w:val="7B32794C"/>
    <w:rsid w:val="7B3A7913"/>
    <w:rsid w:val="7B623D1A"/>
    <w:rsid w:val="7B83241F"/>
    <w:rsid w:val="7B915F00"/>
    <w:rsid w:val="7B9478D9"/>
    <w:rsid w:val="7BBD6CF5"/>
    <w:rsid w:val="7BD55A8D"/>
    <w:rsid w:val="7C0C6AF1"/>
    <w:rsid w:val="7C2823C0"/>
    <w:rsid w:val="7C7C5310"/>
    <w:rsid w:val="7C8C63C5"/>
    <w:rsid w:val="7CAD0B17"/>
    <w:rsid w:val="7CB623A6"/>
    <w:rsid w:val="7CD275C3"/>
    <w:rsid w:val="7CE85E9D"/>
    <w:rsid w:val="7DC30630"/>
    <w:rsid w:val="7E106B8E"/>
    <w:rsid w:val="7E2708CC"/>
    <w:rsid w:val="7E3B205A"/>
    <w:rsid w:val="7E645664"/>
    <w:rsid w:val="7EF55F93"/>
    <w:rsid w:val="7F1C356D"/>
    <w:rsid w:val="7F440FF9"/>
    <w:rsid w:val="7FA94EF3"/>
    <w:rsid w:val="7FCC7507"/>
    <w:rsid w:val="7FFE7AD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nhideWhenUsed="0" w:uiPriority="9" w:semiHidden="0" w:name="heading 4"/>
    <w:lsdException w:qFormat="1" w:uiPriority="9" w:semiHidden="0" w:name="heading 5"/>
    <w:lsdException w:qFormat="1" w:uiPriority="0" w:semiHidden="0" w:name="heading 6"/>
    <w:lsdException w:qFormat="1" w:uiPriority="9" w:name="heading 7"/>
    <w:lsdException w:qFormat="1" w:unhideWhenUsed="0" w:uiPriority="9" w:semiHidden="0"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qFormat="1" w:uiPriority="99" w:semiHidden="0"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0"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qFormat="1"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qFormat="1" w:unhideWhenUsed="0" w:uiPriority="69" w:semiHidden="0" w:name="Medium Grid 3 Accent 5"/>
    <w:lsdException w:unhideWhenUsed="0" w:uiPriority="70" w:semiHidden="0" w:name="Dark List Accent 5"/>
    <w:lsdException w:unhideWhenUsed="0" w:uiPriority="71" w:semiHidden="0" w:name="Colorful Shading Accent 5"/>
    <w:lsdException w:qFormat="1"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qFormat="1"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qFormat="1"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00" w:lineRule="exact"/>
      <w:ind w:firstLine="1080" w:firstLineChars="200"/>
      <w:jc w:val="both"/>
    </w:pPr>
    <w:rPr>
      <w:rFonts w:ascii="Times New Roman" w:hAnsi="Times New Roman" w:eastAsia="仿宋" w:cs="Times New Roman"/>
      <w:kern w:val="2"/>
      <w:sz w:val="28"/>
      <w:szCs w:val="21"/>
      <w:lang w:val="en-US" w:eastAsia="zh-CN" w:bidi="ar-SA"/>
    </w:rPr>
  </w:style>
  <w:style w:type="paragraph" w:styleId="2">
    <w:name w:val="heading 1"/>
    <w:basedOn w:val="1"/>
    <w:next w:val="1"/>
    <w:link w:val="177"/>
    <w:qFormat/>
    <w:uiPriority w:val="0"/>
    <w:pPr>
      <w:keepNext/>
      <w:keepLines/>
      <w:pageBreakBefore/>
      <w:ind w:firstLine="0" w:firstLineChars="0"/>
      <w:jc w:val="center"/>
      <w:outlineLvl w:val="0"/>
    </w:pPr>
    <w:rPr>
      <w:rFonts w:ascii="黑体" w:hAnsi="黑体" w:eastAsia="黑体" w:cs="仿宋"/>
      <w:kern w:val="44"/>
      <w:sz w:val="32"/>
      <w:szCs w:val="28"/>
    </w:rPr>
  </w:style>
  <w:style w:type="paragraph" w:styleId="3">
    <w:name w:val="heading 2"/>
    <w:basedOn w:val="1"/>
    <w:next w:val="1"/>
    <w:link w:val="57"/>
    <w:autoRedefine/>
    <w:unhideWhenUsed/>
    <w:qFormat/>
    <w:uiPriority w:val="0"/>
    <w:pPr>
      <w:keepLines/>
      <w:ind w:firstLine="0" w:firstLineChars="0"/>
      <w:outlineLvl w:val="1"/>
    </w:pPr>
    <w:rPr>
      <w:rFonts w:ascii="黑体" w:hAnsi="黑体" w:eastAsia="黑体"/>
      <w:bCs/>
      <w:sz w:val="30"/>
      <w:szCs w:val="32"/>
    </w:rPr>
  </w:style>
  <w:style w:type="paragraph" w:styleId="4">
    <w:name w:val="heading 3"/>
    <w:basedOn w:val="2"/>
    <w:next w:val="1"/>
    <w:link w:val="58"/>
    <w:autoRedefine/>
    <w:unhideWhenUsed/>
    <w:qFormat/>
    <w:uiPriority w:val="9"/>
    <w:pPr>
      <w:keepNext/>
      <w:ind w:firstLine="281" w:firstLineChars="100"/>
      <w:outlineLvl w:val="2"/>
    </w:pPr>
    <w:rPr>
      <w:rFonts w:eastAsia="黑体" w:cs="仿宋"/>
      <w:b/>
      <w:szCs w:val="28"/>
    </w:rPr>
  </w:style>
  <w:style w:type="paragraph" w:styleId="5">
    <w:name w:val="heading 4"/>
    <w:basedOn w:val="1"/>
    <w:next w:val="1"/>
    <w:link w:val="59"/>
    <w:autoRedefine/>
    <w:qFormat/>
    <w:uiPriority w:val="9"/>
    <w:pPr>
      <w:spacing w:line="240" w:lineRule="auto"/>
      <w:ind w:firstLine="720"/>
      <w:outlineLvl w:val="3"/>
    </w:pPr>
    <w:rPr>
      <w:b/>
      <w:bCs/>
      <w:szCs w:val="28"/>
    </w:rPr>
  </w:style>
  <w:style w:type="paragraph" w:styleId="6">
    <w:name w:val="heading 5"/>
    <w:basedOn w:val="1"/>
    <w:next w:val="1"/>
    <w:link w:val="60"/>
    <w:autoRedefine/>
    <w:unhideWhenUsed/>
    <w:qFormat/>
    <w:uiPriority w:val="9"/>
    <w:pPr>
      <w:keepNext/>
      <w:keepLines/>
      <w:spacing w:before="280" w:after="290" w:line="376" w:lineRule="atLeast"/>
      <w:outlineLvl w:val="4"/>
    </w:pPr>
    <w:rPr>
      <w:b/>
      <w:bCs/>
      <w:szCs w:val="28"/>
    </w:rPr>
  </w:style>
  <w:style w:type="paragraph" w:styleId="7">
    <w:name w:val="heading 6"/>
    <w:basedOn w:val="1"/>
    <w:next w:val="1"/>
    <w:unhideWhenUsed/>
    <w:qFormat/>
    <w:uiPriority w:val="0"/>
    <w:pPr>
      <w:keepLines/>
      <w:numPr>
        <w:ilvl w:val="5"/>
        <w:numId w:val="1"/>
      </w:numPr>
      <w:tabs>
        <w:tab w:val="left" w:pos="0"/>
        <w:tab w:val="left" w:pos="420"/>
      </w:tabs>
      <w:spacing w:line="240" w:lineRule="auto"/>
      <w:ind w:left="0" w:firstLineChars="0"/>
      <w:jc w:val="center"/>
      <w:outlineLvl w:val="5"/>
    </w:pPr>
    <w:rPr>
      <w:rFonts w:ascii="Arial" w:hAnsi="Arial" w:eastAsia="黑体"/>
      <w:b/>
      <w:sz w:val="21"/>
    </w:rPr>
  </w:style>
  <w:style w:type="paragraph" w:styleId="8">
    <w:name w:val="heading 8"/>
    <w:basedOn w:val="1"/>
    <w:next w:val="1"/>
    <w:autoRedefine/>
    <w:qFormat/>
    <w:uiPriority w:val="9"/>
    <w:pPr>
      <w:keepNext/>
      <w:keepLines/>
      <w:numPr>
        <w:ilvl w:val="7"/>
        <w:numId w:val="2"/>
      </w:numPr>
      <w:adjustRightInd w:val="0"/>
      <w:ind w:firstLineChars="0"/>
      <w:jc w:val="center"/>
      <w:outlineLvl w:val="7"/>
    </w:pPr>
    <w:rPr>
      <w:rFonts w:ascii="Cambria" w:hAnsi="Cambria"/>
      <w:b/>
      <w:sz w:val="21"/>
      <w:szCs w:val="24"/>
    </w:rPr>
  </w:style>
  <w:style w:type="character" w:default="1" w:styleId="48">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9">
    <w:name w:val="toc 7"/>
    <w:basedOn w:val="1"/>
    <w:next w:val="1"/>
    <w:link w:val="61"/>
    <w:autoRedefine/>
    <w:unhideWhenUsed/>
    <w:qFormat/>
    <w:uiPriority w:val="39"/>
    <w:pPr>
      <w:spacing w:line="240" w:lineRule="auto"/>
      <w:ind w:left="2520" w:leftChars="1200" w:firstLine="0" w:firstLineChars="0"/>
    </w:pPr>
    <w:rPr>
      <w:rFonts w:ascii="等线" w:hAnsi="等线" w:eastAsia="等线"/>
      <w:sz w:val="21"/>
      <w:szCs w:val="28"/>
    </w:rPr>
  </w:style>
  <w:style w:type="paragraph" w:styleId="10">
    <w:name w:val="Normal Indent"/>
    <w:basedOn w:val="1"/>
    <w:next w:val="11"/>
    <w:autoRedefine/>
    <w:qFormat/>
    <w:uiPriority w:val="0"/>
    <w:pPr>
      <w:tabs>
        <w:tab w:val="left" w:pos="630"/>
      </w:tabs>
      <w:adjustRightInd w:val="0"/>
      <w:snapToGrid w:val="0"/>
      <w:spacing w:line="360" w:lineRule="auto"/>
      <w:ind w:firstLine="442"/>
    </w:pPr>
    <w:rPr>
      <w:sz w:val="24"/>
      <w:szCs w:val="20"/>
    </w:rPr>
  </w:style>
  <w:style w:type="paragraph" w:styleId="11">
    <w:name w:val="Body Text First Indent"/>
    <w:basedOn w:val="12"/>
    <w:autoRedefine/>
    <w:unhideWhenUsed/>
    <w:qFormat/>
    <w:uiPriority w:val="99"/>
    <w:pPr>
      <w:spacing w:before="154"/>
      <w:ind w:left="121" w:firstLine="420" w:firstLineChars="100"/>
    </w:pPr>
    <w:rPr>
      <w:rFonts w:ascii="仿宋" w:hAnsi="仿宋"/>
      <w:szCs w:val="21"/>
    </w:rPr>
  </w:style>
  <w:style w:type="paragraph" w:styleId="12">
    <w:name w:val="Body Text"/>
    <w:basedOn w:val="1"/>
    <w:next w:val="11"/>
    <w:link w:val="55"/>
    <w:autoRedefine/>
    <w:qFormat/>
    <w:uiPriority w:val="0"/>
    <w:pPr>
      <w:spacing w:after="120"/>
      <w:ind w:firstLine="200"/>
    </w:pPr>
    <w:rPr>
      <w:rFonts w:hint="eastAsia" w:ascii="宋体" w:hAnsi="Courier New"/>
      <w:szCs w:val="20"/>
    </w:rPr>
  </w:style>
  <w:style w:type="paragraph" w:styleId="13">
    <w:name w:val="caption"/>
    <w:basedOn w:val="1"/>
    <w:next w:val="1"/>
    <w:autoRedefine/>
    <w:qFormat/>
    <w:uiPriority w:val="35"/>
    <w:pPr>
      <w:ind w:firstLine="200"/>
    </w:pPr>
    <w:rPr>
      <w:rFonts w:ascii="Cambria" w:hAnsi="Cambria" w:eastAsia="黑体"/>
      <w:sz w:val="20"/>
      <w:szCs w:val="20"/>
    </w:rPr>
  </w:style>
  <w:style w:type="paragraph" w:styleId="14">
    <w:name w:val="Document Map"/>
    <w:basedOn w:val="1"/>
    <w:link w:val="62"/>
    <w:autoRedefine/>
    <w:unhideWhenUsed/>
    <w:qFormat/>
    <w:uiPriority w:val="0"/>
    <w:rPr>
      <w:rFonts w:ascii="宋体" w:eastAsia="宋体"/>
      <w:sz w:val="18"/>
      <w:szCs w:val="18"/>
    </w:rPr>
  </w:style>
  <w:style w:type="paragraph" w:styleId="15">
    <w:name w:val="annotation text"/>
    <w:basedOn w:val="1"/>
    <w:link w:val="63"/>
    <w:autoRedefine/>
    <w:unhideWhenUsed/>
    <w:qFormat/>
    <w:uiPriority w:val="0"/>
    <w:pPr>
      <w:jc w:val="left"/>
    </w:pPr>
  </w:style>
  <w:style w:type="paragraph" w:styleId="16">
    <w:name w:val="Body Text 3"/>
    <w:basedOn w:val="1"/>
    <w:link w:val="64"/>
    <w:autoRedefine/>
    <w:qFormat/>
    <w:uiPriority w:val="0"/>
    <w:pPr>
      <w:spacing w:after="120"/>
      <w:ind w:firstLine="200"/>
    </w:pPr>
    <w:rPr>
      <w:sz w:val="16"/>
      <w:szCs w:val="16"/>
    </w:rPr>
  </w:style>
  <w:style w:type="paragraph" w:styleId="17">
    <w:name w:val="Body Text Indent"/>
    <w:basedOn w:val="1"/>
    <w:link w:val="65"/>
    <w:qFormat/>
    <w:uiPriority w:val="99"/>
    <w:pPr>
      <w:spacing w:before="120" w:beforeLines="50" w:line="240" w:lineRule="auto"/>
      <w:ind w:firstLine="0" w:firstLineChars="0"/>
      <w:jc w:val="center"/>
    </w:pPr>
    <w:rPr>
      <w:rFonts w:ascii="宋体" w:hAnsi="宋体" w:eastAsia="宋体"/>
      <w:b/>
      <w:kern w:val="0"/>
      <w:sz w:val="52"/>
      <w:szCs w:val="52"/>
    </w:rPr>
  </w:style>
  <w:style w:type="paragraph" w:styleId="18">
    <w:name w:val="Block Text"/>
    <w:basedOn w:val="1"/>
    <w:autoRedefine/>
    <w:unhideWhenUsed/>
    <w:qFormat/>
    <w:uiPriority w:val="99"/>
    <w:pPr>
      <w:spacing w:after="120"/>
      <w:ind w:left="1440" w:leftChars="700" w:right="700" w:rightChars="700"/>
    </w:pPr>
  </w:style>
  <w:style w:type="paragraph" w:styleId="19">
    <w:name w:val="toc 5"/>
    <w:basedOn w:val="1"/>
    <w:next w:val="1"/>
    <w:autoRedefine/>
    <w:unhideWhenUsed/>
    <w:qFormat/>
    <w:uiPriority w:val="39"/>
    <w:pPr>
      <w:spacing w:line="240" w:lineRule="auto"/>
      <w:ind w:left="1680" w:leftChars="800" w:firstLine="0" w:firstLineChars="0"/>
    </w:pPr>
    <w:rPr>
      <w:rFonts w:ascii="等线" w:hAnsi="等线" w:eastAsia="等线"/>
      <w:sz w:val="21"/>
      <w:szCs w:val="28"/>
    </w:rPr>
  </w:style>
  <w:style w:type="paragraph" w:styleId="20">
    <w:name w:val="toc 3"/>
    <w:basedOn w:val="1"/>
    <w:next w:val="1"/>
    <w:autoRedefine/>
    <w:unhideWhenUsed/>
    <w:qFormat/>
    <w:uiPriority w:val="39"/>
    <w:pPr>
      <w:ind w:left="840" w:leftChars="400"/>
    </w:pPr>
  </w:style>
  <w:style w:type="paragraph" w:styleId="21">
    <w:name w:val="Plain Text"/>
    <w:basedOn w:val="1"/>
    <w:link w:val="66"/>
    <w:autoRedefine/>
    <w:qFormat/>
    <w:uiPriority w:val="0"/>
    <w:pPr>
      <w:spacing w:line="360" w:lineRule="auto"/>
      <w:ind w:firstLine="480"/>
    </w:pPr>
    <w:rPr>
      <w:rFonts w:ascii="宋体" w:hAnsi="Courier New"/>
      <w:sz w:val="21"/>
    </w:rPr>
  </w:style>
  <w:style w:type="paragraph" w:styleId="22">
    <w:name w:val="toc 8"/>
    <w:basedOn w:val="1"/>
    <w:next w:val="1"/>
    <w:autoRedefine/>
    <w:unhideWhenUsed/>
    <w:qFormat/>
    <w:uiPriority w:val="39"/>
    <w:pPr>
      <w:spacing w:line="240" w:lineRule="auto"/>
      <w:ind w:left="2940" w:leftChars="1400" w:firstLine="0" w:firstLineChars="0"/>
    </w:pPr>
    <w:rPr>
      <w:rFonts w:ascii="等线" w:hAnsi="等线" w:eastAsia="等线"/>
      <w:sz w:val="21"/>
      <w:szCs w:val="28"/>
    </w:rPr>
  </w:style>
  <w:style w:type="paragraph" w:styleId="23">
    <w:name w:val="Date"/>
    <w:basedOn w:val="1"/>
    <w:next w:val="1"/>
    <w:link w:val="67"/>
    <w:autoRedefine/>
    <w:qFormat/>
    <w:uiPriority w:val="0"/>
    <w:pPr>
      <w:ind w:left="100" w:leftChars="2500" w:firstLine="200"/>
    </w:pPr>
    <w:rPr>
      <w:szCs w:val="28"/>
    </w:rPr>
  </w:style>
  <w:style w:type="paragraph" w:styleId="24">
    <w:name w:val="Body Text Indent 2"/>
    <w:basedOn w:val="1"/>
    <w:link w:val="68"/>
    <w:autoRedefine/>
    <w:unhideWhenUsed/>
    <w:qFormat/>
    <w:uiPriority w:val="0"/>
    <w:pPr>
      <w:spacing w:line="560" w:lineRule="exact"/>
      <w:ind w:firstLine="557" w:firstLineChars="199"/>
    </w:pPr>
  </w:style>
  <w:style w:type="paragraph" w:styleId="25">
    <w:name w:val="Balloon Text"/>
    <w:basedOn w:val="1"/>
    <w:link w:val="69"/>
    <w:autoRedefine/>
    <w:unhideWhenUsed/>
    <w:qFormat/>
    <w:uiPriority w:val="0"/>
    <w:rPr>
      <w:sz w:val="18"/>
      <w:szCs w:val="18"/>
    </w:rPr>
  </w:style>
  <w:style w:type="paragraph" w:styleId="26">
    <w:name w:val="footer"/>
    <w:basedOn w:val="1"/>
    <w:link w:val="70"/>
    <w:autoRedefine/>
    <w:unhideWhenUsed/>
    <w:qFormat/>
    <w:uiPriority w:val="99"/>
    <w:pPr>
      <w:tabs>
        <w:tab w:val="center" w:pos="4153"/>
        <w:tab w:val="right" w:pos="8306"/>
      </w:tabs>
      <w:snapToGrid w:val="0"/>
      <w:ind w:firstLine="360"/>
    </w:pPr>
    <w:rPr>
      <w:sz w:val="18"/>
      <w:szCs w:val="18"/>
    </w:rPr>
  </w:style>
  <w:style w:type="paragraph" w:styleId="27">
    <w:name w:val="header"/>
    <w:basedOn w:val="1"/>
    <w:link w:val="7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autoRedefine/>
    <w:unhideWhenUsed/>
    <w:qFormat/>
    <w:uiPriority w:val="39"/>
  </w:style>
  <w:style w:type="paragraph" w:styleId="29">
    <w:name w:val="toc 4"/>
    <w:basedOn w:val="1"/>
    <w:next w:val="1"/>
    <w:autoRedefine/>
    <w:unhideWhenUsed/>
    <w:qFormat/>
    <w:uiPriority w:val="39"/>
    <w:pPr>
      <w:spacing w:line="240" w:lineRule="auto"/>
      <w:ind w:left="1260" w:leftChars="600" w:firstLine="0" w:firstLineChars="0"/>
    </w:pPr>
    <w:rPr>
      <w:rFonts w:ascii="等线" w:hAnsi="等线" w:eastAsia="等线"/>
      <w:sz w:val="21"/>
      <w:szCs w:val="28"/>
    </w:rPr>
  </w:style>
  <w:style w:type="paragraph" w:styleId="30">
    <w:name w:val="Subtitle"/>
    <w:basedOn w:val="1"/>
    <w:next w:val="1"/>
    <w:link w:val="72"/>
    <w:autoRedefine/>
    <w:qFormat/>
    <w:uiPriority w:val="11"/>
    <w:pPr>
      <w:spacing w:line="240" w:lineRule="auto"/>
      <w:ind w:firstLine="0" w:firstLineChars="0"/>
      <w:jc w:val="center"/>
      <w:outlineLvl w:val="4"/>
    </w:pPr>
    <w:rPr>
      <w:rFonts w:ascii="Cambria" w:hAnsi="Cambria" w:eastAsia="黑体"/>
      <w:b/>
      <w:bCs/>
      <w:kern w:val="28"/>
      <w:sz w:val="24"/>
      <w:szCs w:val="32"/>
    </w:rPr>
  </w:style>
  <w:style w:type="paragraph" w:styleId="31">
    <w:name w:val="toc 6"/>
    <w:basedOn w:val="1"/>
    <w:next w:val="1"/>
    <w:autoRedefine/>
    <w:unhideWhenUsed/>
    <w:qFormat/>
    <w:uiPriority w:val="39"/>
    <w:pPr>
      <w:spacing w:line="240" w:lineRule="auto"/>
      <w:ind w:left="2100" w:leftChars="1000" w:firstLine="0" w:firstLineChars="0"/>
    </w:pPr>
    <w:rPr>
      <w:rFonts w:ascii="等线" w:hAnsi="等线" w:eastAsia="等线"/>
      <w:sz w:val="21"/>
      <w:szCs w:val="28"/>
    </w:rPr>
  </w:style>
  <w:style w:type="paragraph" w:styleId="32">
    <w:name w:val="Body Text Indent 3"/>
    <w:basedOn w:val="1"/>
    <w:link w:val="73"/>
    <w:autoRedefine/>
    <w:qFormat/>
    <w:uiPriority w:val="0"/>
    <w:pPr>
      <w:spacing w:after="120" w:line="360" w:lineRule="auto"/>
      <w:ind w:left="420" w:leftChars="200" w:firstLine="480"/>
    </w:pPr>
    <w:rPr>
      <w:rFonts w:ascii="Arial" w:hAnsi="Arial"/>
      <w:sz w:val="16"/>
      <w:szCs w:val="16"/>
    </w:rPr>
  </w:style>
  <w:style w:type="paragraph" w:styleId="33">
    <w:name w:val="toc 2"/>
    <w:basedOn w:val="1"/>
    <w:next w:val="1"/>
    <w:autoRedefine/>
    <w:unhideWhenUsed/>
    <w:qFormat/>
    <w:uiPriority w:val="39"/>
    <w:pPr>
      <w:ind w:left="420" w:leftChars="200"/>
    </w:pPr>
  </w:style>
  <w:style w:type="paragraph" w:styleId="34">
    <w:name w:val="toc 9"/>
    <w:basedOn w:val="1"/>
    <w:next w:val="1"/>
    <w:autoRedefine/>
    <w:unhideWhenUsed/>
    <w:qFormat/>
    <w:uiPriority w:val="39"/>
    <w:pPr>
      <w:spacing w:line="240" w:lineRule="auto"/>
      <w:ind w:left="3360" w:leftChars="1600" w:firstLine="0" w:firstLineChars="0"/>
    </w:pPr>
    <w:rPr>
      <w:rFonts w:ascii="等线" w:hAnsi="等线" w:eastAsia="等线"/>
      <w:sz w:val="21"/>
      <w:szCs w:val="28"/>
    </w:rPr>
  </w:style>
  <w:style w:type="paragraph" w:styleId="35">
    <w:name w:val="Body Text 2"/>
    <w:basedOn w:val="1"/>
    <w:link w:val="74"/>
    <w:autoRedefine/>
    <w:qFormat/>
    <w:uiPriority w:val="0"/>
    <w:pPr>
      <w:ind w:firstLine="200"/>
    </w:pPr>
    <w:rPr>
      <w:rFonts w:eastAsia="宋体"/>
      <w:sz w:val="24"/>
      <w:szCs w:val="24"/>
    </w:rPr>
  </w:style>
  <w:style w:type="paragraph" w:styleId="36">
    <w:name w:val="Normal (Web)"/>
    <w:basedOn w:val="1"/>
    <w:link w:val="75"/>
    <w:autoRedefine/>
    <w:unhideWhenUsed/>
    <w:qFormat/>
    <w:uiPriority w:val="0"/>
    <w:pPr>
      <w:spacing w:beforeAutospacing="1" w:afterAutospacing="1"/>
      <w:jc w:val="left"/>
    </w:pPr>
    <w:rPr>
      <w:rFonts w:ascii="仿宋" w:hAnsi="仿宋"/>
      <w:kern w:val="0"/>
      <w:sz w:val="24"/>
    </w:rPr>
  </w:style>
  <w:style w:type="paragraph" w:styleId="37">
    <w:name w:val="index 1"/>
    <w:basedOn w:val="1"/>
    <w:next w:val="1"/>
    <w:autoRedefine/>
    <w:qFormat/>
    <w:uiPriority w:val="0"/>
  </w:style>
  <w:style w:type="paragraph" w:styleId="38">
    <w:name w:val="Title"/>
    <w:basedOn w:val="1"/>
    <w:next w:val="1"/>
    <w:link w:val="76"/>
    <w:autoRedefine/>
    <w:qFormat/>
    <w:uiPriority w:val="10"/>
    <w:pPr>
      <w:spacing w:before="240" w:after="60"/>
      <w:ind w:firstLine="200"/>
      <w:jc w:val="center"/>
      <w:outlineLvl w:val="0"/>
    </w:pPr>
    <w:rPr>
      <w:rFonts w:ascii="Cambria" w:hAnsi="Cambria"/>
      <w:b/>
      <w:bCs/>
      <w:kern w:val="0"/>
      <w:sz w:val="32"/>
      <w:szCs w:val="32"/>
    </w:rPr>
  </w:style>
  <w:style w:type="paragraph" w:styleId="39">
    <w:name w:val="annotation subject"/>
    <w:basedOn w:val="15"/>
    <w:next w:val="15"/>
    <w:link w:val="77"/>
    <w:autoRedefine/>
    <w:qFormat/>
    <w:uiPriority w:val="0"/>
    <w:pPr>
      <w:ind w:firstLine="200"/>
    </w:pPr>
    <w:rPr>
      <w:b/>
      <w:bCs/>
      <w:szCs w:val="28"/>
    </w:rPr>
  </w:style>
  <w:style w:type="paragraph" w:styleId="40">
    <w:name w:val="Body Text First Indent 2"/>
    <w:basedOn w:val="17"/>
    <w:link w:val="78"/>
    <w:autoRedefine/>
    <w:qFormat/>
    <w:uiPriority w:val="0"/>
    <w:pPr>
      <w:widowControl/>
      <w:spacing w:after="120" w:line="240" w:lineRule="exact"/>
      <w:ind w:left="420" w:leftChars="200" w:firstLine="420"/>
      <w:textAlignment w:val="baseline"/>
    </w:pPr>
    <w:rPr>
      <w:snapToGrid w:val="0"/>
      <w:szCs w:val="20"/>
    </w:rPr>
  </w:style>
  <w:style w:type="table" w:styleId="42">
    <w:name w:val="Table Grid"/>
    <w:basedOn w:val="4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3">
    <w:name w:val="Medium Shading 1 Accent 6"/>
    <w:basedOn w:val="41"/>
    <w:autoRedefine/>
    <w:qFormat/>
    <w:uiPriority w:val="63"/>
    <w:tblPr>
      <w:tblBorders>
        <w:top w:val="single" w:color="93C571" w:sz="8" w:space="0"/>
        <w:left w:val="single" w:color="93C571" w:sz="8" w:space="0"/>
        <w:bottom w:val="single" w:color="93C571" w:sz="8" w:space="0"/>
        <w:right w:val="single" w:color="93C571" w:sz="8" w:space="0"/>
        <w:insideH w:val="single" w:color="93C571" w:sz="8" w:space="0"/>
      </w:tblBorders>
    </w:tblPr>
    <w:tblStylePr w:type="firstRow">
      <w:pPr>
        <w:spacing w:before="0" w:after="0" w:line="240" w:lineRule="auto"/>
      </w:pPr>
      <w:rPr>
        <w:b/>
        <w:bCs/>
        <w:color w:val="FFFFFF"/>
      </w:rPr>
      <w:tblPr/>
      <w:tcPr>
        <w:tcBorders>
          <w:top w:val="single" w:color="93C571" w:sz="8" w:space="0"/>
          <w:left w:val="single" w:color="93C571" w:sz="8" w:space="0"/>
          <w:bottom w:val="single" w:color="93C571" w:sz="8" w:space="0"/>
          <w:right w:val="single" w:color="93C571" w:sz="8" w:space="0"/>
          <w:insideH w:val="nil"/>
          <w:insideV w:val="nil"/>
          <w:tl2br w:val="nil"/>
          <w:tr2bl w:val="nil"/>
        </w:tcBorders>
        <w:shd w:val="clear" w:color="auto" w:fill="70AD47"/>
      </w:tcPr>
    </w:tblStylePr>
    <w:tblStylePr w:type="lastRow">
      <w:pPr>
        <w:spacing w:before="0" w:after="0" w:line="240" w:lineRule="auto"/>
      </w:pPr>
      <w:rPr>
        <w:b/>
        <w:bCs/>
      </w:rPr>
      <w:tblPr/>
      <w:tcPr>
        <w:tcBorders>
          <w:top w:val="double" w:color="93C571" w:sz="6" w:space="0"/>
          <w:left w:val="single" w:color="93C571" w:sz="8" w:space="0"/>
          <w:bottom w:val="single" w:color="93C571" w:sz="8" w:space="0"/>
          <w:right w:val="single" w:color="93C571" w:sz="8" w:space="0"/>
          <w:insideH w:val="nil"/>
          <w:insideV w:val="nil"/>
          <w:tl2br w:val="nil"/>
          <w:tr2bl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top w:val="nil"/>
          <w:left w:val="nil"/>
          <w:bottom w:val="nil"/>
          <w:right w:val="nil"/>
          <w:insideH w:val="nil"/>
          <w:insideV w:val="nil"/>
          <w:tl2br w:val="nil"/>
          <w:tr2bl w:val="nil"/>
        </w:tcBorders>
        <w:shd w:val="clear" w:color="auto" w:fill="DBEBD0"/>
      </w:tcPr>
    </w:tblStylePr>
    <w:tblStylePr w:type="band2Horz">
      <w:tblPr/>
      <w:tcPr>
        <w:tcBorders>
          <w:top w:val="nil"/>
          <w:left w:val="nil"/>
          <w:bottom w:val="nil"/>
          <w:right w:val="nil"/>
          <w:insideH w:val="nil"/>
          <w:insideV w:val="nil"/>
          <w:tl2br w:val="nil"/>
          <w:tr2bl w:val="nil"/>
        </w:tcBorders>
      </w:tcPr>
    </w:tblStylePr>
  </w:style>
  <w:style w:type="table" w:styleId="44">
    <w:name w:val="Medium Grid 3 Accent 5"/>
    <w:basedOn w:val="41"/>
    <w:autoRedefine/>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6E6F4"/>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l2br w:val="nil"/>
          <w:tr2bl w:val="nil"/>
        </w:tcBorders>
        <w:shd w:val="clear" w:color="auto" w:fill="5B9BD5"/>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5B9BD5"/>
      </w:tcPr>
    </w:tblStylePr>
    <w:tblStylePr w:type="firstCol">
      <w:rPr>
        <w:b/>
        <w:bCs/>
        <w:i w:val="0"/>
        <w:iCs w:val="0"/>
        <w:color w:val="FFFFFF"/>
      </w:rPr>
      <w:tblPr/>
      <w:tcPr>
        <w:tcBorders>
          <w:top w:val="nil"/>
          <w:left w:val="nil"/>
          <w:bottom w:val="single" w:color="FFFFFF" w:sz="8" w:space="0"/>
          <w:right w:val="single" w:color="FFFFFF" w:sz="24" w:space="0"/>
          <w:insideH w:val="nil"/>
          <w:insideV w:val="nil"/>
          <w:tl2br w:val="nil"/>
          <w:tr2bl w:val="nil"/>
        </w:tcBorders>
        <w:shd w:val="clear" w:color="auto" w:fill="5B9BD5"/>
      </w:tcPr>
    </w:tblStylePr>
    <w:tblStylePr w:type="lastCol">
      <w:rPr>
        <w:b/>
        <w:bCs/>
        <w:i w:val="0"/>
        <w:iCs w:val="0"/>
        <w:color w:val="FFFFFF"/>
      </w:rPr>
      <w:tblPr/>
      <w:tcPr>
        <w:tcBorders>
          <w:top w:val="nil"/>
          <w:left w:val="nil"/>
          <w:bottom w:val="single" w:color="FFFFFF" w:sz="24" w:space="0"/>
          <w:right w:val="nil"/>
          <w:insideH w:val="nil"/>
          <w:insideV w:val="nil"/>
          <w:tl2br w:val="nil"/>
          <w:tr2bl w:val="nil"/>
        </w:tcBorders>
        <w:shd w:val="clear" w:color="auto" w:fill="5B9BD5"/>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DCCEA"/>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DCCEA"/>
      </w:tcPr>
    </w:tblStylePr>
  </w:style>
  <w:style w:type="table" w:styleId="45">
    <w:name w:val="Medium Grid 3 Accent 6"/>
    <w:basedOn w:val="41"/>
    <w:autoRedefine/>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BEBD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l2br w:val="nil"/>
          <w:tr2bl w:val="nil"/>
        </w:tcBorders>
        <w:shd w:val="clear" w:color="auto" w:fill="70AD47"/>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70AD47"/>
      </w:tcPr>
    </w:tblStylePr>
    <w:tblStylePr w:type="firstCol">
      <w:rPr>
        <w:b/>
        <w:bCs/>
        <w:i w:val="0"/>
        <w:iCs w:val="0"/>
        <w:color w:val="FFFFFF"/>
      </w:rPr>
      <w:tblPr/>
      <w:tcPr>
        <w:tcBorders>
          <w:top w:val="nil"/>
          <w:left w:val="nil"/>
          <w:bottom w:val="single" w:color="FFFFFF" w:sz="8" w:space="0"/>
          <w:right w:val="single" w:color="FFFFFF" w:sz="24" w:space="0"/>
          <w:insideH w:val="nil"/>
          <w:insideV w:val="nil"/>
          <w:tl2br w:val="nil"/>
          <w:tr2bl w:val="nil"/>
        </w:tcBorders>
        <w:shd w:val="clear" w:color="auto" w:fill="70AD47"/>
      </w:tcPr>
    </w:tblStylePr>
    <w:tblStylePr w:type="lastCol">
      <w:rPr>
        <w:b/>
        <w:bCs/>
        <w:i w:val="0"/>
        <w:iCs w:val="0"/>
        <w:color w:val="FFFFFF"/>
      </w:rPr>
      <w:tblPr/>
      <w:tcPr>
        <w:tcBorders>
          <w:top w:val="nil"/>
          <w:left w:val="nil"/>
          <w:bottom w:val="single" w:color="FFFFFF" w:sz="24" w:space="0"/>
          <w:right w:val="nil"/>
          <w:insideH w:val="nil"/>
          <w:insideV w:val="nil"/>
          <w:tl2br w:val="nil"/>
          <w:tr2bl w:val="nil"/>
        </w:tcBorders>
        <w:shd w:val="clear" w:color="auto" w:fill="70AD47"/>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B7D8A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B7D8A0"/>
      </w:tcPr>
    </w:tblStylePr>
  </w:style>
  <w:style w:type="table" w:styleId="46">
    <w:name w:val="Colorful Shading Accent 3"/>
    <w:basedOn w:val="41"/>
    <w:autoRedefine/>
    <w:qFormat/>
    <w:uiPriority w:val="71"/>
    <w:rPr>
      <w:color w:val="000000"/>
    </w:rPr>
    <w:tblPr>
      <w:tblBorders>
        <w:top w:val="single" w:color="FFC000" w:sz="24" w:space="0"/>
        <w:left w:val="single" w:color="A5A5A5" w:sz="4" w:space="0"/>
        <w:bottom w:val="single" w:color="A5A5A5" w:sz="4" w:space="0"/>
        <w:right w:val="single" w:color="A5A5A5" w:sz="4" w:space="0"/>
        <w:insideH w:val="single" w:color="FFFFFF" w:sz="4" w:space="0"/>
        <w:insideV w:val="single" w:color="FFFFFF" w:sz="4" w:space="0"/>
      </w:tblBorders>
    </w:tblPr>
    <w:tcPr>
      <w:shd w:val="clear" w:color="auto" w:fill="F6F6F6"/>
    </w:tcPr>
    <w:tblStylePr w:type="firstRow">
      <w:rPr>
        <w:b/>
        <w:bCs/>
      </w:rPr>
      <w:tblPr/>
      <w:tcPr>
        <w:tcBorders>
          <w:top w:val="nil"/>
          <w:left w:val="single" w:color="FFC000" w:sz="24" w:space="0"/>
          <w:bottom w:val="nil"/>
          <w:right w:val="nil"/>
          <w:insideH w:val="nil"/>
          <w:insideV w:val="nil"/>
          <w:tl2br w:val="nil"/>
          <w:tr2bl w:val="nil"/>
        </w:tcBorders>
        <w:shd w:val="clear" w:color="auto" w:fill="FFFFFF"/>
      </w:tcPr>
    </w:tblStylePr>
    <w:tblStylePr w:type="lastRow">
      <w:rPr>
        <w:b/>
        <w:bCs/>
        <w:color w:val="FFFFFF"/>
      </w:rPr>
      <w:tblPr/>
      <w:tcPr>
        <w:tcBorders>
          <w:top w:val="single" w:color="FFFFFF" w:sz="6" w:space="0"/>
          <w:left w:val="nil"/>
          <w:bottom w:val="nil"/>
          <w:right w:val="nil"/>
          <w:insideH w:val="nil"/>
          <w:insideV w:val="nil"/>
          <w:tl2br w:val="nil"/>
          <w:tr2bl w:val="nil"/>
        </w:tcBorders>
        <w:shd w:val="clear" w:color="auto" w:fill="636363"/>
      </w:tcPr>
    </w:tblStylePr>
    <w:tblStylePr w:type="firstCol">
      <w:rPr>
        <w:color w:val="FFFFFF"/>
      </w:rPr>
      <w:tblPr/>
      <w:tcPr>
        <w:tcBorders>
          <w:top w:val="nil"/>
          <w:left w:val="nil"/>
          <w:bottom w:val="nil"/>
          <w:right w:val="nil"/>
          <w:insideH w:val="single" w:sz="4" w:space="0"/>
          <w:insideV w:val="nil"/>
          <w:tl2br w:val="nil"/>
          <w:tr2bl w:val="nil"/>
        </w:tcBorders>
        <w:shd w:val="clear" w:color="auto" w:fill="636363"/>
      </w:tcPr>
    </w:tblStylePr>
    <w:tblStylePr w:type="lastCol">
      <w:rPr>
        <w:color w:val="FFFFFF"/>
      </w:rPr>
      <w:tblPr/>
      <w:tcPr>
        <w:tcBorders>
          <w:top w:val="nil"/>
          <w:left w:val="nil"/>
          <w:bottom w:val="nil"/>
          <w:right w:val="nil"/>
          <w:insideH w:val="nil"/>
          <w:insideV w:val="nil"/>
          <w:tl2br w:val="nil"/>
          <w:tr2bl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47">
    <w:name w:val="Colorful List Accent 5"/>
    <w:basedOn w:val="41"/>
    <w:autoRedefine/>
    <w:qFormat/>
    <w:uiPriority w:val="72"/>
    <w:rPr>
      <w:color w:val="000000"/>
    </w:rPr>
    <w:tblPr>
      <w:tblStyleRowBandSize w:val="1"/>
      <w:tblStyleColBandSize w:val="1"/>
    </w:tblPr>
    <w:tcPr>
      <w:shd w:val="clear" w:color="auto" w:fill="EEF5FB"/>
    </w:tcPr>
    <w:tblStylePr w:type="firstRow">
      <w:rPr>
        <w:b/>
        <w:bCs/>
        <w:color w:val="FFFFFF"/>
      </w:rPr>
      <w:tblPr/>
      <w:tcPr>
        <w:tcBorders>
          <w:top w:val="nil"/>
          <w:left w:val="single" w:color="FFFFFF" w:sz="12" w:space="0"/>
          <w:bottom w:val="nil"/>
          <w:right w:val="nil"/>
          <w:insideH w:val="nil"/>
          <w:insideV w:val="nil"/>
          <w:tl2br w:val="nil"/>
          <w:tr2bl w:val="nil"/>
        </w:tcBorders>
        <w:shd w:val="clear" w:color="auto" w:fill="598A38"/>
      </w:tcPr>
    </w:tblStylePr>
    <w:tblStylePr w:type="lastRow">
      <w:rPr>
        <w:b/>
        <w:bCs/>
        <w:color w:val="598A38"/>
      </w:rPr>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6E6F4"/>
      </w:tcPr>
    </w:tblStylePr>
    <w:tblStylePr w:type="band1Horz">
      <w:tblPr/>
      <w:tcPr>
        <w:shd w:val="clear" w:color="auto" w:fill="DEEAF6"/>
      </w:tcPr>
    </w:tblStylePr>
  </w:style>
  <w:style w:type="character" w:styleId="49">
    <w:name w:val="Strong"/>
    <w:autoRedefine/>
    <w:qFormat/>
    <w:uiPriority w:val="22"/>
    <w:rPr>
      <w:b/>
      <w:bCs/>
    </w:rPr>
  </w:style>
  <w:style w:type="character" w:styleId="50">
    <w:name w:val="page number"/>
    <w:autoRedefine/>
    <w:qFormat/>
    <w:uiPriority w:val="0"/>
  </w:style>
  <w:style w:type="character" w:styleId="51">
    <w:name w:val="Emphasis"/>
    <w:autoRedefine/>
    <w:qFormat/>
    <w:uiPriority w:val="0"/>
    <w:rPr>
      <w:rFonts w:ascii="Cambria" w:hAnsi="Cambria" w:eastAsia="黑体"/>
      <w:b/>
      <w:iCs/>
      <w:sz w:val="24"/>
    </w:rPr>
  </w:style>
  <w:style w:type="character" w:styleId="52">
    <w:name w:val="line number"/>
    <w:autoRedefine/>
    <w:qFormat/>
    <w:uiPriority w:val="0"/>
  </w:style>
  <w:style w:type="character" w:styleId="53">
    <w:name w:val="Hyperlink"/>
    <w:basedOn w:val="48"/>
    <w:autoRedefine/>
    <w:unhideWhenUsed/>
    <w:qFormat/>
    <w:uiPriority w:val="99"/>
    <w:rPr>
      <w:color w:val="0563C1"/>
      <w:u w:val="single"/>
    </w:rPr>
  </w:style>
  <w:style w:type="character" w:styleId="54">
    <w:name w:val="annotation reference"/>
    <w:basedOn w:val="48"/>
    <w:autoRedefine/>
    <w:unhideWhenUsed/>
    <w:qFormat/>
    <w:uiPriority w:val="0"/>
    <w:rPr>
      <w:sz w:val="21"/>
      <w:szCs w:val="21"/>
    </w:rPr>
  </w:style>
  <w:style w:type="character" w:customStyle="1" w:styleId="55">
    <w:name w:val="正文文本 字符"/>
    <w:basedOn w:val="48"/>
    <w:link w:val="12"/>
    <w:autoRedefine/>
    <w:qFormat/>
    <w:uiPriority w:val="0"/>
    <w:rPr>
      <w:rFonts w:ascii="宋体" w:hAnsi="Courier New" w:eastAsia="仿宋" w:cs="Times New Roman"/>
      <w:sz w:val="28"/>
      <w:szCs w:val="20"/>
    </w:rPr>
  </w:style>
  <w:style w:type="character" w:customStyle="1" w:styleId="56">
    <w:name w:val="标题 1 字符"/>
    <w:basedOn w:val="48"/>
    <w:autoRedefine/>
    <w:qFormat/>
    <w:uiPriority w:val="0"/>
    <w:rPr>
      <w:rFonts w:ascii="黑体" w:hAnsi="黑体" w:eastAsia="黑体" w:cs="仿宋"/>
      <w:kern w:val="44"/>
      <w:sz w:val="32"/>
      <w:szCs w:val="28"/>
    </w:rPr>
  </w:style>
  <w:style w:type="character" w:customStyle="1" w:styleId="57">
    <w:name w:val="标题 2 字符"/>
    <w:basedOn w:val="48"/>
    <w:link w:val="3"/>
    <w:autoRedefine/>
    <w:qFormat/>
    <w:uiPriority w:val="0"/>
    <w:rPr>
      <w:rFonts w:ascii="黑体" w:hAnsi="黑体" w:eastAsia="黑体" w:cs="Times New Roman"/>
      <w:bCs/>
      <w:sz w:val="30"/>
      <w:szCs w:val="32"/>
    </w:rPr>
  </w:style>
  <w:style w:type="character" w:customStyle="1" w:styleId="58">
    <w:name w:val="标题 3 字符"/>
    <w:basedOn w:val="48"/>
    <w:link w:val="4"/>
    <w:autoRedefine/>
    <w:qFormat/>
    <w:uiPriority w:val="9"/>
    <w:rPr>
      <w:rFonts w:eastAsia="黑体" w:cs="仿宋"/>
      <w:b/>
      <w:kern w:val="2"/>
      <w:sz w:val="28"/>
      <w:szCs w:val="28"/>
    </w:rPr>
  </w:style>
  <w:style w:type="character" w:customStyle="1" w:styleId="59">
    <w:name w:val="标题 4 字符"/>
    <w:basedOn w:val="48"/>
    <w:link w:val="5"/>
    <w:autoRedefine/>
    <w:qFormat/>
    <w:uiPriority w:val="9"/>
    <w:rPr>
      <w:rFonts w:eastAsia="仿宋" w:cs="Times New Roman"/>
      <w:b/>
      <w:bCs/>
      <w:kern w:val="2"/>
      <w:sz w:val="28"/>
      <w:szCs w:val="28"/>
    </w:rPr>
  </w:style>
  <w:style w:type="character" w:customStyle="1" w:styleId="60">
    <w:name w:val="标题 5 字符"/>
    <w:basedOn w:val="48"/>
    <w:link w:val="6"/>
    <w:autoRedefine/>
    <w:qFormat/>
    <w:uiPriority w:val="9"/>
    <w:rPr>
      <w:rFonts w:ascii="仿宋" w:hAnsi="仿宋" w:eastAsia="仿宋"/>
      <w:b/>
      <w:bCs/>
      <w:sz w:val="28"/>
      <w:szCs w:val="28"/>
    </w:rPr>
  </w:style>
  <w:style w:type="character" w:customStyle="1" w:styleId="61">
    <w:name w:val="TOC 7 字符"/>
    <w:link w:val="9"/>
    <w:autoRedefine/>
    <w:qFormat/>
    <w:uiPriority w:val="39"/>
    <w:rPr>
      <w:rFonts w:ascii="等线" w:hAnsi="等线" w:eastAsia="等线" w:cs="Times New Roman"/>
      <w:sz w:val="21"/>
      <w:szCs w:val="28"/>
    </w:rPr>
  </w:style>
  <w:style w:type="character" w:customStyle="1" w:styleId="62">
    <w:name w:val="文档结构图 字符"/>
    <w:basedOn w:val="48"/>
    <w:link w:val="14"/>
    <w:autoRedefine/>
    <w:qFormat/>
    <w:uiPriority w:val="0"/>
    <w:rPr>
      <w:rFonts w:ascii="宋体" w:hAnsi="仿宋" w:eastAsia="宋体"/>
      <w:sz w:val="18"/>
      <w:szCs w:val="18"/>
    </w:rPr>
  </w:style>
  <w:style w:type="character" w:customStyle="1" w:styleId="63">
    <w:name w:val="批注文字 字符"/>
    <w:basedOn w:val="48"/>
    <w:link w:val="15"/>
    <w:autoRedefine/>
    <w:qFormat/>
    <w:uiPriority w:val="0"/>
    <w:rPr>
      <w:rFonts w:ascii="仿宋" w:hAnsi="仿宋" w:eastAsia="仿宋"/>
      <w:sz w:val="28"/>
      <w:szCs w:val="21"/>
    </w:rPr>
  </w:style>
  <w:style w:type="character" w:customStyle="1" w:styleId="64">
    <w:name w:val="正文文本 3 字符"/>
    <w:basedOn w:val="48"/>
    <w:link w:val="16"/>
    <w:autoRedefine/>
    <w:qFormat/>
    <w:uiPriority w:val="0"/>
    <w:rPr>
      <w:rFonts w:ascii="Times New Roman" w:hAnsi="Times New Roman" w:eastAsia="仿宋" w:cs="Times New Roman"/>
      <w:sz w:val="16"/>
      <w:szCs w:val="16"/>
    </w:rPr>
  </w:style>
  <w:style w:type="character" w:customStyle="1" w:styleId="65">
    <w:name w:val="正文文本缩进 字符"/>
    <w:basedOn w:val="48"/>
    <w:link w:val="17"/>
    <w:autoRedefine/>
    <w:qFormat/>
    <w:uiPriority w:val="99"/>
    <w:rPr>
      <w:rFonts w:ascii="宋体" w:hAnsi="宋体"/>
      <w:b/>
      <w:sz w:val="52"/>
      <w:szCs w:val="52"/>
    </w:rPr>
  </w:style>
  <w:style w:type="character" w:customStyle="1" w:styleId="66">
    <w:name w:val="纯文本 字符"/>
    <w:basedOn w:val="48"/>
    <w:link w:val="21"/>
    <w:autoRedefine/>
    <w:qFormat/>
    <w:uiPriority w:val="0"/>
    <w:rPr>
      <w:rFonts w:ascii="宋体" w:hAnsi="Courier New" w:eastAsia="仿宋" w:cs="Times New Roman"/>
      <w:szCs w:val="21"/>
    </w:rPr>
  </w:style>
  <w:style w:type="character" w:customStyle="1" w:styleId="67">
    <w:name w:val="日期 字符"/>
    <w:basedOn w:val="48"/>
    <w:link w:val="23"/>
    <w:autoRedefine/>
    <w:qFormat/>
    <w:uiPriority w:val="0"/>
    <w:rPr>
      <w:rFonts w:ascii="Times New Roman" w:hAnsi="Times New Roman" w:eastAsia="仿宋" w:cs="Times New Roman"/>
      <w:sz w:val="28"/>
      <w:szCs w:val="28"/>
    </w:rPr>
  </w:style>
  <w:style w:type="character" w:customStyle="1" w:styleId="68">
    <w:name w:val="正文文本缩进 2 字符"/>
    <w:basedOn w:val="48"/>
    <w:link w:val="24"/>
    <w:autoRedefine/>
    <w:qFormat/>
    <w:uiPriority w:val="0"/>
    <w:rPr>
      <w:rFonts w:ascii="仿宋" w:hAnsi="仿宋" w:eastAsia="仿宋"/>
      <w:sz w:val="28"/>
      <w:szCs w:val="21"/>
    </w:rPr>
  </w:style>
  <w:style w:type="character" w:customStyle="1" w:styleId="69">
    <w:name w:val="批注框文本 字符"/>
    <w:basedOn w:val="48"/>
    <w:link w:val="25"/>
    <w:autoRedefine/>
    <w:qFormat/>
    <w:uiPriority w:val="0"/>
    <w:rPr>
      <w:rFonts w:ascii="仿宋" w:hAnsi="仿宋" w:eastAsia="仿宋"/>
      <w:sz w:val="18"/>
      <w:szCs w:val="18"/>
    </w:rPr>
  </w:style>
  <w:style w:type="character" w:customStyle="1" w:styleId="70">
    <w:name w:val="页脚 字符"/>
    <w:basedOn w:val="48"/>
    <w:link w:val="26"/>
    <w:autoRedefine/>
    <w:qFormat/>
    <w:uiPriority w:val="99"/>
    <w:rPr>
      <w:rFonts w:eastAsia="仿宋"/>
      <w:kern w:val="2"/>
      <w:sz w:val="18"/>
      <w:szCs w:val="18"/>
    </w:rPr>
  </w:style>
  <w:style w:type="character" w:customStyle="1" w:styleId="71">
    <w:name w:val="页眉 字符"/>
    <w:basedOn w:val="48"/>
    <w:link w:val="27"/>
    <w:autoRedefine/>
    <w:qFormat/>
    <w:uiPriority w:val="99"/>
    <w:rPr>
      <w:rFonts w:ascii="仿宋" w:hAnsi="仿宋" w:eastAsia="仿宋"/>
      <w:sz w:val="18"/>
      <w:szCs w:val="18"/>
    </w:rPr>
  </w:style>
  <w:style w:type="character" w:customStyle="1" w:styleId="72">
    <w:name w:val="副标题 字符1"/>
    <w:link w:val="30"/>
    <w:autoRedefine/>
    <w:qFormat/>
    <w:uiPriority w:val="11"/>
    <w:rPr>
      <w:rFonts w:ascii="Cambria" w:hAnsi="Cambria" w:eastAsia="黑体"/>
      <w:b/>
      <w:bCs/>
      <w:kern w:val="28"/>
      <w:sz w:val="24"/>
      <w:szCs w:val="32"/>
    </w:rPr>
  </w:style>
  <w:style w:type="character" w:customStyle="1" w:styleId="73">
    <w:name w:val="正文文本缩进 3 字符"/>
    <w:basedOn w:val="48"/>
    <w:link w:val="32"/>
    <w:autoRedefine/>
    <w:qFormat/>
    <w:uiPriority w:val="0"/>
    <w:rPr>
      <w:rFonts w:ascii="Arial" w:hAnsi="Arial" w:eastAsia="仿宋" w:cs="Times New Roman"/>
      <w:sz w:val="16"/>
      <w:szCs w:val="16"/>
    </w:rPr>
  </w:style>
  <w:style w:type="character" w:customStyle="1" w:styleId="74">
    <w:name w:val="正文文本 2 字符"/>
    <w:basedOn w:val="48"/>
    <w:link w:val="35"/>
    <w:autoRedefine/>
    <w:qFormat/>
    <w:uiPriority w:val="0"/>
    <w:rPr>
      <w:rFonts w:ascii="Times New Roman" w:hAnsi="Times New Roman" w:eastAsia="宋体" w:cs="Times New Roman"/>
      <w:sz w:val="24"/>
      <w:szCs w:val="24"/>
    </w:rPr>
  </w:style>
  <w:style w:type="character" w:customStyle="1" w:styleId="75">
    <w:name w:val="普通(网站) 字符"/>
    <w:link w:val="36"/>
    <w:autoRedefine/>
    <w:qFormat/>
    <w:uiPriority w:val="0"/>
    <w:rPr>
      <w:rFonts w:ascii="仿宋" w:hAnsi="仿宋" w:eastAsia="仿宋"/>
      <w:sz w:val="24"/>
      <w:szCs w:val="21"/>
    </w:rPr>
  </w:style>
  <w:style w:type="character" w:customStyle="1" w:styleId="76">
    <w:name w:val="标题 字符"/>
    <w:basedOn w:val="48"/>
    <w:link w:val="38"/>
    <w:autoRedefine/>
    <w:qFormat/>
    <w:uiPriority w:val="10"/>
    <w:rPr>
      <w:rFonts w:ascii="Cambria" w:hAnsi="Cambria" w:eastAsia="仿宋" w:cs="Times New Roman"/>
      <w:b/>
      <w:bCs/>
      <w:kern w:val="0"/>
      <w:sz w:val="32"/>
      <w:szCs w:val="32"/>
    </w:rPr>
  </w:style>
  <w:style w:type="character" w:customStyle="1" w:styleId="77">
    <w:name w:val="批注主题 字符"/>
    <w:basedOn w:val="63"/>
    <w:link w:val="39"/>
    <w:autoRedefine/>
    <w:qFormat/>
    <w:uiPriority w:val="0"/>
    <w:rPr>
      <w:rFonts w:ascii="Times New Roman" w:hAnsi="Times New Roman" w:eastAsia="仿宋" w:cs="Times New Roman"/>
      <w:b/>
      <w:bCs/>
      <w:sz w:val="28"/>
      <w:szCs w:val="28"/>
    </w:rPr>
  </w:style>
  <w:style w:type="character" w:customStyle="1" w:styleId="78">
    <w:name w:val="正文文本首行缩进 2 字符"/>
    <w:basedOn w:val="65"/>
    <w:link w:val="40"/>
    <w:autoRedefine/>
    <w:qFormat/>
    <w:uiPriority w:val="0"/>
    <w:rPr>
      <w:rFonts w:ascii="Times New Roman" w:hAnsi="Times New Roman" w:eastAsia="仿宋" w:cs="Times New Roman"/>
      <w:snapToGrid w:val="0"/>
      <w:kern w:val="0"/>
      <w:sz w:val="28"/>
      <w:szCs w:val="20"/>
    </w:rPr>
  </w:style>
  <w:style w:type="table" w:customStyle="1" w:styleId="79">
    <w:name w:val="浅色列表 - 强调文字颜色 11"/>
    <w:basedOn w:val="41"/>
    <w:autoRedefine/>
    <w:qFormat/>
    <w:uiPriority w:val="61"/>
    <w:tblPr>
      <w:tblBorders>
        <w:top w:val="single" w:color="4472C4" w:sz="8" w:space="0"/>
        <w:left w:val="single" w:color="4472C4" w:sz="8" w:space="0"/>
        <w:bottom w:val="single" w:color="4472C4" w:sz="8" w:space="0"/>
        <w:right w:val="single" w:color="4472C4" w:sz="8" w:space="0"/>
      </w:tblBorders>
    </w:tblPr>
    <w:tblStylePr w:type="firstRow">
      <w:pPr>
        <w:spacing w:before="0" w:after="0" w:line="240" w:lineRule="auto"/>
      </w:pPr>
      <w:rPr>
        <w:b/>
        <w:bCs/>
        <w:color w:val="FFFFFF"/>
      </w:rPr>
      <w:tcPr>
        <w:shd w:val="clear" w:color="auto" w:fill="4472C4"/>
      </w:tcPr>
    </w:tblStylePr>
    <w:tblStylePr w:type="lastRow">
      <w:pPr>
        <w:spacing w:before="0" w:after="0" w:line="240" w:lineRule="auto"/>
      </w:pPr>
      <w:rPr>
        <w:b/>
        <w:bCs/>
      </w:rPr>
      <w:tcPr>
        <w:tcBorders>
          <w:top w:val="double" w:color="4472C4" w:sz="6" w:space="0"/>
          <w:left w:val="single" w:color="4472C4" w:sz="8" w:space="0"/>
          <w:bottom w:val="single" w:color="4472C4" w:sz="8" w:space="0"/>
          <w:right w:val="single" w:color="4472C4"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472C4" w:sz="8" w:space="0"/>
          <w:left w:val="single" w:color="4472C4" w:sz="8" w:space="0"/>
          <w:bottom w:val="single" w:color="4472C4" w:sz="8" w:space="0"/>
          <w:right w:val="single" w:color="4472C4" w:sz="8" w:space="0"/>
          <w:insideH w:val="nil"/>
          <w:insideV w:val="nil"/>
          <w:tl2br w:val="nil"/>
          <w:tr2bl w:val="nil"/>
        </w:tcBorders>
      </w:tcPr>
    </w:tblStylePr>
    <w:tblStylePr w:type="band1Horz">
      <w:tcPr>
        <w:tcBorders>
          <w:top w:val="single" w:color="4472C4" w:sz="8" w:space="0"/>
          <w:left w:val="single" w:color="4472C4" w:sz="8" w:space="0"/>
          <w:bottom w:val="single" w:color="4472C4" w:sz="8" w:space="0"/>
          <w:right w:val="single" w:color="4472C4" w:sz="8" w:space="0"/>
          <w:insideH w:val="nil"/>
          <w:insideV w:val="nil"/>
          <w:tl2br w:val="nil"/>
          <w:tr2bl w:val="nil"/>
        </w:tcBorders>
      </w:tcPr>
    </w:tblStylePr>
  </w:style>
  <w:style w:type="paragraph" w:customStyle="1" w:styleId="80">
    <w:name w:val="正文缩进两字符"/>
    <w:basedOn w:val="1"/>
    <w:autoRedefine/>
    <w:unhideWhenUsed/>
    <w:qFormat/>
    <w:uiPriority w:val="0"/>
    <w:pPr>
      <w:spacing w:line="280" w:lineRule="exact"/>
    </w:pPr>
    <w:rPr>
      <w:sz w:val="18"/>
    </w:rPr>
  </w:style>
  <w:style w:type="paragraph" w:customStyle="1" w:styleId="81">
    <w:name w:val="图名表名"/>
    <w:basedOn w:val="82"/>
    <w:link w:val="83"/>
    <w:autoRedefine/>
    <w:qFormat/>
    <w:uiPriority w:val="0"/>
    <w:pPr>
      <w:spacing w:after="0" w:line="240" w:lineRule="auto"/>
      <w:outlineLvl w:val="3"/>
    </w:pPr>
    <w:rPr>
      <w:rFonts w:ascii="仿宋" w:hAnsi="仿宋"/>
      <w:kern w:val="0"/>
    </w:rPr>
  </w:style>
  <w:style w:type="paragraph" w:customStyle="1" w:styleId="82">
    <w:name w:val="02图名"/>
    <w:basedOn w:val="1"/>
    <w:autoRedefine/>
    <w:qFormat/>
    <w:uiPriority w:val="0"/>
    <w:pPr>
      <w:autoSpaceDE w:val="0"/>
      <w:spacing w:after="120"/>
      <w:ind w:firstLine="0" w:firstLineChars="0"/>
      <w:jc w:val="center"/>
    </w:pPr>
    <w:rPr>
      <w:rFonts w:ascii="宋体" w:hAnsi="宋体"/>
      <w:b/>
      <w:szCs w:val="30"/>
    </w:rPr>
  </w:style>
  <w:style w:type="character" w:customStyle="1" w:styleId="83">
    <w:name w:val="图名表名 Char"/>
    <w:link w:val="81"/>
    <w:autoRedefine/>
    <w:qFormat/>
    <w:uiPriority w:val="0"/>
    <w:rPr>
      <w:rFonts w:ascii="仿宋" w:hAnsi="仿宋" w:eastAsia="仿宋"/>
      <w:b/>
      <w:sz w:val="28"/>
      <w:szCs w:val="30"/>
    </w:rPr>
  </w:style>
  <w:style w:type="paragraph" w:customStyle="1" w:styleId="84">
    <w:name w:val="图表小标题"/>
    <w:basedOn w:val="1"/>
    <w:next w:val="14"/>
    <w:link w:val="85"/>
    <w:autoRedefine/>
    <w:qFormat/>
    <w:uiPriority w:val="99"/>
    <w:pPr>
      <w:ind w:firstLine="0" w:firstLineChars="0"/>
      <w:jc w:val="center"/>
    </w:pPr>
    <w:rPr>
      <w:rFonts w:ascii="黑体" w:hAnsi="仿宋" w:eastAsia="黑体"/>
      <w:b/>
      <w:kern w:val="0"/>
      <w:sz w:val="20"/>
    </w:rPr>
  </w:style>
  <w:style w:type="character" w:customStyle="1" w:styleId="85">
    <w:name w:val="图表小标题 Char"/>
    <w:link w:val="84"/>
    <w:autoRedefine/>
    <w:qFormat/>
    <w:uiPriority w:val="99"/>
    <w:rPr>
      <w:rFonts w:ascii="黑体" w:hAnsi="仿宋" w:eastAsia="黑体"/>
      <w:b/>
      <w:szCs w:val="21"/>
    </w:rPr>
  </w:style>
  <w:style w:type="paragraph" w:customStyle="1" w:styleId="86">
    <w:name w:val="一级"/>
    <w:basedOn w:val="2"/>
    <w:autoRedefine/>
    <w:qFormat/>
    <w:uiPriority w:val="0"/>
    <w:pPr>
      <w:keepNext w:val="0"/>
    </w:pPr>
  </w:style>
  <w:style w:type="paragraph" w:styleId="87">
    <w:name w:val="List Paragraph"/>
    <w:basedOn w:val="1"/>
    <w:autoRedefine/>
    <w:qFormat/>
    <w:uiPriority w:val="34"/>
    <w:pPr>
      <w:ind w:firstLine="420"/>
    </w:pPr>
  </w:style>
  <w:style w:type="paragraph" w:customStyle="1" w:styleId="88">
    <w:name w:val="表格内容-1"/>
    <w:next w:val="1"/>
    <w:link w:val="89"/>
    <w:autoRedefine/>
    <w:qFormat/>
    <w:uiPriority w:val="0"/>
    <w:pPr>
      <w:jc w:val="center"/>
    </w:pPr>
    <w:rPr>
      <w:rFonts w:ascii="仿宋" w:hAnsi="仿宋" w:eastAsia="仿宋" w:cs="Times New Roman"/>
      <w:bCs/>
      <w:sz w:val="24"/>
      <w:szCs w:val="21"/>
      <w:lang w:val="en-US" w:eastAsia="zh-CN" w:bidi="ar-SA"/>
    </w:rPr>
  </w:style>
  <w:style w:type="character" w:customStyle="1" w:styleId="89">
    <w:name w:val="表格内容-1 Char"/>
    <w:link w:val="88"/>
    <w:autoRedefine/>
    <w:qFormat/>
    <w:uiPriority w:val="0"/>
    <w:rPr>
      <w:rFonts w:ascii="仿宋" w:hAnsi="仿宋" w:eastAsia="仿宋"/>
      <w:bCs/>
      <w:sz w:val="24"/>
      <w:szCs w:val="21"/>
      <w:lang w:bidi="ar-SA"/>
    </w:rPr>
  </w:style>
  <w:style w:type="paragraph" w:customStyle="1" w:styleId="90">
    <w:name w:val="表内文字"/>
    <w:basedOn w:val="91"/>
    <w:link w:val="92"/>
    <w:autoRedefine/>
    <w:qFormat/>
    <w:uiPriority w:val="0"/>
    <w:rPr>
      <w:rFonts w:ascii="Times New Roman" w:hAnsi="Times New Roman" w:cs="Times New Roman"/>
      <w:b w:val="0"/>
      <w:sz w:val="20"/>
      <w:szCs w:val="20"/>
    </w:rPr>
  </w:style>
  <w:style w:type="paragraph" w:customStyle="1" w:styleId="91">
    <w:name w:val="图表 Char"/>
    <w:autoRedefine/>
    <w:semiHidden/>
    <w:qFormat/>
    <w:uiPriority w:val="0"/>
    <w:pPr>
      <w:adjustRightInd w:val="0"/>
      <w:spacing w:line="360" w:lineRule="auto"/>
      <w:jc w:val="center"/>
      <w:textAlignment w:val="center"/>
    </w:pPr>
    <w:rPr>
      <w:rFonts w:ascii="宋体" w:hAnsi="宋体" w:eastAsia="宋体" w:cs="Calibri"/>
      <w:b/>
      <w:sz w:val="21"/>
      <w:szCs w:val="10"/>
      <w:lang w:val="en-US" w:eastAsia="zh-CN" w:bidi="ar-SA"/>
    </w:rPr>
  </w:style>
  <w:style w:type="character" w:customStyle="1" w:styleId="92">
    <w:name w:val="表内文字 Char Char"/>
    <w:link w:val="90"/>
    <w:autoRedefine/>
    <w:qFormat/>
    <w:uiPriority w:val="0"/>
    <w:rPr>
      <w:rFonts w:ascii="Times New Roman" w:hAnsi="Times New Roman" w:eastAsia="宋体" w:cs="Times New Roman"/>
      <w:kern w:val="0"/>
      <w:szCs w:val="20"/>
    </w:rPr>
  </w:style>
  <w:style w:type="paragraph" w:customStyle="1" w:styleId="93">
    <w:name w:val="图名图表"/>
    <w:basedOn w:val="1"/>
    <w:next w:val="1"/>
    <w:link w:val="94"/>
    <w:autoRedefine/>
    <w:qFormat/>
    <w:uiPriority w:val="0"/>
    <w:pPr>
      <w:ind w:firstLine="0" w:firstLineChars="0"/>
      <w:jc w:val="center"/>
      <w:outlineLvl w:val="3"/>
    </w:pPr>
    <w:rPr>
      <w:rFonts w:ascii="仿宋" w:hAnsi="仿宋"/>
      <w:b/>
      <w:kern w:val="0"/>
    </w:rPr>
  </w:style>
  <w:style w:type="character" w:customStyle="1" w:styleId="94">
    <w:name w:val="图名图表 Char"/>
    <w:link w:val="93"/>
    <w:autoRedefine/>
    <w:qFormat/>
    <w:uiPriority w:val="0"/>
    <w:rPr>
      <w:rFonts w:ascii="仿宋" w:hAnsi="仿宋" w:eastAsia="仿宋"/>
      <w:b/>
      <w:sz w:val="28"/>
      <w:szCs w:val="21"/>
    </w:rPr>
  </w:style>
  <w:style w:type="paragraph" w:customStyle="1" w:styleId="95">
    <w:name w:val="表格内文字"/>
    <w:basedOn w:val="1"/>
    <w:autoRedefine/>
    <w:qFormat/>
    <w:uiPriority w:val="0"/>
    <w:pPr>
      <w:widowControl/>
      <w:spacing w:line="240" w:lineRule="auto"/>
      <w:ind w:firstLine="0" w:firstLineChars="0"/>
      <w:contextualSpacing/>
      <w:jc w:val="center"/>
    </w:pPr>
    <w:rPr>
      <w:sz w:val="24"/>
      <w:szCs w:val="20"/>
    </w:rPr>
  </w:style>
  <w:style w:type="paragraph" w:customStyle="1" w:styleId="96">
    <w:name w:val="正文02"/>
    <w:basedOn w:val="2"/>
    <w:next w:val="1"/>
    <w:link w:val="97"/>
    <w:autoRedefine/>
    <w:qFormat/>
    <w:uiPriority w:val="0"/>
    <w:pPr>
      <w:ind w:firstLine="1080" w:firstLineChars="200"/>
      <w:jc w:val="left"/>
    </w:pPr>
    <w:rPr>
      <w:rFonts w:ascii="仿宋" w:hAnsi="仿宋" w:eastAsia="仿宋" w:cs="Times New Roman"/>
      <w:sz w:val="28"/>
    </w:rPr>
  </w:style>
  <w:style w:type="character" w:customStyle="1" w:styleId="97">
    <w:name w:val="正文02 Char"/>
    <w:link w:val="96"/>
    <w:autoRedefine/>
    <w:qFormat/>
    <w:uiPriority w:val="0"/>
    <w:rPr>
      <w:rFonts w:ascii="仿宋" w:hAnsi="仿宋" w:eastAsia="仿宋" w:cs="仿宋"/>
      <w:kern w:val="44"/>
      <w:sz w:val="28"/>
      <w:szCs w:val="28"/>
    </w:rPr>
  </w:style>
  <w:style w:type="paragraph" w:customStyle="1" w:styleId="98">
    <w:name w:val="WPSOffice手动目录 1"/>
    <w:autoRedefine/>
    <w:qFormat/>
    <w:uiPriority w:val="0"/>
    <w:rPr>
      <w:rFonts w:ascii="方正小标宋简体" w:hAnsi="等线" w:eastAsia="方正小标宋简体" w:cs="Times New Roman"/>
      <w:lang w:val="en-US" w:eastAsia="zh-CN" w:bidi="ar-SA"/>
    </w:rPr>
  </w:style>
  <w:style w:type="paragraph" w:customStyle="1" w:styleId="99">
    <w:name w:val="WPSOffice手动目录 2"/>
    <w:autoRedefine/>
    <w:qFormat/>
    <w:uiPriority w:val="0"/>
    <w:pPr>
      <w:ind w:left="200" w:leftChars="200"/>
    </w:pPr>
    <w:rPr>
      <w:rFonts w:ascii="方正小标宋简体" w:hAnsi="等线" w:eastAsia="方正小标宋简体" w:cs="Times New Roman"/>
      <w:lang w:val="en-US" w:eastAsia="zh-CN" w:bidi="ar-SA"/>
    </w:rPr>
  </w:style>
  <w:style w:type="character" w:customStyle="1" w:styleId="100">
    <w:name w:val="表内文字 Char"/>
    <w:autoRedefine/>
    <w:qFormat/>
    <w:uiPriority w:val="0"/>
    <w:rPr>
      <w:rFonts w:hAnsi="仿宋_GB2312" w:eastAsia="仿宋"/>
      <w:sz w:val="24"/>
      <w:szCs w:val="22"/>
    </w:rPr>
  </w:style>
  <w:style w:type="paragraph" w:styleId="101">
    <w:name w:val="No Spacing"/>
    <w:link w:val="102"/>
    <w:autoRedefine/>
    <w:qFormat/>
    <w:uiPriority w:val="0"/>
    <w:pPr>
      <w:widowControl w:val="0"/>
      <w:jc w:val="both"/>
    </w:pPr>
    <w:rPr>
      <w:rFonts w:ascii="宋体" w:hAnsi="Calibri" w:eastAsia="仿宋_GB2312" w:cs="Times New Roman"/>
      <w:szCs w:val="28"/>
      <w:lang w:val="en-US" w:eastAsia="zh-CN" w:bidi="ar-SA"/>
    </w:rPr>
  </w:style>
  <w:style w:type="character" w:customStyle="1" w:styleId="102">
    <w:name w:val="无间隔 字符"/>
    <w:link w:val="101"/>
    <w:autoRedefine/>
    <w:qFormat/>
    <w:uiPriority w:val="0"/>
    <w:rPr>
      <w:rFonts w:ascii="宋体" w:hAnsi="Calibri" w:eastAsia="仿宋_GB2312"/>
      <w:szCs w:val="28"/>
      <w:lang w:bidi="ar-SA"/>
    </w:rPr>
  </w:style>
  <w:style w:type="paragraph" w:customStyle="1" w:styleId="103">
    <w:name w:val="01正文"/>
    <w:basedOn w:val="1"/>
    <w:autoRedefine/>
    <w:qFormat/>
    <w:uiPriority w:val="0"/>
    <w:pPr>
      <w:snapToGrid w:val="0"/>
      <w:ind w:firstLine="420"/>
      <w:jc w:val="left"/>
    </w:pPr>
    <w:rPr>
      <w:rFonts w:ascii="宋体" w:hAnsi="宋体"/>
      <w:sz w:val="24"/>
    </w:rPr>
  </w:style>
  <w:style w:type="paragraph" w:customStyle="1" w:styleId="104">
    <w:name w:val="岳阳正文"/>
    <w:basedOn w:val="1"/>
    <w:autoRedefine/>
    <w:qFormat/>
    <w:uiPriority w:val="0"/>
    <w:pPr>
      <w:spacing w:line="460" w:lineRule="exact"/>
      <w:ind w:firstLine="560"/>
    </w:pPr>
    <w:rPr>
      <w:rFonts w:ascii="黑体" w:hAnsi="黑体" w:eastAsia="仿宋_GB2312"/>
      <w:kern w:val="32"/>
      <w:szCs w:val="30"/>
    </w:rPr>
  </w:style>
  <w:style w:type="paragraph" w:customStyle="1" w:styleId="105">
    <w:name w:val="表头"/>
    <w:basedOn w:val="1"/>
    <w:autoRedefine/>
    <w:qFormat/>
    <w:uiPriority w:val="0"/>
    <w:pPr>
      <w:spacing w:line="480" w:lineRule="exact"/>
      <w:ind w:firstLine="0" w:firstLineChars="0"/>
      <w:jc w:val="center"/>
    </w:pPr>
    <w:rPr>
      <w:rFonts w:hint="eastAsia" w:ascii="黑体" w:hAnsi="黑体" w:eastAsia="黑体"/>
      <w:b/>
      <w:kern w:val="0"/>
      <w:sz w:val="21"/>
    </w:rPr>
  </w:style>
  <w:style w:type="paragraph" w:customStyle="1" w:styleId="106">
    <w:name w:val="插图插表名称"/>
    <w:basedOn w:val="1"/>
    <w:autoRedefine/>
    <w:qFormat/>
    <w:uiPriority w:val="0"/>
    <w:pPr>
      <w:spacing w:line="240" w:lineRule="auto"/>
      <w:ind w:firstLine="0" w:firstLineChars="0"/>
      <w:jc w:val="center"/>
    </w:pPr>
    <w:rPr>
      <w:rFonts w:cs="宋体"/>
      <w:b/>
    </w:rPr>
  </w:style>
  <w:style w:type="paragraph" w:customStyle="1" w:styleId="107">
    <w:name w:val="插图、插表名称"/>
    <w:basedOn w:val="1"/>
    <w:link w:val="108"/>
    <w:autoRedefine/>
    <w:qFormat/>
    <w:uiPriority w:val="0"/>
    <w:pPr>
      <w:spacing w:line="240" w:lineRule="auto"/>
      <w:ind w:firstLine="0" w:firstLineChars="0"/>
      <w:jc w:val="center"/>
    </w:pPr>
    <w:rPr>
      <w:b/>
      <w:sz w:val="21"/>
    </w:rPr>
  </w:style>
  <w:style w:type="character" w:customStyle="1" w:styleId="108">
    <w:name w:val="插图、插表名称 Char"/>
    <w:link w:val="107"/>
    <w:autoRedefine/>
    <w:qFormat/>
    <w:uiPriority w:val="0"/>
    <w:rPr>
      <w:rFonts w:eastAsia="仿宋" w:cs="Times New Roman"/>
      <w:b/>
      <w:kern w:val="2"/>
      <w:sz w:val="21"/>
      <w:szCs w:val="21"/>
    </w:rPr>
  </w:style>
  <w:style w:type="paragraph" w:customStyle="1" w:styleId="109">
    <w:name w:val="图表标题"/>
    <w:link w:val="110"/>
    <w:autoRedefine/>
    <w:qFormat/>
    <w:uiPriority w:val="11"/>
    <w:pPr>
      <w:widowControl w:val="0"/>
      <w:spacing w:line="360" w:lineRule="auto"/>
      <w:jc w:val="center"/>
      <w:outlineLvl w:val="3"/>
    </w:pPr>
    <w:rPr>
      <w:rFonts w:ascii="仿宋" w:hAnsi="仿宋" w:eastAsia="仿宋" w:cs="Times New Roman"/>
      <w:b/>
      <w:bCs/>
      <w:color w:val="000000"/>
      <w:sz w:val="24"/>
      <w:szCs w:val="28"/>
      <w:lang w:val="en-US" w:eastAsia="zh-CN" w:bidi="ar-SA"/>
    </w:rPr>
  </w:style>
  <w:style w:type="character" w:customStyle="1" w:styleId="110">
    <w:name w:val="图表标题 Char"/>
    <w:link w:val="109"/>
    <w:autoRedefine/>
    <w:qFormat/>
    <w:uiPriority w:val="11"/>
    <w:rPr>
      <w:rFonts w:ascii="仿宋" w:hAnsi="仿宋" w:eastAsia="仿宋"/>
      <w:b/>
      <w:bCs/>
      <w:color w:val="000000"/>
      <w:sz w:val="24"/>
      <w:szCs w:val="28"/>
      <w:lang w:bidi="ar-SA"/>
    </w:rPr>
  </w:style>
  <w:style w:type="character" w:customStyle="1" w:styleId="111">
    <w:name w:val="副标题 字符"/>
    <w:basedOn w:val="48"/>
    <w:autoRedefine/>
    <w:qFormat/>
    <w:uiPriority w:val="11"/>
    <w:rPr>
      <w:b/>
      <w:bCs/>
      <w:kern w:val="28"/>
      <w:sz w:val="32"/>
      <w:szCs w:val="32"/>
    </w:rPr>
  </w:style>
  <w:style w:type="paragraph" w:customStyle="1" w:styleId="112">
    <w:name w:val="居中"/>
    <w:basedOn w:val="1"/>
    <w:autoRedefine/>
    <w:qFormat/>
    <w:uiPriority w:val="0"/>
    <w:pPr>
      <w:spacing w:line="360" w:lineRule="auto"/>
      <w:ind w:firstLine="0" w:firstLineChars="0"/>
      <w:jc w:val="center"/>
    </w:pPr>
    <w:rPr>
      <w:rFonts w:ascii="宋体" w:hAnsi="宋体" w:eastAsia="宋体" w:cs="Calibri"/>
      <w:sz w:val="24"/>
      <w:szCs w:val="22"/>
    </w:rPr>
  </w:style>
  <w:style w:type="character" w:customStyle="1" w:styleId="113">
    <w:name w:val="font31"/>
    <w:basedOn w:val="48"/>
    <w:autoRedefine/>
    <w:qFormat/>
    <w:uiPriority w:val="0"/>
    <w:rPr>
      <w:rFonts w:hint="eastAsia" w:ascii="仿宋" w:hAnsi="仿宋" w:eastAsia="仿宋" w:cs="仿宋"/>
      <w:color w:val="000000"/>
      <w:sz w:val="24"/>
      <w:szCs w:val="24"/>
      <w:u w:val="none"/>
    </w:rPr>
  </w:style>
  <w:style w:type="table" w:customStyle="1" w:styleId="114">
    <w:name w:val="网格表 5 深色 - 着色 11"/>
    <w:basedOn w:val="41"/>
    <w:autoRedefine/>
    <w:qFormat/>
    <w:uiPriority w:val="50"/>
    <w:pPr>
      <w:adjustRightInd w:val="0"/>
      <w:snapToGrid w:val="0"/>
      <w:jc w:val="center"/>
    </w:pPr>
    <w:rPr>
      <w:rFonts w:ascii="宋体" w:hAnsi="宋体" w:cs="宋体"/>
      <w:snapToGrid w:val="0"/>
      <w:szCs w:val="28"/>
    </w:rPr>
    <w:tblPr>
      <w:tblBorders>
        <w:top w:val="single" w:color="E7E6E6" w:sz="4" w:space="0"/>
        <w:left w:val="single" w:color="E7E6E6" w:sz="4" w:space="0"/>
        <w:bottom w:val="single" w:color="E7E6E6" w:sz="4" w:space="0"/>
        <w:right w:val="single" w:color="E7E6E6" w:sz="4" w:space="0"/>
        <w:insideH w:val="single" w:color="E7E6E6" w:sz="4" w:space="0"/>
        <w:insideV w:val="single" w:color="E7E6E6" w:sz="4" w:space="0"/>
      </w:tblBorders>
    </w:tblPr>
    <w:tcPr>
      <w:shd w:val="clear" w:color="auto" w:fill="D9E2F3"/>
      <w:vAlign w:val="center"/>
    </w:tcPr>
    <w:tblStylePr w:type="firstRow">
      <w:pPr>
        <w:jc w:val="center"/>
      </w:pPr>
      <w:rPr>
        <w:b/>
        <w:bCs/>
        <w:color w:val="FFFFFF"/>
      </w:rPr>
      <w:tcPr>
        <w:shd w:val="clear" w:color="auto" w:fill="4472C4"/>
      </w:tcPr>
    </w:tblStylePr>
    <w:tblStylePr w:type="lastRow">
      <w:rPr>
        <w:b/>
        <w:bCs/>
        <w:color w:val="FFFFFF"/>
      </w:rPr>
      <w:tcPr>
        <w:tcBorders>
          <w:top w:val="single" w:color="E7E6E6" w:sz="4" w:space="0"/>
          <w:left w:val="single" w:color="E7E6E6" w:sz="4" w:space="0"/>
          <w:bottom w:val="single" w:color="E7E6E6" w:sz="4" w:space="0"/>
          <w:right w:val="single" w:color="E7E6E6" w:sz="4" w:space="0"/>
          <w:insideH w:val="single" w:sz="4" w:space="0"/>
          <w:insideV w:val="single" w:sz="4" w:space="0"/>
          <w:tl2br w:val="nil"/>
          <w:tr2bl w:val="nil"/>
        </w:tcBorders>
        <w:shd w:val="clear" w:color="auto" w:fill="4472C4"/>
      </w:tcPr>
    </w:tblStylePr>
    <w:tblStylePr w:type="firstCol">
      <w:rPr>
        <w:b/>
        <w:bCs/>
        <w:color w:val="FFFFFF"/>
      </w:rPr>
      <w:tcPr>
        <w:tcBorders>
          <w:top w:val="single" w:color="FFFFFF" w:sz="4" w:space="0"/>
          <w:left w:val="single" w:color="FFFFFF" w:sz="4" w:space="0"/>
          <w:bottom w:val="single" w:color="FFFFFF" w:sz="4" w:space="0"/>
          <w:right w:val="nil"/>
          <w:insideH w:val="nil"/>
          <w:insideV w:val="nil"/>
          <w:tl2br w:val="nil"/>
          <w:tr2bl w:val="nil"/>
        </w:tcBorders>
        <w:shd w:val="clear" w:color="auto" w:fill="4472C4"/>
      </w:tcPr>
    </w:tblStylePr>
    <w:tblStylePr w:type="lastCol">
      <w:rPr>
        <w:b/>
        <w:bCs/>
        <w:color w:val="FFFFFF"/>
      </w:rPr>
      <w:tcPr>
        <w:tcBorders>
          <w:top w:val="single" w:color="FFFFFF" w:sz="4" w:space="0"/>
          <w:left w:val="single" w:color="FFFFFF" w:sz="4" w:space="0"/>
          <w:bottom w:val="nil"/>
          <w:right w:val="single" w:color="FFFFFF" w:sz="4" w:space="0"/>
          <w:insideH w:val="nil"/>
          <w:insideV w:val="nil"/>
          <w:tl2br w:val="nil"/>
          <w:tr2bl w:val="nil"/>
        </w:tcBorders>
        <w:shd w:val="clear" w:color="auto" w:fill="4472C4"/>
      </w:tcPr>
    </w:tblStylePr>
    <w:tblStylePr w:type="band1Vert">
      <w:tcPr>
        <w:shd w:val="clear" w:color="auto" w:fill="B4C6E7"/>
      </w:tcPr>
    </w:tblStylePr>
    <w:tblStylePr w:type="band1Horz">
      <w:tcPr>
        <w:shd w:val="clear" w:color="auto" w:fill="B4C6E7"/>
      </w:tcPr>
    </w:tblStylePr>
  </w:style>
  <w:style w:type="paragraph" w:customStyle="1" w:styleId="115">
    <w:name w:val="表格五号"/>
    <w:basedOn w:val="1"/>
    <w:next w:val="1"/>
    <w:autoRedefine/>
    <w:qFormat/>
    <w:uiPriority w:val="0"/>
    <w:pPr>
      <w:spacing w:line="240" w:lineRule="auto"/>
      <w:ind w:firstLine="0" w:firstLineChars="0"/>
      <w:jc w:val="center"/>
    </w:pPr>
    <w:rPr>
      <w:rFonts w:hAnsi="Calibri"/>
      <w:bCs/>
      <w:snapToGrid w:val="0"/>
      <w:color w:val="000000"/>
      <w:kern w:val="0"/>
      <w:sz w:val="21"/>
      <w:szCs w:val="15"/>
    </w:rPr>
  </w:style>
  <w:style w:type="table" w:customStyle="1" w:styleId="116">
    <w:name w:val="表格样式111"/>
    <w:basedOn w:val="41"/>
    <w:autoRedefine/>
    <w:qFormat/>
    <w:uiPriority w:val="50"/>
    <w:pPr>
      <w:adjustRightInd w:val="0"/>
      <w:snapToGrid w:val="0"/>
      <w:jc w:val="center"/>
    </w:pPr>
    <w:rPr>
      <w:rFonts w:ascii="宋体" w:hAnsi="宋体" w:cs="宋体"/>
      <w:snapToGrid w:val="0"/>
    </w:rPr>
    <w:tblPr>
      <w:jc w:val="center"/>
      <w:tblBorders>
        <w:top w:val="single" w:color="E7E6E6" w:sz="4" w:space="0"/>
        <w:left w:val="single" w:color="E7E6E6" w:sz="4" w:space="0"/>
        <w:bottom w:val="single" w:color="E7E6E6" w:sz="4" w:space="0"/>
        <w:right w:val="single" w:color="E7E6E6" w:sz="4" w:space="0"/>
        <w:insideH w:val="single" w:color="E7E6E6" w:sz="4" w:space="0"/>
        <w:insideV w:val="single" w:color="E7E6E6" w:sz="4" w:space="0"/>
      </w:tblBorders>
    </w:tblPr>
    <w:trPr>
      <w:jc w:val="center"/>
    </w:trPr>
    <w:tcPr>
      <w:shd w:val="clear" w:color="auto" w:fill="D9E2F3"/>
      <w:vAlign w:val="center"/>
    </w:tcPr>
    <w:tblStylePr w:type="firstRow">
      <w:pPr>
        <w:jc w:val="center"/>
      </w:pPr>
      <w:rPr>
        <w:rFonts w:ascii="Dutch801 Rm BT" w:hAnsi="Dutch801 Rm BT" w:eastAsia="Dutch801 Rm BT"/>
        <w:b/>
        <w:bCs/>
        <w:i w:val="0"/>
        <w:color w:val="F8F8F8"/>
        <w:sz w:val="21"/>
      </w:rPr>
      <w:tcPr>
        <w:shd w:val="clear" w:color="auto" w:fill="4472C4"/>
      </w:tcPr>
    </w:tblStylePr>
    <w:tblStylePr w:type="lastRow">
      <w:rPr>
        <w:b/>
        <w:bCs/>
        <w:color w:val="FFFFFF"/>
      </w:rPr>
      <w:tcPr>
        <w:tcBorders>
          <w:top w:val="single" w:color="E7E6E6" w:sz="4" w:space="0"/>
          <w:left w:val="single" w:color="E7E6E6" w:sz="4" w:space="0"/>
          <w:bottom w:val="single" w:color="E7E6E6" w:sz="4" w:space="0"/>
          <w:right w:val="single" w:color="E7E6E6" w:sz="4" w:space="0"/>
          <w:insideH w:val="single" w:sz="4" w:space="0"/>
          <w:insideV w:val="single" w:sz="4" w:space="0"/>
          <w:tl2br w:val="nil"/>
          <w:tr2bl w:val="nil"/>
        </w:tcBorders>
        <w:shd w:val="clear" w:color="auto" w:fill="4472C4"/>
      </w:tcPr>
    </w:tblStylePr>
    <w:tblStylePr w:type="firstCol">
      <w:rPr>
        <w:b/>
        <w:bCs/>
        <w:color w:val="FFFFFF"/>
      </w:rPr>
      <w:tcPr>
        <w:tcBorders>
          <w:top w:val="single" w:color="FFFFFF" w:sz="4" w:space="0"/>
          <w:left w:val="single" w:color="FFFFFF" w:sz="4" w:space="0"/>
          <w:bottom w:val="single" w:color="FFFFFF" w:sz="4" w:space="0"/>
          <w:right w:val="nil"/>
          <w:insideH w:val="nil"/>
          <w:insideV w:val="nil"/>
          <w:tl2br w:val="nil"/>
          <w:tr2bl w:val="nil"/>
        </w:tcBorders>
        <w:shd w:val="clear" w:color="auto" w:fill="4472C4"/>
      </w:tcPr>
    </w:tblStylePr>
    <w:tblStylePr w:type="lastCol">
      <w:rPr>
        <w:b/>
        <w:bCs/>
        <w:color w:val="FFFFFF"/>
      </w:rPr>
      <w:tcPr>
        <w:tcBorders>
          <w:top w:val="single" w:color="FFFFFF" w:sz="4" w:space="0"/>
          <w:left w:val="single" w:color="FFFFFF" w:sz="4" w:space="0"/>
          <w:bottom w:val="nil"/>
          <w:right w:val="single" w:color="FFFFFF" w:sz="4" w:space="0"/>
          <w:insideH w:val="nil"/>
          <w:insideV w:val="nil"/>
          <w:tl2br w:val="nil"/>
          <w:tr2bl w:val="nil"/>
        </w:tcBorders>
        <w:shd w:val="clear" w:color="auto" w:fill="4472C4"/>
      </w:tcPr>
    </w:tblStylePr>
    <w:tblStylePr w:type="band1Vert">
      <w:tcPr>
        <w:shd w:val="clear" w:color="auto" w:fill="B4C6E7"/>
      </w:tcPr>
    </w:tblStylePr>
    <w:tblStylePr w:type="band1Horz">
      <w:tcPr>
        <w:shd w:val="clear" w:color="auto" w:fill="B4C6E7"/>
      </w:tcPr>
    </w:tblStylePr>
  </w:style>
  <w:style w:type="paragraph" w:customStyle="1" w:styleId="117">
    <w:name w:val="图片段落"/>
    <w:basedOn w:val="1"/>
    <w:autoRedefine/>
    <w:qFormat/>
    <w:uiPriority w:val="0"/>
    <w:pPr>
      <w:ind w:firstLine="0" w:firstLineChars="0"/>
      <w:contextualSpacing/>
      <w:jc w:val="center"/>
    </w:pPr>
    <w:rPr>
      <w:rFonts w:hAnsi="Calibri"/>
      <w:kern w:val="0"/>
      <w:szCs w:val="22"/>
    </w:rPr>
  </w:style>
  <w:style w:type="paragraph" w:customStyle="1" w:styleId="118">
    <w:name w:val="表格内容"/>
    <w:basedOn w:val="1"/>
    <w:link w:val="119"/>
    <w:autoRedefine/>
    <w:qFormat/>
    <w:uiPriority w:val="0"/>
    <w:pPr>
      <w:spacing w:line="240" w:lineRule="auto"/>
      <w:ind w:firstLine="0" w:firstLineChars="0"/>
      <w:jc w:val="center"/>
    </w:pPr>
    <w:rPr>
      <w:rFonts w:ascii="宋体" w:hAnsi="宋体"/>
      <w:kern w:val="0"/>
      <w:sz w:val="20"/>
      <w:szCs w:val="24"/>
    </w:rPr>
  </w:style>
  <w:style w:type="character" w:customStyle="1" w:styleId="119">
    <w:name w:val="表格内容 Char"/>
    <w:link w:val="118"/>
    <w:autoRedefine/>
    <w:qFormat/>
    <w:uiPriority w:val="0"/>
    <w:rPr>
      <w:rFonts w:ascii="宋体" w:hAnsi="宋体" w:eastAsia="仿宋" w:cs="宋体"/>
      <w:szCs w:val="24"/>
    </w:rPr>
  </w:style>
  <w:style w:type="paragraph" w:customStyle="1" w:styleId="120">
    <w:name w:val="样式 首行缩进:  2 字符"/>
    <w:basedOn w:val="1"/>
    <w:autoRedefine/>
    <w:qFormat/>
    <w:uiPriority w:val="0"/>
    <w:pPr>
      <w:spacing w:line="360" w:lineRule="auto"/>
      <w:ind w:firstLine="480"/>
    </w:pPr>
    <w:rPr>
      <w:rFonts w:ascii="Calibri" w:hAnsi="Calibri" w:eastAsia="宋体" w:cs="宋体"/>
      <w:sz w:val="24"/>
      <w:szCs w:val="20"/>
    </w:rPr>
  </w:style>
  <w:style w:type="character" w:customStyle="1" w:styleId="121">
    <w:name w:val="标题3 Char"/>
    <w:link w:val="122"/>
    <w:autoRedefine/>
    <w:qFormat/>
    <w:uiPriority w:val="0"/>
    <w:rPr>
      <w:rFonts w:eastAsia="仿宋" w:cs="Times New Roman"/>
      <w:b/>
      <w:kern w:val="2"/>
      <w:sz w:val="28"/>
      <w:szCs w:val="24"/>
    </w:rPr>
  </w:style>
  <w:style w:type="paragraph" w:customStyle="1" w:styleId="122">
    <w:name w:val="标题3"/>
    <w:basedOn w:val="4"/>
    <w:next w:val="1"/>
    <w:link w:val="121"/>
    <w:autoRedefine/>
    <w:qFormat/>
    <w:uiPriority w:val="0"/>
    <w:rPr>
      <w:rFonts w:eastAsia="仿宋" w:cs="Times New Roman"/>
      <w:szCs w:val="24"/>
    </w:rPr>
  </w:style>
  <w:style w:type="paragraph" w:customStyle="1" w:styleId="123">
    <w:name w:val="方案图名"/>
    <w:basedOn w:val="1"/>
    <w:next w:val="1"/>
    <w:link w:val="124"/>
    <w:autoRedefine/>
    <w:qFormat/>
    <w:uiPriority w:val="0"/>
    <w:pPr>
      <w:spacing w:line="240" w:lineRule="auto"/>
      <w:ind w:firstLine="562" w:firstLineChars="0"/>
      <w:jc w:val="center"/>
      <w:outlineLvl w:val="4"/>
    </w:pPr>
    <w:rPr>
      <w:rFonts w:ascii="黑体" w:hAnsi="黑体" w:eastAsia="黑体" w:cs="黑体"/>
      <w:b/>
      <w:color w:val="000000"/>
      <w:sz w:val="21"/>
    </w:rPr>
  </w:style>
  <w:style w:type="character" w:customStyle="1" w:styleId="124">
    <w:name w:val="图名 字符"/>
    <w:link w:val="123"/>
    <w:autoRedefine/>
    <w:qFormat/>
    <w:uiPriority w:val="0"/>
    <w:rPr>
      <w:rFonts w:ascii="黑体" w:hAnsi="黑体" w:eastAsia="黑体" w:cs="黑体"/>
      <w:b/>
      <w:color w:val="000000"/>
      <w:kern w:val="2"/>
      <w:sz w:val="21"/>
      <w:szCs w:val="21"/>
    </w:rPr>
  </w:style>
  <w:style w:type="character" w:customStyle="1" w:styleId="125">
    <w:name w:val="未处理的提及1"/>
    <w:autoRedefine/>
    <w:unhideWhenUsed/>
    <w:qFormat/>
    <w:uiPriority w:val="99"/>
    <w:rPr>
      <w:color w:val="605E5C"/>
      <w:shd w:val="clear" w:color="auto" w:fill="E1DFDD"/>
    </w:rPr>
  </w:style>
  <w:style w:type="paragraph" w:customStyle="1" w:styleId="126">
    <w:name w:val="TOC 标题1"/>
    <w:basedOn w:val="2"/>
    <w:next w:val="1"/>
    <w:autoRedefine/>
    <w:qFormat/>
    <w:uiPriority w:val="39"/>
    <w:pPr>
      <w:keepNext w:val="0"/>
      <w:outlineLvl w:val="9"/>
    </w:pPr>
    <w:rPr>
      <w:rFonts w:ascii="Times New Roman" w:hAnsi="Times New Roman" w:cs="Times New Roman"/>
      <w:bCs/>
      <w:szCs w:val="32"/>
    </w:rPr>
  </w:style>
  <w:style w:type="paragraph" w:customStyle="1" w:styleId="127">
    <w:name w:val="图表图名（刘强））"/>
    <w:autoRedefine/>
    <w:qFormat/>
    <w:uiPriority w:val="0"/>
    <w:pPr>
      <w:jc w:val="center"/>
    </w:pPr>
    <w:rPr>
      <w:rFonts w:ascii="Times New Roman" w:hAnsi="Times New Roman" w:eastAsia="宋体" w:cs="Times New Roman"/>
      <w:b/>
      <w:sz w:val="21"/>
      <w:szCs w:val="21"/>
      <w:lang w:val="en-US" w:eastAsia="zh-CN" w:bidi="ar-SA"/>
    </w:rPr>
  </w:style>
  <w:style w:type="paragraph" w:customStyle="1" w:styleId="128">
    <w:name w:val="z-窗体底端1"/>
    <w:basedOn w:val="1"/>
    <w:next w:val="1"/>
    <w:link w:val="129"/>
    <w:autoRedefine/>
    <w:qFormat/>
    <w:uiPriority w:val="0"/>
    <w:pPr>
      <w:widowControl/>
      <w:pBdr>
        <w:top w:val="single" w:color="auto" w:sz="6" w:space="1"/>
      </w:pBdr>
      <w:ind w:firstLine="200"/>
      <w:jc w:val="center"/>
    </w:pPr>
    <w:rPr>
      <w:rFonts w:ascii="Arial" w:hAnsi="Arial" w:cs="Arial"/>
      <w:vanish/>
      <w:kern w:val="0"/>
      <w:sz w:val="16"/>
      <w:szCs w:val="16"/>
    </w:rPr>
  </w:style>
  <w:style w:type="character" w:customStyle="1" w:styleId="129">
    <w:name w:val="z-窗体底端 字符"/>
    <w:basedOn w:val="48"/>
    <w:link w:val="128"/>
    <w:autoRedefine/>
    <w:qFormat/>
    <w:uiPriority w:val="0"/>
    <w:rPr>
      <w:rFonts w:ascii="Arial" w:hAnsi="Arial" w:eastAsia="仿宋" w:cs="Arial"/>
      <w:vanish/>
      <w:kern w:val="0"/>
      <w:sz w:val="16"/>
      <w:szCs w:val="16"/>
    </w:rPr>
  </w:style>
  <w:style w:type="paragraph" w:customStyle="1" w:styleId="130">
    <w:name w:val="样式 标题 3 + Arial 小四 非加粗 左侧:  0.92 厘米"/>
    <w:basedOn w:val="4"/>
    <w:autoRedefine/>
    <w:qFormat/>
    <w:uiPriority w:val="0"/>
    <w:pPr>
      <w:ind w:left="519" w:firstLine="320"/>
    </w:pPr>
    <w:rPr>
      <w:rFonts w:ascii="Arial" w:hAnsi="Arial" w:cs="宋体"/>
      <w:b w:val="0"/>
      <w:kern w:val="0"/>
      <w:sz w:val="24"/>
      <w:szCs w:val="20"/>
    </w:rPr>
  </w:style>
  <w:style w:type="paragraph" w:customStyle="1" w:styleId="131">
    <w:name w:val="表格标题 Char Char"/>
    <w:basedOn w:val="1"/>
    <w:autoRedefine/>
    <w:qFormat/>
    <w:uiPriority w:val="0"/>
    <w:pPr>
      <w:spacing w:beforeLines="50" w:afterLines="30" w:line="320" w:lineRule="exact"/>
      <w:ind w:firstLine="200"/>
      <w:jc w:val="center"/>
    </w:pPr>
    <w:rPr>
      <w:rFonts w:eastAsia="黑体"/>
      <w:sz w:val="24"/>
    </w:rPr>
  </w:style>
  <w:style w:type="paragraph" w:customStyle="1" w:styleId="132">
    <w:name w:val="深中正文"/>
    <w:autoRedefine/>
    <w:qFormat/>
    <w:uiPriority w:val="0"/>
    <w:pPr>
      <w:overflowPunct w:val="0"/>
      <w:spacing w:line="360" w:lineRule="auto"/>
      <w:ind w:firstLine="200" w:firstLineChars="200"/>
      <w:jc w:val="both"/>
    </w:pPr>
    <w:rPr>
      <w:rFonts w:ascii="仿宋" w:hAnsi="宋体" w:eastAsia="仿宋_GB2312" w:cs="Times New Roman"/>
      <w:kern w:val="2"/>
      <w:sz w:val="24"/>
      <w:szCs w:val="28"/>
      <w:lang w:val="en-US" w:eastAsia="zh-CN" w:bidi="ar-SA"/>
    </w:rPr>
  </w:style>
  <w:style w:type="paragraph" w:customStyle="1" w:styleId="133">
    <w:name w:val="表格中"/>
    <w:basedOn w:val="1"/>
    <w:autoRedefine/>
    <w:qFormat/>
    <w:uiPriority w:val="0"/>
    <w:pPr>
      <w:spacing w:line="360" w:lineRule="auto"/>
      <w:ind w:firstLine="0" w:firstLineChars="0"/>
      <w:jc w:val="center"/>
    </w:pPr>
    <w:rPr>
      <w:rFonts w:eastAsia="宋体"/>
      <w:sz w:val="21"/>
      <w:szCs w:val="28"/>
    </w:rPr>
  </w:style>
  <w:style w:type="paragraph" w:customStyle="1" w:styleId="134">
    <w:name w:val="p0"/>
    <w:basedOn w:val="1"/>
    <w:autoRedefine/>
    <w:qFormat/>
    <w:uiPriority w:val="0"/>
    <w:pPr>
      <w:widowControl/>
      <w:ind w:firstLine="200"/>
    </w:pPr>
    <w:rPr>
      <w:rFonts w:ascii="Calibri" w:hAnsi="Calibri" w:cs="宋体"/>
      <w:kern w:val="0"/>
    </w:rPr>
  </w:style>
  <w:style w:type="paragraph" w:customStyle="1" w:styleId="135">
    <w:name w:val="Table Paragraph"/>
    <w:basedOn w:val="1"/>
    <w:autoRedefine/>
    <w:qFormat/>
    <w:uiPriority w:val="1"/>
    <w:pPr>
      <w:autoSpaceDE w:val="0"/>
      <w:autoSpaceDN w:val="0"/>
      <w:spacing w:line="240" w:lineRule="auto"/>
      <w:ind w:firstLine="0" w:firstLineChars="0"/>
      <w:jc w:val="left"/>
    </w:pPr>
    <w:rPr>
      <w:rFonts w:ascii="宋体" w:hAnsi="宋体" w:eastAsia="宋体" w:cs="宋体"/>
      <w:kern w:val="0"/>
      <w:sz w:val="22"/>
      <w:szCs w:val="22"/>
      <w:lang w:eastAsia="en-US"/>
    </w:rPr>
  </w:style>
  <w:style w:type="paragraph" w:customStyle="1" w:styleId="136">
    <w:name w:val="表内文字（刘强）"/>
    <w:autoRedefine/>
    <w:qFormat/>
    <w:uiPriority w:val="0"/>
    <w:pPr>
      <w:jc w:val="center"/>
    </w:pPr>
    <w:rPr>
      <w:rFonts w:ascii="Times New Roman" w:hAnsi="Times New Roman" w:eastAsia="宋体" w:cs="Times New Roman"/>
      <w:sz w:val="21"/>
      <w:szCs w:val="21"/>
      <w:lang w:val="en-US" w:eastAsia="zh-CN" w:bidi="ar-SA"/>
    </w:rPr>
  </w:style>
  <w:style w:type="paragraph" w:customStyle="1" w:styleId="137">
    <w:name w:val="08图名"/>
    <w:basedOn w:val="1"/>
    <w:autoRedefine/>
    <w:qFormat/>
    <w:uiPriority w:val="0"/>
    <w:pPr>
      <w:overflowPunct w:val="0"/>
      <w:spacing w:line="360" w:lineRule="auto"/>
      <w:ind w:firstLine="0" w:firstLineChars="0"/>
      <w:jc w:val="center"/>
    </w:pPr>
    <w:rPr>
      <w:rFonts w:hAnsi="Calibri" w:eastAsia="黑体"/>
      <w:sz w:val="21"/>
    </w:rPr>
  </w:style>
  <w:style w:type="paragraph" w:customStyle="1" w:styleId="138">
    <w:name w:val="正文缩进二"/>
    <w:basedOn w:val="10"/>
    <w:autoRedefine/>
    <w:qFormat/>
    <w:uiPriority w:val="0"/>
    <w:pPr>
      <w:tabs>
        <w:tab w:val="clear" w:pos="630"/>
      </w:tabs>
      <w:adjustRightInd/>
      <w:ind w:firstLine="567"/>
    </w:pPr>
    <w:rPr>
      <w:rFonts w:ascii="Arial" w:hAnsi="Arial" w:cs="Arial"/>
      <w:sz w:val="28"/>
    </w:rPr>
  </w:style>
  <w:style w:type="paragraph" w:customStyle="1" w:styleId="139">
    <w:name w:val="标题4"/>
    <w:basedOn w:val="3"/>
    <w:link w:val="140"/>
    <w:autoRedefine/>
    <w:qFormat/>
    <w:uiPriority w:val="0"/>
    <w:pPr>
      <w:keepNext/>
      <w:spacing w:line="360" w:lineRule="auto"/>
    </w:pPr>
    <w:rPr>
      <w:rFonts w:ascii="Times New Roman" w:hAnsi="Times New Roman"/>
      <w:kern w:val="0"/>
      <w:szCs w:val="30"/>
    </w:rPr>
  </w:style>
  <w:style w:type="character" w:customStyle="1" w:styleId="140">
    <w:name w:val="标题4 字符"/>
    <w:link w:val="139"/>
    <w:autoRedefine/>
    <w:qFormat/>
    <w:uiPriority w:val="0"/>
    <w:rPr>
      <w:rFonts w:ascii="Times New Roman" w:hAnsi="Times New Roman" w:eastAsia="黑体" w:cs="Times New Roman"/>
      <w:bCs/>
      <w:sz w:val="30"/>
      <w:szCs w:val="30"/>
    </w:rPr>
  </w:style>
  <w:style w:type="character" w:customStyle="1" w:styleId="141">
    <w:name w:val="图名图表 字符"/>
    <w:autoRedefine/>
    <w:qFormat/>
    <w:uiPriority w:val="0"/>
    <w:rPr>
      <w:rFonts w:ascii="仿宋" w:hAnsi="仿宋" w:eastAsia="仿宋"/>
      <w:b/>
      <w:kern w:val="2"/>
      <w:sz w:val="28"/>
      <w:szCs w:val="28"/>
    </w:rPr>
  </w:style>
  <w:style w:type="paragraph" w:customStyle="1" w:styleId="142">
    <w:name w:val="09表中文字"/>
    <w:basedOn w:val="143"/>
    <w:next w:val="143"/>
    <w:autoRedefine/>
    <w:qFormat/>
    <w:uiPriority w:val="0"/>
    <w:pPr>
      <w:spacing w:line="240" w:lineRule="auto"/>
      <w:ind w:firstLine="0" w:firstLineChars="0"/>
      <w:jc w:val="center"/>
      <w:textAlignment w:val="center"/>
    </w:pPr>
    <w:rPr>
      <w:sz w:val="21"/>
    </w:rPr>
  </w:style>
  <w:style w:type="paragraph" w:customStyle="1" w:styleId="143">
    <w:name w:val="06正文"/>
    <w:autoRedefine/>
    <w:qFormat/>
    <w:uiPriority w:val="0"/>
    <w:pPr>
      <w:spacing w:line="360" w:lineRule="auto"/>
      <w:ind w:firstLine="200" w:firstLineChars="200"/>
    </w:pPr>
    <w:rPr>
      <w:rFonts w:ascii="Times New Roman" w:hAnsi="Times New Roman" w:eastAsia="宋体" w:cs="Times New Roman"/>
      <w:kern w:val="2"/>
      <w:sz w:val="24"/>
      <w:szCs w:val="30"/>
      <w:lang w:val="en-US" w:eastAsia="zh-CN" w:bidi="ar-SA"/>
    </w:rPr>
  </w:style>
  <w:style w:type="paragraph" w:customStyle="1" w:styleId="144">
    <w:name w:val="表内字"/>
    <w:basedOn w:val="1"/>
    <w:link w:val="145"/>
    <w:autoRedefine/>
    <w:qFormat/>
    <w:uiPriority w:val="0"/>
    <w:pPr>
      <w:spacing w:line="240" w:lineRule="auto"/>
      <w:ind w:firstLine="0" w:firstLineChars="0"/>
      <w:contextualSpacing/>
      <w:jc w:val="center"/>
    </w:pPr>
    <w:rPr>
      <w:kern w:val="0"/>
      <w:sz w:val="20"/>
    </w:rPr>
  </w:style>
  <w:style w:type="character" w:customStyle="1" w:styleId="145">
    <w:name w:val="表内字 字符"/>
    <w:link w:val="144"/>
    <w:autoRedefine/>
    <w:qFormat/>
    <w:uiPriority w:val="0"/>
    <w:rPr>
      <w:rFonts w:ascii="Times New Roman" w:hAnsi="Times New Roman" w:eastAsia="仿宋" w:cs="Times New Roman"/>
      <w:szCs w:val="21"/>
    </w:rPr>
  </w:style>
  <w:style w:type="paragraph" w:customStyle="1" w:styleId="146">
    <w:name w:val="李奇 正文"/>
    <w:basedOn w:val="1"/>
    <w:autoRedefine/>
    <w:qFormat/>
    <w:uiPriority w:val="0"/>
    <w:pPr>
      <w:spacing w:line="360" w:lineRule="auto"/>
      <w:ind w:firstLine="480"/>
    </w:pPr>
    <w:rPr>
      <w:rFonts w:ascii="宋体" w:hAnsi="宋体" w:eastAsia="宋体" w:cs="宋体"/>
      <w:sz w:val="24"/>
      <w:szCs w:val="20"/>
    </w:rPr>
  </w:style>
  <w:style w:type="character" w:customStyle="1" w:styleId="147">
    <w:name w:val="font21"/>
    <w:autoRedefine/>
    <w:qFormat/>
    <w:uiPriority w:val="0"/>
    <w:rPr>
      <w:rFonts w:hint="eastAsia" w:ascii="仿宋" w:hAnsi="仿宋" w:eastAsia="仿宋" w:cs="仿宋"/>
      <w:color w:val="000000"/>
      <w:sz w:val="22"/>
      <w:szCs w:val="22"/>
      <w:u w:val="none"/>
    </w:rPr>
  </w:style>
  <w:style w:type="paragraph" w:customStyle="1" w:styleId="148">
    <w:name w:val="标题4."/>
    <w:basedOn w:val="139"/>
    <w:next w:val="1"/>
    <w:link w:val="149"/>
    <w:autoRedefine/>
    <w:qFormat/>
    <w:uiPriority w:val="0"/>
    <w:pPr>
      <w:spacing w:line="500" w:lineRule="exact"/>
      <w:ind w:firstLine="200" w:firstLineChars="200"/>
      <w:jc w:val="left"/>
      <w:outlineLvl w:val="3"/>
    </w:pPr>
    <w:rPr>
      <w:sz w:val="28"/>
    </w:rPr>
  </w:style>
  <w:style w:type="character" w:customStyle="1" w:styleId="149">
    <w:name w:val="标题4. 字符"/>
    <w:link w:val="148"/>
    <w:autoRedefine/>
    <w:qFormat/>
    <w:uiPriority w:val="0"/>
    <w:rPr>
      <w:rFonts w:ascii="Times New Roman" w:hAnsi="Times New Roman" w:eastAsia="黑体" w:cs="Times New Roman"/>
      <w:bCs/>
      <w:sz w:val="28"/>
      <w:szCs w:val="30"/>
    </w:rPr>
  </w:style>
  <w:style w:type="paragraph" w:customStyle="1" w:styleId="150">
    <w:name w:val="_Style 132"/>
    <w:basedOn w:val="1"/>
    <w:next w:val="87"/>
    <w:autoRedefine/>
    <w:qFormat/>
    <w:uiPriority w:val="99"/>
    <w:pPr>
      <w:ind w:firstLine="420"/>
    </w:pPr>
    <w:rPr>
      <w:rFonts w:ascii="Calibri" w:hAnsi="Calibri"/>
      <w:sz w:val="21"/>
      <w:szCs w:val="22"/>
    </w:rPr>
  </w:style>
  <w:style w:type="character" w:customStyle="1" w:styleId="151">
    <w:name w:val="font11"/>
    <w:basedOn w:val="48"/>
    <w:autoRedefine/>
    <w:qFormat/>
    <w:uiPriority w:val="0"/>
    <w:rPr>
      <w:rFonts w:hint="eastAsia" w:ascii="仿宋" w:hAnsi="仿宋" w:eastAsia="仿宋" w:cs="仿宋"/>
      <w:color w:val="000000"/>
      <w:sz w:val="21"/>
      <w:szCs w:val="21"/>
      <w:u w:val="none"/>
    </w:rPr>
  </w:style>
  <w:style w:type="paragraph" w:customStyle="1" w:styleId="152">
    <w:name w:val="Default"/>
    <w:autoRedefine/>
    <w:qFormat/>
    <w:uiPriority w:val="0"/>
    <w:pPr>
      <w:widowControl w:val="0"/>
      <w:autoSpaceDE w:val="0"/>
      <w:autoSpaceDN w:val="0"/>
      <w:adjustRightInd w:val="0"/>
    </w:pPr>
    <w:rPr>
      <w:rFonts w:ascii="Calibri" w:hAnsi="Calibri" w:eastAsia="宋体" w:cs="Calibri"/>
      <w:color w:val="000000"/>
      <w:sz w:val="24"/>
      <w:szCs w:val="24"/>
      <w:lang w:val="en-US" w:eastAsia="zh-CN" w:bidi="ar-SA"/>
    </w:rPr>
  </w:style>
  <w:style w:type="paragraph" w:customStyle="1" w:styleId="153">
    <w:name w:val="_Style 0"/>
    <w:autoRedefine/>
    <w:qFormat/>
    <w:uiPriority w:val="0"/>
    <w:pPr>
      <w:widowControl w:val="0"/>
      <w:jc w:val="both"/>
    </w:pPr>
    <w:rPr>
      <w:rFonts w:ascii="宋体" w:hAnsi="Calibri" w:eastAsia="仿宋_GB2312" w:cs="Times New Roman"/>
      <w:kern w:val="2"/>
      <w:sz w:val="21"/>
      <w:szCs w:val="28"/>
      <w:lang w:val="en-US" w:eastAsia="zh-CN" w:bidi="ar-SA"/>
    </w:rPr>
  </w:style>
  <w:style w:type="character" w:customStyle="1" w:styleId="154">
    <w:name w:val="Font Style248"/>
    <w:autoRedefine/>
    <w:qFormat/>
    <w:uiPriority w:val="0"/>
    <w:rPr>
      <w:rFonts w:ascii="宋体" w:eastAsia="宋体" w:cs="宋体"/>
      <w:sz w:val="22"/>
      <w:szCs w:val="22"/>
    </w:rPr>
  </w:style>
  <w:style w:type="paragraph" w:customStyle="1" w:styleId="155">
    <w:name w:val="_Style 13"/>
    <w:autoRedefine/>
    <w:qFormat/>
    <w:uiPriority w:val="0"/>
    <w:pPr>
      <w:widowControl w:val="0"/>
      <w:jc w:val="both"/>
    </w:pPr>
    <w:rPr>
      <w:rFonts w:ascii="宋体" w:hAnsi="Calibri" w:eastAsia="仿宋_GB2312" w:cs="Times New Roman"/>
      <w:kern w:val="2"/>
      <w:sz w:val="21"/>
      <w:szCs w:val="28"/>
      <w:lang w:val="en-US" w:eastAsia="zh-CN" w:bidi="ar-SA"/>
    </w:rPr>
  </w:style>
  <w:style w:type="character" w:customStyle="1" w:styleId="156">
    <w:name w:val="表内文字 字符"/>
    <w:basedOn w:val="48"/>
    <w:autoRedefine/>
    <w:qFormat/>
    <w:uiPriority w:val="0"/>
    <w:rPr>
      <w:rFonts w:cs="Times New Roman"/>
      <w:kern w:val="2"/>
      <w:sz w:val="21"/>
      <w:szCs w:val="24"/>
    </w:rPr>
  </w:style>
  <w:style w:type="paragraph" w:customStyle="1" w:styleId="157">
    <w:name w:val="表格"/>
    <w:basedOn w:val="1"/>
    <w:autoRedefine/>
    <w:qFormat/>
    <w:uiPriority w:val="0"/>
    <w:pPr>
      <w:spacing w:line="360" w:lineRule="auto"/>
      <w:ind w:firstLine="0" w:firstLineChars="0"/>
      <w:jc w:val="center"/>
    </w:pPr>
    <w:rPr>
      <w:rFonts w:eastAsia="宋体"/>
      <w:sz w:val="21"/>
      <w:szCs w:val="20"/>
    </w:rPr>
  </w:style>
  <w:style w:type="character" w:customStyle="1" w:styleId="158">
    <w:name w:val="副标题 Char1"/>
    <w:autoRedefine/>
    <w:qFormat/>
    <w:uiPriority w:val="11"/>
    <w:rPr>
      <w:rFonts w:ascii="Cambria" w:hAnsi="Cambria" w:eastAsia="黑体" w:cs="Times New Roman"/>
      <w:b/>
      <w:bCs/>
      <w:kern w:val="28"/>
      <w:sz w:val="24"/>
      <w:szCs w:val="32"/>
    </w:rPr>
  </w:style>
  <w:style w:type="paragraph" w:customStyle="1" w:styleId="159">
    <w:name w:val="表名"/>
    <w:basedOn w:val="1"/>
    <w:autoRedefine/>
    <w:qFormat/>
    <w:uiPriority w:val="0"/>
    <w:pPr>
      <w:numPr>
        <w:ilvl w:val="0"/>
        <w:numId w:val="3"/>
      </w:numPr>
      <w:spacing w:beforeLines="50" w:line="360" w:lineRule="auto"/>
      <w:ind w:firstLine="0" w:firstLineChars="0"/>
      <w:jc w:val="center"/>
    </w:pPr>
    <w:rPr>
      <w:rFonts w:ascii="黑体" w:hAnsi="宋体" w:eastAsia="Times New Roman" w:cs="Dutch801 Rm BT"/>
      <w:kern w:val="10"/>
      <w:sz w:val="24"/>
    </w:rPr>
  </w:style>
  <w:style w:type="paragraph" w:customStyle="1" w:styleId="160">
    <w:name w:val="三级标题-NEW"/>
    <w:basedOn w:val="161"/>
    <w:autoRedefine/>
    <w:qFormat/>
    <w:uiPriority w:val="0"/>
    <w:pPr>
      <w:numPr>
        <w:ilvl w:val="2"/>
        <w:numId w:val="4"/>
      </w:numPr>
      <w:outlineLvl w:val="2"/>
    </w:pPr>
    <w:rPr>
      <w:sz w:val="24"/>
    </w:rPr>
  </w:style>
  <w:style w:type="paragraph" w:customStyle="1" w:styleId="161">
    <w:name w:val="一级标题-NEW"/>
    <w:basedOn w:val="162"/>
    <w:autoRedefine/>
    <w:qFormat/>
    <w:uiPriority w:val="99"/>
    <w:pPr>
      <w:jc w:val="left"/>
    </w:pPr>
    <w:rPr>
      <w:rFonts w:ascii="Times New Roman" w:hAnsi="Times New Roman" w:eastAsia="等线"/>
      <w:color w:val="auto"/>
      <w:kern w:val="2"/>
      <w:sz w:val="30"/>
    </w:rPr>
  </w:style>
  <w:style w:type="paragraph" w:customStyle="1" w:styleId="162">
    <w:name w:val="标题 1-1"/>
    <w:basedOn w:val="2"/>
    <w:autoRedefine/>
    <w:qFormat/>
    <w:uiPriority w:val="0"/>
    <w:pPr>
      <w:widowControl/>
      <w:snapToGrid w:val="0"/>
    </w:pPr>
    <w:rPr>
      <w:rFonts w:cs="Times New Roman"/>
      <w:color w:val="FF0000"/>
      <w:sz w:val="28"/>
      <w:szCs w:val="22"/>
    </w:rPr>
  </w:style>
  <w:style w:type="paragraph" w:customStyle="1" w:styleId="163">
    <w:name w:val="图表名字"/>
    <w:autoRedefine/>
    <w:qFormat/>
    <w:uiPriority w:val="6"/>
    <w:pPr>
      <w:spacing w:line="300" w:lineRule="auto"/>
      <w:jc w:val="center"/>
    </w:pPr>
    <w:rPr>
      <w:rFonts w:ascii="Times New Roman" w:hAnsi="Times New Roman" w:eastAsia="宋体" w:cs="Times New Roman"/>
      <w:b/>
      <w:color w:val="215868"/>
      <w:kern w:val="2"/>
      <w:sz w:val="21"/>
      <w:szCs w:val="24"/>
      <w:lang w:val="en-US" w:eastAsia="zh-CN" w:bidi="ar-SA"/>
    </w:rPr>
  </w:style>
  <w:style w:type="paragraph" w:customStyle="1" w:styleId="164">
    <w:name w:val="余杭表内"/>
    <w:autoRedefine/>
    <w:qFormat/>
    <w:uiPriority w:val="7"/>
    <w:pPr>
      <w:snapToGrid w:val="0"/>
      <w:jc w:val="center"/>
    </w:pPr>
    <w:rPr>
      <w:rFonts w:ascii="Times New Roman" w:hAnsi="Times New Roman" w:eastAsia="宋体" w:cs="Times New Roman"/>
      <w:bCs/>
      <w:color w:val="000000"/>
      <w:kern w:val="2"/>
      <w:sz w:val="21"/>
      <w:szCs w:val="21"/>
      <w:lang w:val="en-US" w:eastAsia="zh-CN" w:bidi="ar-SA"/>
    </w:rPr>
  </w:style>
  <w:style w:type="paragraph" w:customStyle="1" w:styleId="165">
    <w:name w:val="余杭正文"/>
    <w:autoRedefine/>
    <w:qFormat/>
    <w:uiPriority w:val="5"/>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166">
    <w:name w:val="列出段落3"/>
    <w:basedOn w:val="1"/>
    <w:autoRedefine/>
    <w:qFormat/>
    <w:uiPriority w:val="34"/>
    <w:pPr>
      <w:spacing w:line="240" w:lineRule="auto"/>
      <w:ind w:firstLine="420"/>
    </w:pPr>
    <w:rPr>
      <w:rFonts w:eastAsia="宋体"/>
      <w:sz w:val="21"/>
    </w:rPr>
  </w:style>
  <w:style w:type="paragraph" w:customStyle="1" w:styleId="167">
    <w:name w:val="图名"/>
    <w:basedOn w:val="1"/>
    <w:next w:val="1"/>
    <w:autoRedefine/>
    <w:qFormat/>
    <w:uiPriority w:val="0"/>
    <w:pPr>
      <w:ind w:firstLine="0" w:firstLineChars="0"/>
      <w:jc w:val="center"/>
      <w:outlineLvl w:val="4"/>
    </w:pPr>
    <w:rPr>
      <w:b/>
    </w:rPr>
  </w:style>
  <w:style w:type="paragraph" w:customStyle="1" w:styleId="168">
    <w:name w:val="图表内容"/>
    <w:autoRedefine/>
    <w:qFormat/>
    <w:uiPriority w:val="0"/>
    <w:pPr>
      <w:adjustRightInd w:val="0"/>
      <w:jc w:val="center"/>
      <w:textAlignment w:val="center"/>
    </w:pPr>
    <w:rPr>
      <w:rFonts w:ascii="Times New Roman" w:hAnsi="Times New Roman" w:eastAsia="宋体" w:cs="Times New Roman"/>
      <w:sz w:val="21"/>
      <w:lang w:val="en-US" w:eastAsia="zh-CN" w:bidi="ar-SA"/>
    </w:rPr>
  </w:style>
  <w:style w:type="paragraph" w:customStyle="1" w:styleId="169">
    <w:name w:val="4、正文"/>
    <w:basedOn w:val="1"/>
    <w:autoRedefine/>
    <w:qFormat/>
    <w:uiPriority w:val="0"/>
    <w:pPr>
      <w:adjustRightInd w:val="0"/>
      <w:snapToGrid w:val="0"/>
      <w:spacing w:line="360" w:lineRule="auto"/>
      <w:ind w:firstLine="480"/>
      <w:jc w:val="left"/>
    </w:pPr>
    <w:rPr>
      <w:rFonts w:ascii="宋体" w:hAnsi="宋体" w:eastAsia="宋体"/>
      <w:color w:val="000000"/>
      <w:kern w:val="0"/>
      <w:sz w:val="24"/>
      <w:szCs w:val="24"/>
      <w:lang w:val="zh-CN"/>
    </w:rPr>
  </w:style>
  <w:style w:type="character" w:customStyle="1" w:styleId="170">
    <w:name w:val="正文格式 Char"/>
    <w:link w:val="171"/>
    <w:autoRedefine/>
    <w:qFormat/>
    <w:uiPriority w:val="0"/>
    <w:rPr>
      <w:rFonts w:ascii="宋体" w:eastAsia="宋体"/>
      <w:sz w:val="24"/>
      <w:szCs w:val="24"/>
    </w:rPr>
  </w:style>
  <w:style w:type="paragraph" w:customStyle="1" w:styleId="171">
    <w:name w:val="正文格式"/>
    <w:basedOn w:val="1"/>
    <w:link w:val="170"/>
    <w:autoRedefine/>
    <w:qFormat/>
    <w:uiPriority w:val="0"/>
    <w:pPr>
      <w:spacing w:line="360" w:lineRule="auto"/>
      <w:ind w:firstLine="480"/>
      <w:jc w:val="left"/>
    </w:pPr>
    <w:rPr>
      <w:rFonts w:ascii="宋体" w:eastAsia="宋体"/>
      <w:kern w:val="0"/>
      <w:sz w:val="24"/>
      <w:szCs w:val="24"/>
    </w:rPr>
  </w:style>
  <w:style w:type="paragraph" w:customStyle="1" w:styleId="172">
    <w:name w:val="图表名"/>
    <w:basedOn w:val="1"/>
    <w:autoRedefine/>
    <w:qFormat/>
    <w:uiPriority w:val="99"/>
    <w:pPr>
      <w:jc w:val="center"/>
    </w:pPr>
    <w:rPr>
      <w:rFonts w:eastAsia="黑体"/>
      <w:kern w:val="0"/>
      <w:sz w:val="21"/>
      <w:szCs w:val="20"/>
    </w:rPr>
  </w:style>
  <w:style w:type="paragraph" w:customStyle="1" w:styleId="173">
    <w:name w:val="样式 正文1 + 首行缩进:  2 字符"/>
    <w:basedOn w:val="1"/>
    <w:autoRedefine/>
    <w:qFormat/>
    <w:uiPriority w:val="0"/>
    <w:pPr>
      <w:wordWrap w:val="0"/>
      <w:ind w:firstLine="480"/>
    </w:pPr>
    <w:rPr>
      <w:rFonts w:ascii="宋体" w:hAnsi="宋体" w:cs="宋体"/>
      <w:color w:val="000000"/>
      <w:szCs w:val="20"/>
    </w:rPr>
  </w:style>
  <w:style w:type="paragraph" w:customStyle="1" w:styleId="174">
    <w:name w:val="图片"/>
    <w:basedOn w:val="1"/>
    <w:autoRedefine/>
    <w:qFormat/>
    <w:uiPriority w:val="0"/>
    <w:pPr>
      <w:spacing w:before="120" w:after="120"/>
      <w:ind w:firstLine="0" w:firstLineChars="0"/>
      <w:jc w:val="center"/>
    </w:pPr>
    <w:rPr>
      <w:rFonts w:ascii="宋体" w:hAnsi="宋体"/>
      <w:sz w:val="21"/>
      <w:szCs w:val="28"/>
    </w:rPr>
  </w:style>
  <w:style w:type="paragraph" w:customStyle="1" w:styleId="175">
    <w:name w:val="修订1"/>
    <w:autoRedefine/>
    <w:semiHidden/>
    <w:qFormat/>
    <w:uiPriority w:val="99"/>
    <w:rPr>
      <w:rFonts w:ascii="Times New Roman" w:hAnsi="Times New Roman" w:eastAsia="仿宋" w:cs="Times New Roman"/>
      <w:kern w:val="2"/>
      <w:sz w:val="28"/>
      <w:szCs w:val="21"/>
      <w:lang w:val="en-US" w:eastAsia="zh-CN" w:bidi="ar-SA"/>
    </w:rPr>
  </w:style>
  <w:style w:type="paragraph" w:customStyle="1" w:styleId="176">
    <w:name w:val="样式 居中"/>
    <w:basedOn w:val="1"/>
    <w:autoRedefine/>
    <w:qFormat/>
    <w:uiPriority w:val="0"/>
    <w:pPr>
      <w:widowControl/>
      <w:ind w:firstLine="200"/>
      <w:jc w:val="center"/>
    </w:pPr>
    <w:rPr>
      <w:rFonts w:ascii="宋体" w:cs="宋体"/>
      <w:b/>
      <w:kern w:val="0"/>
      <w:sz w:val="44"/>
      <w:szCs w:val="20"/>
    </w:rPr>
  </w:style>
  <w:style w:type="character" w:customStyle="1" w:styleId="177">
    <w:name w:val="标题 1 字符1"/>
    <w:basedOn w:val="48"/>
    <w:link w:val="2"/>
    <w:autoRedefine/>
    <w:qFormat/>
    <w:uiPriority w:val="0"/>
    <w:rPr>
      <w:rFonts w:ascii="Times New Roman" w:hAnsi="Times New Roman" w:eastAsia="宋体"/>
      <w:b/>
      <w:kern w:val="2"/>
      <w:sz w:val="28"/>
      <w:szCs w:val="24"/>
    </w:rPr>
  </w:style>
  <w:style w:type="paragraph" w:customStyle="1" w:styleId="178">
    <w:name w:val="正缩"/>
    <w:basedOn w:val="1"/>
    <w:autoRedefine/>
    <w:qFormat/>
    <w:uiPriority w:val="0"/>
    <w:pPr>
      <w:adjustRightInd w:val="0"/>
      <w:spacing w:line="400" w:lineRule="exact"/>
      <w:textAlignment w:val="center"/>
    </w:pPr>
    <w:rPr>
      <w:szCs w:val="24"/>
    </w:rPr>
  </w:style>
  <w:style w:type="paragraph" w:customStyle="1" w:styleId="179">
    <w:name w:val="正文2"/>
    <w:basedOn w:val="1"/>
    <w:autoRedefine/>
    <w:qFormat/>
    <w:uiPriority w:val="0"/>
    <w:pPr>
      <w:spacing w:line="240" w:lineRule="auto"/>
    </w:pPr>
  </w:style>
  <w:style w:type="paragraph" w:customStyle="1" w:styleId="180">
    <w:name w:val="图格式"/>
    <w:basedOn w:val="1"/>
    <w:qFormat/>
    <w:uiPriority w:val="0"/>
    <w:pPr>
      <w:keepNext/>
      <w:spacing w:line="240" w:lineRule="auto"/>
      <w:ind w:firstLine="0" w:firstLineChars="0"/>
      <w:jc w:val="center"/>
    </w:pPr>
  </w:style>
  <w:style w:type="paragraph" w:customStyle="1" w:styleId="181">
    <w:name w:val="报告正文"/>
    <w:basedOn w:val="1"/>
    <w:qFormat/>
    <w:uiPriority w:val="0"/>
    <w:rPr>
      <w:rFonts w:eastAsia="仿宋_GB2312"/>
    </w:rPr>
  </w:style>
  <w:style w:type="table" w:customStyle="1" w:styleId="182">
    <w:name w:val="合武g"/>
    <w:basedOn w:val="183"/>
    <w:qFormat/>
    <w:uiPriority w:val="99"/>
    <w:pPr>
      <w:widowControl w:val="0"/>
    </w:pPr>
    <w:tblPr>
      <w:tblCellMar>
        <w:left w:w="0" w:type="dxa"/>
        <w:right w:w="0" w:type="dxa"/>
      </w:tblCellMar>
    </w:tblPr>
    <w:tcPr>
      <w:shd w:val="clear" w:color="auto" w:fill="D9E2F3"/>
    </w:tcPr>
    <w:tblStylePr w:type="firstRow">
      <w:pPr>
        <w:jc w:val="center"/>
      </w:pPr>
      <w:rPr>
        <w:rFonts w:ascii="宋体" w:hAnsi="宋体" w:eastAsia="宋体"/>
        <w:b/>
        <w:bCs/>
        <w:i w:val="0"/>
        <w:color w:val="F8F8F8"/>
        <w:sz w:val="21"/>
      </w:rPr>
      <w:tblPr/>
      <w:trPr>
        <w:tblHeader/>
      </w:trPr>
      <w:tcPr>
        <w:shd w:val="clear" w:color="auto" w:fill="4472C4"/>
      </w:tcPr>
    </w:tblStylePr>
    <w:tblStylePr w:type="lastRow">
      <w:rPr>
        <w:b/>
        <w:bCs/>
        <w:color w:val="FFFFFF"/>
      </w:rPr>
      <w:tcPr>
        <w:tcBorders>
          <w:top w:val="single" w:color="E7E6E6" w:sz="4" w:space="0"/>
          <w:left w:val="single" w:color="E7E6E6" w:sz="4" w:space="0"/>
          <w:bottom w:val="single" w:color="E7E6E6" w:sz="4" w:space="0"/>
          <w:right w:val="single" w:color="E7E6E6" w:sz="4" w:space="0"/>
          <w:insideH w:val="single" w:sz="4" w:space="0"/>
          <w:insideV w:val="single" w:sz="4" w:space="0"/>
        </w:tcBorders>
        <w:shd w:val="clear" w:color="auto" w:fill="4472C4"/>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4472C4"/>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4472C4"/>
      </w:tcPr>
    </w:tblStylePr>
    <w:tblStylePr w:type="band1Vert">
      <w:tcPr>
        <w:shd w:val="clear" w:color="auto" w:fill="B4C6E7"/>
      </w:tcPr>
    </w:tblStylePr>
    <w:tblStylePr w:type="band1Horz">
      <w:tcPr>
        <w:shd w:val="clear" w:color="auto" w:fill="B4C6E7"/>
      </w:tcPr>
    </w:tblStylePr>
  </w:style>
  <w:style w:type="table" w:customStyle="1" w:styleId="183">
    <w:name w:val="成南达万"/>
    <w:basedOn w:val="41"/>
    <w:qFormat/>
    <w:uiPriority w:val="50"/>
    <w:pPr>
      <w:adjustRightInd w:val="0"/>
      <w:snapToGrid w:val="0"/>
      <w:jc w:val="center"/>
    </w:pPr>
    <w:rPr>
      <w:rFonts w:ascii="宋体" w:hAnsi="宋体" w:cs="宋体"/>
      <w:snapToGrid w:val="0"/>
      <w:sz w:val="21"/>
      <w:szCs w:val="22"/>
    </w:rPr>
    <w:tblPr>
      <w:jc w:val="center"/>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Pr>
    <w:trPr>
      <w:jc w:val="center"/>
    </w:trPr>
    <w:tcPr>
      <w:shd w:val="clear" w:color="auto" w:fill="D9E2F3"/>
      <w:vAlign w:val="center"/>
    </w:tcPr>
    <w:tblStylePr w:type="firstRow">
      <w:pPr>
        <w:jc w:val="center"/>
      </w:pPr>
      <w:rPr>
        <w:rFonts w:ascii="宋体" w:hAnsi="宋体" w:eastAsia="宋体"/>
        <w:b/>
        <w:bCs/>
        <w:i w:val="0"/>
        <w:color w:val="F8F8F8"/>
        <w:sz w:val="21"/>
      </w:rPr>
      <w:tblPr/>
      <w:trPr>
        <w:tblHeader/>
      </w:trPr>
      <w:tcPr>
        <w:shd w:val="clear" w:color="auto" w:fill="4472C4"/>
      </w:tcPr>
    </w:tblStylePr>
    <w:tblStylePr w:type="lastRow">
      <w:rPr>
        <w:b/>
        <w:bCs/>
        <w:color w:val="FFFFFF"/>
      </w:rPr>
      <w:tcPr>
        <w:tcBorders>
          <w:top w:val="single" w:color="E7E6E6" w:sz="4" w:space="0"/>
          <w:left w:val="single" w:color="E7E6E6" w:sz="4" w:space="0"/>
          <w:bottom w:val="single" w:color="E7E6E6" w:sz="4" w:space="0"/>
          <w:right w:val="single" w:color="E7E6E6" w:sz="4" w:space="0"/>
          <w:insideH w:val="single" w:sz="4" w:space="0"/>
          <w:insideV w:val="single" w:sz="4" w:space="0"/>
        </w:tcBorders>
        <w:shd w:val="clear" w:color="auto" w:fill="4472C4"/>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4472C4"/>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4472C4"/>
      </w:tcPr>
    </w:tblStylePr>
    <w:tblStylePr w:type="band1Vert">
      <w:tcPr>
        <w:shd w:val="clear" w:color="auto" w:fill="B4C6E7"/>
      </w:tcPr>
    </w:tblStylePr>
    <w:tblStylePr w:type="band1Horz">
      <w:tcPr>
        <w:shd w:val="clear" w:color="auto" w:fill="B4C6E7"/>
      </w:tcPr>
    </w:tblStylePr>
  </w:style>
  <w:style w:type="character" w:customStyle="1" w:styleId="184">
    <w:name w:val="正文文本缩进 字符1"/>
    <w:qFormat/>
    <w:uiPriority w:val="99"/>
    <w:rPr>
      <w:rFonts w:ascii="Times New Roman" w:hAnsi="Times New Roman" w:eastAsia="宋体" w:cs="Times New Roman"/>
      <w:kern w:val="0"/>
      <w:sz w:val="24"/>
      <w:szCs w:val="24"/>
      <w14:ligatures w14:val="none"/>
    </w:rPr>
  </w:style>
  <w:style w:type="paragraph" w:customStyle="1" w:styleId="185">
    <w:name w:val="插图"/>
    <w:qFormat/>
    <w:uiPriority w:val="0"/>
    <w:pPr>
      <w:spacing w:line="360" w:lineRule="auto"/>
      <w:jc w:val="center"/>
    </w:pPr>
    <w:rPr>
      <w:rFonts w:ascii="Times New Roman" w:hAnsi="Times New Roman" w:eastAsia="宋体" w:cs="Times New Roman"/>
    </w:rPr>
  </w:style>
  <w:style w:type="paragraph" w:customStyle="1" w:styleId="186">
    <w:name w:val="7表内字"/>
    <w:basedOn w:val="1"/>
    <w:autoRedefine/>
    <w:qFormat/>
    <w:uiPriority w:val="0"/>
    <w:pPr>
      <w:spacing w:line="240" w:lineRule="auto"/>
      <w:ind w:firstLine="0" w:firstLineChars="0"/>
      <w:jc w:val="center"/>
    </w:pPr>
    <w:rPr>
      <w:sz w:val="21"/>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79.wmf"/><Relationship Id="rId98" Type="http://schemas.openxmlformats.org/officeDocument/2006/relationships/oleObject" Target="embeddings/oleObject10.bin"/><Relationship Id="rId97" Type="http://schemas.openxmlformats.org/officeDocument/2006/relationships/image" Target="media/image78.wmf"/><Relationship Id="rId96" Type="http://schemas.openxmlformats.org/officeDocument/2006/relationships/oleObject" Target="embeddings/oleObject9.bin"/><Relationship Id="rId95" Type="http://schemas.openxmlformats.org/officeDocument/2006/relationships/image" Target="media/image77.wmf"/><Relationship Id="rId94" Type="http://schemas.openxmlformats.org/officeDocument/2006/relationships/oleObject" Target="embeddings/oleObject8.bin"/><Relationship Id="rId93" Type="http://schemas.openxmlformats.org/officeDocument/2006/relationships/image" Target="media/image76.jpeg"/><Relationship Id="rId92" Type="http://schemas.openxmlformats.org/officeDocument/2006/relationships/image" Target="media/image75.wmf"/><Relationship Id="rId91" Type="http://schemas.openxmlformats.org/officeDocument/2006/relationships/oleObject" Target="embeddings/oleObject7.bin"/><Relationship Id="rId90" Type="http://schemas.openxmlformats.org/officeDocument/2006/relationships/image" Target="media/image74.wmf"/><Relationship Id="rId9" Type="http://schemas.openxmlformats.org/officeDocument/2006/relationships/footer" Target="footer4.xml"/><Relationship Id="rId89" Type="http://schemas.openxmlformats.org/officeDocument/2006/relationships/oleObject" Target="embeddings/oleObject6.bin"/><Relationship Id="rId88" Type="http://schemas.openxmlformats.org/officeDocument/2006/relationships/image" Target="media/image73.wmf"/><Relationship Id="rId87" Type="http://schemas.openxmlformats.org/officeDocument/2006/relationships/oleObject" Target="embeddings/oleObject5.bin"/><Relationship Id="rId86" Type="http://schemas.openxmlformats.org/officeDocument/2006/relationships/image" Target="media/image72.wmf"/><Relationship Id="rId85" Type="http://schemas.openxmlformats.org/officeDocument/2006/relationships/oleObject" Target="embeddings/oleObject4.bin"/><Relationship Id="rId84" Type="http://schemas.openxmlformats.org/officeDocument/2006/relationships/image" Target="media/image71.wmf"/><Relationship Id="rId83" Type="http://schemas.openxmlformats.org/officeDocument/2006/relationships/oleObject" Target="embeddings/oleObject3.bin"/><Relationship Id="rId82" Type="http://schemas.openxmlformats.org/officeDocument/2006/relationships/image" Target="media/image70.wmf"/><Relationship Id="rId81" Type="http://schemas.openxmlformats.org/officeDocument/2006/relationships/oleObject" Target="embeddings/oleObject2.bin"/><Relationship Id="rId80" Type="http://schemas.openxmlformats.org/officeDocument/2006/relationships/image" Target="media/image69.wmf"/><Relationship Id="rId8" Type="http://schemas.openxmlformats.org/officeDocument/2006/relationships/footer" Target="footer3.xml"/><Relationship Id="rId79" Type="http://schemas.openxmlformats.org/officeDocument/2006/relationships/oleObject" Target="embeddings/oleObject1.bin"/><Relationship Id="rId78" Type="http://schemas.openxmlformats.org/officeDocument/2006/relationships/image" Target="media/image68.jpeg"/><Relationship Id="rId77" Type="http://schemas.openxmlformats.org/officeDocument/2006/relationships/image" Target="media/image67.jpeg"/><Relationship Id="rId76" Type="http://schemas.openxmlformats.org/officeDocument/2006/relationships/image" Target="media/image66.jpeg"/><Relationship Id="rId75" Type="http://schemas.openxmlformats.org/officeDocument/2006/relationships/image" Target="media/image65.jpeg"/><Relationship Id="rId74" Type="http://schemas.openxmlformats.org/officeDocument/2006/relationships/image" Target="media/image64.png"/><Relationship Id="rId73" Type="http://schemas.openxmlformats.org/officeDocument/2006/relationships/image" Target="media/image63.png"/><Relationship Id="rId72" Type="http://schemas.openxmlformats.org/officeDocument/2006/relationships/image" Target="media/image62.png"/><Relationship Id="rId71" Type="http://schemas.openxmlformats.org/officeDocument/2006/relationships/image" Target="media/image61.png"/><Relationship Id="rId70" Type="http://schemas.openxmlformats.org/officeDocument/2006/relationships/image" Target="media/image60.png"/><Relationship Id="rId7" Type="http://schemas.openxmlformats.org/officeDocument/2006/relationships/footer" Target="footer2.xml"/><Relationship Id="rId69" Type="http://schemas.openxmlformats.org/officeDocument/2006/relationships/image" Target="media/image59.emf"/><Relationship Id="rId68" Type="http://schemas.openxmlformats.org/officeDocument/2006/relationships/image" Target="media/image58.png"/><Relationship Id="rId67" Type="http://schemas.openxmlformats.org/officeDocument/2006/relationships/image" Target="media/image57.png"/><Relationship Id="rId66" Type="http://schemas.openxmlformats.org/officeDocument/2006/relationships/image" Target="media/image56.png"/><Relationship Id="rId65" Type="http://schemas.openxmlformats.org/officeDocument/2006/relationships/image" Target="media/image55.png"/><Relationship Id="rId64" Type="http://schemas.openxmlformats.org/officeDocument/2006/relationships/image" Target="media/image54.png"/><Relationship Id="rId63" Type="http://schemas.openxmlformats.org/officeDocument/2006/relationships/image" Target="media/image53.png"/><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footer" Target="footer1.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header" Target="header1.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endnotes" Target="endnotes.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jpe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4" Type="http://schemas.openxmlformats.org/officeDocument/2006/relationships/fontTable" Target="fontTable.xml"/><Relationship Id="rId173" Type="http://schemas.openxmlformats.org/officeDocument/2006/relationships/numbering" Target="numbering.xml"/><Relationship Id="rId172" Type="http://schemas.openxmlformats.org/officeDocument/2006/relationships/customXml" Target="../customXml/item1.xml"/><Relationship Id="rId171" Type="http://schemas.openxmlformats.org/officeDocument/2006/relationships/image" Target="media/image115.wmf"/><Relationship Id="rId170" Type="http://schemas.openxmlformats.org/officeDocument/2006/relationships/oleObject" Target="embeddings/oleObject46.bin"/><Relationship Id="rId17" Type="http://schemas.openxmlformats.org/officeDocument/2006/relationships/image" Target="media/image7.png"/><Relationship Id="rId169" Type="http://schemas.openxmlformats.org/officeDocument/2006/relationships/image" Target="media/image114.wmf"/><Relationship Id="rId168" Type="http://schemas.openxmlformats.org/officeDocument/2006/relationships/oleObject" Target="embeddings/oleObject45.bin"/><Relationship Id="rId167" Type="http://schemas.openxmlformats.org/officeDocument/2006/relationships/image" Target="media/image113.wmf"/><Relationship Id="rId166" Type="http://schemas.openxmlformats.org/officeDocument/2006/relationships/oleObject" Target="embeddings/oleObject44.bin"/><Relationship Id="rId165" Type="http://schemas.openxmlformats.org/officeDocument/2006/relationships/image" Target="media/image112.wmf"/><Relationship Id="rId164" Type="http://schemas.openxmlformats.org/officeDocument/2006/relationships/oleObject" Target="embeddings/oleObject43.bin"/><Relationship Id="rId163" Type="http://schemas.openxmlformats.org/officeDocument/2006/relationships/image" Target="media/image111.wmf"/><Relationship Id="rId162" Type="http://schemas.openxmlformats.org/officeDocument/2006/relationships/oleObject" Target="embeddings/oleObject42.bin"/><Relationship Id="rId161" Type="http://schemas.openxmlformats.org/officeDocument/2006/relationships/image" Target="media/image110.wmf"/><Relationship Id="rId160" Type="http://schemas.openxmlformats.org/officeDocument/2006/relationships/oleObject" Target="embeddings/oleObject41.bin"/><Relationship Id="rId16" Type="http://schemas.openxmlformats.org/officeDocument/2006/relationships/image" Target="media/image6.png"/><Relationship Id="rId159" Type="http://schemas.openxmlformats.org/officeDocument/2006/relationships/image" Target="media/image109.wmf"/><Relationship Id="rId158" Type="http://schemas.openxmlformats.org/officeDocument/2006/relationships/oleObject" Target="embeddings/oleObject40.bin"/><Relationship Id="rId157" Type="http://schemas.openxmlformats.org/officeDocument/2006/relationships/image" Target="media/image108.wmf"/><Relationship Id="rId156" Type="http://schemas.openxmlformats.org/officeDocument/2006/relationships/oleObject" Target="embeddings/oleObject39.bin"/><Relationship Id="rId155" Type="http://schemas.openxmlformats.org/officeDocument/2006/relationships/image" Target="media/image107.wmf"/><Relationship Id="rId154" Type="http://schemas.openxmlformats.org/officeDocument/2006/relationships/oleObject" Target="embeddings/oleObject38.bin"/><Relationship Id="rId153" Type="http://schemas.openxmlformats.org/officeDocument/2006/relationships/image" Target="media/image106.wmf"/><Relationship Id="rId152" Type="http://schemas.openxmlformats.org/officeDocument/2006/relationships/oleObject" Target="embeddings/oleObject37.bin"/><Relationship Id="rId151" Type="http://schemas.openxmlformats.org/officeDocument/2006/relationships/image" Target="media/image105.wmf"/><Relationship Id="rId150" Type="http://schemas.openxmlformats.org/officeDocument/2006/relationships/oleObject" Target="embeddings/oleObject36.bin"/><Relationship Id="rId15" Type="http://schemas.openxmlformats.org/officeDocument/2006/relationships/image" Target="media/image5.png"/><Relationship Id="rId149" Type="http://schemas.openxmlformats.org/officeDocument/2006/relationships/image" Target="media/image104.wmf"/><Relationship Id="rId148" Type="http://schemas.openxmlformats.org/officeDocument/2006/relationships/oleObject" Target="embeddings/oleObject35.bin"/><Relationship Id="rId147" Type="http://schemas.openxmlformats.org/officeDocument/2006/relationships/image" Target="media/image103.wmf"/><Relationship Id="rId146" Type="http://schemas.openxmlformats.org/officeDocument/2006/relationships/oleObject" Target="embeddings/oleObject34.bin"/><Relationship Id="rId145" Type="http://schemas.openxmlformats.org/officeDocument/2006/relationships/image" Target="media/image102.wmf"/><Relationship Id="rId144" Type="http://schemas.openxmlformats.org/officeDocument/2006/relationships/oleObject" Target="embeddings/oleObject33.bin"/><Relationship Id="rId143" Type="http://schemas.openxmlformats.org/officeDocument/2006/relationships/image" Target="media/image101.wmf"/><Relationship Id="rId142" Type="http://schemas.openxmlformats.org/officeDocument/2006/relationships/oleObject" Target="embeddings/oleObject32.bin"/><Relationship Id="rId141" Type="http://schemas.openxmlformats.org/officeDocument/2006/relationships/image" Target="media/image100.wmf"/><Relationship Id="rId140" Type="http://schemas.openxmlformats.org/officeDocument/2006/relationships/oleObject" Target="embeddings/oleObject31.bin"/><Relationship Id="rId14" Type="http://schemas.openxmlformats.org/officeDocument/2006/relationships/image" Target="media/image4.png"/><Relationship Id="rId139" Type="http://schemas.openxmlformats.org/officeDocument/2006/relationships/image" Target="media/image99.wmf"/><Relationship Id="rId138" Type="http://schemas.openxmlformats.org/officeDocument/2006/relationships/oleObject" Target="embeddings/oleObject30.bin"/><Relationship Id="rId137" Type="http://schemas.openxmlformats.org/officeDocument/2006/relationships/image" Target="media/image98.wmf"/><Relationship Id="rId136" Type="http://schemas.openxmlformats.org/officeDocument/2006/relationships/oleObject" Target="embeddings/oleObject29.bin"/><Relationship Id="rId135" Type="http://schemas.openxmlformats.org/officeDocument/2006/relationships/image" Target="media/image97.wmf"/><Relationship Id="rId134" Type="http://schemas.openxmlformats.org/officeDocument/2006/relationships/oleObject" Target="embeddings/oleObject28.bin"/><Relationship Id="rId133" Type="http://schemas.openxmlformats.org/officeDocument/2006/relationships/image" Target="media/image96.wmf"/><Relationship Id="rId132" Type="http://schemas.openxmlformats.org/officeDocument/2006/relationships/oleObject" Target="embeddings/oleObject27.bin"/><Relationship Id="rId131" Type="http://schemas.openxmlformats.org/officeDocument/2006/relationships/image" Target="media/image95.wmf"/><Relationship Id="rId130" Type="http://schemas.openxmlformats.org/officeDocument/2006/relationships/oleObject" Target="embeddings/oleObject26.bin"/><Relationship Id="rId13" Type="http://schemas.openxmlformats.org/officeDocument/2006/relationships/image" Target="media/image3.png"/><Relationship Id="rId129" Type="http://schemas.openxmlformats.org/officeDocument/2006/relationships/image" Target="media/image94.wmf"/><Relationship Id="rId128" Type="http://schemas.openxmlformats.org/officeDocument/2006/relationships/oleObject" Target="embeddings/oleObject25.bin"/><Relationship Id="rId127" Type="http://schemas.openxmlformats.org/officeDocument/2006/relationships/image" Target="media/image93.wmf"/><Relationship Id="rId126" Type="http://schemas.openxmlformats.org/officeDocument/2006/relationships/oleObject" Target="embeddings/oleObject24.bin"/><Relationship Id="rId125" Type="http://schemas.openxmlformats.org/officeDocument/2006/relationships/image" Target="media/image92.wmf"/><Relationship Id="rId124" Type="http://schemas.openxmlformats.org/officeDocument/2006/relationships/oleObject" Target="embeddings/oleObject23.bin"/><Relationship Id="rId123" Type="http://schemas.openxmlformats.org/officeDocument/2006/relationships/image" Target="media/image91.wmf"/><Relationship Id="rId122" Type="http://schemas.openxmlformats.org/officeDocument/2006/relationships/oleObject" Target="embeddings/oleObject22.bin"/><Relationship Id="rId121" Type="http://schemas.openxmlformats.org/officeDocument/2006/relationships/image" Target="media/image90.wmf"/><Relationship Id="rId120" Type="http://schemas.openxmlformats.org/officeDocument/2006/relationships/oleObject" Target="embeddings/oleObject21.bin"/><Relationship Id="rId12" Type="http://schemas.openxmlformats.org/officeDocument/2006/relationships/image" Target="media/image2.png"/><Relationship Id="rId119" Type="http://schemas.openxmlformats.org/officeDocument/2006/relationships/image" Target="media/image89.wmf"/><Relationship Id="rId118" Type="http://schemas.openxmlformats.org/officeDocument/2006/relationships/oleObject" Target="embeddings/oleObject20.bin"/><Relationship Id="rId117" Type="http://schemas.openxmlformats.org/officeDocument/2006/relationships/image" Target="media/image88.wmf"/><Relationship Id="rId116" Type="http://schemas.openxmlformats.org/officeDocument/2006/relationships/oleObject" Target="embeddings/oleObject19.bin"/><Relationship Id="rId115" Type="http://schemas.openxmlformats.org/officeDocument/2006/relationships/image" Target="media/image87.wmf"/><Relationship Id="rId114" Type="http://schemas.openxmlformats.org/officeDocument/2006/relationships/oleObject" Target="embeddings/oleObject18.bin"/><Relationship Id="rId113" Type="http://schemas.openxmlformats.org/officeDocument/2006/relationships/image" Target="media/image86.wmf"/><Relationship Id="rId112" Type="http://schemas.openxmlformats.org/officeDocument/2006/relationships/oleObject" Target="embeddings/oleObject17.bin"/><Relationship Id="rId111" Type="http://schemas.openxmlformats.org/officeDocument/2006/relationships/image" Target="media/image85.wmf"/><Relationship Id="rId110" Type="http://schemas.openxmlformats.org/officeDocument/2006/relationships/oleObject" Target="embeddings/oleObject16.bin"/><Relationship Id="rId11" Type="http://schemas.openxmlformats.org/officeDocument/2006/relationships/image" Target="media/image1.jpeg"/><Relationship Id="rId109" Type="http://schemas.openxmlformats.org/officeDocument/2006/relationships/image" Target="media/image84.wmf"/><Relationship Id="rId108" Type="http://schemas.openxmlformats.org/officeDocument/2006/relationships/oleObject" Target="embeddings/oleObject15.bin"/><Relationship Id="rId107" Type="http://schemas.openxmlformats.org/officeDocument/2006/relationships/image" Target="media/image83.wmf"/><Relationship Id="rId106" Type="http://schemas.openxmlformats.org/officeDocument/2006/relationships/oleObject" Target="embeddings/oleObject14.bin"/><Relationship Id="rId105" Type="http://schemas.openxmlformats.org/officeDocument/2006/relationships/image" Target="media/image82.wmf"/><Relationship Id="rId104" Type="http://schemas.openxmlformats.org/officeDocument/2006/relationships/oleObject" Target="embeddings/oleObject13.bin"/><Relationship Id="rId103" Type="http://schemas.openxmlformats.org/officeDocument/2006/relationships/image" Target="media/image81.wmf"/><Relationship Id="rId102" Type="http://schemas.openxmlformats.org/officeDocument/2006/relationships/oleObject" Target="embeddings/oleObject12.bin"/><Relationship Id="rId101" Type="http://schemas.openxmlformats.org/officeDocument/2006/relationships/image" Target="media/image80.wmf"/><Relationship Id="rId100" Type="http://schemas.openxmlformats.org/officeDocument/2006/relationships/oleObject" Target="embeddings/oleObject11.bin"/><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113</Pages>
  <Words>5397</Words>
  <Characters>6482</Characters>
  <Lines>361</Lines>
  <Paragraphs>101</Paragraphs>
  <TotalTime>22</TotalTime>
  <ScaleCrop>false</ScaleCrop>
  <LinksUpToDate>false</LinksUpToDate>
  <CharactersWithSpaces>6624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2024-11-30T09:40:00Z</dcterms:created>
  <dc:creator>伟</dc:creator>
  <cp:lastModifiedBy>WPS_1178362952</cp:lastModifiedBy>
  <cp:lastPrinted>2023-01-31T00:56:00Z</cp:lastPrinted>
  <dcterms:modified xsi:type="dcterms:W3CDTF">2025-03-04T02:16:50Z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1C96C436913D42E5A50778D5BA414CF1_13</vt:lpwstr>
  </property>
  <property fmtid="{D5CDD505-2E9C-101B-9397-08002B2CF9AE}" pid="4" name="KSOTemplateDocerSaveRecord">
    <vt:lpwstr>eyJoZGlkIjoiN2RlOWMwNTAzZGNmZDIwNjBhMTA3YTIxY2M4ZWUyZmEiLCJ1c2VySWQiOiIxMTc4MzYyOTUyIn0=</vt:lpwstr>
  </property>
</Properties>
</file>