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9992E5">
      <w:pPr>
        <w:ind w:firstLine="562" w:firstLineChars="201"/>
        <w:jc w:val="left"/>
        <w:rPr>
          <w:bCs/>
          <w:color w:val="000000" w:themeColor="text1"/>
          <w:sz w:val="28"/>
          <w:szCs w:val="28"/>
          <w14:textFill>
            <w14:solidFill>
              <w14:schemeClr w14:val="tx1"/>
            </w14:solidFill>
          </w14:textFill>
        </w:rPr>
      </w:pPr>
      <w:bookmarkStart w:id="0" w:name="_Hlk114687135"/>
      <w:bookmarkEnd w:id="0"/>
    </w:p>
    <w:p w14:paraId="6AF48C0E">
      <w:pPr>
        <w:ind w:firstLine="562" w:firstLineChars="201"/>
        <w:jc w:val="left"/>
        <w:rPr>
          <w:bCs/>
          <w:color w:val="000000" w:themeColor="text1"/>
          <w:sz w:val="28"/>
          <w:szCs w:val="28"/>
          <w14:textFill>
            <w14:solidFill>
              <w14:schemeClr w14:val="tx1"/>
            </w14:solidFill>
          </w14:textFill>
        </w:rPr>
      </w:pPr>
    </w:p>
    <w:p w14:paraId="08199BDF">
      <w:pPr>
        <w:ind w:firstLine="562" w:firstLineChars="201"/>
        <w:jc w:val="left"/>
        <w:rPr>
          <w:bCs/>
          <w:color w:val="000000" w:themeColor="text1"/>
          <w:sz w:val="28"/>
          <w:szCs w:val="28"/>
          <w14:textFill>
            <w14:solidFill>
              <w14:schemeClr w14:val="tx1"/>
            </w14:solidFill>
          </w14:textFill>
        </w:rPr>
      </w:pPr>
    </w:p>
    <w:p w14:paraId="0E65C624">
      <w:pPr>
        <w:ind w:firstLine="562" w:firstLineChars="201"/>
        <w:jc w:val="left"/>
        <w:rPr>
          <w:bCs/>
          <w:color w:val="000000" w:themeColor="text1"/>
          <w:sz w:val="28"/>
          <w:szCs w:val="28"/>
          <w14:textFill>
            <w14:solidFill>
              <w14:schemeClr w14:val="tx1"/>
            </w14:solidFill>
          </w14:textFill>
        </w:rPr>
      </w:pPr>
    </w:p>
    <w:p w14:paraId="03AE5B5E">
      <w:pPr>
        <w:pStyle w:val="45"/>
      </w:pPr>
      <w:r>
        <w:rPr>
          <w:rFonts w:hint="eastAsia"/>
          <w:b/>
          <w:color w:val="000000" w:themeColor="text1"/>
          <w:sz w:val="32"/>
          <w14:textFill>
            <w14:solidFill>
              <w14:schemeClr w14:val="tx1"/>
            </w14:solidFill>
          </w14:textFill>
        </w:rPr>
        <w:t>S109孝感至汉川一级公路汉川段新建工程民乐渠大桥主墩XGT6015A-8S（60m）塔式起重机安</w:t>
      </w:r>
      <w:r>
        <w:rPr>
          <w:rFonts w:hint="eastAsia"/>
          <w:b/>
          <w:color w:val="000000" w:themeColor="text1"/>
          <w:sz w:val="32"/>
          <w:lang w:val="en-US" w:eastAsia="zh-CN"/>
          <w14:textFill>
            <w14:solidFill>
              <w14:schemeClr w14:val="tx1"/>
            </w14:solidFill>
          </w14:textFill>
        </w:rPr>
        <w:t>装</w:t>
      </w:r>
      <w:r>
        <w:rPr>
          <w:rFonts w:hint="eastAsia"/>
          <w:b/>
          <w:color w:val="000000" w:themeColor="text1"/>
          <w:sz w:val="32"/>
          <w14:textFill>
            <w14:solidFill>
              <w14:schemeClr w14:val="tx1"/>
            </w14:solidFill>
          </w14:textFill>
        </w:rPr>
        <w:t>专项施工方案</w:t>
      </w:r>
    </w:p>
    <w:p w14:paraId="5E3AF490">
      <w:pPr>
        <w:ind w:firstLine="562" w:firstLineChars="201"/>
        <w:jc w:val="left"/>
        <w:rPr>
          <w:bCs/>
          <w:color w:val="000000" w:themeColor="text1"/>
          <w:sz w:val="28"/>
          <w:szCs w:val="28"/>
          <w14:textFill>
            <w14:solidFill>
              <w14:schemeClr w14:val="tx1"/>
            </w14:solidFill>
          </w14:textFill>
        </w:rPr>
      </w:pPr>
    </w:p>
    <w:p w14:paraId="647EB2D8">
      <w:pPr>
        <w:pStyle w:val="46"/>
        <w:rPr>
          <w:color w:val="000000" w:themeColor="text1"/>
          <w14:textFill>
            <w14:solidFill>
              <w14:schemeClr w14:val="tx1"/>
            </w14:solidFill>
          </w14:textFill>
        </w:rPr>
      </w:pPr>
    </w:p>
    <w:p w14:paraId="032CF5E9">
      <w:pPr>
        <w:ind w:firstLine="565" w:firstLineChars="201"/>
        <w:jc w:val="lef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                                </w:t>
      </w:r>
    </w:p>
    <w:p w14:paraId="1974805A">
      <w:pPr>
        <w:ind w:firstLine="562" w:firstLineChars="201"/>
        <w:jc w:val="left"/>
        <w:rPr>
          <w:bCs/>
          <w:color w:val="000000" w:themeColor="text1"/>
          <w:sz w:val="28"/>
          <w:szCs w:val="28"/>
          <w14:textFill>
            <w14:solidFill>
              <w14:schemeClr w14:val="tx1"/>
            </w14:solidFill>
          </w14:textFill>
        </w:rPr>
      </w:pPr>
    </w:p>
    <w:p w14:paraId="46D09FBA">
      <w:pPr>
        <w:ind w:firstLine="562" w:firstLineChars="201"/>
        <w:jc w:val="left"/>
        <w:rPr>
          <w:bCs/>
          <w:color w:val="000000" w:themeColor="text1"/>
          <w:sz w:val="28"/>
          <w:szCs w:val="28"/>
          <w14:textFill>
            <w14:solidFill>
              <w14:schemeClr w14:val="tx1"/>
            </w14:solidFill>
          </w14:textFill>
        </w:rPr>
      </w:pPr>
    </w:p>
    <w:p w14:paraId="27BB5E93">
      <w:pPr>
        <w:ind w:firstLine="562" w:firstLineChars="201"/>
        <w:jc w:val="left"/>
        <w:rPr>
          <w:bCs/>
          <w:color w:val="000000" w:themeColor="text1"/>
          <w:sz w:val="28"/>
          <w:szCs w:val="28"/>
          <w14:textFill>
            <w14:solidFill>
              <w14:schemeClr w14:val="tx1"/>
            </w14:solidFill>
          </w14:textFill>
        </w:rPr>
      </w:pPr>
    </w:p>
    <w:p w14:paraId="6AEAAAC3">
      <w:pPr>
        <w:tabs>
          <w:tab w:val="left" w:pos="5815"/>
        </w:tabs>
        <w:ind w:firstLine="562" w:firstLineChars="201"/>
        <w:jc w:val="left"/>
        <w:rPr>
          <w:rFonts w:hint="eastAsia" w:eastAsia="宋体"/>
          <w:bCs/>
          <w:color w:val="000000" w:themeColor="text1"/>
          <w:sz w:val="28"/>
          <w:szCs w:val="28"/>
          <w:lang w:eastAsia="zh-CN"/>
          <w14:textFill>
            <w14:solidFill>
              <w14:schemeClr w14:val="tx1"/>
            </w14:solidFill>
          </w14:textFill>
        </w:rPr>
      </w:pPr>
      <w:r>
        <w:rPr>
          <w:rFonts w:hint="eastAsia"/>
          <w:bCs/>
          <w:color w:val="000000" w:themeColor="text1"/>
          <w:sz w:val="28"/>
          <w:szCs w:val="28"/>
          <w:lang w:eastAsia="zh-CN"/>
          <w14:textFill>
            <w14:solidFill>
              <w14:schemeClr w14:val="tx1"/>
            </w14:solidFill>
          </w14:textFill>
        </w:rPr>
        <w:tab/>
      </w:r>
    </w:p>
    <w:p w14:paraId="60C92E04">
      <w:pPr>
        <w:ind w:firstLine="562" w:firstLineChars="201"/>
        <w:jc w:val="left"/>
        <w:rPr>
          <w:bCs/>
          <w:color w:val="000000" w:themeColor="text1"/>
          <w:sz w:val="28"/>
          <w:szCs w:val="28"/>
          <w14:textFill>
            <w14:solidFill>
              <w14:schemeClr w14:val="tx1"/>
            </w14:solidFill>
          </w14:textFill>
        </w:rPr>
      </w:pPr>
    </w:p>
    <w:p w14:paraId="27E54DB7">
      <w:pPr>
        <w:ind w:firstLine="562" w:firstLineChars="201"/>
        <w:jc w:val="left"/>
        <w:rPr>
          <w:bCs/>
          <w:color w:val="000000" w:themeColor="text1"/>
          <w:sz w:val="28"/>
          <w:szCs w:val="28"/>
          <w14:textFill>
            <w14:solidFill>
              <w14:schemeClr w14:val="tx1"/>
            </w14:solidFill>
          </w14:textFill>
        </w:rPr>
      </w:pPr>
    </w:p>
    <w:p w14:paraId="16984599">
      <w:pPr>
        <w:ind w:firstLine="562" w:firstLineChars="201"/>
        <w:jc w:val="left"/>
        <w:rPr>
          <w:bCs/>
          <w:color w:val="000000" w:themeColor="text1"/>
          <w:sz w:val="28"/>
          <w:szCs w:val="28"/>
          <w14:textFill>
            <w14:solidFill>
              <w14:schemeClr w14:val="tx1"/>
            </w14:solidFill>
          </w14:textFill>
        </w:rPr>
      </w:pPr>
    </w:p>
    <w:p w14:paraId="495137B2">
      <w:pPr>
        <w:ind w:firstLine="562" w:firstLineChars="201"/>
        <w:jc w:val="left"/>
        <w:rPr>
          <w:bCs/>
          <w:color w:val="000000" w:themeColor="text1"/>
          <w:sz w:val="28"/>
          <w:szCs w:val="28"/>
          <w14:textFill>
            <w14:solidFill>
              <w14:schemeClr w14:val="tx1"/>
            </w14:solidFill>
          </w14:textFill>
        </w:rPr>
      </w:pPr>
    </w:p>
    <w:p w14:paraId="57BA930E">
      <w:pPr>
        <w:ind w:firstLine="562" w:firstLineChars="201"/>
        <w:jc w:val="left"/>
        <w:rPr>
          <w:bCs/>
          <w:color w:val="000000" w:themeColor="text1"/>
          <w:sz w:val="28"/>
          <w:szCs w:val="28"/>
          <w14:textFill>
            <w14:solidFill>
              <w14:schemeClr w14:val="tx1"/>
            </w14:solidFill>
          </w14:textFill>
        </w:rPr>
      </w:pPr>
    </w:p>
    <w:p w14:paraId="360CD5ED">
      <w:pPr>
        <w:ind w:firstLine="562" w:firstLineChars="201"/>
        <w:jc w:val="left"/>
        <w:rPr>
          <w:bCs/>
          <w:color w:val="000000" w:themeColor="text1"/>
          <w:sz w:val="28"/>
          <w:szCs w:val="28"/>
          <w14:textFill>
            <w14:solidFill>
              <w14:schemeClr w14:val="tx1"/>
            </w14:solidFill>
          </w14:textFill>
        </w:rPr>
      </w:pPr>
    </w:p>
    <w:p w14:paraId="56A4BC9F">
      <w:pPr>
        <w:ind w:firstLine="562" w:firstLineChars="201"/>
        <w:jc w:val="left"/>
        <w:rPr>
          <w:bCs/>
          <w:color w:val="000000" w:themeColor="text1"/>
          <w:sz w:val="28"/>
          <w:szCs w:val="28"/>
          <w14:textFill>
            <w14:solidFill>
              <w14:schemeClr w14:val="tx1"/>
            </w14:solidFill>
          </w14:textFill>
        </w:rPr>
      </w:pPr>
    </w:p>
    <w:p w14:paraId="320E86BC">
      <w:pPr>
        <w:ind w:firstLine="562" w:firstLineChars="201"/>
        <w:jc w:val="left"/>
        <w:rPr>
          <w:bCs/>
          <w:color w:val="000000" w:themeColor="text1"/>
          <w:sz w:val="28"/>
          <w:szCs w:val="28"/>
          <w14:textFill>
            <w14:solidFill>
              <w14:schemeClr w14:val="tx1"/>
            </w14:solidFill>
          </w14:textFill>
        </w:rPr>
      </w:pPr>
    </w:p>
    <w:p w14:paraId="2E9EFEFF">
      <w:pPr>
        <w:ind w:firstLine="562" w:firstLineChars="201"/>
        <w:jc w:val="left"/>
        <w:rPr>
          <w:bCs/>
          <w:color w:val="000000" w:themeColor="text1"/>
          <w:sz w:val="28"/>
          <w:szCs w:val="28"/>
          <w14:textFill>
            <w14:solidFill>
              <w14:schemeClr w14:val="tx1"/>
            </w14:solidFill>
          </w14:textFill>
        </w:rPr>
      </w:pPr>
    </w:p>
    <w:p w14:paraId="32F2F12A">
      <w:pPr>
        <w:pStyle w:val="65"/>
        <w:rPr>
          <w:color w:val="000000" w:themeColor="text1"/>
          <w14:textFill>
            <w14:solidFill>
              <w14:schemeClr w14:val="tx1"/>
            </w14:solidFill>
          </w14:textFill>
        </w:rPr>
      </w:pPr>
    </w:p>
    <w:p w14:paraId="566C7A8A">
      <w:pPr>
        <w:pStyle w:val="65"/>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四川科斗文智能装备</w:t>
      </w:r>
      <w:r>
        <w:rPr>
          <w:rFonts w:hint="eastAsia"/>
          <w:color w:val="000000" w:themeColor="text1"/>
          <w14:textFill>
            <w14:solidFill>
              <w14:schemeClr w14:val="tx1"/>
            </w14:solidFill>
          </w14:textFill>
        </w:rPr>
        <w:t>有限公司</w:t>
      </w:r>
    </w:p>
    <w:p w14:paraId="73FB935A">
      <w:pPr>
        <w:pStyle w:val="6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二〇二</w:t>
      </w:r>
      <w:r>
        <w:rPr>
          <w:rFonts w:hint="eastAsia"/>
          <w:color w:val="000000" w:themeColor="text1"/>
          <w:highlight w:val="none"/>
          <w:lang w:val="en-US" w:eastAsia="zh-CN"/>
          <w14:textFill>
            <w14:solidFill>
              <w14:schemeClr w14:val="tx1"/>
            </w14:solidFill>
          </w14:textFill>
        </w:rPr>
        <w:t>五</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二</w:t>
      </w:r>
      <w:r>
        <w:rPr>
          <w:color w:val="000000" w:themeColor="text1"/>
          <w:highlight w:val="none"/>
          <w14:textFill>
            <w14:solidFill>
              <w14:schemeClr w14:val="tx1"/>
            </w14:solidFill>
          </w14:textFill>
        </w:rPr>
        <w:t>月</w:t>
      </w:r>
      <w:bookmarkStart w:id="1" w:name="_Toc277275498"/>
      <w:bookmarkEnd w:id="1"/>
      <w:bookmarkStart w:id="2" w:name="_Toc271909489"/>
      <w:bookmarkEnd w:id="2"/>
      <w:bookmarkStart w:id="3" w:name="_Toc276521510"/>
      <w:bookmarkEnd w:id="3"/>
    </w:p>
    <w:p w14:paraId="54DAE137">
      <w:pPr>
        <w:ind w:firstLine="562" w:firstLineChars="201"/>
        <w:jc w:val="left"/>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br w:type="page"/>
      </w:r>
    </w:p>
    <w:p w14:paraId="7E4FC75E">
      <w:pPr>
        <w:ind w:firstLine="0" w:firstLineChars="0"/>
        <w:jc w:val="center"/>
        <w:rPr>
          <w:b/>
          <w:color w:val="000000" w:themeColor="text1"/>
          <w:sz w:val="48"/>
          <w:szCs w:val="32"/>
          <w14:textFill>
            <w14:solidFill>
              <w14:schemeClr w14:val="tx1"/>
            </w14:solidFill>
          </w14:textFill>
        </w:rPr>
      </w:pPr>
    </w:p>
    <w:p w14:paraId="66306E36">
      <w:pPr>
        <w:ind w:firstLine="562" w:firstLineChars="201"/>
        <w:jc w:val="left"/>
        <w:rPr>
          <w:bCs/>
          <w:color w:val="000000" w:themeColor="text1"/>
          <w:sz w:val="28"/>
          <w:szCs w:val="28"/>
          <w14:textFill>
            <w14:solidFill>
              <w14:schemeClr w14:val="tx1"/>
            </w14:solidFill>
          </w14:textFill>
        </w:rPr>
      </w:pPr>
    </w:p>
    <w:p w14:paraId="0A320AB8">
      <w:pPr>
        <w:ind w:firstLine="562" w:firstLineChars="201"/>
        <w:jc w:val="left"/>
        <w:rPr>
          <w:bCs/>
          <w:color w:val="000000" w:themeColor="text1"/>
          <w:sz w:val="28"/>
          <w:szCs w:val="28"/>
          <w14:textFill>
            <w14:solidFill>
              <w14:schemeClr w14:val="tx1"/>
            </w14:solidFill>
          </w14:textFill>
        </w:rPr>
      </w:pPr>
    </w:p>
    <w:p w14:paraId="5F0F2FFD">
      <w:pPr>
        <w:ind w:firstLine="562" w:firstLineChars="201"/>
        <w:jc w:val="left"/>
        <w:rPr>
          <w:bCs/>
          <w:color w:val="000000" w:themeColor="text1"/>
          <w:sz w:val="28"/>
          <w:szCs w:val="28"/>
          <w14:textFill>
            <w14:solidFill>
              <w14:schemeClr w14:val="tx1"/>
            </w14:solidFill>
          </w14:textFill>
        </w:rPr>
      </w:pPr>
    </w:p>
    <w:p w14:paraId="0DA05780">
      <w:pPr>
        <w:ind w:firstLine="562" w:firstLineChars="201"/>
        <w:jc w:val="left"/>
        <w:rPr>
          <w:bCs/>
          <w:color w:val="000000" w:themeColor="text1"/>
          <w:sz w:val="28"/>
          <w:szCs w:val="28"/>
          <w14:textFill>
            <w14:solidFill>
              <w14:schemeClr w14:val="tx1"/>
            </w14:solidFill>
          </w14:textFill>
        </w:rPr>
      </w:pPr>
    </w:p>
    <w:p w14:paraId="545CDD7F">
      <w:pPr>
        <w:ind w:firstLine="562" w:firstLineChars="201"/>
        <w:jc w:val="left"/>
        <w:rPr>
          <w:bCs/>
          <w:color w:val="000000" w:themeColor="text1"/>
          <w:sz w:val="28"/>
          <w:szCs w:val="28"/>
          <w14:textFill>
            <w14:solidFill>
              <w14:schemeClr w14:val="tx1"/>
            </w14:solidFill>
          </w14:textFill>
        </w:rPr>
      </w:pPr>
    </w:p>
    <w:p w14:paraId="3154DDF9">
      <w:pPr>
        <w:ind w:firstLine="562" w:firstLineChars="201"/>
        <w:jc w:val="left"/>
        <w:rPr>
          <w:bCs/>
          <w:color w:val="000000" w:themeColor="text1"/>
          <w:sz w:val="28"/>
          <w:szCs w:val="28"/>
          <w14:textFill>
            <w14:solidFill>
              <w14:schemeClr w14:val="tx1"/>
            </w14:solidFill>
          </w14:textFill>
        </w:rPr>
      </w:pPr>
    </w:p>
    <w:p w14:paraId="2ADE31B2">
      <w:pPr>
        <w:pStyle w:val="45"/>
        <w:rPr>
          <w:bCs/>
          <w:color w:val="000000" w:themeColor="text1"/>
          <w:sz w:val="28"/>
          <w:szCs w:val="28"/>
          <w14:textFill>
            <w14:solidFill>
              <w14:schemeClr w14:val="tx1"/>
            </w14:solidFill>
          </w14:textFill>
        </w:rPr>
      </w:pPr>
      <w:bookmarkStart w:id="4" w:name="_Hlk117256034"/>
      <w:r>
        <w:rPr>
          <w:rFonts w:hint="eastAsia"/>
          <w:color w:val="000000" w:themeColor="text1"/>
          <w14:textFill>
            <w14:solidFill>
              <w14:schemeClr w14:val="tx1"/>
            </w14:solidFill>
          </w14:textFill>
        </w:rPr>
        <w:t>S109孝感至汉川一级公路汉川段新建工程民乐渠大桥主墩XGT6015A-8S（60m）塔式起重机安</w:t>
      </w:r>
      <w:r>
        <w:rPr>
          <w:rFonts w:hint="eastAsia"/>
          <w:color w:val="000000" w:themeColor="text1"/>
          <w:lang w:val="en-US" w:eastAsia="zh-CN"/>
          <w14:textFill>
            <w14:solidFill>
              <w14:schemeClr w14:val="tx1"/>
            </w14:solidFill>
          </w14:textFill>
        </w:rPr>
        <w:t>装</w:t>
      </w:r>
      <w:r>
        <w:rPr>
          <w:rFonts w:hint="eastAsia"/>
          <w:color w:val="000000" w:themeColor="text1"/>
          <w14:textFill>
            <w14:solidFill>
              <w14:schemeClr w14:val="tx1"/>
            </w14:solidFill>
          </w14:textFill>
        </w:rPr>
        <w:t>专项施工方案</w:t>
      </w:r>
    </w:p>
    <w:p w14:paraId="208608CA">
      <w:pPr>
        <w:ind w:firstLine="562" w:firstLineChars="201"/>
        <w:jc w:val="left"/>
        <w:rPr>
          <w:bCs/>
          <w:color w:val="000000" w:themeColor="text1"/>
          <w:sz w:val="28"/>
          <w:szCs w:val="28"/>
          <w14:textFill>
            <w14:solidFill>
              <w14:schemeClr w14:val="tx1"/>
            </w14:solidFill>
          </w14:textFill>
        </w:rPr>
      </w:pPr>
    </w:p>
    <w:p w14:paraId="102F40C0">
      <w:pPr>
        <w:ind w:firstLine="562" w:firstLineChars="201"/>
        <w:jc w:val="left"/>
        <w:rPr>
          <w:bCs/>
          <w:color w:val="000000" w:themeColor="text1"/>
          <w:sz w:val="28"/>
          <w:szCs w:val="28"/>
          <w14:textFill>
            <w14:solidFill>
              <w14:schemeClr w14:val="tx1"/>
            </w14:solidFill>
          </w14:textFill>
        </w:rPr>
      </w:pPr>
    </w:p>
    <w:p w14:paraId="40FD8989">
      <w:pPr>
        <w:ind w:firstLine="562" w:firstLineChars="201"/>
        <w:jc w:val="left"/>
        <w:rPr>
          <w:bCs/>
          <w:color w:val="000000" w:themeColor="text1"/>
          <w:sz w:val="28"/>
          <w:szCs w:val="28"/>
          <w14:textFill>
            <w14:solidFill>
              <w14:schemeClr w14:val="tx1"/>
            </w14:solidFill>
          </w14:textFill>
        </w:rPr>
      </w:pPr>
    </w:p>
    <w:p w14:paraId="7FAEE9D0">
      <w:pPr>
        <w:ind w:firstLine="562" w:firstLineChars="201"/>
        <w:jc w:val="left"/>
        <w:rPr>
          <w:bCs/>
          <w:color w:val="000000" w:themeColor="text1"/>
          <w:sz w:val="28"/>
          <w:szCs w:val="28"/>
          <w14:textFill>
            <w14:solidFill>
              <w14:schemeClr w14:val="tx1"/>
            </w14:solidFill>
          </w14:textFill>
        </w:rPr>
      </w:pPr>
    </w:p>
    <w:p w14:paraId="110A8596">
      <w:pPr>
        <w:ind w:firstLine="562" w:firstLineChars="201"/>
        <w:jc w:val="left"/>
        <w:rPr>
          <w:bCs/>
          <w:color w:val="000000" w:themeColor="text1"/>
          <w:sz w:val="28"/>
          <w:szCs w:val="28"/>
          <w14:textFill>
            <w14:solidFill>
              <w14:schemeClr w14:val="tx1"/>
            </w14:solidFill>
          </w14:textFill>
        </w:rPr>
      </w:pPr>
    </w:p>
    <w:p w14:paraId="2BF172CA">
      <w:pPr>
        <w:ind w:firstLine="0" w:firstLineChars="0"/>
        <w:jc w:val="left"/>
        <w:rPr>
          <w:bCs/>
          <w:color w:val="000000" w:themeColor="text1"/>
          <w:sz w:val="28"/>
          <w:szCs w:val="28"/>
          <w14:textFill>
            <w14:solidFill>
              <w14:schemeClr w14:val="tx1"/>
            </w14:solidFill>
          </w14:textFill>
        </w:rPr>
      </w:pPr>
    </w:p>
    <w:p w14:paraId="3835A82E">
      <w:pPr>
        <w:ind w:firstLine="562" w:firstLineChars="201"/>
        <w:jc w:val="left"/>
        <w:rPr>
          <w:bCs/>
          <w:color w:val="000000" w:themeColor="text1"/>
          <w:sz w:val="28"/>
          <w:szCs w:val="28"/>
          <w14:textFill>
            <w14:solidFill>
              <w14:schemeClr w14:val="tx1"/>
            </w14:solidFill>
          </w14:textFill>
        </w:rPr>
      </w:pPr>
    </w:p>
    <w:p w14:paraId="66FE703B">
      <w:pPr>
        <w:ind w:firstLine="562" w:firstLineChars="201"/>
        <w:jc w:val="left"/>
        <w:rPr>
          <w:bCs/>
          <w:color w:val="000000" w:themeColor="text1"/>
          <w:sz w:val="28"/>
          <w:szCs w:val="28"/>
          <w14:textFill>
            <w14:solidFill>
              <w14:schemeClr w14:val="tx1"/>
            </w14:solidFill>
          </w14:textFill>
        </w:rPr>
      </w:pPr>
    </w:p>
    <w:p w14:paraId="350766C3">
      <w:pPr>
        <w:ind w:firstLine="1680" w:firstLineChars="600"/>
        <w:jc w:val="left"/>
        <w:rPr>
          <w:bCs/>
          <w:color w:val="000000" w:themeColor="text1"/>
          <w:sz w:val="28"/>
          <w:szCs w:val="28"/>
          <w14:textFill>
            <w14:solidFill>
              <w14:schemeClr w14:val="tx1"/>
            </w14:solidFill>
          </w14:textFill>
        </w:rPr>
      </w:pPr>
      <w:bookmarkStart w:id="5" w:name="_Hlk117255928"/>
      <w:r>
        <w:rPr>
          <w:bCs/>
          <w:color w:val="000000" w:themeColor="text1"/>
          <w:sz w:val="28"/>
          <w:szCs w:val="28"/>
          <w14:textFill>
            <w14:solidFill>
              <w14:schemeClr w14:val="tx1"/>
            </w14:solidFill>
          </w14:textFill>
        </w:rPr>
        <w:t>编制人：</w:t>
      </w:r>
      <w:r>
        <w:rPr>
          <w:bCs/>
          <w:color w:val="000000" w:themeColor="text1"/>
          <w:sz w:val="28"/>
          <w:szCs w:val="28"/>
          <w:u w:val="single"/>
          <w14:textFill>
            <w14:solidFill>
              <w14:schemeClr w14:val="tx1"/>
            </w14:solidFill>
          </w14:textFill>
        </w:rPr>
        <w:t xml:space="preserve">                               </w:t>
      </w:r>
    </w:p>
    <w:p w14:paraId="67A889DB">
      <w:pPr>
        <w:ind w:firstLine="1680" w:firstLineChars="600"/>
        <w:jc w:val="left"/>
        <w:rPr>
          <w:bCs/>
          <w:color w:val="000000" w:themeColor="text1"/>
          <w:sz w:val="28"/>
          <w:szCs w:val="28"/>
          <w14:textFill>
            <w14:solidFill>
              <w14:schemeClr w14:val="tx1"/>
            </w14:solidFill>
          </w14:textFill>
        </w:rPr>
      </w:pPr>
      <w:bookmarkStart w:id="6" w:name="_Hlk117256013"/>
      <w:r>
        <w:rPr>
          <w:bCs/>
          <w:color w:val="000000" w:themeColor="text1"/>
          <w:sz w:val="28"/>
          <w:szCs w:val="28"/>
          <w14:textFill>
            <w14:solidFill>
              <w14:schemeClr w14:val="tx1"/>
            </w14:solidFill>
          </w14:textFill>
        </w:rPr>
        <w:t>审核人：</w:t>
      </w:r>
      <w:r>
        <w:rPr>
          <w:bCs/>
          <w:color w:val="000000" w:themeColor="text1"/>
          <w:sz w:val="28"/>
          <w:szCs w:val="28"/>
          <w:u w:val="single"/>
          <w14:textFill>
            <w14:solidFill>
              <w14:schemeClr w14:val="tx1"/>
            </w14:solidFill>
          </w14:textFill>
        </w:rPr>
        <w:t xml:space="preserve">              </w:t>
      </w:r>
      <w:r>
        <w:rPr>
          <w:rFonts w:hint="eastAsia"/>
          <w:bCs/>
          <w:color w:val="000000" w:themeColor="text1"/>
          <w:sz w:val="28"/>
          <w:szCs w:val="28"/>
          <w:u w:val="single"/>
          <w:lang w:val="en-US" w:eastAsia="zh-CN"/>
          <w14:textFill>
            <w14:solidFill>
              <w14:schemeClr w14:val="tx1"/>
            </w14:solidFill>
          </w14:textFill>
        </w:rPr>
        <w:t xml:space="preserve">           </w:t>
      </w:r>
      <w:r>
        <w:rPr>
          <w:bCs/>
          <w:color w:val="000000" w:themeColor="text1"/>
          <w:sz w:val="28"/>
          <w:szCs w:val="28"/>
          <w:u w:val="single"/>
          <w14:textFill>
            <w14:solidFill>
              <w14:schemeClr w14:val="tx1"/>
            </w14:solidFill>
          </w14:textFill>
        </w:rPr>
        <w:t xml:space="preserve">      </w:t>
      </w:r>
    </w:p>
    <w:bookmarkEnd w:id="6"/>
    <w:p w14:paraId="5BBEA40C">
      <w:pPr>
        <w:ind w:firstLine="1680" w:firstLineChars="600"/>
        <w:jc w:val="left"/>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审批人：</w:t>
      </w:r>
      <w:r>
        <w:rPr>
          <w:bCs/>
          <w:color w:val="000000" w:themeColor="text1"/>
          <w:sz w:val="28"/>
          <w:szCs w:val="28"/>
          <w:u w:val="single"/>
          <w14:textFill>
            <w14:solidFill>
              <w14:schemeClr w14:val="tx1"/>
            </w14:solidFill>
          </w14:textFill>
        </w:rPr>
        <w:t xml:space="preserve">        </w:t>
      </w:r>
      <w:r>
        <w:rPr>
          <w:rFonts w:hint="eastAsia"/>
          <w:bCs/>
          <w:color w:val="000000" w:themeColor="text1"/>
          <w:sz w:val="28"/>
          <w:szCs w:val="28"/>
          <w:u w:val="single"/>
          <w:lang w:val="en-US" w:eastAsia="zh-CN"/>
          <w14:textFill>
            <w14:solidFill>
              <w14:schemeClr w14:val="tx1"/>
            </w14:solidFill>
          </w14:textFill>
        </w:rPr>
        <w:t xml:space="preserve"> </w:t>
      </w:r>
      <w:r>
        <w:rPr>
          <w:bCs/>
          <w:color w:val="000000" w:themeColor="text1"/>
          <w:sz w:val="28"/>
          <w:szCs w:val="28"/>
          <w:u w:val="single"/>
          <w14:textFill>
            <w14:solidFill>
              <w14:schemeClr w14:val="tx1"/>
            </w14:solidFill>
          </w14:textFill>
        </w:rPr>
        <w:t xml:space="preserve">    </w:t>
      </w:r>
      <w:r>
        <w:rPr>
          <w:rFonts w:hint="eastAsia"/>
          <w:bCs/>
          <w:color w:val="000000" w:themeColor="text1"/>
          <w:sz w:val="28"/>
          <w:szCs w:val="28"/>
          <w:u w:val="single"/>
          <w:lang w:val="en-US" w:eastAsia="zh-CN"/>
          <w14:textFill>
            <w14:solidFill>
              <w14:schemeClr w14:val="tx1"/>
            </w14:solidFill>
          </w14:textFill>
        </w:rPr>
        <w:t xml:space="preserve">           </w:t>
      </w:r>
      <w:r>
        <w:rPr>
          <w:bCs/>
          <w:color w:val="000000" w:themeColor="text1"/>
          <w:sz w:val="28"/>
          <w:szCs w:val="28"/>
          <w:u w:val="single"/>
          <w14:textFill>
            <w14:solidFill>
              <w14:schemeClr w14:val="tx1"/>
            </w14:solidFill>
          </w14:textFill>
        </w:rPr>
        <w:t xml:space="preserve">    </w:t>
      </w:r>
      <w:r>
        <w:rPr>
          <w:rFonts w:hint="eastAsia"/>
          <w:bCs/>
          <w:color w:val="000000" w:themeColor="text1"/>
          <w:sz w:val="28"/>
          <w:szCs w:val="28"/>
          <w:u w:val="single"/>
          <w:lang w:val="en-US" w:eastAsia="zh-CN"/>
          <w14:textFill>
            <w14:solidFill>
              <w14:schemeClr w14:val="tx1"/>
            </w14:solidFill>
          </w14:textFill>
        </w:rPr>
        <w:t xml:space="preserve">   </w:t>
      </w:r>
    </w:p>
    <w:p w14:paraId="7243A4C9">
      <w:pPr>
        <w:ind w:firstLine="1680" w:firstLineChars="600"/>
        <w:jc w:val="left"/>
        <w:rPr>
          <w:color w:val="000000" w:themeColor="text1"/>
          <w14:textFill>
            <w14:solidFill>
              <w14:schemeClr w14:val="tx1"/>
            </w14:solidFill>
          </w14:textFill>
        </w:rPr>
      </w:pPr>
      <w:r>
        <w:rPr>
          <w:rFonts w:hint="eastAsia"/>
          <w:bCs/>
          <w:color w:val="000000" w:themeColor="text1"/>
          <w:sz w:val="28"/>
          <w:szCs w:val="28"/>
          <w14:textFill>
            <w14:solidFill>
              <w14:schemeClr w14:val="tx1"/>
            </w14:solidFill>
          </w14:textFill>
        </w:rPr>
        <w:t>安</w:t>
      </w:r>
      <w:r>
        <w:rPr>
          <w:rFonts w:hint="eastAsia"/>
          <w:bCs/>
          <w:color w:val="000000" w:themeColor="text1"/>
          <w:sz w:val="28"/>
          <w:szCs w:val="28"/>
          <w:lang w:val="en-US" w:eastAsia="zh-CN"/>
          <w14:textFill>
            <w14:solidFill>
              <w14:schemeClr w14:val="tx1"/>
            </w14:solidFill>
          </w14:textFill>
        </w:rPr>
        <w:t>装</w:t>
      </w:r>
      <w:r>
        <w:rPr>
          <w:bCs/>
          <w:color w:val="000000" w:themeColor="text1"/>
          <w:sz w:val="28"/>
          <w:szCs w:val="28"/>
          <w14:textFill>
            <w14:solidFill>
              <w14:schemeClr w14:val="tx1"/>
            </w14:solidFill>
          </w14:textFill>
        </w:rPr>
        <w:t>单位（章）：</w:t>
      </w:r>
      <w:r>
        <w:rPr>
          <w:rFonts w:hint="eastAsia"/>
          <w:bCs/>
          <w:color w:val="000000" w:themeColor="text1"/>
          <w:sz w:val="28"/>
          <w:szCs w:val="28"/>
          <w:u w:val="single"/>
          <w:lang w:val="en-US" w:eastAsia="zh-CN"/>
          <w14:textFill>
            <w14:solidFill>
              <w14:schemeClr w14:val="tx1"/>
            </w14:solidFill>
          </w14:textFill>
        </w:rPr>
        <w:t>四川科斗文智能装备</w:t>
      </w:r>
      <w:r>
        <w:rPr>
          <w:bCs/>
          <w:color w:val="000000" w:themeColor="text1"/>
          <w:sz w:val="28"/>
          <w:szCs w:val="28"/>
          <w:u w:val="single"/>
          <w14:textFill>
            <w14:solidFill>
              <w14:schemeClr w14:val="tx1"/>
            </w14:solidFill>
          </w14:textFill>
        </w:rPr>
        <w:t xml:space="preserve">有限公司 </w:t>
      </w:r>
    </w:p>
    <w:bookmarkEnd w:id="5"/>
    <w:p w14:paraId="04C52859">
      <w:pPr>
        <w:ind w:firstLine="0" w:firstLineChars="0"/>
        <w:rPr>
          <w:b/>
          <w:color w:val="000000" w:themeColor="text1"/>
          <w:sz w:val="48"/>
          <w:szCs w:val="32"/>
          <w14:textFill>
            <w14:solidFill>
              <w14:schemeClr w14:val="tx1"/>
            </w14:solidFill>
          </w14:textFill>
        </w:rPr>
      </w:pPr>
    </w:p>
    <w:bookmarkEnd w:id="4"/>
    <w:p w14:paraId="10BE92DD">
      <w:pPr>
        <w:ind w:firstLine="964"/>
        <w:jc w:val="center"/>
        <w:rPr>
          <w:b/>
          <w:color w:val="000000" w:themeColor="text1"/>
          <w:sz w:val="48"/>
          <w:szCs w:val="32"/>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cols w:space="425" w:num="1"/>
          <w:docGrid w:linePitch="498" w:charSpace="17788"/>
        </w:sectPr>
      </w:pPr>
    </w:p>
    <w:p w14:paraId="1AC8C0AB">
      <w:pPr>
        <w:ind w:firstLine="0" w:firstLineChars="0"/>
        <w:jc w:val="center"/>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目    录</w:t>
      </w:r>
    </w:p>
    <w:p w14:paraId="7437DCB1">
      <w:pPr>
        <w:pStyle w:val="23"/>
        <w:tabs>
          <w:tab w:val="right" w:leader="dot" w:pos="9070"/>
          <w:tab w:val="clear" w:pos="9060"/>
        </w:tabs>
      </w:pPr>
      <w:r>
        <w:rPr>
          <w:color w:val="000000" w:themeColor="text1"/>
          <w:sz w:val="48"/>
          <w:szCs w:val="32"/>
          <w14:textFill>
            <w14:solidFill>
              <w14:schemeClr w14:val="tx1"/>
            </w14:solidFill>
          </w14:textFill>
        </w:rPr>
        <w:fldChar w:fldCharType="begin"/>
      </w:r>
      <w:r>
        <w:rPr>
          <w:color w:val="000000" w:themeColor="text1"/>
          <w:sz w:val="48"/>
          <w:szCs w:val="32"/>
          <w14:textFill>
            <w14:solidFill>
              <w14:schemeClr w14:val="tx1"/>
            </w14:solidFill>
          </w14:textFill>
        </w:rPr>
        <w:instrText xml:space="preserve">TOC \o "1-2" \h \u </w:instrText>
      </w:r>
      <w:r>
        <w:rPr>
          <w:color w:val="000000" w:themeColor="text1"/>
          <w:sz w:val="48"/>
          <w:szCs w:val="32"/>
          <w14:textFill>
            <w14:solidFill>
              <w14:schemeClr w14:val="tx1"/>
            </w14:solidFill>
          </w14:textFill>
        </w:rPr>
        <w:fldChar w:fldCharType="separate"/>
      </w:r>
      <w:r>
        <w:rPr>
          <w:color w:val="000000" w:themeColor="text1"/>
          <w:szCs w:val="32"/>
          <w14:textFill>
            <w14:solidFill>
              <w14:schemeClr w14:val="tx1"/>
            </w14:solidFill>
          </w14:textFill>
        </w:rPr>
        <w:fldChar w:fldCharType="begin"/>
      </w:r>
      <w:r>
        <w:rPr>
          <w:szCs w:val="32"/>
        </w:rPr>
        <w:instrText xml:space="preserve"> HYPERLINK \l _Toc13163 </w:instrText>
      </w:r>
      <w:r>
        <w:rPr>
          <w:szCs w:val="32"/>
        </w:rPr>
        <w:fldChar w:fldCharType="separate"/>
      </w:r>
      <w:r>
        <w:rPr>
          <w:rFonts w:hint="default" w:ascii="Times New Roman" w:hAnsi="Times New Roman" w:eastAsia="宋体"/>
        </w:rPr>
        <w:t xml:space="preserve">1 </w:t>
      </w:r>
      <w:r>
        <w:t>编制说明、依据及适用范围</w:t>
      </w:r>
      <w:r>
        <w:tab/>
      </w:r>
      <w:r>
        <w:fldChar w:fldCharType="begin"/>
      </w:r>
      <w:r>
        <w:instrText xml:space="preserve"> PAGEREF _Toc13163 \h </w:instrText>
      </w:r>
      <w:r>
        <w:fldChar w:fldCharType="separate"/>
      </w:r>
      <w:r>
        <w:t>3</w:t>
      </w:r>
      <w:r>
        <w:fldChar w:fldCharType="end"/>
      </w:r>
      <w:r>
        <w:rPr>
          <w:color w:val="000000" w:themeColor="text1"/>
          <w:szCs w:val="32"/>
          <w14:textFill>
            <w14:solidFill>
              <w14:schemeClr w14:val="tx1"/>
            </w14:solidFill>
          </w14:textFill>
        </w:rPr>
        <w:fldChar w:fldCharType="end"/>
      </w:r>
    </w:p>
    <w:p w14:paraId="18035C5C">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_Toc30215 </w:instrText>
      </w:r>
      <w:r>
        <w:rPr>
          <w:szCs w:val="32"/>
        </w:rPr>
        <w:fldChar w:fldCharType="separate"/>
      </w:r>
      <w:r>
        <w:rPr>
          <w:rFonts w:hint="default" w:ascii="Times New Roman" w:hAnsi="Times New Roman" w:eastAsia="宋体" w:cs="Times New Roman"/>
        </w:rPr>
        <w:t xml:space="preserve">1.1 </w:t>
      </w:r>
      <w:r>
        <w:rPr>
          <w:rFonts w:cs="Times New Roman"/>
        </w:rPr>
        <w:t>编制说明</w:t>
      </w:r>
      <w:r>
        <w:tab/>
      </w:r>
      <w:r>
        <w:fldChar w:fldCharType="begin"/>
      </w:r>
      <w:r>
        <w:instrText xml:space="preserve"> PAGEREF _Toc30215 \h </w:instrText>
      </w:r>
      <w:r>
        <w:fldChar w:fldCharType="separate"/>
      </w:r>
      <w:r>
        <w:t>3</w:t>
      </w:r>
      <w:r>
        <w:fldChar w:fldCharType="end"/>
      </w:r>
      <w:r>
        <w:rPr>
          <w:color w:val="000000" w:themeColor="text1"/>
          <w:szCs w:val="32"/>
          <w14:textFill>
            <w14:solidFill>
              <w14:schemeClr w14:val="tx1"/>
            </w14:solidFill>
          </w14:textFill>
        </w:rPr>
        <w:fldChar w:fldCharType="end"/>
      </w:r>
    </w:p>
    <w:p w14:paraId="680C22CC">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_Toc19897 </w:instrText>
      </w:r>
      <w:r>
        <w:rPr>
          <w:szCs w:val="32"/>
        </w:rPr>
        <w:fldChar w:fldCharType="separate"/>
      </w:r>
      <w:r>
        <w:rPr>
          <w:rFonts w:hint="default" w:ascii="Times New Roman" w:hAnsi="Times New Roman" w:eastAsia="宋体" w:cs="Times New Roman"/>
        </w:rPr>
        <w:t xml:space="preserve">1.2 </w:t>
      </w:r>
      <w:r>
        <w:rPr>
          <w:rFonts w:cs="Times New Roman"/>
        </w:rPr>
        <w:t>编制依据</w:t>
      </w:r>
      <w:r>
        <w:tab/>
      </w:r>
      <w:r>
        <w:fldChar w:fldCharType="begin"/>
      </w:r>
      <w:r>
        <w:instrText xml:space="preserve"> PAGEREF _Toc19897 \h </w:instrText>
      </w:r>
      <w:r>
        <w:fldChar w:fldCharType="separate"/>
      </w:r>
      <w:r>
        <w:t>3</w:t>
      </w:r>
      <w:r>
        <w:fldChar w:fldCharType="end"/>
      </w:r>
      <w:r>
        <w:rPr>
          <w:color w:val="000000" w:themeColor="text1"/>
          <w:szCs w:val="32"/>
          <w14:textFill>
            <w14:solidFill>
              <w14:schemeClr w14:val="tx1"/>
            </w14:solidFill>
          </w14:textFill>
        </w:rPr>
        <w:fldChar w:fldCharType="end"/>
      </w:r>
    </w:p>
    <w:p w14:paraId="7A247522">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_Toc19397 </w:instrText>
      </w:r>
      <w:r>
        <w:rPr>
          <w:szCs w:val="32"/>
        </w:rPr>
        <w:fldChar w:fldCharType="separate"/>
      </w:r>
      <w:r>
        <w:rPr>
          <w:rFonts w:hint="default" w:ascii="Times New Roman" w:hAnsi="Times New Roman" w:eastAsia="宋体" w:cs="Times New Roman"/>
        </w:rPr>
        <w:t xml:space="preserve">1.3 </w:t>
      </w:r>
      <w:r>
        <w:rPr>
          <w:rFonts w:cs="Times New Roman"/>
        </w:rPr>
        <w:t>适用范围</w:t>
      </w:r>
      <w:r>
        <w:tab/>
      </w:r>
      <w:r>
        <w:fldChar w:fldCharType="begin"/>
      </w:r>
      <w:r>
        <w:instrText xml:space="preserve"> PAGEREF _Toc19397 \h </w:instrText>
      </w:r>
      <w:r>
        <w:fldChar w:fldCharType="separate"/>
      </w:r>
      <w:r>
        <w:t>4</w:t>
      </w:r>
      <w:r>
        <w:fldChar w:fldCharType="end"/>
      </w:r>
      <w:r>
        <w:rPr>
          <w:color w:val="000000" w:themeColor="text1"/>
          <w:szCs w:val="32"/>
          <w14:textFill>
            <w14:solidFill>
              <w14:schemeClr w14:val="tx1"/>
            </w14:solidFill>
          </w14:textFill>
        </w:rPr>
        <w:fldChar w:fldCharType="end"/>
      </w:r>
    </w:p>
    <w:p w14:paraId="4E78526D">
      <w:pPr>
        <w:pStyle w:val="23"/>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_Toc22319 </w:instrText>
      </w:r>
      <w:r>
        <w:rPr>
          <w:szCs w:val="32"/>
        </w:rPr>
        <w:fldChar w:fldCharType="separate"/>
      </w:r>
      <w:r>
        <w:rPr>
          <w:rFonts w:hint="default" w:ascii="Times New Roman" w:hAnsi="Times New Roman" w:eastAsia="宋体"/>
        </w:rPr>
        <w:t xml:space="preserve">2 </w:t>
      </w:r>
      <w:r>
        <w:t>工程概况</w:t>
      </w:r>
      <w:r>
        <w:tab/>
      </w:r>
      <w:r>
        <w:fldChar w:fldCharType="begin"/>
      </w:r>
      <w:r>
        <w:instrText xml:space="preserve"> PAGEREF _Toc22319 \h </w:instrText>
      </w:r>
      <w:r>
        <w:fldChar w:fldCharType="separate"/>
      </w:r>
      <w:r>
        <w:t>5</w:t>
      </w:r>
      <w:r>
        <w:fldChar w:fldCharType="end"/>
      </w:r>
      <w:r>
        <w:rPr>
          <w:color w:val="000000" w:themeColor="text1"/>
          <w:szCs w:val="32"/>
          <w14:textFill>
            <w14:solidFill>
              <w14:schemeClr w14:val="tx1"/>
            </w14:solidFill>
          </w14:textFill>
        </w:rPr>
        <w:fldChar w:fldCharType="end"/>
      </w:r>
    </w:p>
    <w:p w14:paraId="179A5759">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_Toc9589 </w:instrText>
      </w:r>
      <w:r>
        <w:rPr>
          <w:szCs w:val="32"/>
        </w:rPr>
        <w:fldChar w:fldCharType="separate"/>
      </w:r>
      <w:r>
        <w:rPr>
          <w:rFonts w:hint="default" w:ascii="Times New Roman" w:hAnsi="Times New Roman" w:eastAsia="宋体" w:cs="Times New Roman"/>
        </w:rPr>
        <w:t xml:space="preserve">2.1 </w:t>
      </w:r>
      <w:r>
        <w:rPr>
          <w:rFonts w:cs="Times New Roman"/>
        </w:rPr>
        <w:t>工程概况</w:t>
      </w:r>
      <w:r>
        <w:tab/>
      </w:r>
      <w:r>
        <w:fldChar w:fldCharType="begin"/>
      </w:r>
      <w:r>
        <w:instrText xml:space="preserve"> PAGEREF _Toc9589 \h </w:instrText>
      </w:r>
      <w:r>
        <w:fldChar w:fldCharType="separate"/>
      </w:r>
      <w:r>
        <w:t>5</w:t>
      </w:r>
      <w:r>
        <w:fldChar w:fldCharType="end"/>
      </w:r>
      <w:r>
        <w:rPr>
          <w:color w:val="000000" w:themeColor="text1"/>
          <w:szCs w:val="32"/>
          <w14:textFill>
            <w14:solidFill>
              <w14:schemeClr w14:val="tx1"/>
            </w14:solidFill>
          </w14:textFill>
        </w:rPr>
        <w:fldChar w:fldCharType="end"/>
      </w:r>
    </w:p>
    <w:p w14:paraId="0C0AE95F">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_Toc9607 </w:instrText>
      </w:r>
      <w:r>
        <w:rPr>
          <w:szCs w:val="32"/>
        </w:rPr>
        <w:fldChar w:fldCharType="separate"/>
      </w:r>
      <w:r>
        <w:rPr>
          <w:rFonts w:hint="default" w:ascii="Times New Roman" w:hAnsi="Times New Roman" w:eastAsia="宋体"/>
          <w:lang w:val="en-US" w:eastAsia="zh-CN"/>
        </w:rPr>
        <w:t xml:space="preserve">2.2 </w:t>
      </w:r>
      <w:r>
        <w:rPr>
          <w:rFonts w:hint="eastAsia"/>
          <w:lang w:val="en-US" w:eastAsia="zh-CN"/>
        </w:rPr>
        <w:t>工程特点</w:t>
      </w:r>
      <w:r>
        <w:tab/>
      </w:r>
      <w:r>
        <w:fldChar w:fldCharType="begin"/>
      </w:r>
      <w:r>
        <w:instrText xml:space="preserve"> PAGEREF _Toc9607 \h </w:instrText>
      </w:r>
      <w:r>
        <w:fldChar w:fldCharType="separate"/>
      </w:r>
      <w:r>
        <w:t>11</w:t>
      </w:r>
      <w:r>
        <w:fldChar w:fldCharType="end"/>
      </w:r>
      <w:r>
        <w:rPr>
          <w:color w:val="000000" w:themeColor="text1"/>
          <w:szCs w:val="32"/>
          <w14:textFill>
            <w14:solidFill>
              <w14:schemeClr w14:val="tx1"/>
            </w14:solidFill>
          </w14:textFill>
        </w:rPr>
        <w:fldChar w:fldCharType="end"/>
      </w:r>
    </w:p>
    <w:p w14:paraId="53D574A2">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_Toc28504 </w:instrText>
      </w:r>
      <w:r>
        <w:rPr>
          <w:szCs w:val="32"/>
        </w:rPr>
        <w:fldChar w:fldCharType="separate"/>
      </w:r>
      <w:r>
        <w:rPr>
          <w:rFonts w:hint="default" w:ascii="Times New Roman" w:hAnsi="Times New Roman" w:eastAsia="宋体"/>
          <w:lang w:val="en-US" w:eastAsia="zh-CN"/>
        </w:rPr>
        <w:t xml:space="preserve">2.3 </w:t>
      </w:r>
      <w:r>
        <w:rPr>
          <w:rFonts w:hint="eastAsia"/>
          <w:lang w:val="en-US" w:eastAsia="zh-CN"/>
        </w:rPr>
        <w:t>施工平面布置</w:t>
      </w:r>
      <w:r>
        <w:tab/>
      </w:r>
      <w:r>
        <w:fldChar w:fldCharType="begin"/>
      </w:r>
      <w:r>
        <w:instrText xml:space="preserve"> PAGEREF _Toc28504 \h </w:instrText>
      </w:r>
      <w:r>
        <w:fldChar w:fldCharType="separate"/>
      </w:r>
      <w:r>
        <w:t>11</w:t>
      </w:r>
      <w:r>
        <w:fldChar w:fldCharType="end"/>
      </w:r>
      <w:r>
        <w:rPr>
          <w:color w:val="000000" w:themeColor="text1"/>
          <w:szCs w:val="32"/>
          <w14:textFill>
            <w14:solidFill>
              <w14:schemeClr w14:val="tx1"/>
            </w14:solidFill>
          </w14:textFill>
        </w:rPr>
        <w:fldChar w:fldCharType="end"/>
      </w:r>
    </w:p>
    <w:p w14:paraId="730C7D0C">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_Toc21438 </w:instrText>
      </w:r>
      <w:r>
        <w:rPr>
          <w:szCs w:val="32"/>
        </w:rPr>
        <w:fldChar w:fldCharType="separate"/>
      </w:r>
      <w:r>
        <w:rPr>
          <w:rFonts w:hint="default" w:ascii="Times New Roman" w:hAnsi="Times New Roman" w:eastAsia="宋体" w:cs="Times New Roman"/>
        </w:rPr>
        <w:t xml:space="preserve">2.4 </w:t>
      </w:r>
      <w:r>
        <w:rPr>
          <w:rFonts w:cs="Times New Roman"/>
        </w:rPr>
        <w:t>施工要求</w:t>
      </w:r>
      <w:r>
        <w:tab/>
      </w:r>
      <w:r>
        <w:fldChar w:fldCharType="begin"/>
      </w:r>
      <w:r>
        <w:instrText xml:space="preserve"> PAGEREF _Toc21438 \h </w:instrText>
      </w:r>
      <w:r>
        <w:fldChar w:fldCharType="separate"/>
      </w:r>
      <w:r>
        <w:t>12</w:t>
      </w:r>
      <w:r>
        <w:fldChar w:fldCharType="end"/>
      </w:r>
      <w:r>
        <w:rPr>
          <w:color w:val="000000" w:themeColor="text1"/>
          <w:szCs w:val="32"/>
          <w14:textFill>
            <w14:solidFill>
              <w14:schemeClr w14:val="tx1"/>
            </w14:solidFill>
          </w14:textFill>
        </w:rPr>
        <w:fldChar w:fldCharType="end"/>
      </w:r>
    </w:p>
    <w:p w14:paraId="65925F95">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_Toc16684 </w:instrText>
      </w:r>
      <w:r>
        <w:rPr>
          <w:szCs w:val="32"/>
        </w:rPr>
        <w:fldChar w:fldCharType="separate"/>
      </w:r>
      <w:r>
        <w:rPr>
          <w:rFonts w:hint="default" w:ascii="Times New Roman" w:hAnsi="Times New Roman" w:eastAsia="宋体" w:cs="Times New Roman"/>
          <w:lang w:val="en-US" w:eastAsia="zh-CN"/>
        </w:rPr>
        <w:t xml:space="preserve">2.5 </w:t>
      </w:r>
      <w:r>
        <w:rPr>
          <w:rFonts w:hint="default" w:ascii="Times New Roman" w:hAnsi="Times New Roman" w:cs="Times New Roman"/>
          <w:lang w:val="en-US" w:eastAsia="zh-CN"/>
        </w:rPr>
        <w:t>技术保证条件</w:t>
      </w:r>
      <w:r>
        <w:tab/>
      </w:r>
      <w:r>
        <w:fldChar w:fldCharType="begin"/>
      </w:r>
      <w:r>
        <w:instrText xml:space="preserve"> PAGEREF _Toc16684 \h </w:instrText>
      </w:r>
      <w:r>
        <w:fldChar w:fldCharType="separate"/>
      </w:r>
      <w:r>
        <w:t>13</w:t>
      </w:r>
      <w:r>
        <w:fldChar w:fldCharType="end"/>
      </w:r>
      <w:r>
        <w:rPr>
          <w:color w:val="000000" w:themeColor="text1"/>
          <w:szCs w:val="32"/>
          <w14:textFill>
            <w14:solidFill>
              <w14:schemeClr w14:val="tx1"/>
            </w14:solidFill>
          </w14:textFill>
        </w:rPr>
        <w:fldChar w:fldCharType="end"/>
      </w:r>
    </w:p>
    <w:p w14:paraId="64B658E8">
      <w:pPr>
        <w:pStyle w:val="23"/>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_Toc18544 </w:instrText>
      </w:r>
      <w:r>
        <w:rPr>
          <w:szCs w:val="32"/>
        </w:rPr>
        <w:fldChar w:fldCharType="separate"/>
      </w:r>
      <w:r>
        <w:rPr>
          <w:rFonts w:hint="default" w:ascii="Times New Roman" w:hAnsi="Times New Roman" w:eastAsia="宋体"/>
        </w:rPr>
        <w:t xml:space="preserve">3 </w:t>
      </w:r>
      <w:r>
        <w:t>施工计划</w:t>
      </w:r>
      <w:r>
        <w:tab/>
      </w:r>
      <w:r>
        <w:fldChar w:fldCharType="begin"/>
      </w:r>
      <w:r>
        <w:instrText xml:space="preserve"> PAGEREF _Toc18544 \h </w:instrText>
      </w:r>
      <w:r>
        <w:fldChar w:fldCharType="separate"/>
      </w:r>
      <w:r>
        <w:t>14</w:t>
      </w:r>
      <w:r>
        <w:fldChar w:fldCharType="end"/>
      </w:r>
      <w:r>
        <w:rPr>
          <w:color w:val="000000" w:themeColor="text1"/>
          <w:szCs w:val="32"/>
          <w14:textFill>
            <w14:solidFill>
              <w14:schemeClr w14:val="tx1"/>
            </w14:solidFill>
          </w14:textFill>
        </w:rPr>
        <w:fldChar w:fldCharType="end"/>
      </w:r>
    </w:p>
    <w:p w14:paraId="5757E307">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_Toc9644 </w:instrText>
      </w:r>
      <w:r>
        <w:rPr>
          <w:szCs w:val="32"/>
        </w:rPr>
        <w:fldChar w:fldCharType="separate"/>
      </w:r>
      <w:r>
        <w:rPr>
          <w:rFonts w:hint="default" w:ascii="Times New Roman" w:hAnsi="Times New Roman" w:eastAsia="宋体" w:cs="Times New Roman"/>
        </w:rPr>
        <w:t xml:space="preserve">3.1 </w:t>
      </w:r>
      <w:r>
        <w:rPr>
          <w:rFonts w:cs="Times New Roman"/>
          <w:highlight w:val="none"/>
        </w:rPr>
        <w:t>施工进度计划</w:t>
      </w:r>
      <w:r>
        <w:tab/>
      </w:r>
      <w:r>
        <w:fldChar w:fldCharType="begin"/>
      </w:r>
      <w:r>
        <w:instrText xml:space="preserve"> PAGEREF _Toc9644 \h </w:instrText>
      </w:r>
      <w:r>
        <w:fldChar w:fldCharType="separate"/>
      </w:r>
      <w:r>
        <w:t>14</w:t>
      </w:r>
      <w:r>
        <w:fldChar w:fldCharType="end"/>
      </w:r>
      <w:r>
        <w:rPr>
          <w:color w:val="000000" w:themeColor="text1"/>
          <w:szCs w:val="32"/>
          <w14:textFill>
            <w14:solidFill>
              <w14:schemeClr w14:val="tx1"/>
            </w14:solidFill>
          </w14:textFill>
        </w:rPr>
        <w:fldChar w:fldCharType="end"/>
      </w:r>
    </w:p>
    <w:p w14:paraId="6DE7F21F">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_Toc20428 </w:instrText>
      </w:r>
      <w:r>
        <w:rPr>
          <w:szCs w:val="32"/>
        </w:rPr>
        <w:fldChar w:fldCharType="separate"/>
      </w:r>
      <w:r>
        <w:rPr>
          <w:rFonts w:hint="default" w:ascii="Times New Roman" w:hAnsi="Times New Roman" w:eastAsia="宋体"/>
          <w:lang w:val="en-US" w:eastAsia="zh-CN"/>
        </w:rPr>
        <w:t xml:space="preserve">3.2 </w:t>
      </w:r>
      <w:r>
        <w:rPr>
          <w:rFonts w:hint="eastAsia"/>
          <w:lang w:val="en-US" w:eastAsia="zh-CN"/>
        </w:rPr>
        <w:t>材料计划</w:t>
      </w:r>
      <w:r>
        <w:tab/>
      </w:r>
      <w:r>
        <w:fldChar w:fldCharType="begin"/>
      </w:r>
      <w:r>
        <w:instrText xml:space="preserve"> PAGEREF _Toc20428 \h </w:instrText>
      </w:r>
      <w:r>
        <w:fldChar w:fldCharType="separate"/>
      </w:r>
      <w:r>
        <w:t>14</w:t>
      </w:r>
      <w:r>
        <w:fldChar w:fldCharType="end"/>
      </w:r>
      <w:r>
        <w:rPr>
          <w:color w:val="000000" w:themeColor="text1"/>
          <w:szCs w:val="32"/>
          <w14:textFill>
            <w14:solidFill>
              <w14:schemeClr w14:val="tx1"/>
            </w14:solidFill>
          </w14:textFill>
        </w:rPr>
        <w:fldChar w:fldCharType="end"/>
      </w:r>
    </w:p>
    <w:p w14:paraId="568AE17F">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_Toc31526 </w:instrText>
      </w:r>
      <w:r>
        <w:rPr>
          <w:szCs w:val="32"/>
        </w:rPr>
        <w:fldChar w:fldCharType="separate"/>
      </w:r>
      <w:r>
        <w:rPr>
          <w:rFonts w:hint="default" w:ascii="Times New Roman" w:hAnsi="Times New Roman" w:eastAsia="宋体" w:cs="Times New Roman"/>
          <w:lang w:val="en-US" w:eastAsia="zh-CN"/>
        </w:rPr>
        <w:t xml:space="preserve">3.3 </w:t>
      </w:r>
      <w:r>
        <w:rPr>
          <w:rFonts w:hint="default" w:ascii="Times New Roman" w:hAnsi="Times New Roman" w:cs="Times New Roman"/>
          <w:highlight w:val="none"/>
          <w:lang w:val="en-US" w:eastAsia="zh-CN"/>
        </w:rPr>
        <w:t>设备及工具计划</w:t>
      </w:r>
      <w:r>
        <w:tab/>
      </w:r>
      <w:r>
        <w:fldChar w:fldCharType="begin"/>
      </w:r>
      <w:r>
        <w:instrText xml:space="preserve"> PAGEREF _Toc31526 \h </w:instrText>
      </w:r>
      <w:r>
        <w:fldChar w:fldCharType="separate"/>
      </w:r>
      <w:r>
        <w:t>15</w:t>
      </w:r>
      <w:r>
        <w:fldChar w:fldCharType="end"/>
      </w:r>
      <w:r>
        <w:rPr>
          <w:color w:val="000000" w:themeColor="text1"/>
          <w:szCs w:val="32"/>
          <w14:textFill>
            <w14:solidFill>
              <w14:schemeClr w14:val="tx1"/>
            </w14:solidFill>
          </w14:textFill>
        </w:rPr>
        <w:fldChar w:fldCharType="end"/>
      </w:r>
    </w:p>
    <w:p w14:paraId="6345F16C">
      <w:pPr>
        <w:pStyle w:val="23"/>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_Toc28251 </w:instrText>
      </w:r>
      <w:r>
        <w:rPr>
          <w:szCs w:val="32"/>
        </w:rPr>
        <w:fldChar w:fldCharType="separate"/>
      </w:r>
      <w:r>
        <w:rPr>
          <w:rFonts w:hint="default" w:ascii="Times New Roman" w:hAnsi="Times New Roman" w:eastAsia="宋体"/>
        </w:rPr>
        <w:t xml:space="preserve">4 </w:t>
      </w:r>
      <w:r>
        <w:t>施工工艺技术</w:t>
      </w:r>
      <w:r>
        <w:rPr>
          <w:rFonts w:hint="eastAsia"/>
          <w:lang w:eastAsia="zh-CN"/>
        </w:rPr>
        <w:t>（</w:t>
      </w:r>
      <w:r>
        <w:rPr>
          <w:rFonts w:hint="eastAsia"/>
          <w:lang w:val="en-US" w:eastAsia="zh-CN"/>
        </w:rPr>
        <w:t>以10#墩塔式起重机为例）</w:t>
      </w:r>
      <w:r>
        <w:tab/>
      </w:r>
      <w:r>
        <w:fldChar w:fldCharType="begin"/>
      </w:r>
      <w:r>
        <w:instrText xml:space="preserve"> PAGEREF _Toc28251 \h </w:instrText>
      </w:r>
      <w:r>
        <w:fldChar w:fldCharType="separate"/>
      </w:r>
      <w:r>
        <w:t>16</w:t>
      </w:r>
      <w:r>
        <w:fldChar w:fldCharType="end"/>
      </w:r>
      <w:r>
        <w:rPr>
          <w:color w:val="000000" w:themeColor="text1"/>
          <w:szCs w:val="32"/>
          <w14:textFill>
            <w14:solidFill>
              <w14:schemeClr w14:val="tx1"/>
            </w14:solidFill>
          </w14:textFill>
        </w:rPr>
        <w:fldChar w:fldCharType="end"/>
      </w:r>
    </w:p>
    <w:p w14:paraId="549E458E">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_Toc7588 </w:instrText>
      </w:r>
      <w:r>
        <w:rPr>
          <w:szCs w:val="32"/>
        </w:rPr>
        <w:fldChar w:fldCharType="separate"/>
      </w:r>
      <w:r>
        <w:rPr>
          <w:rFonts w:hint="default" w:ascii="Times New Roman" w:hAnsi="Times New Roman" w:eastAsia="宋体" w:cs="Times New Roman"/>
        </w:rPr>
        <w:t xml:space="preserve">4.1 </w:t>
      </w:r>
      <w:r>
        <w:rPr>
          <w:rFonts w:cs="Times New Roman"/>
        </w:rPr>
        <w:t>塔式起重机</w:t>
      </w:r>
      <w:r>
        <w:rPr>
          <w:rFonts w:hint="eastAsia" w:cs="Times New Roman"/>
          <w:lang w:eastAsia="zh-CN"/>
        </w:rPr>
        <w:t>安装</w:t>
      </w:r>
      <w:r>
        <w:rPr>
          <w:rFonts w:cs="Times New Roman"/>
        </w:rPr>
        <w:t>施工工艺流程</w:t>
      </w:r>
      <w:r>
        <w:tab/>
      </w:r>
      <w:r>
        <w:fldChar w:fldCharType="begin"/>
      </w:r>
      <w:r>
        <w:instrText xml:space="preserve"> PAGEREF _Toc7588 \h </w:instrText>
      </w:r>
      <w:r>
        <w:fldChar w:fldCharType="separate"/>
      </w:r>
      <w:r>
        <w:t>16</w:t>
      </w:r>
      <w:r>
        <w:fldChar w:fldCharType="end"/>
      </w:r>
      <w:r>
        <w:rPr>
          <w:color w:val="000000" w:themeColor="text1"/>
          <w:szCs w:val="32"/>
          <w14:textFill>
            <w14:solidFill>
              <w14:schemeClr w14:val="tx1"/>
            </w14:solidFill>
          </w14:textFill>
        </w:rPr>
        <w:fldChar w:fldCharType="end"/>
      </w:r>
    </w:p>
    <w:p w14:paraId="2937510D">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_Toc31487 </w:instrText>
      </w:r>
      <w:r>
        <w:rPr>
          <w:szCs w:val="32"/>
        </w:rPr>
        <w:fldChar w:fldCharType="separate"/>
      </w:r>
      <w:r>
        <w:rPr>
          <w:rFonts w:hint="default" w:ascii="Times New Roman" w:hAnsi="Times New Roman" w:eastAsia="宋体" w:cs="Times New Roman"/>
        </w:rPr>
        <w:t xml:space="preserve">4.2 </w:t>
      </w:r>
      <w:r>
        <w:rPr>
          <w:rFonts w:cs="Times New Roman"/>
        </w:rPr>
        <w:t>主要设备选型</w:t>
      </w:r>
      <w:r>
        <w:tab/>
      </w:r>
      <w:r>
        <w:fldChar w:fldCharType="begin"/>
      </w:r>
      <w:r>
        <w:instrText xml:space="preserve"> PAGEREF _Toc31487 \h </w:instrText>
      </w:r>
      <w:r>
        <w:fldChar w:fldCharType="separate"/>
      </w:r>
      <w:r>
        <w:t>16</w:t>
      </w:r>
      <w:r>
        <w:fldChar w:fldCharType="end"/>
      </w:r>
      <w:r>
        <w:rPr>
          <w:color w:val="000000" w:themeColor="text1"/>
          <w:szCs w:val="32"/>
          <w14:textFill>
            <w14:solidFill>
              <w14:schemeClr w14:val="tx1"/>
            </w14:solidFill>
          </w14:textFill>
        </w:rPr>
        <w:fldChar w:fldCharType="end"/>
      </w:r>
    </w:p>
    <w:p w14:paraId="71075C9A">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_Toc20348 </w:instrText>
      </w:r>
      <w:r>
        <w:rPr>
          <w:szCs w:val="32"/>
        </w:rPr>
        <w:fldChar w:fldCharType="separate"/>
      </w:r>
      <w:r>
        <w:rPr>
          <w:rFonts w:hint="default" w:ascii="Times New Roman" w:hAnsi="Times New Roman" w:eastAsia="宋体" w:cs="Times New Roman"/>
        </w:rPr>
        <w:t xml:space="preserve">4.3 </w:t>
      </w:r>
      <w:r>
        <w:rPr>
          <w:rFonts w:cs="Times New Roman"/>
        </w:rPr>
        <w:t>施工准备</w:t>
      </w:r>
      <w:r>
        <w:tab/>
      </w:r>
      <w:r>
        <w:fldChar w:fldCharType="begin"/>
      </w:r>
      <w:r>
        <w:instrText xml:space="preserve"> PAGEREF _Toc20348 \h </w:instrText>
      </w:r>
      <w:r>
        <w:fldChar w:fldCharType="separate"/>
      </w:r>
      <w:r>
        <w:t>22</w:t>
      </w:r>
      <w:r>
        <w:fldChar w:fldCharType="end"/>
      </w:r>
      <w:r>
        <w:rPr>
          <w:color w:val="000000" w:themeColor="text1"/>
          <w:szCs w:val="32"/>
          <w14:textFill>
            <w14:solidFill>
              <w14:schemeClr w14:val="tx1"/>
            </w14:solidFill>
          </w14:textFill>
        </w:rPr>
        <w:fldChar w:fldCharType="end"/>
      </w:r>
    </w:p>
    <w:p w14:paraId="337FC364">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_Toc16841 </w:instrText>
      </w:r>
      <w:r>
        <w:rPr>
          <w:szCs w:val="32"/>
        </w:rPr>
        <w:fldChar w:fldCharType="separate"/>
      </w:r>
      <w:r>
        <w:rPr>
          <w:rFonts w:hint="default" w:ascii="Times New Roman" w:hAnsi="Times New Roman" w:eastAsia="宋体" w:cs="Times New Roman"/>
        </w:rPr>
        <w:t xml:space="preserve">4.4 </w:t>
      </w:r>
      <w:r>
        <w:rPr>
          <w:rFonts w:cs="Times New Roman"/>
        </w:rPr>
        <w:t>塔式起重机安装施工工序</w:t>
      </w:r>
      <w:r>
        <w:tab/>
      </w:r>
      <w:r>
        <w:fldChar w:fldCharType="begin"/>
      </w:r>
      <w:r>
        <w:instrText xml:space="preserve"> PAGEREF _Toc16841 \h </w:instrText>
      </w:r>
      <w:r>
        <w:fldChar w:fldCharType="separate"/>
      </w:r>
      <w:r>
        <w:t>23</w:t>
      </w:r>
      <w:r>
        <w:fldChar w:fldCharType="end"/>
      </w:r>
      <w:r>
        <w:rPr>
          <w:color w:val="000000" w:themeColor="text1"/>
          <w:szCs w:val="32"/>
          <w14:textFill>
            <w14:solidFill>
              <w14:schemeClr w14:val="tx1"/>
            </w14:solidFill>
          </w14:textFill>
        </w:rPr>
        <w:fldChar w:fldCharType="end"/>
      </w:r>
    </w:p>
    <w:p w14:paraId="349FD693">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_Toc15173 </w:instrText>
      </w:r>
      <w:r>
        <w:rPr>
          <w:szCs w:val="32"/>
        </w:rPr>
        <w:fldChar w:fldCharType="separate"/>
      </w:r>
      <w:r>
        <w:rPr>
          <w:rFonts w:hint="default" w:ascii="Times New Roman" w:hAnsi="Times New Roman" w:eastAsia="宋体"/>
        </w:rPr>
        <w:t xml:space="preserve">4.5 </w:t>
      </w:r>
      <w:r>
        <w:rPr>
          <w:rFonts w:hint="default"/>
        </w:rPr>
        <w:t>塔机调试检查投入使用</w:t>
      </w:r>
      <w:r>
        <w:tab/>
      </w:r>
      <w:r>
        <w:fldChar w:fldCharType="begin"/>
      </w:r>
      <w:r>
        <w:instrText xml:space="preserve"> PAGEREF _Toc15173 \h </w:instrText>
      </w:r>
      <w:r>
        <w:fldChar w:fldCharType="separate"/>
      </w:r>
      <w:r>
        <w:t>54</w:t>
      </w:r>
      <w:r>
        <w:fldChar w:fldCharType="end"/>
      </w:r>
      <w:r>
        <w:rPr>
          <w:color w:val="000000" w:themeColor="text1"/>
          <w:szCs w:val="32"/>
          <w14:textFill>
            <w14:solidFill>
              <w14:schemeClr w14:val="tx1"/>
            </w14:solidFill>
          </w14:textFill>
        </w:rPr>
        <w:fldChar w:fldCharType="end"/>
      </w:r>
    </w:p>
    <w:p w14:paraId="7C3BED59">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_Toc16024 </w:instrText>
      </w:r>
      <w:r>
        <w:rPr>
          <w:szCs w:val="32"/>
        </w:rPr>
        <w:fldChar w:fldCharType="separate"/>
      </w:r>
      <w:r>
        <w:rPr>
          <w:rFonts w:hint="default" w:ascii="Times New Roman" w:hAnsi="Times New Roman" w:eastAsia="宋体" w:cs="Times New Roman"/>
          <w:lang w:val="en-US" w:eastAsia="zh-CN"/>
        </w:rPr>
        <w:t xml:space="preserve">4.6 </w:t>
      </w:r>
      <w:r>
        <w:rPr>
          <w:rFonts w:hint="default" w:ascii="Times New Roman" w:hAnsi="Times New Roman" w:cs="Times New Roman"/>
          <w:lang w:val="en-US" w:eastAsia="zh-CN"/>
        </w:rPr>
        <w:t>检查要求</w:t>
      </w:r>
      <w:r>
        <w:tab/>
      </w:r>
      <w:r>
        <w:fldChar w:fldCharType="begin"/>
      </w:r>
      <w:r>
        <w:instrText xml:space="preserve"> PAGEREF _Toc16024 \h </w:instrText>
      </w:r>
      <w:r>
        <w:fldChar w:fldCharType="separate"/>
      </w:r>
      <w:r>
        <w:t>56</w:t>
      </w:r>
      <w:r>
        <w:fldChar w:fldCharType="end"/>
      </w:r>
      <w:r>
        <w:rPr>
          <w:color w:val="000000" w:themeColor="text1"/>
          <w:szCs w:val="32"/>
          <w14:textFill>
            <w14:solidFill>
              <w14:schemeClr w14:val="tx1"/>
            </w14:solidFill>
          </w14:textFill>
        </w:rPr>
        <w:fldChar w:fldCharType="end"/>
      </w:r>
    </w:p>
    <w:p w14:paraId="075FA166">
      <w:pPr>
        <w:pStyle w:val="23"/>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_Toc636 </w:instrText>
      </w:r>
      <w:r>
        <w:rPr>
          <w:szCs w:val="32"/>
        </w:rPr>
        <w:fldChar w:fldCharType="separate"/>
      </w:r>
      <w:r>
        <w:rPr>
          <w:rFonts w:hint="default" w:ascii="Times New Roman" w:hAnsi="Times New Roman" w:eastAsia="宋体"/>
        </w:rPr>
        <w:t xml:space="preserve">5 </w:t>
      </w:r>
      <w:r>
        <w:t>质量管理措施</w:t>
      </w:r>
      <w:r>
        <w:tab/>
      </w:r>
      <w:r>
        <w:fldChar w:fldCharType="begin"/>
      </w:r>
      <w:r>
        <w:instrText xml:space="preserve"> PAGEREF _Toc636 \h </w:instrText>
      </w:r>
      <w:r>
        <w:fldChar w:fldCharType="separate"/>
      </w:r>
      <w:r>
        <w:t>61</w:t>
      </w:r>
      <w:r>
        <w:fldChar w:fldCharType="end"/>
      </w:r>
      <w:r>
        <w:rPr>
          <w:color w:val="000000" w:themeColor="text1"/>
          <w:szCs w:val="32"/>
          <w14:textFill>
            <w14:solidFill>
              <w14:schemeClr w14:val="tx1"/>
            </w14:solidFill>
          </w14:textFill>
        </w:rPr>
        <w:fldChar w:fldCharType="end"/>
      </w:r>
    </w:p>
    <w:p w14:paraId="08F5CBAA">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_Toc13731 </w:instrText>
      </w:r>
      <w:r>
        <w:rPr>
          <w:szCs w:val="32"/>
        </w:rPr>
        <w:fldChar w:fldCharType="separate"/>
      </w:r>
      <w:r>
        <w:rPr>
          <w:rFonts w:hint="default" w:ascii="Times New Roman" w:hAnsi="Times New Roman" w:eastAsia="宋体" w:cs="Times New Roman"/>
        </w:rPr>
        <w:t xml:space="preserve">5.1 </w:t>
      </w:r>
      <w:r>
        <w:rPr>
          <w:rFonts w:cs="Times New Roman"/>
        </w:rPr>
        <w:t>质量管理组织机构</w:t>
      </w:r>
      <w:r>
        <w:tab/>
      </w:r>
      <w:r>
        <w:fldChar w:fldCharType="begin"/>
      </w:r>
      <w:r>
        <w:instrText xml:space="preserve"> PAGEREF _Toc13731 \h </w:instrText>
      </w:r>
      <w:r>
        <w:fldChar w:fldCharType="separate"/>
      </w:r>
      <w:r>
        <w:t>61</w:t>
      </w:r>
      <w:r>
        <w:fldChar w:fldCharType="end"/>
      </w:r>
      <w:r>
        <w:rPr>
          <w:color w:val="000000" w:themeColor="text1"/>
          <w:szCs w:val="32"/>
          <w14:textFill>
            <w14:solidFill>
              <w14:schemeClr w14:val="tx1"/>
            </w14:solidFill>
          </w14:textFill>
        </w:rPr>
        <w:fldChar w:fldCharType="end"/>
      </w:r>
    </w:p>
    <w:p w14:paraId="41D57A48">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_Toc9834 </w:instrText>
      </w:r>
      <w:r>
        <w:rPr>
          <w:szCs w:val="32"/>
        </w:rPr>
        <w:fldChar w:fldCharType="separate"/>
      </w:r>
      <w:r>
        <w:rPr>
          <w:rFonts w:hint="default" w:ascii="Times New Roman" w:hAnsi="Times New Roman" w:eastAsia="宋体" w:cs="Times New Roman"/>
        </w:rPr>
        <w:t xml:space="preserve">5.2 </w:t>
      </w:r>
      <w:r>
        <w:rPr>
          <w:rFonts w:cs="Times New Roman"/>
        </w:rPr>
        <w:t>质量保证体系</w:t>
      </w:r>
      <w:r>
        <w:tab/>
      </w:r>
      <w:r>
        <w:fldChar w:fldCharType="begin"/>
      </w:r>
      <w:r>
        <w:instrText xml:space="preserve"> PAGEREF _Toc9834 \h </w:instrText>
      </w:r>
      <w:r>
        <w:fldChar w:fldCharType="separate"/>
      </w:r>
      <w:r>
        <w:t>61</w:t>
      </w:r>
      <w:r>
        <w:fldChar w:fldCharType="end"/>
      </w:r>
      <w:r>
        <w:rPr>
          <w:color w:val="000000" w:themeColor="text1"/>
          <w:szCs w:val="32"/>
          <w14:textFill>
            <w14:solidFill>
              <w14:schemeClr w14:val="tx1"/>
            </w14:solidFill>
          </w14:textFill>
        </w:rPr>
        <w:fldChar w:fldCharType="end"/>
      </w:r>
    </w:p>
    <w:p w14:paraId="049C4CC7">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_Toc24918 </w:instrText>
      </w:r>
      <w:r>
        <w:rPr>
          <w:szCs w:val="32"/>
        </w:rPr>
        <w:fldChar w:fldCharType="separate"/>
      </w:r>
      <w:r>
        <w:rPr>
          <w:rFonts w:hint="default" w:ascii="Times New Roman" w:hAnsi="Times New Roman" w:eastAsia="宋体" w:cs="Times New Roman"/>
        </w:rPr>
        <w:t xml:space="preserve">5.3 </w:t>
      </w:r>
      <w:r>
        <w:rPr>
          <w:rFonts w:cs="Times New Roman"/>
        </w:rPr>
        <w:t>质量保证措施</w:t>
      </w:r>
      <w:r>
        <w:tab/>
      </w:r>
      <w:r>
        <w:fldChar w:fldCharType="begin"/>
      </w:r>
      <w:r>
        <w:instrText xml:space="preserve"> PAGEREF _Toc24918 \h </w:instrText>
      </w:r>
      <w:r>
        <w:fldChar w:fldCharType="separate"/>
      </w:r>
      <w:r>
        <w:t>62</w:t>
      </w:r>
      <w:r>
        <w:fldChar w:fldCharType="end"/>
      </w:r>
      <w:r>
        <w:rPr>
          <w:color w:val="000000" w:themeColor="text1"/>
          <w:szCs w:val="32"/>
          <w14:textFill>
            <w14:solidFill>
              <w14:schemeClr w14:val="tx1"/>
            </w14:solidFill>
          </w14:textFill>
        </w:rPr>
        <w:fldChar w:fldCharType="end"/>
      </w:r>
    </w:p>
    <w:p w14:paraId="10FE89B8">
      <w:pPr>
        <w:pStyle w:val="23"/>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_Toc17661 </w:instrText>
      </w:r>
      <w:r>
        <w:rPr>
          <w:szCs w:val="32"/>
        </w:rPr>
        <w:fldChar w:fldCharType="separate"/>
      </w:r>
      <w:r>
        <w:rPr>
          <w:rFonts w:hint="default" w:ascii="Times New Roman" w:hAnsi="Times New Roman" w:eastAsia="宋体"/>
        </w:rPr>
        <w:t xml:space="preserve">6 </w:t>
      </w:r>
      <w:r>
        <w:rPr>
          <w:rFonts w:hint="eastAsia"/>
        </w:rPr>
        <w:t>施工危险源辨识及安全保证措施</w:t>
      </w:r>
      <w:r>
        <w:tab/>
      </w:r>
      <w:r>
        <w:fldChar w:fldCharType="begin"/>
      </w:r>
      <w:r>
        <w:instrText xml:space="preserve"> PAGEREF _Toc17661 \h </w:instrText>
      </w:r>
      <w:r>
        <w:fldChar w:fldCharType="separate"/>
      </w:r>
      <w:r>
        <w:t>63</w:t>
      </w:r>
      <w:r>
        <w:fldChar w:fldCharType="end"/>
      </w:r>
      <w:r>
        <w:rPr>
          <w:color w:val="000000" w:themeColor="text1"/>
          <w:szCs w:val="32"/>
          <w14:textFill>
            <w14:solidFill>
              <w14:schemeClr w14:val="tx1"/>
            </w14:solidFill>
          </w14:textFill>
        </w:rPr>
        <w:fldChar w:fldCharType="end"/>
      </w:r>
    </w:p>
    <w:p w14:paraId="59E32276">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_Toc26677 </w:instrText>
      </w:r>
      <w:r>
        <w:rPr>
          <w:szCs w:val="32"/>
        </w:rPr>
        <w:fldChar w:fldCharType="separate"/>
      </w:r>
      <w:r>
        <w:rPr>
          <w:rFonts w:hint="default" w:ascii="Times New Roman" w:hAnsi="Times New Roman" w:eastAsia="宋体"/>
        </w:rPr>
        <w:t xml:space="preserve">6.1 </w:t>
      </w:r>
      <w:r>
        <w:rPr>
          <w:rFonts w:hint="eastAsia"/>
        </w:rPr>
        <w:t>风险源</w:t>
      </w:r>
      <w:r>
        <w:t>辨识及分析</w:t>
      </w:r>
      <w:r>
        <w:tab/>
      </w:r>
      <w:r>
        <w:fldChar w:fldCharType="begin"/>
      </w:r>
      <w:r>
        <w:instrText xml:space="preserve"> PAGEREF _Toc26677 \h </w:instrText>
      </w:r>
      <w:r>
        <w:fldChar w:fldCharType="separate"/>
      </w:r>
      <w:r>
        <w:t>63</w:t>
      </w:r>
      <w:r>
        <w:fldChar w:fldCharType="end"/>
      </w:r>
      <w:r>
        <w:rPr>
          <w:color w:val="000000" w:themeColor="text1"/>
          <w:szCs w:val="32"/>
          <w14:textFill>
            <w14:solidFill>
              <w14:schemeClr w14:val="tx1"/>
            </w14:solidFill>
          </w14:textFill>
        </w:rPr>
        <w:fldChar w:fldCharType="end"/>
      </w:r>
    </w:p>
    <w:p w14:paraId="719EF4E7">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_Toc12728 </w:instrText>
      </w:r>
      <w:r>
        <w:rPr>
          <w:szCs w:val="32"/>
        </w:rPr>
        <w:fldChar w:fldCharType="separate"/>
      </w:r>
      <w:r>
        <w:rPr>
          <w:rFonts w:hint="default" w:ascii="Times New Roman" w:hAnsi="Times New Roman" w:eastAsia="宋体"/>
        </w:rPr>
        <w:t xml:space="preserve">6.2 </w:t>
      </w:r>
      <w:r>
        <w:t>施工安全技术控制措施</w:t>
      </w:r>
      <w:r>
        <w:tab/>
      </w:r>
      <w:r>
        <w:fldChar w:fldCharType="begin"/>
      </w:r>
      <w:r>
        <w:instrText xml:space="preserve"> PAGEREF _Toc12728 \h </w:instrText>
      </w:r>
      <w:r>
        <w:fldChar w:fldCharType="separate"/>
      </w:r>
      <w:r>
        <w:t>67</w:t>
      </w:r>
      <w:r>
        <w:fldChar w:fldCharType="end"/>
      </w:r>
      <w:r>
        <w:rPr>
          <w:color w:val="000000" w:themeColor="text1"/>
          <w:szCs w:val="32"/>
          <w14:textFill>
            <w14:solidFill>
              <w14:schemeClr w14:val="tx1"/>
            </w14:solidFill>
          </w14:textFill>
        </w:rPr>
        <w:fldChar w:fldCharType="end"/>
      </w:r>
    </w:p>
    <w:p w14:paraId="7B1873C0">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_Toc8855 </w:instrText>
      </w:r>
      <w:r>
        <w:rPr>
          <w:szCs w:val="32"/>
        </w:rPr>
        <w:fldChar w:fldCharType="separate"/>
      </w:r>
      <w:r>
        <w:rPr>
          <w:rFonts w:hint="default" w:ascii="Times New Roman" w:hAnsi="Times New Roman" w:eastAsia="宋体"/>
        </w:rPr>
        <w:t xml:space="preserve">6.3 </w:t>
      </w:r>
      <w:r>
        <w:t>监管措施</w:t>
      </w:r>
      <w:r>
        <w:tab/>
      </w:r>
      <w:r>
        <w:fldChar w:fldCharType="begin"/>
      </w:r>
      <w:r>
        <w:instrText xml:space="preserve"> PAGEREF _Toc8855 \h </w:instrText>
      </w:r>
      <w:r>
        <w:fldChar w:fldCharType="separate"/>
      </w:r>
      <w:r>
        <w:t>76</w:t>
      </w:r>
      <w:r>
        <w:fldChar w:fldCharType="end"/>
      </w:r>
      <w:r>
        <w:rPr>
          <w:color w:val="000000" w:themeColor="text1"/>
          <w:szCs w:val="32"/>
          <w14:textFill>
            <w14:solidFill>
              <w14:schemeClr w14:val="tx1"/>
            </w14:solidFill>
          </w14:textFill>
        </w:rPr>
        <w:fldChar w:fldCharType="end"/>
      </w:r>
    </w:p>
    <w:p w14:paraId="4B044FF6">
      <w:pPr>
        <w:pStyle w:val="23"/>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_Toc29423 </w:instrText>
      </w:r>
      <w:r>
        <w:rPr>
          <w:szCs w:val="32"/>
        </w:rPr>
        <w:fldChar w:fldCharType="separate"/>
      </w:r>
      <w:r>
        <w:rPr>
          <w:rFonts w:hint="default" w:ascii="Times New Roman" w:hAnsi="Times New Roman" w:eastAsia="宋体"/>
        </w:rPr>
        <w:t xml:space="preserve">7 </w:t>
      </w:r>
      <w:r>
        <w:rPr>
          <w:rFonts w:hint="eastAsia"/>
        </w:rPr>
        <w:t>施工管理及作业人员配备和分工</w:t>
      </w:r>
      <w:r>
        <w:tab/>
      </w:r>
      <w:r>
        <w:fldChar w:fldCharType="begin"/>
      </w:r>
      <w:r>
        <w:instrText xml:space="preserve"> PAGEREF _Toc29423 \h </w:instrText>
      </w:r>
      <w:r>
        <w:fldChar w:fldCharType="separate"/>
      </w:r>
      <w:r>
        <w:t>77</w:t>
      </w:r>
      <w:r>
        <w:fldChar w:fldCharType="end"/>
      </w:r>
      <w:r>
        <w:rPr>
          <w:color w:val="000000" w:themeColor="text1"/>
          <w:szCs w:val="32"/>
          <w14:textFill>
            <w14:solidFill>
              <w14:schemeClr w14:val="tx1"/>
            </w14:solidFill>
          </w14:textFill>
        </w:rPr>
        <w:fldChar w:fldCharType="end"/>
      </w:r>
    </w:p>
    <w:p w14:paraId="437CFE38">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_Toc14202 </w:instrText>
      </w:r>
      <w:r>
        <w:rPr>
          <w:szCs w:val="32"/>
        </w:rPr>
        <w:fldChar w:fldCharType="separate"/>
      </w:r>
      <w:r>
        <w:rPr>
          <w:rFonts w:hint="default" w:ascii="Times New Roman" w:hAnsi="Times New Roman" w:eastAsia="宋体"/>
        </w:rPr>
        <w:t xml:space="preserve">7.1 </w:t>
      </w:r>
      <w:r>
        <w:rPr>
          <w:rFonts w:hint="eastAsia"/>
        </w:rPr>
        <w:t>施工组织机构</w:t>
      </w:r>
      <w:r>
        <w:tab/>
      </w:r>
      <w:r>
        <w:fldChar w:fldCharType="begin"/>
      </w:r>
      <w:r>
        <w:instrText xml:space="preserve"> PAGEREF _Toc14202 \h </w:instrText>
      </w:r>
      <w:r>
        <w:fldChar w:fldCharType="separate"/>
      </w:r>
      <w:r>
        <w:t>77</w:t>
      </w:r>
      <w:r>
        <w:fldChar w:fldCharType="end"/>
      </w:r>
      <w:r>
        <w:rPr>
          <w:color w:val="000000" w:themeColor="text1"/>
          <w:szCs w:val="32"/>
          <w14:textFill>
            <w14:solidFill>
              <w14:schemeClr w14:val="tx1"/>
            </w14:solidFill>
          </w14:textFill>
        </w:rPr>
        <w:fldChar w:fldCharType="end"/>
      </w:r>
    </w:p>
    <w:p w14:paraId="61970C81">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_Toc11733 </w:instrText>
      </w:r>
      <w:r>
        <w:rPr>
          <w:szCs w:val="32"/>
        </w:rPr>
        <w:fldChar w:fldCharType="separate"/>
      </w:r>
      <w:r>
        <w:rPr>
          <w:rFonts w:hint="default" w:ascii="Times New Roman" w:hAnsi="Times New Roman" w:eastAsia="宋体"/>
        </w:rPr>
        <w:t xml:space="preserve">7.2 </w:t>
      </w:r>
      <w:r>
        <w:rPr>
          <w:rFonts w:hint="eastAsia"/>
        </w:rPr>
        <w:t>人员配置</w:t>
      </w:r>
      <w:r>
        <w:tab/>
      </w:r>
      <w:r>
        <w:fldChar w:fldCharType="begin"/>
      </w:r>
      <w:r>
        <w:instrText xml:space="preserve"> PAGEREF _Toc11733 \h </w:instrText>
      </w:r>
      <w:r>
        <w:fldChar w:fldCharType="separate"/>
      </w:r>
      <w:r>
        <w:t>77</w:t>
      </w:r>
      <w:r>
        <w:fldChar w:fldCharType="end"/>
      </w:r>
      <w:r>
        <w:rPr>
          <w:color w:val="000000" w:themeColor="text1"/>
          <w:szCs w:val="32"/>
          <w14:textFill>
            <w14:solidFill>
              <w14:schemeClr w14:val="tx1"/>
            </w14:solidFill>
          </w14:textFill>
        </w:rPr>
        <w:fldChar w:fldCharType="end"/>
      </w:r>
    </w:p>
    <w:p w14:paraId="0873BBBD">
      <w:pPr>
        <w:pStyle w:val="23"/>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_Toc4289 </w:instrText>
      </w:r>
      <w:r>
        <w:rPr>
          <w:szCs w:val="32"/>
        </w:rPr>
        <w:fldChar w:fldCharType="separate"/>
      </w:r>
      <w:r>
        <w:rPr>
          <w:rFonts w:hint="default" w:ascii="Times New Roman" w:hAnsi="Times New Roman" w:eastAsia="宋体"/>
        </w:rPr>
        <w:t xml:space="preserve">8 </w:t>
      </w:r>
      <w:r>
        <w:rPr>
          <w:rFonts w:hint="eastAsia"/>
        </w:rPr>
        <w:t>验收要求</w:t>
      </w:r>
      <w:r>
        <w:tab/>
      </w:r>
      <w:r>
        <w:fldChar w:fldCharType="begin"/>
      </w:r>
      <w:r>
        <w:instrText xml:space="preserve"> PAGEREF _Toc4289 \h </w:instrText>
      </w:r>
      <w:r>
        <w:fldChar w:fldCharType="separate"/>
      </w:r>
      <w:r>
        <w:t>78</w:t>
      </w:r>
      <w:r>
        <w:fldChar w:fldCharType="end"/>
      </w:r>
      <w:r>
        <w:rPr>
          <w:color w:val="000000" w:themeColor="text1"/>
          <w:szCs w:val="32"/>
          <w14:textFill>
            <w14:solidFill>
              <w14:schemeClr w14:val="tx1"/>
            </w14:solidFill>
          </w14:textFill>
        </w:rPr>
        <w:fldChar w:fldCharType="end"/>
      </w:r>
    </w:p>
    <w:p w14:paraId="1B19D6DB">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_Toc8246 </w:instrText>
      </w:r>
      <w:r>
        <w:rPr>
          <w:szCs w:val="32"/>
        </w:rPr>
        <w:fldChar w:fldCharType="separate"/>
      </w:r>
      <w:r>
        <w:rPr>
          <w:rFonts w:hint="default" w:ascii="Times New Roman" w:hAnsi="Times New Roman" w:eastAsia="宋体" w:cs="Times New Roman"/>
        </w:rPr>
        <w:t xml:space="preserve">8.1 </w:t>
      </w:r>
      <w:r>
        <w:rPr>
          <w:rFonts w:hint="default" w:ascii="Times New Roman" w:hAnsi="Times New Roman" w:cs="Times New Roman"/>
        </w:rPr>
        <w:t>验收标准</w:t>
      </w:r>
      <w:r>
        <w:tab/>
      </w:r>
      <w:r>
        <w:fldChar w:fldCharType="begin"/>
      </w:r>
      <w:r>
        <w:instrText xml:space="preserve"> PAGEREF _Toc8246 \h </w:instrText>
      </w:r>
      <w:r>
        <w:fldChar w:fldCharType="separate"/>
      </w:r>
      <w:r>
        <w:t>78</w:t>
      </w:r>
      <w:r>
        <w:fldChar w:fldCharType="end"/>
      </w:r>
      <w:r>
        <w:rPr>
          <w:color w:val="000000" w:themeColor="text1"/>
          <w:szCs w:val="32"/>
          <w14:textFill>
            <w14:solidFill>
              <w14:schemeClr w14:val="tx1"/>
            </w14:solidFill>
          </w14:textFill>
        </w:rPr>
        <w:fldChar w:fldCharType="end"/>
      </w:r>
    </w:p>
    <w:p w14:paraId="54B3F89F">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_Toc27290 </w:instrText>
      </w:r>
      <w:r>
        <w:rPr>
          <w:szCs w:val="32"/>
        </w:rPr>
        <w:fldChar w:fldCharType="separate"/>
      </w:r>
      <w:r>
        <w:rPr>
          <w:rFonts w:hint="default" w:ascii="Times New Roman" w:hAnsi="Times New Roman" w:eastAsia="宋体" w:cs="Times New Roman"/>
        </w:rPr>
        <w:t xml:space="preserve">8.2 </w:t>
      </w:r>
      <w:r>
        <w:rPr>
          <w:rFonts w:hint="default" w:ascii="Times New Roman" w:hAnsi="Times New Roman" w:cs="Times New Roman"/>
        </w:rPr>
        <w:t>验收程序</w:t>
      </w:r>
      <w:r>
        <w:tab/>
      </w:r>
      <w:r>
        <w:fldChar w:fldCharType="begin"/>
      </w:r>
      <w:r>
        <w:instrText xml:space="preserve"> PAGEREF _Toc27290 \h </w:instrText>
      </w:r>
      <w:r>
        <w:fldChar w:fldCharType="separate"/>
      </w:r>
      <w:r>
        <w:t>78</w:t>
      </w:r>
      <w:r>
        <w:fldChar w:fldCharType="end"/>
      </w:r>
      <w:r>
        <w:rPr>
          <w:color w:val="000000" w:themeColor="text1"/>
          <w:szCs w:val="32"/>
          <w14:textFill>
            <w14:solidFill>
              <w14:schemeClr w14:val="tx1"/>
            </w14:solidFill>
          </w14:textFill>
        </w:rPr>
        <w:fldChar w:fldCharType="end"/>
      </w:r>
    </w:p>
    <w:p w14:paraId="648030C5">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_Toc31957 </w:instrText>
      </w:r>
      <w:r>
        <w:rPr>
          <w:szCs w:val="32"/>
        </w:rPr>
        <w:fldChar w:fldCharType="separate"/>
      </w:r>
      <w:r>
        <w:rPr>
          <w:rFonts w:hint="default" w:ascii="Times New Roman" w:hAnsi="Times New Roman" w:eastAsia="宋体" w:cs="Times New Roman"/>
        </w:rPr>
        <w:t xml:space="preserve">8.3 </w:t>
      </w:r>
      <w:r>
        <w:rPr>
          <w:rFonts w:hint="default" w:ascii="Times New Roman" w:hAnsi="Times New Roman" w:cs="Times New Roman"/>
        </w:rPr>
        <w:t>验收内容</w:t>
      </w:r>
      <w:r>
        <w:tab/>
      </w:r>
      <w:r>
        <w:fldChar w:fldCharType="begin"/>
      </w:r>
      <w:r>
        <w:instrText xml:space="preserve"> PAGEREF _Toc31957 \h </w:instrText>
      </w:r>
      <w:r>
        <w:fldChar w:fldCharType="separate"/>
      </w:r>
      <w:r>
        <w:t>78</w:t>
      </w:r>
      <w:r>
        <w:fldChar w:fldCharType="end"/>
      </w:r>
      <w:r>
        <w:rPr>
          <w:color w:val="000000" w:themeColor="text1"/>
          <w:szCs w:val="32"/>
          <w14:textFill>
            <w14:solidFill>
              <w14:schemeClr w14:val="tx1"/>
            </w14:solidFill>
          </w14:textFill>
        </w:rPr>
        <w:fldChar w:fldCharType="end"/>
      </w:r>
    </w:p>
    <w:p w14:paraId="01E0383D">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_Toc7904 </w:instrText>
      </w:r>
      <w:r>
        <w:rPr>
          <w:szCs w:val="32"/>
        </w:rPr>
        <w:fldChar w:fldCharType="separate"/>
      </w:r>
      <w:r>
        <w:rPr>
          <w:rFonts w:hint="default" w:ascii="Times New Roman" w:hAnsi="Times New Roman" w:eastAsia="宋体"/>
          <w:lang w:val="en-US" w:eastAsia="zh-CN"/>
        </w:rPr>
        <w:t xml:space="preserve">8.4 </w:t>
      </w:r>
      <w:r>
        <w:rPr>
          <w:rFonts w:hint="eastAsia"/>
          <w:lang w:val="en-US" w:eastAsia="zh-CN"/>
        </w:rPr>
        <w:t>验收人员</w:t>
      </w:r>
      <w:r>
        <w:tab/>
      </w:r>
      <w:r>
        <w:fldChar w:fldCharType="begin"/>
      </w:r>
      <w:r>
        <w:instrText xml:space="preserve"> PAGEREF _Toc7904 \h </w:instrText>
      </w:r>
      <w:r>
        <w:fldChar w:fldCharType="separate"/>
      </w:r>
      <w:r>
        <w:t>78</w:t>
      </w:r>
      <w:r>
        <w:fldChar w:fldCharType="end"/>
      </w:r>
      <w:r>
        <w:rPr>
          <w:color w:val="000000" w:themeColor="text1"/>
          <w:szCs w:val="32"/>
          <w14:textFill>
            <w14:solidFill>
              <w14:schemeClr w14:val="tx1"/>
            </w14:solidFill>
          </w14:textFill>
        </w:rPr>
        <w:fldChar w:fldCharType="end"/>
      </w:r>
    </w:p>
    <w:p w14:paraId="4F92EE1F">
      <w:pPr>
        <w:pStyle w:val="23"/>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_Toc26553 </w:instrText>
      </w:r>
      <w:r>
        <w:rPr>
          <w:szCs w:val="32"/>
        </w:rPr>
        <w:fldChar w:fldCharType="separate"/>
      </w:r>
      <w:r>
        <w:rPr>
          <w:rFonts w:hint="default" w:ascii="Times New Roman" w:hAnsi="Times New Roman" w:eastAsia="宋体" w:cs="Times New Roman"/>
        </w:rPr>
        <w:t xml:space="preserve">9 </w:t>
      </w:r>
      <w:r>
        <w:rPr>
          <w:rFonts w:hint="eastAsia" w:cs="Times New Roman"/>
          <w:lang w:val="en-US" w:eastAsia="zh-CN"/>
        </w:rPr>
        <w:t>应急处置</w:t>
      </w:r>
      <w:r>
        <w:rPr>
          <w:rFonts w:hint="default" w:ascii="Times New Roman" w:hAnsi="Times New Roman" w:cs="Times New Roman"/>
        </w:rPr>
        <w:t>措施</w:t>
      </w:r>
      <w:r>
        <w:tab/>
      </w:r>
      <w:r>
        <w:fldChar w:fldCharType="begin"/>
      </w:r>
      <w:r>
        <w:instrText xml:space="preserve"> PAGEREF _Toc26553 \h </w:instrText>
      </w:r>
      <w:r>
        <w:fldChar w:fldCharType="separate"/>
      </w:r>
      <w:r>
        <w:t>79</w:t>
      </w:r>
      <w:r>
        <w:fldChar w:fldCharType="end"/>
      </w:r>
      <w:r>
        <w:rPr>
          <w:color w:val="000000" w:themeColor="text1"/>
          <w:szCs w:val="32"/>
          <w14:textFill>
            <w14:solidFill>
              <w14:schemeClr w14:val="tx1"/>
            </w14:solidFill>
          </w14:textFill>
        </w:rPr>
        <w:fldChar w:fldCharType="end"/>
      </w:r>
    </w:p>
    <w:p w14:paraId="5D53C516">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_Toc5297 </w:instrText>
      </w:r>
      <w:r>
        <w:rPr>
          <w:szCs w:val="32"/>
        </w:rPr>
        <w:fldChar w:fldCharType="separate"/>
      </w:r>
      <w:r>
        <w:rPr>
          <w:rFonts w:hint="default" w:ascii="Times New Roman" w:hAnsi="Times New Roman" w:eastAsia="宋体"/>
        </w:rPr>
        <w:t xml:space="preserve">9.1 </w:t>
      </w:r>
      <w:r>
        <w:rPr>
          <w:rFonts w:hint="eastAsia"/>
        </w:rPr>
        <w:t>组织机构</w:t>
      </w:r>
      <w:r>
        <w:tab/>
      </w:r>
      <w:r>
        <w:fldChar w:fldCharType="begin"/>
      </w:r>
      <w:r>
        <w:instrText xml:space="preserve"> PAGEREF _Toc5297 \h </w:instrText>
      </w:r>
      <w:r>
        <w:fldChar w:fldCharType="separate"/>
      </w:r>
      <w:r>
        <w:t>79</w:t>
      </w:r>
      <w:r>
        <w:fldChar w:fldCharType="end"/>
      </w:r>
      <w:r>
        <w:rPr>
          <w:color w:val="000000" w:themeColor="text1"/>
          <w:szCs w:val="32"/>
          <w14:textFill>
            <w14:solidFill>
              <w14:schemeClr w14:val="tx1"/>
            </w14:solidFill>
          </w14:textFill>
        </w:rPr>
        <w:fldChar w:fldCharType="end"/>
      </w:r>
    </w:p>
    <w:p w14:paraId="7DDB0A02">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_Toc31221 </w:instrText>
      </w:r>
      <w:r>
        <w:rPr>
          <w:szCs w:val="32"/>
        </w:rPr>
        <w:fldChar w:fldCharType="separate"/>
      </w:r>
      <w:r>
        <w:rPr>
          <w:rFonts w:hint="default" w:ascii="Times New Roman" w:hAnsi="Times New Roman" w:eastAsia="宋体"/>
        </w:rPr>
        <w:t xml:space="preserve">9.2 </w:t>
      </w:r>
      <w:r>
        <w:rPr>
          <w:rFonts w:hint="eastAsia"/>
        </w:rPr>
        <w:t>处置流程</w:t>
      </w:r>
      <w:r>
        <w:tab/>
      </w:r>
      <w:r>
        <w:fldChar w:fldCharType="begin"/>
      </w:r>
      <w:r>
        <w:instrText xml:space="preserve"> PAGEREF _Toc31221 \h </w:instrText>
      </w:r>
      <w:r>
        <w:fldChar w:fldCharType="separate"/>
      </w:r>
      <w:r>
        <w:t>81</w:t>
      </w:r>
      <w:r>
        <w:fldChar w:fldCharType="end"/>
      </w:r>
      <w:r>
        <w:rPr>
          <w:color w:val="000000" w:themeColor="text1"/>
          <w:szCs w:val="32"/>
          <w14:textFill>
            <w14:solidFill>
              <w14:schemeClr w14:val="tx1"/>
            </w14:solidFill>
          </w14:textFill>
        </w:rPr>
        <w:fldChar w:fldCharType="end"/>
      </w:r>
    </w:p>
    <w:p w14:paraId="16AA00BB">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_Toc15761 </w:instrText>
      </w:r>
      <w:r>
        <w:rPr>
          <w:szCs w:val="32"/>
        </w:rPr>
        <w:fldChar w:fldCharType="separate"/>
      </w:r>
      <w:r>
        <w:rPr>
          <w:rFonts w:hint="default" w:ascii="Times New Roman" w:hAnsi="Times New Roman" w:eastAsia="宋体"/>
        </w:rPr>
        <w:t xml:space="preserve">9.3 </w:t>
      </w:r>
      <w:r>
        <w:rPr>
          <w:rFonts w:hint="eastAsia"/>
        </w:rPr>
        <w:t>应急处置措施</w:t>
      </w:r>
      <w:r>
        <w:tab/>
      </w:r>
      <w:r>
        <w:fldChar w:fldCharType="begin"/>
      </w:r>
      <w:r>
        <w:instrText xml:space="preserve"> PAGEREF _Toc15761 \h </w:instrText>
      </w:r>
      <w:r>
        <w:fldChar w:fldCharType="separate"/>
      </w:r>
      <w:r>
        <w:t>83</w:t>
      </w:r>
      <w:r>
        <w:fldChar w:fldCharType="end"/>
      </w:r>
      <w:r>
        <w:rPr>
          <w:color w:val="000000" w:themeColor="text1"/>
          <w:szCs w:val="32"/>
          <w14:textFill>
            <w14:solidFill>
              <w14:schemeClr w14:val="tx1"/>
            </w14:solidFill>
          </w14:textFill>
        </w:rPr>
        <w:fldChar w:fldCharType="end"/>
      </w:r>
    </w:p>
    <w:p w14:paraId="7D578DDE">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_Toc12469 </w:instrText>
      </w:r>
      <w:r>
        <w:rPr>
          <w:szCs w:val="32"/>
        </w:rPr>
        <w:fldChar w:fldCharType="separate"/>
      </w:r>
      <w:r>
        <w:rPr>
          <w:rFonts w:hint="default" w:ascii="Times New Roman" w:hAnsi="Times New Roman" w:eastAsia="宋体"/>
        </w:rPr>
        <w:t xml:space="preserve">9.4 </w:t>
      </w:r>
      <w:r>
        <w:rPr>
          <w:rFonts w:hint="eastAsia"/>
        </w:rPr>
        <w:t>应急医院及线路图</w:t>
      </w:r>
      <w:r>
        <w:tab/>
      </w:r>
      <w:r>
        <w:fldChar w:fldCharType="begin"/>
      </w:r>
      <w:r>
        <w:instrText xml:space="preserve"> PAGEREF _Toc12469 \h </w:instrText>
      </w:r>
      <w:r>
        <w:fldChar w:fldCharType="separate"/>
      </w:r>
      <w:r>
        <w:t>90</w:t>
      </w:r>
      <w:r>
        <w:fldChar w:fldCharType="end"/>
      </w:r>
      <w:r>
        <w:rPr>
          <w:color w:val="000000" w:themeColor="text1"/>
          <w:szCs w:val="32"/>
          <w14:textFill>
            <w14:solidFill>
              <w14:schemeClr w14:val="tx1"/>
            </w14:solidFill>
          </w14:textFill>
        </w:rPr>
        <w:fldChar w:fldCharType="end"/>
      </w:r>
    </w:p>
    <w:p w14:paraId="5CF6ECF9">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_Toc5330 </w:instrText>
      </w:r>
      <w:r>
        <w:rPr>
          <w:szCs w:val="32"/>
        </w:rPr>
        <w:fldChar w:fldCharType="separate"/>
      </w:r>
      <w:r>
        <w:rPr>
          <w:rFonts w:hint="default" w:ascii="Times New Roman" w:hAnsi="Times New Roman" w:eastAsia="宋体"/>
        </w:rPr>
        <w:t xml:space="preserve">9.5 </w:t>
      </w:r>
      <w:r>
        <w:rPr>
          <w:rFonts w:hint="eastAsia"/>
        </w:rPr>
        <w:t>应急车辆、物资及设备</w:t>
      </w:r>
      <w:r>
        <w:tab/>
      </w:r>
      <w:r>
        <w:fldChar w:fldCharType="begin"/>
      </w:r>
      <w:r>
        <w:instrText xml:space="preserve"> PAGEREF _Toc5330 \h </w:instrText>
      </w:r>
      <w:r>
        <w:fldChar w:fldCharType="separate"/>
      </w:r>
      <w:r>
        <w:t>91</w:t>
      </w:r>
      <w:r>
        <w:fldChar w:fldCharType="end"/>
      </w:r>
      <w:r>
        <w:rPr>
          <w:color w:val="000000" w:themeColor="text1"/>
          <w:szCs w:val="32"/>
          <w14:textFill>
            <w14:solidFill>
              <w14:schemeClr w14:val="tx1"/>
            </w14:solidFill>
          </w14:textFill>
        </w:rPr>
        <w:fldChar w:fldCharType="end"/>
      </w:r>
    </w:p>
    <w:p w14:paraId="00D9CFF1">
      <w:pPr>
        <w:pStyle w:val="25"/>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_Toc2444 </w:instrText>
      </w:r>
      <w:r>
        <w:rPr>
          <w:szCs w:val="32"/>
        </w:rPr>
        <w:fldChar w:fldCharType="separate"/>
      </w:r>
      <w:r>
        <w:rPr>
          <w:rFonts w:hint="default" w:ascii="Times New Roman" w:hAnsi="Times New Roman" w:eastAsia="宋体"/>
        </w:rPr>
        <w:t xml:space="preserve">9.6 </w:t>
      </w:r>
      <w:r>
        <w:rPr>
          <w:rFonts w:hint="eastAsia"/>
        </w:rPr>
        <w:t>事故善后及恢复生产</w:t>
      </w:r>
      <w:r>
        <w:tab/>
      </w:r>
      <w:r>
        <w:fldChar w:fldCharType="begin"/>
      </w:r>
      <w:r>
        <w:instrText xml:space="preserve"> PAGEREF _Toc2444 \h </w:instrText>
      </w:r>
      <w:r>
        <w:fldChar w:fldCharType="separate"/>
      </w:r>
      <w:r>
        <w:t>92</w:t>
      </w:r>
      <w:r>
        <w:fldChar w:fldCharType="end"/>
      </w:r>
      <w:r>
        <w:rPr>
          <w:color w:val="000000" w:themeColor="text1"/>
          <w:szCs w:val="32"/>
          <w14:textFill>
            <w14:solidFill>
              <w14:schemeClr w14:val="tx1"/>
            </w14:solidFill>
          </w14:textFill>
        </w:rPr>
        <w:fldChar w:fldCharType="end"/>
      </w:r>
    </w:p>
    <w:p w14:paraId="1CAFE703">
      <w:pPr>
        <w:pStyle w:val="23"/>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_Toc31518 </w:instrText>
      </w:r>
      <w:r>
        <w:rPr>
          <w:szCs w:val="32"/>
        </w:rPr>
        <w:fldChar w:fldCharType="separate"/>
      </w:r>
      <w:r>
        <w:rPr>
          <w:rFonts w:hint="default" w:ascii="Times New Roman" w:hAnsi="Times New Roman" w:eastAsia="宋体"/>
        </w:rPr>
        <w:t xml:space="preserve">10 </w:t>
      </w:r>
      <w:r>
        <w:rPr>
          <w:rFonts w:hint="eastAsia"/>
        </w:rPr>
        <w:t>计算书及相关施工图纸</w:t>
      </w:r>
      <w:r>
        <w:tab/>
      </w:r>
      <w:r>
        <w:fldChar w:fldCharType="begin"/>
      </w:r>
      <w:r>
        <w:instrText xml:space="preserve"> PAGEREF _Toc31518 \h </w:instrText>
      </w:r>
      <w:r>
        <w:fldChar w:fldCharType="separate"/>
      </w:r>
      <w:r>
        <w:t>93</w:t>
      </w:r>
      <w:r>
        <w:fldChar w:fldCharType="end"/>
      </w:r>
      <w:r>
        <w:rPr>
          <w:color w:val="000000" w:themeColor="text1"/>
          <w:szCs w:val="32"/>
          <w14:textFill>
            <w14:solidFill>
              <w14:schemeClr w14:val="tx1"/>
            </w14:solidFill>
          </w14:textFill>
        </w:rPr>
        <w:fldChar w:fldCharType="end"/>
      </w:r>
    </w:p>
    <w:p w14:paraId="3936AEB7">
      <w:pPr>
        <w:pStyle w:val="23"/>
        <w:spacing w:line="480" w:lineRule="exact"/>
        <w:ind w:firstLine="643"/>
        <w:rPr>
          <w:color w:val="000000" w:themeColor="text1"/>
          <w:sz w:val="48"/>
          <w:szCs w:val="32"/>
          <w14:textFill>
            <w14:solidFill>
              <w14:schemeClr w14:val="tx1"/>
            </w14:solidFill>
          </w14:textFill>
        </w:rPr>
        <w:sectPr>
          <w:footerReference r:id="rId11" w:type="default"/>
          <w:pgSz w:w="11906" w:h="16838"/>
          <w:pgMar w:top="1418" w:right="1418" w:bottom="1418" w:left="1418" w:header="851" w:footer="992" w:gutter="0"/>
          <w:pgNumType w:fmt="upperRoman" w:start="1"/>
          <w:cols w:space="425" w:num="1"/>
          <w:docGrid w:linePitch="498" w:charSpace="17788"/>
        </w:sectPr>
      </w:pPr>
      <w:r>
        <w:rPr>
          <w:color w:val="000000" w:themeColor="text1"/>
          <w:szCs w:val="32"/>
          <w14:textFill>
            <w14:solidFill>
              <w14:schemeClr w14:val="tx1"/>
            </w14:solidFill>
          </w14:textFill>
        </w:rPr>
        <w:fldChar w:fldCharType="end"/>
      </w:r>
    </w:p>
    <w:p w14:paraId="4085BD00">
      <w:pPr>
        <w:pStyle w:val="4"/>
        <w:rPr>
          <w:color w:val="000000" w:themeColor="text1"/>
          <w14:textFill>
            <w14:solidFill>
              <w14:schemeClr w14:val="tx1"/>
            </w14:solidFill>
          </w14:textFill>
        </w:rPr>
      </w:pPr>
      <w:bookmarkStart w:id="7" w:name="_Toc40778426"/>
      <w:bookmarkStart w:id="8" w:name="_Toc26437"/>
      <w:bookmarkStart w:id="9" w:name="_Toc29570"/>
      <w:bookmarkStart w:id="10" w:name="_Toc13163"/>
      <w:r>
        <w:rPr>
          <w:color w:val="000000" w:themeColor="text1"/>
          <w14:textFill>
            <w14:solidFill>
              <w14:schemeClr w14:val="tx1"/>
            </w14:solidFill>
          </w14:textFill>
        </w:rPr>
        <w:t>编制</w:t>
      </w:r>
      <w:bookmarkEnd w:id="7"/>
      <w:bookmarkEnd w:id="8"/>
      <w:r>
        <w:rPr>
          <w:color w:val="000000" w:themeColor="text1"/>
          <w14:textFill>
            <w14:solidFill>
              <w14:schemeClr w14:val="tx1"/>
            </w14:solidFill>
          </w14:textFill>
        </w:rPr>
        <w:t>说明、依据及适用范围</w:t>
      </w:r>
      <w:bookmarkEnd w:id="9"/>
      <w:bookmarkEnd w:id="10"/>
    </w:p>
    <w:p w14:paraId="5E8060E7">
      <w:pPr>
        <w:pStyle w:val="5"/>
        <w:rPr>
          <w:rFonts w:cs="Times New Roman"/>
          <w:color w:val="000000" w:themeColor="text1"/>
          <w14:textFill>
            <w14:solidFill>
              <w14:schemeClr w14:val="tx1"/>
            </w14:solidFill>
          </w14:textFill>
        </w:rPr>
      </w:pPr>
      <w:bookmarkStart w:id="11" w:name="_Toc2002"/>
      <w:bookmarkStart w:id="12" w:name="_Toc40778430"/>
      <w:bookmarkStart w:id="13" w:name="_Toc21803"/>
      <w:bookmarkStart w:id="14" w:name="_Toc15521"/>
      <w:bookmarkStart w:id="15" w:name="_Toc10416"/>
      <w:bookmarkStart w:id="16" w:name="_Toc30215"/>
      <w:r>
        <w:rPr>
          <w:rFonts w:cs="Times New Roman"/>
          <w:color w:val="000000" w:themeColor="text1"/>
          <w14:textFill>
            <w14:solidFill>
              <w14:schemeClr w14:val="tx1"/>
            </w14:solidFill>
          </w14:textFill>
        </w:rPr>
        <w:t>编制</w:t>
      </w:r>
      <w:bookmarkEnd w:id="11"/>
      <w:bookmarkEnd w:id="12"/>
      <w:bookmarkEnd w:id="13"/>
      <w:bookmarkEnd w:id="14"/>
      <w:r>
        <w:rPr>
          <w:rFonts w:cs="Times New Roman"/>
          <w:color w:val="000000" w:themeColor="text1"/>
          <w14:textFill>
            <w14:solidFill>
              <w14:schemeClr w14:val="tx1"/>
            </w14:solidFill>
          </w14:textFill>
        </w:rPr>
        <w:t>说明</w:t>
      </w:r>
      <w:bookmarkEnd w:id="15"/>
      <w:bookmarkEnd w:id="16"/>
    </w:p>
    <w:p w14:paraId="56C31E23">
      <w:pPr>
        <w:ind w:firstLine="480"/>
        <w:rPr>
          <w:rFonts w:hint="eastAsia"/>
          <w:color w:val="000000" w:themeColor="text1"/>
          <w14:textFill>
            <w14:solidFill>
              <w14:schemeClr w14:val="tx1"/>
            </w14:solidFill>
          </w14:textFill>
        </w:rPr>
      </w:pPr>
      <w:bookmarkStart w:id="17" w:name="_Toc18637"/>
      <w:bookmarkStart w:id="18" w:name="_Toc10843"/>
      <w:bookmarkStart w:id="19" w:name="_Toc17411"/>
      <w:bookmarkStart w:id="20" w:name="_Toc40778428"/>
      <w:bookmarkStart w:id="21" w:name="_Toc31747"/>
      <w:r>
        <w:rPr>
          <w:rFonts w:hint="eastAsia"/>
          <w:color w:val="000000" w:themeColor="text1"/>
          <w14:textFill>
            <w14:solidFill>
              <w14:schemeClr w14:val="tx1"/>
            </w14:solidFill>
          </w14:textFill>
        </w:rPr>
        <w:t>因</w:t>
      </w:r>
      <w:r>
        <w:rPr>
          <w:color w:val="000000" w:themeColor="text1"/>
          <w14:textFill>
            <w14:solidFill>
              <w14:schemeClr w14:val="tx1"/>
            </w14:solidFill>
          </w14:textFill>
        </w:rPr>
        <w:t>S109孝感至汉川一级公路汉川段新建工程项目K13+529～K18+574 段</w:t>
      </w:r>
      <w:r>
        <w:rPr>
          <w:rFonts w:hint="eastAsia"/>
          <w:color w:val="000000" w:themeColor="text1"/>
          <w14:textFill>
            <w14:solidFill>
              <w14:schemeClr w14:val="tx1"/>
            </w14:solidFill>
          </w14:textFill>
        </w:rPr>
        <w:t>需要，需要采用</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台</w:t>
      </w:r>
      <w:r>
        <w:rPr>
          <w:rFonts w:hint="eastAsia"/>
          <w:color w:val="000000" w:themeColor="text1"/>
          <w:highlight w:val="none"/>
          <w:lang w:val="en-US" w:eastAsia="zh-CN"/>
          <w14:textFill>
            <w14:solidFill>
              <w14:schemeClr w14:val="tx1"/>
            </w14:solidFill>
          </w14:textFill>
        </w:rPr>
        <w:t>XGT6015A-8S</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0m）</w:t>
      </w:r>
      <w:r>
        <w:rPr>
          <w:rFonts w:hint="eastAsia"/>
          <w:color w:val="000000" w:themeColor="text1"/>
          <w14:textFill>
            <w14:solidFill>
              <w14:schemeClr w14:val="tx1"/>
            </w14:solidFill>
          </w14:textFill>
        </w:rPr>
        <w:t>塔式起重机用于</w:t>
      </w:r>
      <w:r>
        <w:rPr>
          <w:rFonts w:hint="eastAsia"/>
          <w:color w:val="000000" w:themeColor="text1"/>
          <w:lang w:val="en-US" w:eastAsia="zh-CN"/>
          <w14:textFill>
            <w14:solidFill>
              <w14:schemeClr w14:val="tx1"/>
            </w14:solidFill>
          </w14:textFill>
        </w:rPr>
        <w:t>民乐渠大桥</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11#墩</w:t>
      </w:r>
      <w:r>
        <w:rPr>
          <w:rFonts w:hint="eastAsia"/>
          <w:color w:val="000000" w:themeColor="text1"/>
          <w14:textFill>
            <w14:solidFill>
              <w14:schemeClr w14:val="tx1"/>
            </w14:solidFill>
          </w14:textFill>
        </w:rPr>
        <w:t>施工，为认真、全面、系统地做好塔式起重机安装安全和质量等工作，合理安排施工工期，编制本塔式起重机安装方案。</w:t>
      </w:r>
    </w:p>
    <w:p w14:paraId="687326D4">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本单位负责塔式起重机的安装、安全装置调试、附着安装、试验验收等具体实施工作。</w:t>
      </w:r>
    </w:p>
    <w:p w14:paraId="4A1CAFA3">
      <w:pPr>
        <w:pStyle w:val="5"/>
        <w:rPr>
          <w:rFonts w:cs="Times New Roman"/>
          <w:color w:val="000000" w:themeColor="text1"/>
          <w14:textFill>
            <w14:solidFill>
              <w14:schemeClr w14:val="tx1"/>
            </w14:solidFill>
          </w14:textFill>
        </w:rPr>
      </w:pPr>
      <w:bookmarkStart w:id="22" w:name="_Toc19897"/>
      <w:r>
        <w:rPr>
          <w:rFonts w:cs="Times New Roman"/>
          <w:color w:val="000000" w:themeColor="text1"/>
          <w14:textFill>
            <w14:solidFill>
              <w14:schemeClr w14:val="tx1"/>
            </w14:solidFill>
          </w14:textFill>
        </w:rPr>
        <w:t>编制依据</w:t>
      </w:r>
      <w:bookmarkEnd w:id="17"/>
      <w:bookmarkEnd w:id="18"/>
      <w:bookmarkEnd w:id="19"/>
      <w:bookmarkEnd w:id="20"/>
      <w:bookmarkEnd w:id="21"/>
      <w:bookmarkEnd w:id="22"/>
    </w:p>
    <w:p w14:paraId="6105195E">
      <w:pPr>
        <w:rPr>
          <w:rFonts w:hint="default" w:ascii="Times New Roman" w:hAnsi="Times New Roman" w:cs="Times New Roman"/>
          <w:highlight w:val="none"/>
        </w:rPr>
      </w:pPr>
      <w:r>
        <w:rPr>
          <w:rFonts w:hint="default" w:ascii="Times New Roman" w:hAnsi="Times New Roman" w:cs="Times New Roman"/>
          <w:highlight w:val="none"/>
        </w:rPr>
        <w:t>（1）S109孝感至汉川一级公路汉川段新建工程招投标及合同文件；</w:t>
      </w:r>
    </w:p>
    <w:p w14:paraId="10E3FE76">
      <w:pPr>
        <w:rPr>
          <w:rFonts w:hint="default" w:ascii="Times New Roman" w:hAnsi="Times New Roman" w:cs="Times New Roman"/>
          <w:highlight w:val="none"/>
        </w:rPr>
      </w:pPr>
      <w:r>
        <w:rPr>
          <w:rFonts w:hint="default" w:ascii="Times New Roman" w:hAnsi="Times New Roman" w:cs="Times New Roman"/>
          <w:highlight w:val="none"/>
        </w:rPr>
        <w:t>（2）《公路路基设计规范》(JTG D30-2015)；</w:t>
      </w:r>
    </w:p>
    <w:p w14:paraId="15A5B59C">
      <w:pPr>
        <w:rPr>
          <w:rFonts w:hint="default" w:ascii="Times New Roman" w:hAnsi="Times New Roman" w:cs="Times New Roman"/>
          <w:highlight w:val="none"/>
        </w:rPr>
      </w:pPr>
      <w:r>
        <w:rPr>
          <w:rFonts w:hint="default" w:ascii="Times New Roman" w:hAnsi="Times New Roman" w:cs="Times New Roman"/>
          <w:highlight w:val="none"/>
        </w:rPr>
        <w:t>（3）《公路水泥混凝土路面设计规范》(JTG D40-2011)；</w:t>
      </w:r>
    </w:p>
    <w:p w14:paraId="1134D2C1">
      <w:pPr>
        <w:rPr>
          <w:rFonts w:hint="default" w:ascii="Times New Roman" w:hAnsi="Times New Roman" w:cs="Times New Roman"/>
          <w:highlight w:val="none"/>
        </w:rPr>
      </w:pPr>
      <w:r>
        <w:rPr>
          <w:rFonts w:hint="default" w:ascii="Times New Roman" w:hAnsi="Times New Roman" w:cs="Times New Roman"/>
          <w:highlight w:val="none"/>
        </w:rPr>
        <w:t>（4）《公路沥青路面设计规范》(JTG D50-2017)；</w:t>
      </w:r>
    </w:p>
    <w:p w14:paraId="3285E89E">
      <w:pPr>
        <w:rPr>
          <w:rFonts w:hint="default" w:ascii="Times New Roman" w:hAnsi="Times New Roman" w:cs="Times New Roman"/>
          <w:highlight w:val="none"/>
        </w:rPr>
      </w:pPr>
      <w:r>
        <w:rPr>
          <w:rFonts w:hint="default" w:ascii="Times New Roman" w:hAnsi="Times New Roman" w:cs="Times New Roman"/>
          <w:highlight w:val="none"/>
        </w:rPr>
        <w:t>（5）《公路桥涵设计通用规范》(JTG D60-2015)；</w:t>
      </w:r>
    </w:p>
    <w:p w14:paraId="5639B935">
      <w:pPr>
        <w:rPr>
          <w:rFonts w:hint="default" w:ascii="Times New Roman" w:hAnsi="Times New Roman" w:cs="Times New Roman"/>
          <w:highlight w:val="none"/>
        </w:rPr>
      </w:pPr>
      <w:r>
        <w:rPr>
          <w:rFonts w:hint="default" w:ascii="Times New Roman" w:hAnsi="Times New Roman" w:cs="Times New Roman"/>
          <w:highlight w:val="none"/>
        </w:rPr>
        <w:t>（6）《公路圬工桥涵设计规范》(JTG D61-2005)；</w:t>
      </w:r>
    </w:p>
    <w:p w14:paraId="7F830EDA">
      <w:pPr>
        <w:rPr>
          <w:rFonts w:hint="default" w:ascii="Times New Roman" w:hAnsi="Times New Roman" w:cs="Times New Roman"/>
          <w:highlight w:val="none"/>
        </w:rPr>
      </w:pPr>
      <w:r>
        <w:rPr>
          <w:rFonts w:hint="default" w:ascii="Times New Roman" w:hAnsi="Times New Roman" w:cs="Times New Roman"/>
          <w:highlight w:val="none"/>
        </w:rPr>
        <w:t>（7）《公路桥涵地基与基础设计规范》(JTG 3363-2019)；</w:t>
      </w:r>
    </w:p>
    <w:p w14:paraId="61DDB0E9">
      <w:pPr>
        <w:rPr>
          <w:rFonts w:hint="default" w:ascii="Times New Roman" w:hAnsi="Times New Roman" w:cs="Times New Roman"/>
          <w:highlight w:val="none"/>
        </w:rPr>
      </w:pPr>
      <w:r>
        <w:rPr>
          <w:rFonts w:hint="default" w:ascii="Times New Roman" w:hAnsi="Times New Roman" w:cs="Times New Roman"/>
          <w:highlight w:val="none"/>
        </w:rPr>
        <w:t>（8）《公路工程地质勘查规范》(JTG C20-2011)；</w:t>
      </w:r>
    </w:p>
    <w:p w14:paraId="10D8D442">
      <w:pPr>
        <w:rPr>
          <w:rFonts w:hint="default" w:ascii="Times New Roman" w:hAnsi="Times New Roman" w:cs="Times New Roman"/>
          <w:highlight w:val="none"/>
        </w:rPr>
      </w:pPr>
      <w:r>
        <w:rPr>
          <w:rFonts w:hint="default" w:ascii="Times New Roman" w:hAnsi="Times New Roman" w:cs="Times New Roman"/>
          <w:highlight w:val="none"/>
        </w:rPr>
        <w:t>（9）《公路工程水文勘察设计规范》(JTG C30-2015)；</w:t>
      </w:r>
    </w:p>
    <w:p w14:paraId="695393E2">
      <w:pPr>
        <w:rPr>
          <w:rFonts w:hint="default" w:ascii="Times New Roman" w:hAnsi="Times New Roman" w:cs="Times New Roman"/>
          <w:highlight w:val="none"/>
        </w:rPr>
      </w:pPr>
      <w:r>
        <w:rPr>
          <w:rFonts w:hint="default" w:ascii="Times New Roman" w:hAnsi="Times New Roman" w:cs="Times New Roman"/>
          <w:highlight w:val="none"/>
        </w:rPr>
        <w:t>（10）《公路环境保护设计规范》(JTG B04-2010)；</w:t>
      </w:r>
    </w:p>
    <w:p w14:paraId="465D2FE0">
      <w:pPr>
        <w:rPr>
          <w:rFonts w:hint="default" w:ascii="Times New Roman" w:hAnsi="Times New Roman" w:cs="Times New Roman"/>
          <w:highlight w:val="none"/>
        </w:rPr>
      </w:pPr>
      <w:r>
        <w:rPr>
          <w:rFonts w:hint="default" w:ascii="Times New Roman" w:hAnsi="Times New Roman" w:cs="Times New Roman"/>
          <w:highlight w:val="none"/>
        </w:rPr>
        <w:t>（11）《公路建设项目环境影响评价规范》(JTG B03-2006)；</w:t>
      </w:r>
    </w:p>
    <w:p w14:paraId="00027800">
      <w:pPr>
        <w:rPr>
          <w:rFonts w:hint="default" w:ascii="Times New Roman" w:hAnsi="Times New Roman" w:cs="Times New Roman"/>
          <w:highlight w:val="none"/>
        </w:rPr>
      </w:pPr>
      <w:r>
        <w:rPr>
          <w:rFonts w:hint="default" w:ascii="Times New Roman" w:hAnsi="Times New Roman" w:cs="Times New Roman"/>
          <w:highlight w:val="none"/>
        </w:rPr>
        <w:t>（12）《道路交通标志和标线》(GB5768-2009)；</w:t>
      </w:r>
    </w:p>
    <w:p w14:paraId="79C24062">
      <w:pPr>
        <w:rPr>
          <w:rFonts w:hint="default" w:ascii="Times New Roman" w:hAnsi="Times New Roman" w:cs="Times New Roman"/>
          <w:highlight w:val="none"/>
        </w:rPr>
      </w:pPr>
      <w:r>
        <w:rPr>
          <w:rFonts w:hint="default" w:ascii="Times New Roman" w:hAnsi="Times New Roman" w:cs="Times New Roman"/>
          <w:highlight w:val="none"/>
        </w:rPr>
        <w:t>（13）《公路交通安全设施设计规范》(JTG D81-2017)；</w:t>
      </w:r>
    </w:p>
    <w:p w14:paraId="2C2CEC23">
      <w:pPr>
        <w:rPr>
          <w:rFonts w:hint="default" w:ascii="Times New Roman" w:hAnsi="Times New Roman" w:cs="Times New Roman"/>
          <w:highlight w:val="none"/>
        </w:rPr>
      </w:pPr>
      <w:r>
        <w:rPr>
          <w:rFonts w:hint="default" w:ascii="Times New Roman" w:hAnsi="Times New Roman" w:cs="Times New Roman"/>
          <w:highlight w:val="none"/>
        </w:rPr>
        <w:t>（14）《公路交通安全设施设计细则》(JTG/T D81-2017)；</w:t>
      </w:r>
    </w:p>
    <w:p w14:paraId="526BB7C8">
      <w:pPr>
        <w:rPr>
          <w:rFonts w:hint="default" w:ascii="Times New Roman" w:hAnsi="Times New Roman" w:cs="Times New Roman"/>
          <w:highlight w:val="none"/>
        </w:rPr>
      </w:pPr>
      <w:r>
        <w:rPr>
          <w:rFonts w:hint="default" w:ascii="Times New Roman" w:hAnsi="Times New Roman" w:cs="Times New Roman"/>
          <w:highlight w:val="none"/>
        </w:rPr>
        <w:t>（15）《电力工程电缆设计标准》(GB 50217-2018)；</w:t>
      </w:r>
    </w:p>
    <w:p w14:paraId="09764EEC">
      <w:pPr>
        <w:rPr>
          <w:rFonts w:hint="default" w:ascii="Times New Roman" w:hAnsi="Times New Roman" w:cs="Times New Roman"/>
          <w:highlight w:val="none"/>
        </w:rPr>
      </w:pPr>
      <w:r>
        <w:rPr>
          <w:rFonts w:hint="default" w:ascii="Times New Roman" w:hAnsi="Times New Roman" w:cs="Times New Roman"/>
          <w:highlight w:val="none"/>
        </w:rPr>
        <w:t>（16）《城市道路照明工程施工及验收规程》(CJJ 89-2012)；</w:t>
      </w:r>
    </w:p>
    <w:p w14:paraId="1ABE705B">
      <w:pPr>
        <w:rPr>
          <w:rFonts w:hint="default" w:ascii="Times New Roman" w:hAnsi="Times New Roman" w:cs="Times New Roman"/>
          <w:highlight w:val="none"/>
        </w:rPr>
      </w:pPr>
      <w:r>
        <w:rPr>
          <w:rFonts w:hint="default" w:ascii="Times New Roman" w:hAnsi="Times New Roman" w:cs="Times New Roman"/>
          <w:highlight w:val="none"/>
        </w:rPr>
        <w:t>（17）《公路排水设计规范》(JTG/T D33-2012)；</w:t>
      </w:r>
    </w:p>
    <w:p w14:paraId="16E90484">
      <w:pPr>
        <w:rPr>
          <w:rFonts w:hint="default" w:ascii="Times New Roman" w:hAnsi="Times New Roman" w:cs="Times New Roman"/>
          <w:highlight w:val="none"/>
        </w:rPr>
      </w:pPr>
      <w:r>
        <w:rPr>
          <w:rFonts w:hint="default" w:ascii="Times New Roman" w:hAnsi="Times New Roman" w:cs="Times New Roman"/>
          <w:highlight w:val="none"/>
        </w:rPr>
        <w:t>（18）《公路软土地基路堤设计与施工技术细则》(JTG/T D31-02-2013)；</w:t>
      </w:r>
    </w:p>
    <w:p w14:paraId="045EEAF0">
      <w:pPr>
        <w:rPr>
          <w:rFonts w:hint="default" w:ascii="Times New Roman" w:hAnsi="Times New Roman" w:cs="Times New Roman"/>
          <w:highlight w:val="none"/>
        </w:rPr>
      </w:pPr>
      <w:r>
        <w:rPr>
          <w:rFonts w:hint="default" w:ascii="Times New Roman" w:hAnsi="Times New Roman" w:cs="Times New Roman"/>
          <w:highlight w:val="none"/>
        </w:rPr>
        <w:t>（19）《公路路面基层施工技术细则》(JTG/TF20-2015)；</w:t>
      </w:r>
    </w:p>
    <w:p w14:paraId="4867A864">
      <w:pPr>
        <w:rPr>
          <w:rFonts w:hint="default" w:ascii="Times New Roman" w:hAnsi="Times New Roman" w:cs="Times New Roman"/>
          <w:highlight w:val="none"/>
        </w:rPr>
      </w:pPr>
      <w:r>
        <w:rPr>
          <w:rFonts w:hint="default" w:ascii="Times New Roman" w:hAnsi="Times New Roman" w:cs="Times New Roman"/>
          <w:highlight w:val="none"/>
        </w:rPr>
        <w:t>（20）《公路沥青路面施工技术规范》(JTG F40—2004)；</w:t>
      </w:r>
    </w:p>
    <w:p w14:paraId="4BB3EECD">
      <w:pPr>
        <w:rPr>
          <w:rFonts w:hint="default" w:ascii="Times New Roman" w:hAnsi="Times New Roman" w:cs="Times New Roman"/>
          <w:highlight w:val="none"/>
        </w:rPr>
      </w:pPr>
      <w:r>
        <w:rPr>
          <w:rFonts w:hint="default" w:ascii="Times New Roman" w:hAnsi="Times New Roman" w:cs="Times New Roman"/>
          <w:highlight w:val="none"/>
        </w:rPr>
        <w:t>（21）《公路桥涵施工技术规范》(JTG/T3650-2020)；</w:t>
      </w:r>
    </w:p>
    <w:p w14:paraId="50DD0C95">
      <w:pPr>
        <w:rPr>
          <w:rFonts w:hint="default" w:ascii="Times New Roman" w:hAnsi="Times New Roman" w:cs="Times New Roman"/>
          <w:highlight w:val="none"/>
        </w:rPr>
      </w:pPr>
      <w:r>
        <w:rPr>
          <w:rFonts w:hint="default" w:ascii="Times New Roman" w:hAnsi="Times New Roman" w:cs="Times New Roman"/>
          <w:highlight w:val="none"/>
        </w:rPr>
        <w:t>（22）《公路桥梁抗风设计规范》(JTG/T3360-01—2018)；</w:t>
      </w:r>
    </w:p>
    <w:p w14:paraId="4B388F5D">
      <w:pPr>
        <w:rPr>
          <w:rFonts w:hint="default" w:ascii="Times New Roman" w:hAnsi="Times New Roman" w:cs="Times New Roman"/>
          <w:highlight w:val="none"/>
        </w:rPr>
      </w:pPr>
      <w:r>
        <w:rPr>
          <w:rFonts w:hint="default" w:ascii="Times New Roman" w:hAnsi="Times New Roman" w:cs="Times New Roman"/>
          <w:highlight w:val="none"/>
        </w:rPr>
        <w:t>（23）《公路交通安全设施设计细则》(JTG/TD81-2017)；</w:t>
      </w:r>
    </w:p>
    <w:p w14:paraId="53E0B774">
      <w:pPr>
        <w:rPr>
          <w:rFonts w:hint="default" w:ascii="Times New Roman" w:hAnsi="Times New Roman" w:cs="Times New Roman"/>
          <w:highlight w:val="none"/>
        </w:rPr>
      </w:pPr>
      <w:r>
        <w:rPr>
          <w:rFonts w:hint="default" w:ascii="Times New Roman" w:hAnsi="Times New Roman" w:cs="Times New Roman"/>
          <w:highlight w:val="none"/>
        </w:rPr>
        <w:t>（24）《公路工程混凝土结构耐久性设计规范》(JTG/T3310—2019)；</w:t>
      </w:r>
    </w:p>
    <w:p w14:paraId="6EEAC0B8">
      <w:pPr>
        <w:rPr>
          <w:rFonts w:hint="default" w:ascii="Times New Roman" w:hAnsi="Times New Roman" w:cs="Times New Roman"/>
          <w:highlight w:val="none"/>
        </w:rPr>
      </w:pPr>
      <w:r>
        <w:rPr>
          <w:rFonts w:hint="default" w:ascii="Times New Roman" w:hAnsi="Times New Roman" w:cs="Times New Roman"/>
          <w:highlight w:val="none"/>
        </w:rPr>
        <w:t>（25）《重要用途钢丝绳》(GB8918-2006)；</w:t>
      </w:r>
    </w:p>
    <w:p w14:paraId="343B284E">
      <w:pPr>
        <w:rPr>
          <w:rFonts w:hint="default" w:ascii="Times New Roman" w:hAnsi="Times New Roman" w:cs="Times New Roman"/>
          <w:highlight w:val="none"/>
        </w:rPr>
      </w:pPr>
      <w:r>
        <w:rPr>
          <w:rFonts w:hint="default" w:ascii="Times New Roman" w:hAnsi="Times New Roman" w:cs="Times New Roman"/>
          <w:highlight w:val="none"/>
        </w:rPr>
        <w:t>（26）《大体积混凝土施工标准》(GB 50496-2018)；</w:t>
      </w:r>
    </w:p>
    <w:p w14:paraId="36982FD5">
      <w:pPr>
        <w:rPr>
          <w:rFonts w:hint="default" w:ascii="Times New Roman" w:hAnsi="Times New Roman" w:cs="Times New Roman"/>
          <w:highlight w:val="none"/>
        </w:rPr>
      </w:pPr>
      <w:r>
        <w:rPr>
          <w:rFonts w:hint="default" w:ascii="Times New Roman" w:hAnsi="Times New Roman" w:cs="Times New Roman"/>
          <w:highlight w:val="none"/>
        </w:rPr>
        <w:t>（27）《建筑地基处理技术规范》(JGJ79-2012)；</w:t>
      </w:r>
    </w:p>
    <w:p w14:paraId="076FD992">
      <w:pPr>
        <w:rPr>
          <w:rFonts w:hint="default" w:ascii="Times New Roman" w:hAnsi="Times New Roman" w:cs="Times New Roman"/>
          <w:highlight w:val="none"/>
        </w:rPr>
      </w:pPr>
      <w:r>
        <w:rPr>
          <w:rFonts w:hint="default" w:ascii="Times New Roman" w:hAnsi="Times New Roman" w:cs="Times New Roman"/>
          <w:highlight w:val="none"/>
        </w:rPr>
        <w:t>（28）《公路路基施工技术规范》(JTG T3610-2019)；</w:t>
      </w:r>
    </w:p>
    <w:p w14:paraId="6A021ADF">
      <w:pPr>
        <w:rPr>
          <w:rFonts w:hint="default" w:ascii="Times New Roman" w:hAnsi="Times New Roman" w:cs="Times New Roman"/>
          <w:highlight w:val="none"/>
        </w:rPr>
      </w:pPr>
      <w:r>
        <w:rPr>
          <w:rFonts w:hint="default" w:ascii="Times New Roman" w:hAnsi="Times New Roman" w:cs="Times New Roman"/>
          <w:highlight w:val="none"/>
        </w:rPr>
        <w:t>（29）《中交二航局质量管理办法》；</w:t>
      </w:r>
    </w:p>
    <w:p w14:paraId="0A10E7A5">
      <w:pPr>
        <w:rPr>
          <w:rFonts w:hint="default" w:ascii="Times New Roman" w:hAnsi="Times New Roman" w:cs="Times New Roman"/>
          <w:highlight w:val="none"/>
        </w:rPr>
      </w:pPr>
      <w:r>
        <w:rPr>
          <w:rFonts w:hint="default" w:ascii="Times New Roman" w:hAnsi="Times New Roman" w:cs="Times New Roman"/>
          <w:highlight w:val="none"/>
        </w:rPr>
        <w:t>（30）项目策划及总体技术策划意见与建议。</w:t>
      </w:r>
    </w:p>
    <w:p w14:paraId="4CB3E094">
      <w:pPr>
        <w:pStyle w:val="5"/>
        <w:rPr>
          <w:rFonts w:cs="Times New Roman"/>
          <w:color w:val="000000" w:themeColor="text1"/>
          <w14:textFill>
            <w14:solidFill>
              <w14:schemeClr w14:val="tx1"/>
            </w14:solidFill>
          </w14:textFill>
        </w:rPr>
      </w:pPr>
      <w:bookmarkStart w:id="23" w:name="_Toc19397"/>
      <w:bookmarkStart w:id="24" w:name="_Toc17866"/>
      <w:bookmarkStart w:id="25" w:name="_Toc40778431"/>
      <w:r>
        <w:rPr>
          <w:rFonts w:cs="Times New Roman"/>
          <w:color w:val="000000" w:themeColor="text1"/>
          <w14:textFill>
            <w14:solidFill>
              <w14:schemeClr w14:val="tx1"/>
            </w14:solidFill>
          </w14:textFill>
        </w:rPr>
        <w:t>适用范围</w:t>
      </w:r>
      <w:bookmarkEnd w:id="23"/>
    </w:p>
    <w:p w14:paraId="445C2149">
      <w:pPr>
        <w:ind w:firstLine="480"/>
        <w:rPr>
          <w:rFonts w:hint="eastAsia"/>
        </w:rPr>
      </w:pPr>
      <w:r>
        <w:rPr>
          <w:rFonts w:hint="default" w:ascii="Times New Roman" w:hAnsi="Times New Roman" w:cs="Times New Roman"/>
        </w:rPr>
        <w:t>本方案适用于</w:t>
      </w:r>
      <w:r>
        <w:rPr>
          <w:rFonts w:hint="default" w:ascii="Times New Roman" w:hAnsi="Times New Roman" w:cs="Times New Roman"/>
          <w:highlight w:val="none"/>
        </w:rPr>
        <w:t>中交二航局</w:t>
      </w:r>
      <w:r>
        <w:rPr>
          <w:color w:val="000000" w:themeColor="text1"/>
          <w14:textFill>
            <w14:solidFill>
              <w14:schemeClr w14:val="tx1"/>
            </w14:solidFill>
          </w14:textFill>
        </w:rPr>
        <w:t>S109孝感至汉川一级公路汉川段新建工程项目K13+529～K18+574 段</w:t>
      </w:r>
      <w:r>
        <w:rPr>
          <w:rFonts w:hint="default" w:ascii="Times New Roman" w:hAnsi="Times New Roman" w:cs="Times New Roman"/>
        </w:rPr>
        <w:t>项目</w:t>
      </w:r>
      <w:r>
        <w:rPr>
          <w:rFonts w:hint="eastAsia"/>
          <w:color w:val="000000" w:themeColor="text1"/>
          <w:lang w:val="en-US" w:eastAsia="zh-CN"/>
          <w14:textFill>
            <w14:solidFill>
              <w14:schemeClr w14:val="tx1"/>
            </w14:solidFill>
          </w14:textFill>
        </w:rPr>
        <w:t>民乐渠大桥</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11#墩</w:t>
      </w:r>
      <w:r>
        <w:rPr>
          <w:rFonts w:hint="default" w:ascii="Times New Roman" w:hAnsi="Times New Roman" w:cs="Times New Roman"/>
          <w:lang w:val="en-US" w:eastAsia="zh-CN"/>
        </w:rPr>
        <w:t>的</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台</w:t>
      </w:r>
      <w:r>
        <w:rPr>
          <w:rFonts w:hint="eastAsia"/>
          <w:color w:val="000000" w:themeColor="text1"/>
          <w:highlight w:val="none"/>
          <w:lang w:val="en-US" w:eastAsia="zh-CN"/>
          <w14:textFill>
            <w14:solidFill>
              <w14:schemeClr w14:val="tx1"/>
            </w14:solidFill>
          </w14:textFill>
        </w:rPr>
        <w:t>XGT6015A-8S</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0m）</w:t>
      </w:r>
      <w:r>
        <w:rPr>
          <w:rFonts w:hint="default" w:ascii="Times New Roman" w:hAnsi="Times New Roman" w:cs="Times New Roman"/>
        </w:rPr>
        <w:t>塔式起重机安装</w:t>
      </w:r>
      <w:r>
        <w:rPr>
          <w:rFonts w:hint="default" w:ascii="Times New Roman" w:hAnsi="Times New Roman" w:cs="Times New Roman"/>
          <w:lang w:val="en-US" w:eastAsia="zh-CN"/>
        </w:rPr>
        <w:t>施工，</w:t>
      </w:r>
      <w:r>
        <w:rPr>
          <w:rFonts w:hint="default" w:ascii="Times New Roman" w:hAnsi="Times New Roman" w:cs="Times New Roman"/>
          <w:color w:val="auto"/>
        </w:rPr>
        <w:t>主要包括塔吊安装、顶升等施工有关的工艺流程、注意事项及验收标准</w:t>
      </w:r>
      <w:r>
        <w:rPr>
          <w:rFonts w:hint="eastAsia"/>
        </w:rPr>
        <w:t>。</w:t>
      </w:r>
    </w:p>
    <w:p w14:paraId="00FD9880">
      <w:pPr>
        <w:pStyle w:val="4"/>
        <w:bidi w:val="0"/>
        <w:rPr>
          <w:color w:val="000000" w:themeColor="text1"/>
          <w14:textFill>
            <w14:solidFill>
              <w14:schemeClr w14:val="tx1"/>
            </w14:solidFill>
          </w14:textFill>
        </w:rPr>
      </w:pPr>
      <w:r>
        <w:rPr>
          <w:color w:val="000000" w:themeColor="text1"/>
          <w14:textFill>
            <w14:solidFill>
              <w14:schemeClr w14:val="tx1"/>
            </w14:solidFill>
          </w14:textFill>
        </w:rPr>
        <w:br w:type="page"/>
      </w:r>
      <w:bookmarkStart w:id="26" w:name="_Toc24395"/>
      <w:bookmarkStart w:id="27" w:name="_Toc40778420"/>
      <w:bookmarkStart w:id="28" w:name="_Toc3812"/>
      <w:bookmarkStart w:id="29" w:name="_Toc22319"/>
      <w:r>
        <w:rPr>
          <w:color w:val="000000" w:themeColor="text1"/>
          <w14:textFill>
            <w14:solidFill>
              <w14:schemeClr w14:val="tx1"/>
            </w14:solidFill>
          </w14:textFill>
        </w:rPr>
        <w:t>工程概况</w:t>
      </w:r>
      <w:bookmarkEnd w:id="26"/>
      <w:bookmarkEnd w:id="27"/>
      <w:bookmarkEnd w:id="28"/>
      <w:bookmarkEnd w:id="29"/>
    </w:p>
    <w:p w14:paraId="060CB31E">
      <w:pPr>
        <w:pStyle w:val="5"/>
        <w:rPr>
          <w:rFonts w:cs="Times New Roman"/>
          <w:color w:val="000000" w:themeColor="text1"/>
          <w14:textFill>
            <w14:solidFill>
              <w14:schemeClr w14:val="tx1"/>
            </w14:solidFill>
          </w14:textFill>
        </w:rPr>
      </w:pPr>
      <w:bookmarkStart w:id="30" w:name="_Toc28632"/>
      <w:bookmarkStart w:id="31" w:name="_Toc40778421"/>
      <w:bookmarkStart w:id="32" w:name="_Toc12207"/>
      <w:bookmarkStart w:id="33" w:name="_Toc9589"/>
      <w:r>
        <w:rPr>
          <w:rFonts w:cs="Times New Roman"/>
          <w:color w:val="000000" w:themeColor="text1"/>
          <w14:textFill>
            <w14:solidFill>
              <w14:schemeClr w14:val="tx1"/>
            </w14:solidFill>
          </w14:textFill>
        </w:rPr>
        <w:t>工程概况</w:t>
      </w:r>
      <w:bookmarkEnd w:id="30"/>
      <w:bookmarkEnd w:id="31"/>
      <w:bookmarkEnd w:id="32"/>
      <w:bookmarkEnd w:id="33"/>
    </w:p>
    <w:p w14:paraId="230AC980">
      <w:pPr>
        <w:pStyle w:val="6"/>
        <w:bidi w:val="0"/>
        <w:rPr>
          <w:rFonts w:hint="default"/>
          <w:highlight w:val="none"/>
          <w:lang w:val="en-US" w:eastAsia="zh-CN"/>
        </w:rPr>
      </w:pPr>
      <w:r>
        <w:rPr>
          <w:rFonts w:hint="eastAsia"/>
          <w:highlight w:val="none"/>
          <w:lang w:val="en-US" w:eastAsia="zh-CN"/>
        </w:rPr>
        <w:t>工程项目简介</w:t>
      </w:r>
    </w:p>
    <w:p w14:paraId="252662AE">
      <w:pPr>
        <w:ind w:firstLine="480"/>
        <w:rPr>
          <w:rFonts w:hint="default" w:ascii="Times New Roman" w:hAnsi="Times New Roman" w:cs="Times New Roman"/>
        </w:rPr>
      </w:pPr>
      <w:r>
        <w:rPr>
          <w:rFonts w:hint="default" w:ascii="Times New Roman" w:hAnsi="Times New Roman" w:cs="Times New Roman"/>
        </w:rPr>
        <w:t>本项目为S109孝感至汉川公路的一部分，路线由孝南区往南布线，沿“三区三线”走廊布置路线进入汉川后，于铁路村附近上跨汉丹铁路，后沿“三区三线”预留走廊至汉北河，设置汉北河特大桥跨越汉北河后至民乐镇，设置民乐渠大桥跨越民乐渠，后路线往南下穿武荆高速接入金鼓城大道。</w:t>
      </w:r>
      <w:bookmarkStart w:id="34" w:name="_Hlk157472886"/>
      <w:r>
        <w:rPr>
          <w:rFonts w:hint="default" w:ascii="Times New Roman" w:hAnsi="Times New Roman" w:cs="Times New Roman"/>
        </w:rPr>
        <w:t>地理位置见图2.1.1-1。</w:t>
      </w:r>
    </w:p>
    <w:p w14:paraId="7494ACDE">
      <w:pPr>
        <w:ind w:firstLine="0" w:firstLineChars="0"/>
        <w:jc w:val="center"/>
        <w:rPr>
          <w:color w:val="000000" w:themeColor="text1"/>
          <w14:textFill>
            <w14:solidFill>
              <w14:schemeClr w14:val="tx1"/>
            </w14:solidFill>
          </w14:textFill>
        </w:rPr>
      </w:pPr>
      <w:r>
        <w:drawing>
          <wp:inline distT="0" distB="0" distL="0" distR="0">
            <wp:extent cx="4766945" cy="4584700"/>
            <wp:effectExtent l="0" t="0" r="1460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4766945" cy="4584700"/>
                    </a:xfrm>
                    <a:prstGeom prst="rect">
                      <a:avLst/>
                    </a:prstGeom>
                  </pic:spPr>
                </pic:pic>
              </a:graphicData>
            </a:graphic>
          </wp:inline>
        </w:drawing>
      </w:r>
    </w:p>
    <w:p w14:paraId="0B20965F">
      <w:pPr>
        <w:ind w:firstLine="0" w:firstLineChars="0"/>
        <w:jc w:val="center"/>
        <w:rPr>
          <w:rFonts w:hint="default" w:ascii="Times New Roman" w:hAnsi="Times New Roman" w:cs="Times New Roman"/>
          <w:b/>
          <w:sz w:val="21"/>
          <w:highlight w:val="none"/>
        </w:rPr>
      </w:pPr>
      <w:r>
        <w:rPr>
          <w:rFonts w:hint="default" w:ascii="Times New Roman" w:hAnsi="Times New Roman" w:cs="Times New Roman"/>
          <w:b/>
          <w:sz w:val="21"/>
          <w:highlight w:val="none"/>
        </w:rPr>
        <w:t>图2.1.1-1 项目工程地理位置图</w:t>
      </w:r>
      <w:bookmarkEnd w:id="34"/>
    </w:p>
    <w:p w14:paraId="26F20403">
      <w:pPr>
        <w:pStyle w:val="6"/>
        <w:bidi w:val="0"/>
        <w:rPr>
          <w:rFonts w:hint="default" w:ascii="Times New Roman" w:hAnsi="Times New Roman" w:cs="Times New Roman"/>
        </w:rPr>
      </w:pPr>
      <w:r>
        <w:rPr>
          <w:rFonts w:hint="default" w:ascii="Times New Roman" w:hAnsi="Times New Roman" w:cs="Times New Roman"/>
        </w:rPr>
        <w:t>自然条件及使用环境</w:t>
      </w:r>
    </w:p>
    <w:p w14:paraId="452AF402">
      <w:pPr>
        <w:pStyle w:val="7"/>
        <w:bidi w:val="0"/>
        <w:rPr>
          <w:rFonts w:hint="default" w:ascii="Times New Roman" w:hAnsi="Times New Roman" w:cs="Times New Roman"/>
          <w:lang w:val="en-US" w:eastAsia="zh-CN"/>
        </w:rPr>
      </w:pPr>
      <w:r>
        <w:rPr>
          <w:rFonts w:hint="default" w:ascii="Times New Roman" w:hAnsi="Times New Roman" w:cs="Times New Roman"/>
          <w:lang w:val="en-US" w:eastAsia="zh-CN"/>
        </w:rPr>
        <w:t>气象</w:t>
      </w:r>
    </w:p>
    <w:p w14:paraId="64B9BF04">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所经区域属亚热带季风气候区，四季分明，雨量充沛，光照充足，热量丰富，无霜期长，降水丰沛，雨热同季，冬夏温差较大，一般7月份温度最高，1月份最低。年平均降水量1000～1300mm左右，大多集中在4～7月，约占全年降水量的60%以上，其中6月份最多，12月份降水量最少。</w:t>
      </w:r>
    </w:p>
    <w:p w14:paraId="110921B1">
      <w:pPr>
        <w:ind w:firstLine="480"/>
        <w:rPr>
          <w:rFonts w:hint="default" w:ascii="Times New Roman" w:hAnsi="Times New Roman" w:cs="Times New Roman"/>
          <w:highlight w:val="none"/>
        </w:rPr>
      </w:pPr>
      <w:r>
        <w:rPr>
          <w:color w:val="000000" w:themeColor="text1"/>
          <w14:textFill>
            <w14:solidFill>
              <w14:schemeClr w14:val="tx1"/>
            </w14:solidFill>
          </w14:textFill>
        </w:rPr>
        <w:t>本区域气候环境对于本项目的实施与建成后的营运影响较小，主要是多雨天气导致路面湿滑。</w:t>
      </w:r>
    </w:p>
    <w:p w14:paraId="02F3FF64">
      <w:pPr>
        <w:pStyle w:val="7"/>
        <w:bidi w:val="0"/>
        <w:rPr>
          <w:rFonts w:hint="default" w:ascii="Times New Roman" w:hAnsi="Times New Roman" w:cs="Times New Roman"/>
          <w:lang w:val="en-US" w:eastAsia="zh-CN"/>
        </w:rPr>
      </w:pPr>
      <w:r>
        <w:rPr>
          <w:rFonts w:hint="default" w:ascii="Times New Roman" w:hAnsi="Times New Roman" w:cs="Times New Roman"/>
          <w:lang w:val="en-US" w:eastAsia="zh-CN"/>
        </w:rPr>
        <w:t>水文</w:t>
      </w:r>
    </w:p>
    <w:p w14:paraId="11BB5293">
      <w:pPr>
        <w:ind w:firstLine="480"/>
        <w:rPr>
          <w:rFonts w:hint="default" w:ascii="Times New Roman" w:hAnsi="Times New Roman" w:cs="Times New Roman"/>
          <w:highlight w:val="none"/>
        </w:rPr>
      </w:pPr>
      <w:r>
        <w:rPr>
          <w:color w:val="000000" w:themeColor="text1"/>
          <w14:textFill>
            <w14:solidFill>
              <w14:schemeClr w14:val="tx1"/>
            </w14:solidFill>
          </w14:textFill>
        </w:rPr>
        <w:t>（</w:t>
      </w:r>
      <w:r>
        <w:rPr>
          <w:rFonts w:hint="default" w:ascii="Times New Roman" w:hAnsi="Times New Roman" w:cs="Times New Roman"/>
          <w:highlight w:val="none"/>
        </w:rPr>
        <w:t>1）地表水</w:t>
      </w:r>
    </w:p>
    <w:p w14:paraId="5BEA035D">
      <w:pPr>
        <w:ind w:firstLine="480"/>
        <w:rPr>
          <w:rFonts w:hint="default" w:ascii="Times New Roman" w:hAnsi="Times New Roman" w:cs="Times New Roman"/>
          <w:highlight w:val="none"/>
        </w:rPr>
      </w:pPr>
      <w:r>
        <w:rPr>
          <w:rFonts w:hint="default" w:ascii="Times New Roman" w:hAnsi="Times New Roman" w:cs="Times New Roman"/>
          <w:highlight w:val="none"/>
        </w:rPr>
        <w:t>本项目地处江汉平原，濒临汉江，境内河渠交错，湖泊、塘渊较多，区内地表水系极为发达，均属汉江水系。沿线主要的大型渠道有府河、汉北河、民乐渠等。</w:t>
      </w:r>
    </w:p>
    <w:p w14:paraId="58C0868A">
      <w:pPr>
        <w:ind w:firstLine="480"/>
        <w:rPr>
          <w:rFonts w:hint="default" w:ascii="Times New Roman" w:hAnsi="Times New Roman" w:cs="Times New Roman"/>
          <w:highlight w:val="none"/>
        </w:rPr>
      </w:pPr>
      <w:r>
        <w:rPr>
          <w:rFonts w:hint="default" w:ascii="Times New Roman" w:hAnsi="Times New Roman" w:cs="Times New Roman"/>
          <w:highlight w:val="none"/>
        </w:rPr>
        <w:t>府河，亦称涢水。其流域大部在古德安府（今湖北省安陆，随州市）境内而得名。涢水源头一支名大涢水，即洪沙河，源于洪山灵官垭，另一支名小涢水，源于小寨子山。大小涢水于上游湖北省随州市洪山镇汇成主干，经随州市区至淅河，又东南流经湖北广水市马坪、长岭岗、平林进入安陆市境，自北而南经青龙潭、三陂港、洑水、府城至巡店。后几经辗转，过湖北云梦，经湖北孝感穿武汉市东西湖区，是东西湖、黄陂两区的界河，汇滠水，至武汉汉口谌家矶注入长江，府河全长385km，面积约14455k㎡，府河两岸，有数百条支流呈叶脉状分布。项目区府河宽60～100m。</w:t>
      </w:r>
    </w:p>
    <w:p w14:paraId="6C885CA9">
      <w:pPr>
        <w:ind w:firstLine="480"/>
        <w:rPr>
          <w:rFonts w:hint="default" w:ascii="Times New Roman" w:hAnsi="Times New Roman" w:cs="Times New Roman"/>
          <w:highlight w:val="none"/>
        </w:rPr>
      </w:pPr>
      <w:r>
        <w:rPr>
          <w:rFonts w:hint="default" w:ascii="Times New Roman" w:hAnsi="Times New Roman" w:cs="Times New Roman"/>
          <w:highlight w:val="none"/>
        </w:rPr>
        <w:t>汉北河是湖北省中部的一条人工河，长江支流汉江下游北岸主要支流，为1969年至1974年天门河下游改道后的新河，因位于汉水以北，故名“汉北河”。汉北河自天门市万家台接天门河起，在垌冢七星垸进入孝感地区，自西向东经应城天鹅、汉川麻河、云梦肖李塆、汉川刘隔和民乐至武汉新沟注入汉江。全长91.8公里，面积6256k㎡。项目区汉北河宽50～80m。</w:t>
      </w:r>
    </w:p>
    <w:p w14:paraId="3F6BB8A4">
      <w:pPr>
        <w:ind w:firstLine="480"/>
        <w:rPr>
          <w:rFonts w:hint="default" w:ascii="Times New Roman" w:hAnsi="Times New Roman" w:cs="Times New Roman"/>
          <w:highlight w:val="none"/>
        </w:rPr>
      </w:pPr>
      <w:r>
        <w:rPr>
          <w:rFonts w:hint="default" w:ascii="Times New Roman" w:hAnsi="Times New Roman" w:cs="Times New Roman"/>
          <w:highlight w:val="none"/>
        </w:rPr>
        <w:t>（2）地下水</w:t>
      </w:r>
    </w:p>
    <w:p w14:paraId="7497ABF4">
      <w:pPr>
        <w:ind w:firstLine="480"/>
        <w:rPr>
          <w:rFonts w:hint="default" w:ascii="Times New Roman" w:hAnsi="Times New Roman" w:cs="Times New Roman"/>
          <w:highlight w:val="none"/>
        </w:rPr>
      </w:pPr>
      <w:r>
        <w:rPr>
          <w:rFonts w:hint="default" w:ascii="Times New Roman" w:hAnsi="Times New Roman" w:cs="Times New Roman"/>
          <w:highlight w:val="none"/>
        </w:rPr>
        <w:t>项目区雨量充沛，地表水系较为发育。沿线河湖、沟渠、池塘众多，水资源丰富。根据区内地层岩性组合及地下水的赋存条件，路线区地下水类型可分为上层滞水和松散岩类孔隙潜水两大类。</w:t>
      </w:r>
    </w:p>
    <w:p w14:paraId="44A30E54">
      <w:pPr>
        <w:ind w:firstLine="480"/>
        <w:rPr>
          <w:rFonts w:hint="default" w:ascii="Times New Roman" w:hAnsi="Times New Roman" w:cs="Times New Roman"/>
          <w:highlight w:val="none"/>
        </w:rPr>
      </w:pPr>
      <w:r>
        <w:rPr>
          <w:rFonts w:hint="default" w:ascii="Times New Roman" w:hAnsi="Times New Roman" w:cs="Times New Roman"/>
          <w:highlight w:val="none"/>
        </w:rPr>
        <w:t>上层滞水：主要赋存于沟渠与自然河流上部素填土及耕植土中，下部的黏性土层为其相对隔水层，接受大气降水的补给，通过毛细作用运移到地表蒸发排泄，水量大小随季节变化明显。</w:t>
      </w:r>
    </w:p>
    <w:p w14:paraId="1D55B87D">
      <w:pPr>
        <w:ind w:firstLine="480"/>
        <w:rPr>
          <w:rFonts w:hint="default" w:ascii="Times New Roman" w:hAnsi="Times New Roman" w:cs="Times New Roman"/>
          <w:highlight w:val="none"/>
        </w:rPr>
      </w:pPr>
      <w:r>
        <w:rPr>
          <w:rFonts w:hint="default" w:ascii="Times New Roman" w:hAnsi="Times New Roman" w:cs="Times New Roman"/>
          <w:highlight w:val="none"/>
        </w:rPr>
        <w:t>松散岩类孔隙潜水：主要分布于自然河流的一级阶地前缘及河漫滩、心滩或一级阶地上等狭长地带，孔隙潜水含水层由第四系砂、卵砾石层组成，汉江一带厚度为70～80米左右。地下水位较浅，一般多在2～4米以内。结构松散，透水性强，具承压性。主要接受大气降水的下渗，沟渠、河、湖及灌溉入渗补给。地下水径流与排泄条件与临近沟谷纵横交错的水网有互为补给和排泄关系，季节性明显。</w:t>
      </w:r>
    </w:p>
    <w:p w14:paraId="1F4B17CB">
      <w:pPr>
        <w:ind w:firstLine="480"/>
        <w:rPr>
          <w:rFonts w:hint="default" w:ascii="Times New Roman" w:hAnsi="Times New Roman" w:cs="Times New Roman"/>
          <w:highlight w:val="none"/>
        </w:rPr>
      </w:pPr>
      <w:r>
        <w:rPr>
          <w:rFonts w:hint="default" w:ascii="Times New Roman" w:hAnsi="Times New Roman" w:cs="Times New Roman"/>
          <w:highlight w:val="none"/>
        </w:rPr>
        <w:t>综上所述，项目区水文地质条件比较简单。主要接受大气降水补给，水位随季节性变化明显。地下水与沟塘、河流、沟渠等地表水体具有较强的互补性，丰水期地下水上升，补给周围的地表水体，枯水期则反之。</w:t>
      </w:r>
    </w:p>
    <w:p w14:paraId="0FECD8F8">
      <w:pPr>
        <w:ind w:firstLine="480"/>
        <w:rPr>
          <w:rFonts w:hint="default" w:ascii="Times New Roman" w:hAnsi="Times New Roman" w:cs="Times New Roman"/>
          <w:highlight w:val="none"/>
        </w:rPr>
      </w:pPr>
      <w:r>
        <w:rPr>
          <w:rFonts w:hint="default" w:ascii="Times New Roman" w:hAnsi="Times New Roman" w:cs="Times New Roman"/>
          <w:highlight w:val="none"/>
        </w:rPr>
        <w:t>勘察单位曾采取地表水试样3组、地下水试样3组。根据区域水文地质资料及水质分析试验，地表水硬度类型为中硬水，地下水硬度类型为中硬水。</w:t>
      </w:r>
    </w:p>
    <w:p w14:paraId="0DAFC8B1">
      <w:pPr>
        <w:ind w:firstLine="480"/>
        <w:rPr>
          <w:rFonts w:hint="default" w:ascii="Times New Roman" w:hAnsi="Times New Roman" w:cs="Times New Roman"/>
          <w:highlight w:val="none"/>
        </w:rPr>
      </w:pPr>
      <w:r>
        <w:rPr>
          <w:rFonts w:hint="default" w:ascii="Times New Roman" w:hAnsi="Times New Roman" w:cs="Times New Roman"/>
          <w:highlight w:val="none"/>
        </w:rPr>
        <w:t>按《公路工程地质勘察规范》（JTG C20-2011）附录K的评价标准，路线区环境类型为Ⅱ类。在汉北河、府河、民乐渠所取地表水及地下水和土样分析显示对混凝土结构均具有微腐蚀性、对钢筋混凝土结构中的钢筋具有微腐蚀性。</w:t>
      </w:r>
    </w:p>
    <w:p w14:paraId="434C8834">
      <w:pPr>
        <w:pStyle w:val="7"/>
        <w:bidi w:val="0"/>
        <w:rPr>
          <w:rFonts w:hint="default" w:ascii="Times New Roman" w:hAnsi="Times New Roman" w:cs="Times New Roman"/>
          <w:highlight w:val="none"/>
        </w:rPr>
      </w:pPr>
      <w:r>
        <w:rPr>
          <w:rFonts w:hint="default" w:ascii="Times New Roman" w:hAnsi="Times New Roman" w:cs="Times New Roman"/>
          <w:lang w:val="en-US" w:eastAsia="zh-CN"/>
        </w:rPr>
        <w:t>地质</w:t>
      </w:r>
    </w:p>
    <w:p w14:paraId="58CE183B">
      <w:pPr>
        <w:ind w:firstLine="480"/>
        <w:rPr>
          <w:rFonts w:hint="eastAsia" w:ascii="Times New Roman" w:hAnsi="Times New Roman" w:eastAsia="宋体" w:cs="Times New Roman"/>
          <w:highlight w:val="none"/>
          <w:lang w:val="en-US" w:eastAsia="zh-CN"/>
        </w:rPr>
      </w:pPr>
      <w:r>
        <w:rPr>
          <w:rFonts w:hint="default" w:ascii="Times New Roman" w:hAnsi="Times New Roman" w:cs="Times New Roman"/>
          <w:highlight w:val="none"/>
        </w:rPr>
        <w:t>1）</w:t>
      </w:r>
      <w:r>
        <w:rPr>
          <w:rFonts w:hint="eastAsia" w:cs="Times New Roman"/>
          <w:highlight w:val="none"/>
          <w:lang w:val="en-US" w:eastAsia="zh-CN"/>
        </w:rPr>
        <w:t>地形地貌</w:t>
      </w:r>
    </w:p>
    <w:p w14:paraId="3076EF43">
      <w:pPr>
        <w:ind w:firstLine="480"/>
        <w:rPr>
          <w:color w:val="000000" w:themeColor="text1"/>
          <w14:textFill>
            <w14:solidFill>
              <w14:schemeClr w14:val="tx1"/>
            </w14:solidFill>
          </w14:textFill>
        </w:rPr>
      </w:pPr>
      <w:r>
        <w:rPr>
          <w:color w:val="000000" w:themeColor="text1"/>
          <w14:textFill>
            <w14:solidFill>
              <w14:schemeClr w14:val="tx1"/>
            </w14:solidFill>
          </w14:textFill>
        </w:rPr>
        <w:t>项目区地形地貌为河流冲积平原区。地势平坦宽阔，一般海拔高度19～23m。主要是经过河流长期冲积而形成。植被较发育，多以农作物为主。地表水塘星罗棋布、沟渠纵横，水田旱地均有分布。项目区基岩埋藏较深，表层堆积有大量的巨厚层的第四系沉积物，地下水位较浅。</w:t>
      </w:r>
    </w:p>
    <w:p w14:paraId="755D3066">
      <w:pPr>
        <w:ind w:firstLine="4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470785" cy="1388110"/>
            <wp:effectExtent l="0" t="0" r="571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0785" cy="1388110"/>
                    </a:xfrm>
                    <a:prstGeom prst="rect">
                      <a:avLst/>
                    </a:prstGeom>
                  </pic:spPr>
                </pic:pic>
              </a:graphicData>
            </a:graphic>
          </wp:inline>
        </w:drawing>
      </w:r>
      <w:r>
        <w:rPr>
          <w:color w:val="000000" w:themeColor="text1"/>
          <w14:textFill>
            <w14:solidFill>
              <w14:schemeClr w14:val="tx1"/>
            </w14:solidFill>
          </w14:textFill>
        </w:rPr>
        <w:drawing>
          <wp:inline distT="0" distB="0" distL="0" distR="0">
            <wp:extent cx="2439670" cy="1370330"/>
            <wp:effectExtent l="0" t="0" r="1778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9670" cy="1370330"/>
                    </a:xfrm>
                    <a:prstGeom prst="rect">
                      <a:avLst/>
                    </a:prstGeom>
                  </pic:spPr>
                </pic:pic>
              </a:graphicData>
            </a:graphic>
          </wp:inline>
        </w:drawing>
      </w:r>
    </w:p>
    <w:p w14:paraId="5472E093">
      <w:pPr>
        <w:pStyle w:val="13"/>
        <w:spacing w:after="0"/>
        <w:ind w:firstLine="0" w:firstLineChars="0"/>
        <w:jc w:val="center"/>
        <w:rPr>
          <w:color w:val="000000" w:themeColor="text1"/>
          <w14:textFill>
            <w14:solidFill>
              <w14:schemeClr w14:val="tx1"/>
            </w14:solidFill>
          </w14:textFill>
        </w:rPr>
      </w:pPr>
      <w:r>
        <w:rPr>
          <w:b/>
          <w:bCs/>
          <w:sz w:val="21"/>
        </w:rPr>
        <w:t>图2.</w:t>
      </w:r>
      <w:r>
        <w:rPr>
          <w:rFonts w:hint="eastAsia"/>
          <w:b/>
          <w:bCs/>
          <w:sz w:val="21"/>
          <w:lang w:val="en-US" w:eastAsia="zh-CN"/>
        </w:rPr>
        <w:t>1</w:t>
      </w:r>
      <w:r>
        <w:rPr>
          <w:b/>
          <w:bCs/>
          <w:sz w:val="21"/>
        </w:rPr>
        <w:t>.</w:t>
      </w:r>
      <w:r>
        <w:rPr>
          <w:rFonts w:hint="eastAsia"/>
          <w:b/>
          <w:bCs/>
          <w:sz w:val="21"/>
          <w:lang w:val="en-US" w:eastAsia="zh-CN"/>
        </w:rPr>
        <w:t>2.3</w:t>
      </w:r>
      <w:r>
        <w:rPr>
          <w:b/>
          <w:bCs/>
          <w:sz w:val="21"/>
        </w:rPr>
        <w:t>-1 河流冲积平原地貌</w:t>
      </w:r>
    </w:p>
    <w:p w14:paraId="5E946571">
      <w:pPr>
        <w:ind w:firstLine="480"/>
        <w:rPr>
          <w:rFonts w:hint="eastAsia" w:ascii="Times New Roman" w:hAnsi="Times New Roman" w:eastAsia="宋体" w:cs="Times New Roman"/>
          <w:highlight w:val="none"/>
          <w:lang w:val="en-US" w:eastAsia="zh-CN"/>
        </w:rPr>
      </w:pPr>
      <w:r>
        <w:rPr>
          <w:rFonts w:hint="default" w:ascii="Times New Roman" w:hAnsi="Times New Roman" w:cs="Times New Roman"/>
          <w:highlight w:val="none"/>
        </w:rPr>
        <w:t>2）</w:t>
      </w:r>
      <w:r>
        <w:rPr>
          <w:rFonts w:hint="eastAsia" w:cs="Times New Roman"/>
          <w:highlight w:val="none"/>
          <w:lang w:val="en-US" w:eastAsia="zh-CN"/>
        </w:rPr>
        <w:t>地震</w:t>
      </w:r>
    </w:p>
    <w:p w14:paraId="580F7187">
      <w:pPr>
        <w:ind w:firstLine="480"/>
        <w:rPr>
          <w:color w:val="000000" w:themeColor="text1"/>
          <w14:textFill>
            <w14:solidFill>
              <w14:schemeClr w14:val="tx1"/>
            </w14:solidFill>
          </w14:textFill>
        </w:rPr>
      </w:pPr>
      <w:r>
        <w:rPr>
          <w:color w:val="000000" w:themeColor="text1"/>
          <w14:textFill>
            <w14:solidFill>
              <w14:schemeClr w14:val="tx1"/>
            </w14:solidFill>
          </w14:textFill>
        </w:rPr>
        <w:t>工程区在湖北省地震构造分区图上属汉江中下游地震带江汉平原～鄂北构造区，地震主要为构造地震，而且都是浅源地震，但因其震级较小，对地表危害不大，记载不多。总体来讲，本区地震活动并不强烈，发震次数少，中强地震震前均有先兆反应，主要集中在深大断裂带上。</w:t>
      </w:r>
    </w:p>
    <w:p w14:paraId="3BD6C8D2">
      <w:pPr>
        <w:ind w:firstLine="480"/>
        <w:rPr>
          <w:color w:val="000000" w:themeColor="text1"/>
          <w14:textFill>
            <w14:solidFill>
              <w14:schemeClr w14:val="tx1"/>
            </w14:solidFill>
          </w14:textFill>
        </w:rPr>
      </w:pPr>
      <w:r>
        <w:rPr>
          <w:color w:val="000000" w:themeColor="text1"/>
          <w14:textFill>
            <w14:solidFill>
              <w14:schemeClr w14:val="tx1"/>
            </w14:solidFill>
          </w14:textFill>
        </w:rPr>
        <w:t>根据《中国地震动区划图》（GB18306-2015）附录C，本场地</w:t>
      </w:r>
      <w:r>
        <w:rPr>
          <w:rFonts w:eastAsia="仿宋"/>
          <w:color w:val="000000" w:themeColor="text1"/>
          <w14:textFill>
            <w14:solidFill>
              <w14:schemeClr w14:val="tx1"/>
            </w14:solidFill>
          </w14:textFill>
        </w:rPr>
        <w:t>Ⅱ</w:t>
      </w:r>
      <w:r>
        <w:rPr>
          <w:color w:val="000000" w:themeColor="text1"/>
          <w14:textFill>
            <w14:solidFill>
              <w14:schemeClr w14:val="tx1"/>
            </w14:solidFill>
          </w14:textFill>
        </w:rPr>
        <w:t>类场地基本地震动峰值加速度为0.05g，反应谱特征周期值0.35s，根据钻探资料本场地覆盖层厚度大于80m，等效剪切波速为150～250m/s，判定拟建场地类别</w:t>
      </w:r>
      <w:r>
        <w:rPr>
          <w:rFonts w:eastAsia="仿宋"/>
          <w:color w:val="000000" w:themeColor="text1"/>
          <w14:textFill>
            <w14:solidFill>
              <w14:schemeClr w14:val="tx1"/>
            </w14:solidFill>
          </w14:textFill>
        </w:rPr>
        <w:t>Ⅲ</w:t>
      </w:r>
      <w:r>
        <w:rPr>
          <w:color w:val="000000" w:themeColor="text1"/>
          <w14:textFill>
            <w14:solidFill>
              <w14:schemeClr w14:val="tx1"/>
            </w14:solidFill>
          </w14:textFill>
        </w:rPr>
        <w:t>类，根据《中国地震动区划图》附录E调整后特征周期为0.45s，地震动峰值加速度为0.065g，对应地震基本烈度为</w:t>
      </w:r>
      <w:r>
        <w:rPr>
          <w:rFonts w:eastAsia="仿宋"/>
          <w:color w:val="000000" w:themeColor="text1"/>
          <w14:textFill>
            <w14:solidFill>
              <w14:schemeClr w14:val="tx1"/>
            </w14:solidFill>
          </w14:textFill>
        </w:rPr>
        <w:t>Ⅵ</w:t>
      </w:r>
      <w:r>
        <w:rPr>
          <w:color w:val="000000" w:themeColor="text1"/>
          <w14:textFill>
            <w14:solidFill>
              <w14:schemeClr w14:val="tx1"/>
            </w14:solidFill>
          </w14:textFill>
        </w:rPr>
        <w:t>度。</w:t>
      </w:r>
    </w:p>
    <w:p w14:paraId="49A1BFE4">
      <w:pPr>
        <w:ind w:firstLine="480"/>
        <w:rPr>
          <w:color w:val="000000" w:themeColor="text1"/>
          <w14:textFill>
            <w14:solidFill>
              <w14:schemeClr w14:val="tx1"/>
            </w14:solidFill>
          </w14:textFill>
        </w:rPr>
      </w:pPr>
      <w:r>
        <w:rPr>
          <w:color w:val="000000" w:themeColor="text1"/>
          <w14:textFill>
            <w14:solidFill>
              <w14:schemeClr w14:val="tx1"/>
            </w14:solidFill>
          </w14:textFill>
        </w:rPr>
        <w:t>拟建线路桥梁跨径均不超过150m，根据《公路桥梁抗震设计规范》（JTGT 2231-01-2020）确定项目区内大桥、特大桥抗震设防类别为B类，中桥、小桥为C类，根据3.1.2条条文说明对Ⅵ度区的B类、C类类桥梁，可只需满足相关构造和抗震措施要求，不需进行抗震分析。</w:t>
      </w:r>
    </w:p>
    <w:p w14:paraId="34625157">
      <w:pPr>
        <w:numPr>
          <w:ilvl w:val="0"/>
          <w:numId w:val="5"/>
        </w:numPr>
        <w:ind w:firstLine="480"/>
        <w:rPr>
          <w:rFonts w:hint="eastAsia" w:cs="Times New Roman"/>
          <w:highlight w:val="none"/>
          <w:lang w:val="en-US" w:eastAsia="zh-CN"/>
        </w:rPr>
      </w:pPr>
      <w:r>
        <w:rPr>
          <w:rFonts w:hint="eastAsia" w:cs="Times New Roman"/>
          <w:highlight w:val="none"/>
          <w:lang w:val="en-US" w:eastAsia="zh-CN"/>
        </w:rPr>
        <w:t>地质构造</w:t>
      </w:r>
    </w:p>
    <w:p w14:paraId="7C59B610">
      <w:pPr>
        <w:ind w:firstLine="480"/>
        <w:rPr>
          <w:color w:val="000000" w:themeColor="text1"/>
          <w14:textFill>
            <w14:solidFill>
              <w14:schemeClr w14:val="tx1"/>
            </w14:solidFill>
          </w14:textFill>
        </w:rPr>
      </w:pPr>
      <w:r>
        <w:rPr>
          <w:color w:val="000000" w:themeColor="text1"/>
          <w14:textFill>
            <w14:solidFill>
              <w14:schemeClr w14:val="tx1"/>
            </w14:solidFill>
          </w14:textFill>
        </w:rPr>
        <w:t>路线区按地貌单元、岩土时代成因、强度差异及工程地质性能综合考虑划分为河流冲积平原工程地质区（</w:t>
      </w:r>
      <w:r>
        <w:rPr>
          <w:rFonts w:eastAsia="仿宋"/>
          <w:color w:val="000000" w:themeColor="text1"/>
          <w14:textFill>
            <w14:solidFill>
              <w14:schemeClr w14:val="tx1"/>
            </w14:solidFill>
          </w14:textFill>
        </w:rPr>
        <w:t>Ⅰ</w:t>
      </w:r>
      <w:r>
        <w:rPr>
          <w:color w:val="000000" w:themeColor="text1"/>
          <w14:textFill>
            <w14:solidFill>
              <w14:schemeClr w14:val="tx1"/>
            </w14:solidFill>
          </w14:textFill>
        </w:rPr>
        <w:t>），并属于第四系全新统冲积亚区（1）；工程地质路段分（A）软土段、（B）一般段。现将对路线区的地形地貌条件、地质条件和岩石类别及其工程地质特性加以说明，并提出相应的防护措施和建议。</w:t>
      </w:r>
    </w:p>
    <w:p w14:paraId="18AA78B4">
      <w:pPr>
        <w:ind w:firstLine="480"/>
        <w:rPr>
          <w:color w:val="000000" w:themeColor="text1"/>
          <w14:textFill>
            <w14:solidFill>
              <w14:schemeClr w14:val="tx1"/>
            </w14:solidFill>
          </w14:textFill>
        </w:rPr>
      </w:pPr>
      <w:r>
        <w:rPr>
          <w:color w:val="000000" w:themeColor="text1"/>
          <w:highlight w:val="none"/>
          <w14:textFill>
            <w14:solidFill>
              <w14:schemeClr w14:val="tx1"/>
            </w14:solidFill>
          </w14:textFill>
        </w:rPr>
        <w:t>（1）</w:t>
      </w:r>
      <w:r>
        <w:rPr>
          <w:color w:val="000000" w:themeColor="text1"/>
          <w14:textFill>
            <w14:solidFill>
              <w14:schemeClr w14:val="tx1"/>
            </w14:solidFill>
          </w14:textFill>
        </w:rPr>
        <w:t>河流冲积平原工程地质区（</w:t>
      </w:r>
      <w:r>
        <w:rPr>
          <w:rFonts w:eastAsia="仿宋"/>
          <w:color w:val="000000" w:themeColor="text1"/>
          <w14:textFill>
            <w14:solidFill>
              <w14:schemeClr w14:val="tx1"/>
            </w14:solidFill>
          </w14:textFill>
        </w:rPr>
        <w:t>Ⅰ</w:t>
      </w:r>
      <w:r>
        <w:rPr>
          <w:color w:val="000000" w:themeColor="text1"/>
          <w14:textFill>
            <w14:solidFill>
              <w14:schemeClr w14:val="tx1"/>
            </w14:solidFill>
          </w14:textFill>
        </w:rPr>
        <w:t>）第四系冲积亚区（1）软土段（A）</w:t>
      </w:r>
    </w:p>
    <w:p w14:paraId="5848A93E">
      <w:pPr>
        <w:ind w:firstLine="480"/>
        <w:rPr>
          <w:color w:val="000000" w:themeColor="text1"/>
          <w14:textFill>
            <w14:solidFill>
              <w14:schemeClr w14:val="tx1"/>
            </w14:solidFill>
          </w14:textFill>
        </w:rPr>
      </w:pPr>
      <w:r>
        <w:rPr>
          <w:color w:val="000000" w:themeColor="text1"/>
          <w14:textFill>
            <w14:solidFill>
              <w14:schemeClr w14:val="tx1"/>
            </w14:solidFill>
          </w14:textFill>
        </w:rPr>
        <w:t>广泛分布于路线区，K0+180～K1+800、K3+760～K12+780、K14+000～K17+940段断续分布该路段（总长26325.5m，占路线全长约81.16%。地貌形态为河流冲积平原，主要是经过河流长期冲积而行成的平缓开阔地形。地势平坦开阔，海拔高度18～24m不等。植被发育，多以农作物为主。沟渠、池塘发育。</w:t>
      </w:r>
    </w:p>
    <w:p w14:paraId="4C93D550">
      <w:pPr>
        <w:ind w:firstLine="480"/>
        <w:rPr>
          <w:color w:val="000000" w:themeColor="text1"/>
          <w14:textFill>
            <w14:solidFill>
              <w14:schemeClr w14:val="tx1"/>
            </w14:solidFill>
          </w14:textFill>
        </w:rPr>
      </w:pPr>
      <w:r>
        <w:rPr>
          <w:color w:val="000000" w:themeColor="text1"/>
          <w14:textFill>
            <w14:solidFill>
              <w14:schemeClr w14:val="tx1"/>
            </w14:solidFill>
          </w14:textFill>
        </w:rPr>
        <w:t>路线区基岩埋藏较深，表层堆积有大量巨厚层的第四系沉积物，以细颗粒为主，地下水位较浅。该区多分布有一层或者多层较厚的条带状或透镜体状的软土。</w:t>
      </w:r>
    </w:p>
    <w:p w14:paraId="53495F35">
      <w:pPr>
        <w:ind w:firstLine="480"/>
        <w:rPr>
          <w:color w:val="000000" w:themeColor="text1"/>
          <w14:textFill>
            <w14:solidFill>
              <w14:schemeClr w14:val="tx1"/>
            </w14:solidFill>
          </w14:textFill>
        </w:rPr>
      </w:pPr>
      <w:r>
        <w:rPr>
          <w:color w:val="000000" w:themeColor="text1"/>
          <w14:textFill>
            <w14:solidFill>
              <w14:schemeClr w14:val="tx1"/>
            </w14:solidFill>
          </w14:textFill>
        </w:rPr>
        <w:t>该区岩土工程地质条件较差，地下水埋藏浅，应根据软土分布情况采取行之有效的处理措施，防止软土引起的路基不均匀沉降、侧滑等危害。</w:t>
      </w:r>
    </w:p>
    <w:p w14:paraId="3904EBC3">
      <w:pPr>
        <w:ind w:firstLine="480"/>
        <w:rPr>
          <w:color w:val="000000" w:themeColor="text1"/>
          <w14:textFill>
            <w14:solidFill>
              <w14:schemeClr w14:val="tx1"/>
            </w14:solidFill>
          </w14:textFill>
        </w:rPr>
      </w:pPr>
      <w:r>
        <w:rPr>
          <w:color w:val="000000" w:themeColor="text1"/>
          <w14:textFill>
            <w14:solidFill>
              <w14:schemeClr w14:val="tx1"/>
            </w14:solidFill>
          </w14:textFill>
        </w:rPr>
        <w:t>该区的桥梁墩、台均应采用桩基础，桩端应置于下部密实的粉砂、中密砾砂及圆砾，桩长通过计算确定，并适当考虑软土引起的负摩阻力以及桥台与路基衔接处高填土后软土蠕变形成的水平推力对桥台的影响。</w:t>
      </w:r>
    </w:p>
    <w:p w14:paraId="0CD559B5">
      <w:pPr>
        <w:ind w:firstLine="480"/>
        <w:rPr>
          <w:color w:val="000000" w:themeColor="text1"/>
          <w14:textFill>
            <w14:solidFill>
              <w14:schemeClr w14:val="tx1"/>
            </w14:solidFill>
          </w14:textFill>
        </w:rPr>
      </w:pPr>
      <w:r>
        <w:rPr>
          <w:color w:val="000000" w:themeColor="text1"/>
          <w14:textFill>
            <w14:solidFill>
              <w14:schemeClr w14:val="tx1"/>
            </w14:solidFill>
          </w14:textFill>
        </w:rPr>
        <w:t>（2）河流冲积平原工程地质区（</w:t>
      </w:r>
      <w:r>
        <w:rPr>
          <w:rFonts w:eastAsia="仿宋"/>
          <w:color w:val="000000" w:themeColor="text1"/>
          <w14:textFill>
            <w14:solidFill>
              <w14:schemeClr w14:val="tx1"/>
            </w14:solidFill>
          </w14:textFill>
        </w:rPr>
        <w:t>Ⅰ</w:t>
      </w:r>
      <w:r>
        <w:rPr>
          <w:color w:val="000000" w:themeColor="text1"/>
          <w14:textFill>
            <w14:solidFill>
              <w14:schemeClr w14:val="tx1"/>
            </w14:solidFill>
          </w14:textFill>
        </w:rPr>
        <w:t>）第四系冲积亚区（1）一般段（B）</w:t>
      </w:r>
    </w:p>
    <w:p w14:paraId="122E2331">
      <w:pPr>
        <w:ind w:firstLine="480"/>
        <w:rPr>
          <w:color w:val="000000" w:themeColor="text1"/>
          <w14:textFill>
            <w14:solidFill>
              <w14:schemeClr w14:val="tx1"/>
            </w14:solidFill>
          </w14:textFill>
        </w:rPr>
      </w:pPr>
      <w:r>
        <w:rPr>
          <w:color w:val="000000" w:themeColor="text1"/>
          <w14:textFill>
            <w14:solidFill>
              <w14:schemeClr w14:val="tx1"/>
            </w14:solidFill>
          </w14:textFill>
        </w:rPr>
        <w:t>主要分布于K0+000～K0+180、K1+800～K3+760、K12+780～K14+000段，地貌形态为河流冲积平原，主要是经过河流长期冲积而行成的平缓开阔地形。地势平坦开阔，海拔高度18～24m不等。植被发育，多种植有农作物。</w:t>
      </w:r>
    </w:p>
    <w:p w14:paraId="1D3762A0">
      <w:pPr>
        <w:ind w:firstLine="480"/>
        <w:rPr>
          <w:color w:val="000000" w:themeColor="text1"/>
          <w14:textFill>
            <w14:solidFill>
              <w14:schemeClr w14:val="tx1"/>
            </w14:solidFill>
          </w14:textFill>
        </w:rPr>
      </w:pPr>
      <w:r>
        <w:rPr>
          <w:color w:val="000000" w:themeColor="text1"/>
          <w14:textFill>
            <w14:solidFill>
              <w14:schemeClr w14:val="tx1"/>
            </w14:solidFill>
          </w14:textFill>
        </w:rPr>
        <w:t>该路段基岩埋藏较深，地质条件相对稍好，表层堆积有大量巨厚层的第四系沉积物，以可塑～硬塑状态的黏性土为主，地下水位较浅。</w:t>
      </w:r>
    </w:p>
    <w:p w14:paraId="639BBD86">
      <w:pPr>
        <w:ind w:firstLine="480"/>
        <w:rPr>
          <w:rFonts w:hint="default"/>
        </w:rPr>
      </w:pPr>
      <w:r>
        <w:rPr>
          <w:color w:val="000000" w:themeColor="text1"/>
          <w14:textFill>
            <w14:solidFill>
              <w14:schemeClr w14:val="tx1"/>
            </w14:solidFill>
          </w14:textFill>
        </w:rPr>
        <w:t>该区的桥梁墩、台也均应采用桩基础，桩端应置于下部密实的粉砂、中密砾砂及圆砾，桩长通过计算确定。</w:t>
      </w:r>
    </w:p>
    <w:p w14:paraId="5D2C6A00">
      <w:pPr>
        <w:pStyle w:val="6"/>
        <w:bidi w:val="0"/>
      </w:pPr>
      <w:r>
        <w:t>塔式起重机概况</w:t>
      </w:r>
    </w:p>
    <w:p w14:paraId="3C903BFB">
      <w:pPr>
        <w:pStyle w:val="7"/>
        <w:bidi w:val="0"/>
      </w:pPr>
      <w:r>
        <w:t>塔式起重机用途和使用环境</w:t>
      </w:r>
    </w:p>
    <w:p w14:paraId="7D240FD1">
      <w:pPr>
        <w:ind w:firstLine="480"/>
        <w:rPr>
          <w:rFonts w:hint="default" w:ascii="Times New Roman" w:hAnsi="Times New Roman" w:cs="Times New Roman"/>
        </w:rPr>
      </w:pPr>
      <w:r>
        <w:rPr>
          <w:rFonts w:hint="default" w:ascii="Times New Roman" w:hAnsi="Times New Roman" w:cs="Times New Roman"/>
        </w:rPr>
        <w:t>在</w:t>
      </w:r>
      <w:r>
        <w:rPr>
          <w:rFonts w:hint="eastAsia" w:cs="Times New Roman"/>
          <w:lang w:eastAsia="zh-CN"/>
        </w:rPr>
        <w:t>民乐渠大桥10#、11#墩</w:t>
      </w:r>
      <w:r>
        <w:rPr>
          <w:rFonts w:hint="default" w:ascii="Times New Roman" w:hAnsi="Times New Roman" w:cs="Times New Roman"/>
        </w:rPr>
        <w:t>安装</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台</w:t>
      </w:r>
      <w:r>
        <w:rPr>
          <w:rFonts w:hint="eastAsia"/>
          <w:color w:val="000000" w:themeColor="text1"/>
          <w:highlight w:val="none"/>
          <w:lang w:val="en-US" w:eastAsia="zh-CN"/>
          <w14:textFill>
            <w14:solidFill>
              <w14:schemeClr w14:val="tx1"/>
            </w14:solidFill>
          </w14:textFill>
        </w:rPr>
        <w:t>XGT6015A-8S</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0m）</w:t>
      </w:r>
      <w:r>
        <w:rPr>
          <w:rFonts w:hint="default" w:ascii="Times New Roman" w:hAnsi="Times New Roman" w:cs="Times New Roman"/>
        </w:rPr>
        <w:t>塔式起重机安装，</w:t>
      </w:r>
      <w:r>
        <w:rPr>
          <w:rFonts w:hint="default" w:ascii="Times New Roman" w:hAnsi="Times New Roman" w:cs="Times New Roman"/>
          <w:highlight w:val="none"/>
        </w:rPr>
        <w:t>供</w:t>
      </w:r>
      <w:r>
        <w:rPr>
          <w:rFonts w:hint="eastAsia" w:cs="Times New Roman"/>
          <w:highlight w:val="none"/>
          <w:lang w:eastAsia="zh-CN"/>
        </w:rPr>
        <w:t>民乐渠大桥10#、11#墩</w:t>
      </w:r>
      <w:r>
        <w:rPr>
          <w:rFonts w:hint="default" w:ascii="Times New Roman" w:hAnsi="Times New Roman" w:cs="Times New Roman"/>
          <w:highlight w:val="none"/>
        </w:rPr>
        <w:t>塔施工</w:t>
      </w:r>
      <w:r>
        <w:rPr>
          <w:rFonts w:hint="eastAsia" w:cs="Times New Roman"/>
          <w:highlight w:val="none"/>
          <w:lang w:eastAsia="zh-CN"/>
        </w:rPr>
        <w:t>。</w:t>
      </w:r>
      <w:r>
        <w:rPr>
          <w:rFonts w:hint="eastAsia" w:cs="Times New Roman"/>
          <w:highlight w:val="none"/>
          <w:lang w:val="en-US" w:eastAsia="zh-CN"/>
        </w:rPr>
        <w:t>10#墩塔机臂长为60m，起升高度为26m，11#塔机臂长为60m，起升</w:t>
      </w:r>
      <w:bookmarkStart w:id="199" w:name="_GoBack"/>
      <w:bookmarkEnd w:id="199"/>
      <w:r>
        <w:rPr>
          <w:rFonts w:hint="eastAsia" w:cs="Times New Roman"/>
          <w:highlight w:val="none"/>
          <w:lang w:val="en-US" w:eastAsia="zh-CN"/>
        </w:rPr>
        <w:t>高度为31.6m</w:t>
      </w:r>
      <w:r>
        <w:rPr>
          <w:rFonts w:hint="default" w:ascii="Times New Roman" w:hAnsi="Times New Roman" w:cs="Times New Roman"/>
        </w:rPr>
        <w:t>。</w:t>
      </w:r>
    </w:p>
    <w:p w14:paraId="526AC3CD">
      <w:pPr>
        <w:ind w:firstLine="480"/>
        <w:rPr>
          <w:color w:val="000000" w:themeColor="text1"/>
          <w14:textFill>
            <w14:solidFill>
              <w14:schemeClr w14:val="tx1"/>
            </w14:solidFill>
          </w14:textFill>
        </w:rPr>
      </w:pPr>
      <w:r>
        <w:rPr>
          <w:color w:val="000000" w:themeColor="text1"/>
          <w14:textFill>
            <w14:solidFill>
              <w14:schemeClr w14:val="tx1"/>
            </w14:solidFill>
          </w14:textFill>
        </w:rPr>
        <w:t>工作环境要求，最大工作风速≤20m/s（6级风），工作环境温度-20℃～40℃。</w:t>
      </w:r>
    </w:p>
    <w:p w14:paraId="73FE28F7">
      <w:pPr>
        <w:pStyle w:val="7"/>
        <w:bidi w:val="0"/>
      </w:pPr>
      <w:r>
        <w:t>塔式起重机技术参数</w:t>
      </w:r>
    </w:p>
    <w:p w14:paraId="325484C6">
      <w:pPr>
        <w:pStyle w:val="46"/>
        <w:rPr>
          <w:color w:val="000000" w:themeColor="text1"/>
          <w14:textFill>
            <w14:solidFill>
              <w14:schemeClr w14:val="tx1"/>
            </w14:solidFill>
          </w14:textFill>
        </w:rPr>
      </w:pPr>
      <w:r>
        <w:rPr>
          <w:color w:val="000000" w:themeColor="text1"/>
          <w14:textFill>
            <w14:solidFill>
              <w14:schemeClr w14:val="tx1"/>
            </w14:solidFill>
          </w14:textFill>
        </w:rPr>
        <w:t>表2.</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 xml:space="preserve">2-1 </w:t>
      </w:r>
      <w:r>
        <w:rPr>
          <w:rFonts w:hint="eastAsia"/>
          <w:color w:val="000000" w:themeColor="text1"/>
          <w:lang w:eastAsia="zh-CN"/>
          <w14:textFill>
            <w14:solidFill>
              <w14:schemeClr w14:val="tx1"/>
            </w14:solidFill>
          </w14:textFill>
        </w:rPr>
        <w:t>XGT6015A-8S</w:t>
      </w:r>
      <w:r>
        <w:rPr>
          <w:color w:val="000000" w:themeColor="text1"/>
          <w14:textFill>
            <w14:solidFill>
              <w14:schemeClr w14:val="tx1"/>
            </w14:solidFill>
          </w14:textFill>
        </w:rPr>
        <w:t>型塔式起重机技术性能参数表</w:t>
      </w:r>
    </w:p>
    <w:p w14:paraId="461D7CCB">
      <w:pPr>
        <w:pStyle w:val="46"/>
        <w:rPr>
          <w:color w:val="000000" w:themeColor="text1"/>
          <w14:textFill>
            <w14:solidFill>
              <w14:schemeClr w14:val="tx1"/>
            </w14:solidFill>
          </w14:textFill>
        </w:rPr>
      </w:pPr>
      <w:r>
        <w:drawing>
          <wp:inline distT="0" distB="0" distL="114300" distR="114300">
            <wp:extent cx="5271770" cy="2912110"/>
            <wp:effectExtent l="0" t="0" r="5080" b="254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18"/>
                    <a:stretch>
                      <a:fillRect/>
                    </a:stretch>
                  </pic:blipFill>
                  <pic:spPr>
                    <a:xfrm>
                      <a:off x="0" y="0"/>
                      <a:ext cx="5271770" cy="2912110"/>
                    </a:xfrm>
                    <a:prstGeom prst="rect">
                      <a:avLst/>
                    </a:prstGeom>
                    <a:noFill/>
                    <a:ln>
                      <a:noFill/>
                    </a:ln>
                  </pic:spPr>
                </pic:pic>
              </a:graphicData>
            </a:graphic>
          </wp:inline>
        </w:drawing>
      </w:r>
    </w:p>
    <w:p w14:paraId="0F557A7D">
      <w:pPr>
        <w:pStyle w:val="7"/>
        <w:bidi w:val="0"/>
      </w:pPr>
      <w:r>
        <w:t>塔式起重机结构</w:t>
      </w:r>
      <w:r>
        <w:rPr>
          <w:rFonts w:hint="eastAsia"/>
          <w:lang w:val="en-US" w:eastAsia="zh-CN"/>
        </w:rPr>
        <w:t>图</w:t>
      </w:r>
    </w:p>
    <w:p w14:paraId="30321A57">
      <w:pPr>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XGT6015A-8S</w:t>
      </w:r>
      <w:r>
        <w:rPr>
          <w:color w:val="000000" w:themeColor="text1"/>
          <w14:textFill>
            <w14:solidFill>
              <w14:schemeClr w14:val="tx1"/>
            </w14:solidFill>
          </w14:textFill>
        </w:rPr>
        <w:t>型塔式起重机布置尺寸如图2.</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3-1所示。</w:t>
      </w:r>
    </w:p>
    <w:p w14:paraId="2484DCA8">
      <w:pPr>
        <w:pStyle w:val="46"/>
        <w:rPr>
          <w:color w:val="000000" w:themeColor="text1"/>
          <w14:textFill>
            <w14:solidFill>
              <w14:schemeClr w14:val="tx1"/>
            </w14:solidFill>
          </w14:textFill>
        </w:rPr>
      </w:pPr>
      <w:r>
        <w:drawing>
          <wp:inline distT="0" distB="0" distL="114300" distR="114300">
            <wp:extent cx="5272405" cy="3488690"/>
            <wp:effectExtent l="0" t="0" r="4445" b="1651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19"/>
                    <a:stretch>
                      <a:fillRect/>
                    </a:stretch>
                  </pic:blipFill>
                  <pic:spPr>
                    <a:xfrm>
                      <a:off x="0" y="0"/>
                      <a:ext cx="5272405" cy="3488690"/>
                    </a:xfrm>
                    <a:prstGeom prst="rect">
                      <a:avLst/>
                    </a:prstGeom>
                    <a:noFill/>
                    <a:ln>
                      <a:noFill/>
                    </a:ln>
                  </pic:spPr>
                </pic:pic>
              </a:graphicData>
            </a:graphic>
          </wp:inline>
        </w:drawing>
      </w:r>
      <w:r>
        <w:drawing>
          <wp:inline distT="0" distB="0" distL="114300" distR="114300">
            <wp:extent cx="5272405" cy="2008505"/>
            <wp:effectExtent l="0" t="0" r="4445" b="10795"/>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20"/>
                    <a:stretch>
                      <a:fillRect/>
                    </a:stretch>
                  </pic:blipFill>
                  <pic:spPr>
                    <a:xfrm>
                      <a:off x="0" y="0"/>
                      <a:ext cx="5272405" cy="2008505"/>
                    </a:xfrm>
                    <a:prstGeom prst="rect">
                      <a:avLst/>
                    </a:prstGeom>
                    <a:noFill/>
                    <a:ln>
                      <a:noFill/>
                    </a:ln>
                  </pic:spPr>
                </pic:pic>
              </a:graphicData>
            </a:graphic>
          </wp:inline>
        </w:drawing>
      </w:r>
    </w:p>
    <w:p w14:paraId="24A60621">
      <w:pPr>
        <w:pStyle w:val="46"/>
        <w:rPr>
          <w:color w:val="000000" w:themeColor="text1"/>
          <w14:textFill>
            <w14:solidFill>
              <w14:schemeClr w14:val="tx1"/>
            </w14:solidFill>
          </w14:textFill>
        </w:rPr>
      </w:pPr>
      <w:r>
        <w:rPr>
          <w:color w:val="000000" w:themeColor="text1"/>
          <w14:textFill>
            <w14:solidFill>
              <w14:schemeClr w14:val="tx1"/>
            </w14:solidFill>
          </w14:textFill>
        </w:rPr>
        <w:t>图2.</w:t>
      </w:r>
      <w:r>
        <w:rPr>
          <w:rFonts w:hint="eastAsia"/>
          <w:color w:val="000000" w:themeColor="text1"/>
          <w:lang w:val="en-US" w:eastAsia="zh-CN"/>
          <w14:textFill>
            <w14:solidFill>
              <w14:schemeClr w14:val="tx1"/>
            </w14:solidFill>
          </w14:textFill>
        </w:rPr>
        <w:t>1.3</w:t>
      </w:r>
      <w:r>
        <w:rPr>
          <w:color w:val="000000" w:themeColor="text1"/>
          <w14:textFill>
            <w14:solidFill>
              <w14:schemeClr w14:val="tx1"/>
            </w14:solidFill>
          </w14:textFill>
        </w:rPr>
        <w:t xml:space="preserve">.3-1 </w:t>
      </w:r>
      <w:r>
        <w:rPr>
          <w:rFonts w:hint="eastAsia"/>
          <w:color w:val="000000" w:themeColor="text1"/>
          <w:lang w:eastAsia="zh-CN"/>
          <w14:textFill>
            <w14:solidFill>
              <w14:schemeClr w14:val="tx1"/>
            </w14:solidFill>
          </w14:textFill>
        </w:rPr>
        <w:t>XGT6015A-8S</w:t>
      </w:r>
      <w:r>
        <w:rPr>
          <w:color w:val="000000" w:themeColor="text1"/>
          <w14:textFill>
            <w14:solidFill>
              <w14:schemeClr w14:val="tx1"/>
            </w14:solidFill>
          </w14:textFill>
        </w:rPr>
        <w:t>塔式起重机布置尺寸图（m）</w:t>
      </w:r>
    </w:p>
    <w:p w14:paraId="7408E72E">
      <w:pPr>
        <w:pStyle w:val="6"/>
        <w:bidi w:val="0"/>
        <w:rPr>
          <w:rFonts w:hint="default"/>
          <w:lang w:val="en-US" w:eastAsia="zh-CN"/>
        </w:rPr>
      </w:pPr>
      <w:r>
        <w:rPr>
          <w:rFonts w:hint="eastAsia"/>
          <w:lang w:val="en-US" w:eastAsia="zh-CN"/>
        </w:rPr>
        <w:t>塔式起重机布置情况</w:t>
      </w:r>
    </w:p>
    <w:p w14:paraId="32DA5EF4">
      <w:pPr>
        <w:rPr>
          <w:rFonts w:hint="default" w:ascii="Times New Roman" w:hAnsi="Times New Roman" w:cs="Times New Roman"/>
          <w:lang w:val="en-US" w:eastAsia="zh-CN"/>
        </w:rPr>
      </w:pPr>
      <w:r>
        <w:rPr>
          <w:rFonts w:hint="eastAsia" w:cs="Times New Roman"/>
          <w:lang w:val="en-US" w:eastAsia="zh-CN"/>
        </w:rPr>
        <w:t>10#、11#</w:t>
      </w:r>
      <w:r>
        <w:rPr>
          <w:rFonts w:hint="default" w:ascii="Times New Roman" w:hAnsi="Times New Roman" w:cs="Times New Roman"/>
          <w:lang w:val="en-US" w:eastAsia="zh-CN"/>
        </w:rPr>
        <w:t>墩塔式起重机布置情况如下图所示。</w:t>
      </w:r>
    </w:p>
    <w:p w14:paraId="4D648E8A">
      <w:pPr>
        <w:ind w:left="0" w:leftChars="0" w:firstLine="0" w:firstLineChars="0"/>
        <w:jc w:val="both"/>
        <w:rPr>
          <w:rFonts w:hint="default" w:ascii="Times New Roman" w:hAnsi="Times New Roman" w:cs="Times New Roman"/>
          <w:lang w:val="en-US" w:eastAsia="zh-CN"/>
        </w:rPr>
      </w:pPr>
      <w:r>
        <w:rPr>
          <w:rFonts w:hint="eastAsia"/>
          <w:lang w:val="en-US" w:eastAsia="zh-CN"/>
        </w:rPr>
        <w:t xml:space="preserve">        </w:t>
      </w:r>
      <w:r>
        <w:drawing>
          <wp:inline distT="0" distB="0" distL="114300" distR="114300">
            <wp:extent cx="2413000" cy="1749425"/>
            <wp:effectExtent l="0" t="0" r="6350" b="317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21"/>
                    <a:stretch>
                      <a:fillRect/>
                    </a:stretch>
                  </pic:blipFill>
                  <pic:spPr>
                    <a:xfrm>
                      <a:off x="0" y="0"/>
                      <a:ext cx="2413000" cy="1749425"/>
                    </a:xfrm>
                    <a:prstGeom prst="rect">
                      <a:avLst/>
                    </a:prstGeom>
                    <a:noFill/>
                    <a:ln>
                      <a:noFill/>
                    </a:ln>
                  </pic:spPr>
                </pic:pic>
              </a:graphicData>
            </a:graphic>
          </wp:inline>
        </w:drawing>
      </w:r>
      <w:r>
        <w:drawing>
          <wp:inline distT="0" distB="0" distL="114300" distR="114300">
            <wp:extent cx="1985645" cy="1670685"/>
            <wp:effectExtent l="0" t="0" r="14605" b="571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22"/>
                    <a:stretch>
                      <a:fillRect/>
                    </a:stretch>
                  </pic:blipFill>
                  <pic:spPr>
                    <a:xfrm>
                      <a:off x="0" y="0"/>
                      <a:ext cx="1985645" cy="1670685"/>
                    </a:xfrm>
                    <a:prstGeom prst="rect">
                      <a:avLst/>
                    </a:prstGeom>
                    <a:noFill/>
                    <a:ln>
                      <a:noFill/>
                    </a:ln>
                  </pic:spPr>
                </pic:pic>
              </a:graphicData>
            </a:graphic>
          </wp:inline>
        </w:drawing>
      </w:r>
    </w:p>
    <w:p w14:paraId="76249AF0">
      <w:pPr>
        <w:widowControl/>
        <w:spacing w:line="240" w:lineRule="auto"/>
        <w:ind w:firstLine="0" w:firstLineChars="0"/>
        <w:jc w:val="center"/>
        <w:rPr>
          <w:rFonts w:hint="default" w:ascii="Times New Roman" w:hAnsi="Times New Roman" w:cs="Times New Roman"/>
          <w:kern w:val="0"/>
          <w:szCs w:val="24"/>
        </w:rPr>
      </w:pPr>
    </w:p>
    <w:p w14:paraId="0FC0D6AC">
      <w:pPr>
        <w:pStyle w:val="46"/>
        <w:jc w:val="center"/>
        <w:rPr>
          <w:rFonts w:hint="default" w:ascii="Times New Roman" w:hAnsi="Times New Roman" w:eastAsia="宋体" w:cs="Times New Roman"/>
          <w:lang w:eastAsia="zh-CN"/>
        </w:rPr>
      </w:pPr>
      <w:r>
        <w:rPr>
          <w:rFonts w:hint="default" w:ascii="Times New Roman" w:hAnsi="Times New Roman" w:cs="Times New Roman"/>
        </w:rPr>
        <w:t>图2.1</w:t>
      </w:r>
      <w:r>
        <w:rPr>
          <w:rFonts w:hint="default" w:ascii="Times New Roman" w:hAnsi="Times New Roman" w:cs="Times New Roman"/>
          <w:lang w:val="en-US" w:eastAsia="zh-CN"/>
        </w:rPr>
        <w:t>.4</w:t>
      </w:r>
      <w:r>
        <w:rPr>
          <w:rFonts w:hint="default" w:ascii="Times New Roman" w:hAnsi="Times New Roman" w:cs="Times New Roman"/>
        </w:rPr>
        <w:t>-1</w:t>
      </w:r>
      <w:r>
        <w:rPr>
          <w:rFonts w:hint="default" w:ascii="Times New Roman" w:hAnsi="Times New Roman" w:cs="Times New Roman"/>
          <w:lang w:val="en-US" w:eastAsia="zh-CN"/>
        </w:rPr>
        <w:t xml:space="preserve">  </w:t>
      </w:r>
      <w:r>
        <w:rPr>
          <w:rFonts w:hint="eastAsia" w:cs="Times New Roman"/>
          <w:lang w:val="en-US" w:eastAsia="zh-CN"/>
        </w:rPr>
        <w:t>10#、11#</w:t>
      </w:r>
      <w:r>
        <w:rPr>
          <w:rFonts w:hint="default" w:ascii="Times New Roman" w:hAnsi="Times New Roman" w:cs="Times New Roman"/>
          <w:lang w:val="en-US" w:eastAsia="zh-CN"/>
        </w:rPr>
        <w:t>墩</w:t>
      </w:r>
      <w:r>
        <w:rPr>
          <w:rFonts w:hint="default" w:ascii="Times New Roman" w:hAnsi="Times New Roman" w:cs="Times New Roman"/>
        </w:rPr>
        <w:t>塔式起重机平面布置图及套架开口方向</w:t>
      </w:r>
      <w:r>
        <w:rPr>
          <w:rFonts w:hint="default" w:ascii="Times New Roman" w:hAnsi="Times New Roman" w:cs="Times New Roman"/>
          <w:lang w:eastAsia="zh-CN"/>
        </w:rPr>
        <w:t>（</w:t>
      </w:r>
      <w:r>
        <w:rPr>
          <w:rFonts w:hint="default" w:ascii="Times New Roman" w:hAnsi="Times New Roman" w:cs="Times New Roman"/>
          <w:lang w:val="en-US" w:eastAsia="zh-CN"/>
        </w:rPr>
        <w:t>单位：</w:t>
      </w:r>
      <w:r>
        <w:rPr>
          <w:rFonts w:hint="default" w:ascii="Times New Roman" w:hAnsi="Times New Roman" w:cs="Times New Roman"/>
          <w:highlight w:val="none"/>
          <w:lang w:val="en-US" w:eastAsia="zh-CN"/>
        </w:rPr>
        <w:t>m</w:t>
      </w:r>
      <w:r>
        <w:rPr>
          <w:rFonts w:hint="default" w:ascii="Times New Roman" w:hAnsi="Times New Roman" w:cs="Times New Roman"/>
          <w:lang w:eastAsia="zh-CN"/>
        </w:rPr>
        <w:t>）</w:t>
      </w:r>
    </w:p>
    <w:p w14:paraId="0474BE55">
      <w:pPr>
        <w:pStyle w:val="46"/>
        <w:jc w:val="center"/>
        <w:rPr>
          <w:rFonts w:hint="default" w:ascii="Times New Roman" w:hAnsi="Times New Roman" w:cs="Times New Roman"/>
        </w:rPr>
      </w:pPr>
      <w:r>
        <w:drawing>
          <wp:inline distT="0" distB="0" distL="114300" distR="114300">
            <wp:extent cx="3493770" cy="2124710"/>
            <wp:effectExtent l="0" t="0" r="11430" b="889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3"/>
                    <a:stretch>
                      <a:fillRect/>
                    </a:stretch>
                  </pic:blipFill>
                  <pic:spPr>
                    <a:xfrm>
                      <a:off x="0" y="0"/>
                      <a:ext cx="3493770" cy="2124710"/>
                    </a:xfrm>
                    <a:prstGeom prst="rect">
                      <a:avLst/>
                    </a:prstGeom>
                    <a:noFill/>
                    <a:ln>
                      <a:noFill/>
                    </a:ln>
                  </pic:spPr>
                </pic:pic>
              </a:graphicData>
            </a:graphic>
          </wp:inline>
        </w:drawing>
      </w:r>
      <w:r>
        <w:drawing>
          <wp:inline distT="0" distB="0" distL="114300" distR="114300">
            <wp:extent cx="4066540" cy="2474595"/>
            <wp:effectExtent l="0" t="0" r="10160" b="190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4"/>
                    <a:stretch>
                      <a:fillRect/>
                    </a:stretch>
                  </pic:blipFill>
                  <pic:spPr>
                    <a:xfrm>
                      <a:off x="0" y="0"/>
                      <a:ext cx="4066540" cy="2474595"/>
                    </a:xfrm>
                    <a:prstGeom prst="rect">
                      <a:avLst/>
                    </a:prstGeom>
                    <a:noFill/>
                    <a:ln>
                      <a:noFill/>
                    </a:ln>
                  </pic:spPr>
                </pic:pic>
              </a:graphicData>
            </a:graphic>
          </wp:inline>
        </w:drawing>
      </w:r>
    </w:p>
    <w:p w14:paraId="5350C65B">
      <w:pPr>
        <w:pStyle w:val="46"/>
        <w:jc w:val="center"/>
        <w:rPr>
          <w:rFonts w:hint="default" w:ascii="Times New Roman" w:hAnsi="Times New Roman" w:cs="Times New Roman"/>
        </w:rPr>
      </w:pPr>
      <w:r>
        <w:rPr>
          <w:rFonts w:hint="default" w:ascii="Times New Roman" w:hAnsi="Times New Roman" w:cs="Times New Roman"/>
        </w:rPr>
        <w:t>图</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cs="Times New Roman"/>
          <w:lang w:val="en-US" w:eastAsia="zh-CN"/>
        </w:rPr>
        <w:t>.4</w:t>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 xml:space="preserve"> </w:t>
      </w:r>
      <w:r>
        <w:rPr>
          <w:rFonts w:hint="default" w:ascii="Times New Roman" w:hAnsi="Times New Roman" w:cs="Times New Roman"/>
          <w:lang w:val="en-US" w:eastAsia="zh-CN"/>
        </w:rPr>
        <w:t xml:space="preserve"> </w:t>
      </w:r>
      <w:r>
        <w:rPr>
          <w:rFonts w:hint="eastAsia" w:cs="Times New Roman"/>
          <w:lang w:val="en-US" w:eastAsia="zh-CN"/>
        </w:rPr>
        <w:t>10#、11#</w:t>
      </w:r>
      <w:r>
        <w:rPr>
          <w:rFonts w:hint="default" w:ascii="Times New Roman" w:hAnsi="Times New Roman" w:cs="Times New Roman"/>
          <w:lang w:val="en-US" w:eastAsia="zh-CN"/>
        </w:rPr>
        <w:t>墩</w:t>
      </w:r>
      <w:r>
        <w:rPr>
          <w:rFonts w:hint="default" w:ascii="Times New Roman" w:hAnsi="Times New Roman" w:cs="Times New Roman"/>
        </w:rPr>
        <w:t>塔式起重机</w:t>
      </w:r>
      <w:r>
        <w:rPr>
          <w:rFonts w:hint="default" w:ascii="Times New Roman" w:hAnsi="Times New Roman" w:cs="Times New Roman"/>
          <w:lang w:val="en-US" w:eastAsia="zh-CN"/>
        </w:rPr>
        <w:t>立面布置图</w:t>
      </w:r>
      <w:r>
        <w:rPr>
          <w:rFonts w:hint="default" w:ascii="Times New Roman" w:hAnsi="Times New Roman" w:cs="Times New Roman"/>
        </w:rPr>
        <w:t>（单位：m）</w:t>
      </w:r>
    </w:p>
    <w:p w14:paraId="61379930">
      <w:pPr>
        <w:ind w:firstLine="480"/>
        <w:rPr>
          <w:rFonts w:hint="default" w:ascii="Times New Roman" w:hAnsi="Times New Roman" w:cs="Times New Roman"/>
          <w:highlight w:val="none"/>
        </w:rPr>
      </w:pPr>
      <w:r>
        <w:rPr>
          <w:rFonts w:hint="default" w:ascii="Times New Roman" w:hAnsi="Times New Roman" w:cs="Times New Roman"/>
          <w:highlight w:val="none"/>
        </w:rPr>
        <w:t>（1）塔机</w:t>
      </w:r>
      <w:r>
        <w:rPr>
          <w:rFonts w:hint="eastAsia" w:cs="Times New Roman"/>
          <w:highlight w:val="none"/>
          <w:lang w:eastAsia="zh-CN"/>
        </w:rPr>
        <w:t>安装</w:t>
      </w:r>
      <w:r>
        <w:rPr>
          <w:rFonts w:hint="default" w:ascii="Times New Roman" w:hAnsi="Times New Roman" w:cs="Times New Roman"/>
          <w:highlight w:val="none"/>
        </w:rPr>
        <w:t>在施工场地上进行，塔机起重臂回转半径内无影响设备正常使用的高压线、建筑物。</w:t>
      </w:r>
    </w:p>
    <w:p w14:paraId="03709CEF">
      <w:pPr>
        <w:pStyle w:val="11"/>
        <w:ind w:firstLine="480"/>
        <w:rPr>
          <w:rFonts w:hint="default" w:ascii="Times New Roman" w:hAnsi="Times New Roman" w:cs="Times New Roman"/>
          <w:highlight w:val="none"/>
        </w:rPr>
      </w:pPr>
      <w:r>
        <w:rPr>
          <w:rFonts w:hint="default" w:ascii="Times New Roman" w:hAnsi="Times New Roman" w:cs="Times New Roman"/>
          <w:highlight w:val="none"/>
        </w:rPr>
        <w:t>（2）塔吊</w:t>
      </w:r>
      <w:r>
        <w:rPr>
          <w:rFonts w:hint="eastAsia" w:cs="Times New Roman"/>
          <w:highlight w:val="none"/>
          <w:lang w:eastAsia="zh-CN"/>
        </w:rPr>
        <w:t>安装</w:t>
      </w:r>
      <w:r>
        <w:rPr>
          <w:rFonts w:hint="default" w:ascii="Times New Roman" w:hAnsi="Times New Roman" w:cs="Times New Roman"/>
          <w:highlight w:val="none"/>
        </w:rPr>
        <w:t>处于山区，受大风大雨天气影响较大，也有突发阵风的风险，需注意防范。</w:t>
      </w:r>
    </w:p>
    <w:p w14:paraId="4F2AA9F7">
      <w:pPr>
        <w:ind w:firstLine="480"/>
        <w:rPr>
          <w:rFonts w:hint="default" w:ascii="Times New Roman" w:hAnsi="Times New Roman" w:cs="Times New Roman"/>
          <w:highlight w:val="none"/>
        </w:rPr>
      </w:pPr>
      <w:r>
        <w:rPr>
          <w:rFonts w:hint="default" w:ascii="Times New Roman" w:hAnsi="Times New Roman" w:cs="Times New Roman"/>
          <w:highlight w:val="none"/>
        </w:rPr>
        <w:t>（3）塔吊安装场地为索塔旁，场地有限，交叉施工较多，需合理组织施工。</w:t>
      </w:r>
      <w:r>
        <w:rPr>
          <w:rFonts w:hint="eastAsia" w:cs="Times New Roman"/>
          <w:highlight w:val="none"/>
          <w:lang w:eastAsia="zh-CN"/>
        </w:rPr>
        <w:t>安装</w:t>
      </w:r>
      <w:r>
        <w:rPr>
          <w:rFonts w:hint="default" w:ascii="Times New Roman" w:hAnsi="Times New Roman" w:cs="Times New Roman"/>
          <w:highlight w:val="none"/>
        </w:rPr>
        <w:t>设备时，注意运输车辆交通导行。</w:t>
      </w:r>
    </w:p>
    <w:p w14:paraId="09EC8680">
      <w:pPr>
        <w:pStyle w:val="5"/>
        <w:bidi w:val="0"/>
        <w:rPr>
          <w:rFonts w:hint="eastAsia"/>
          <w:lang w:val="en-US" w:eastAsia="zh-CN"/>
        </w:rPr>
      </w:pPr>
      <w:bookmarkStart w:id="35" w:name="_Toc9607"/>
      <w:r>
        <w:rPr>
          <w:rFonts w:hint="eastAsia"/>
          <w:lang w:val="en-US" w:eastAsia="zh-CN"/>
        </w:rPr>
        <w:t>工程特点</w:t>
      </w:r>
      <w:bookmarkEnd w:id="35"/>
    </w:p>
    <w:p w14:paraId="20D3F8A9">
      <w:pPr>
        <w:numPr>
          <w:ilvl w:val="0"/>
          <w:numId w:val="6"/>
        </w:numPr>
        <w:bidi w:val="0"/>
        <w:rPr>
          <w:rFonts w:hint="default"/>
        </w:rPr>
      </w:pPr>
      <w:r>
        <w:rPr>
          <w:rFonts w:hint="default"/>
        </w:rPr>
        <w:t>现场拆除场地受限，大型设备吊装难度大；</w:t>
      </w:r>
    </w:p>
    <w:p w14:paraId="467E822D">
      <w:pPr>
        <w:numPr>
          <w:ilvl w:val="0"/>
          <w:numId w:val="6"/>
        </w:numPr>
        <w:bidi w:val="0"/>
        <w:rPr>
          <w:rFonts w:hint="default"/>
        </w:rPr>
      </w:pPr>
      <w:r>
        <w:rPr>
          <w:rFonts w:hint="default"/>
        </w:rPr>
        <w:t>构建数量多，现场无法堆放，需多次进行转运；</w:t>
      </w:r>
    </w:p>
    <w:p w14:paraId="57261589">
      <w:pPr>
        <w:numPr>
          <w:ilvl w:val="0"/>
          <w:numId w:val="6"/>
        </w:numPr>
        <w:bidi w:val="0"/>
        <w:rPr>
          <w:rFonts w:hint="default"/>
        </w:rPr>
      </w:pPr>
      <w:r>
        <w:rPr>
          <w:rFonts w:hint="default"/>
        </w:rPr>
        <w:t>高空作业安全风险大。</w:t>
      </w:r>
    </w:p>
    <w:p w14:paraId="1EAB9DDE">
      <w:pPr>
        <w:pStyle w:val="5"/>
        <w:bidi w:val="0"/>
        <w:rPr>
          <w:rFonts w:hint="default"/>
          <w:lang w:val="en-US" w:eastAsia="zh-CN"/>
        </w:rPr>
      </w:pPr>
      <w:bookmarkStart w:id="36" w:name="_Toc28504"/>
      <w:r>
        <w:rPr>
          <w:rFonts w:hint="eastAsia"/>
          <w:lang w:val="en-US" w:eastAsia="zh-CN"/>
        </w:rPr>
        <w:t>施工平面布置</w:t>
      </w:r>
      <w:bookmarkEnd w:id="36"/>
    </w:p>
    <w:p w14:paraId="59969149">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塔吊安装施工平面布置见下图：</w:t>
      </w:r>
    </w:p>
    <w:p w14:paraId="166B01DD">
      <w:pPr>
        <w:bidi w:val="0"/>
        <w:ind w:left="0" w:leftChars="0" w:firstLine="0" w:firstLineChars="0"/>
        <w:jc w:val="center"/>
        <w:rPr>
          <w:rFonts w:hint="default" w:ascii="Times New Roman" w:hAnsi="Times New Roman" w:cs="Times New Roman"/>
          <w:highlight w:val="none"/>
        </w:rPr>
      </w:pPr>
      <w:r>
        <w:drawing>
          <wp:inline distT="0" distB="0" distL="114300" distR="114300">
            <wp:extent cx="2292985" cy="2658110"/>
            <wp:effectExtent l="0" t="0" r="12065" b="889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5"/>
                    <a:stretch>
                      <a:fillRect/>
                    </a:stretch>
                  </pic:blipFill>
                  <pic:spPr>
                    <a:xfrm>
                      <a:off x="0" y="0"/>
                      <a:ext cx="2292985" cy="2658110"/>
                    </a:xfrm>
                    <a:prstGeom prst="rect">
                      <a:avLst/>
                    </a:prstGeom>
                    <a:noFill/>
                    <a:ln>
                      <a:noFill/>
                    </a:ln>
                  </pic:spPr>
                </pic:pic>
              </a:graphicData>
            </a:graphic>
          </wp:inline>
        </w:drawing>
      </w:r>
    </w:p>
    <w:p w14:paraId="63BE9C9A">
      <w:pPr>
        <w:pStyle w:val="46"/>
        <w:rPr>
          <w:rFonts w:hint="default" w:ascii="Times New Roman" w:hAnsi="Times New Roman" w:cs="Times New Roman"/>
          <w:lang w:eastAsia="zh-CN"/>
        </w:rPr>
      </w:pPr>
      <w:r>
        <w:rPr>
          <w:rFonts w:hint="default" w:ascii="Times New Roman" w:hAnsi="Times New Roman" w:cs="Times New Roman"/>
        </w:rPr>
        <w:t>图2.</w:t>
      </w:r>
      <w:r>
        <w:rPr>
          <w:rFonts w:hint="default" w:ascii="Times New Roman" w:hAnsi="Times New Roman" w:cs="Times New Roman"/>
          <w:lang w:val="en-US" w:eastAsia="zh-CN"/>
        </w:rPr>
        <w:t>3</w:t>
      </w:r>
      <w:r>
        <w:rPr>
          <w:rFonts w:hint="default" w:ascii="Times New Roman" w:hAnsi="Times New Roman" w:cs="Times New Roman"/>
        </w:rPr>
        <w:t>-1 塔式起重机平面</w:t>
      </w:r>
      <w:r>
        <w:rPr>
          <w:rFonts w:hint="default" w:ascii="Times New Roman" w:hAnsi="Times New Roman" w:cs="Times New Roman"/>
          <w:lang w:val="en-US" w:eastAsia="zh-CN"/>
        </w:rPr>
        <w:t>布置</w:t>
      </w:r>
      <w:r>
        <w:rPr>
          <w:rFonts w:hint="default" w:ascii="Times New Roman" w:hAnsi="Times New Roman" w:cs="Times New Roman"/>
        </w:rPr>
        <w:t>图</w:t>
      </w:r>
      <w:r>
        <w:rPr>
          <w:rFonts w:hint="default" w:ascii="Times New Roman" w:hAnsi="Times New Roman" w:cs="Times New Roman"/>
          <w:lang w:eastAsia="zh-CN"/>
        </w:rPr>
        <w:t>（</w:t>
      </w:r>
      <w:r>
        <w:rPr>
          <w:rFonts w:hint="default" w:ascii="Times New Roman" w:hAnsi="Times New Roman" w:cs="Times New Roman"/>
          <w:lang w:val="en-US" w:eastAsia="zh-CN"/>
        </w:rPr>
        <w:t>单位：m</w:t>
      </w:r>
      <w:r>
        <w:rPr>
          <w:rFonts w:hint="default" w:ascii="Times New Roman" w:hAnsi="Times New Roman" w:cs="Times New Roman"/>
          <w:lang w:eastAsia="zh-CN"/>
        </w:rPr>
        <w:t>）</w:t>
      </w:r>
    </w:p>
    <w:p w14:paraId="489C070D">
      <w:pPr>
        <w:pStyle w:val="5"/>
        <w:rPr>
          <w:rFonts w:cs="Times New Roman"/>
          <w:color w:val="000000" w:themeColor="text1"/>
          <w14:textFill>
            <w14:solidFill>
              <w14:schemeClr w14:val="tx1"/>
            </w14:solidFill>
          </w14:textFill>
        </w:rPr>
      </w:pPr>
      <w:bookmarkStart w:id="37" w:name="_Toc21438"/>
      <w:r>
        <w:rPr>
          <w:rFonts w:cs="Times New Roman"/>
          <w:color w:val="000000" w:themeColor="text1"/>
          <w14:textFill>
            <w14:solidFill>
              <w14:schemeClr w14:val="tx1"/>
            </w14:solidFill>
          </w14:textFill>
        </w:rPr>
        <w:t>施工要求</w:t>
      </w:r>
      <w:bookmarkEnd w:id="37"/>
    </w:p>
    <w:p w14:paraId="6A074326">
      <w:pPr>
        <w:pStyle w:val="6"/>
        <w:bidi w:val="0"/>
        <w:rPr>
          <w:rFonts w:hint="default" w:ascii="Times New Roman" w:hAnsi="Times New Roman" w:cs="Times New Roman"/>
          <w:highlight w:val="yellow"/>
          <w:lang w:val="en-US" w:eastAsia="zh-CN"/>
        </w:rPr>
      </w:pPr>
      <w:r>
        <w:rPr>
          <w:rFonts w:hint="default" w:ascii="Times New Roman" w:hAnsi="Times New Roman" w:cs="Times New Roman"/>
          <w:highlight w:val="yellow"/>
          <w:lang w:val="en-US" w:eastAsia="zh-CN"/>
        </w:rPr>
        <w:t>工期要求</w:t>
      </w:r>
    </w:p>
    <w:p w14:paraId="1EFA3F09">
      <w:pPr>
        <w:ind w:firstLine="480"/>
        <w:rPr>
          <w:rFonts w:hint="default" w:ascii="Times New Roman" w:hAnsi="Times New Roman" w:cs="Times New Roman"/>
          <w:highlight w:val="none"/>
        </w:rPr>
      </w:pPr>
      <w:r>
        <w:rPr>
          <w:rFonts w:hint="default" w:ascii="Times New Roman" w:hAnsi="Times New Roman" w:cs="Times New Roman"/>
          <w:highlight w:val="yellow"/>
        </w:rPr>
        <w:t>根据总体施工进度安排，</w:t>
      </w:r>
      <w:r>
        <w:rPr>
          <w:rFonts w:hint="eastAsia" w:cs="Times New Roman"/>
          <w:highlight w:val="yellow"/>
          <w:lang w:val="en-US" w:eastAsia="zh-CN"/>
        </w:rPr>
        <w:t>10#、11#</w:t>
      </w:r>
      <w:r>
        <w:rPr>
          <w:rFonts w:hint="default" w:ascii="Times New Roman" w:hAnsi="Times New Roman" w:cs="Times New Roman"/>
          <w:highlight w:val="yellow"/>
          <w:lang w:val="en-US" w:eastAsia="zh-CN"/>
        </w:rPr>
        <w:t>索塔</w:t>
      </w:r>
      <w:r>
        <w:rPr>
          <w:rFonts w:hint="eastAsia" w:cs="Times New Roman"/>
          <w:highlight w:val="yellow"/>
          <w:lang w:eastAsia="zh-CN"/>
        </w:rPr>
        <w:t>XGT6015A-8S</w:t>
      </w:r>
      <w:r>
        <w:rPr>
          <w:rFonts w:hint="default" w:ascii="Times New Roman" w:hAnsi="Times New Roman" w:cs="Times New Roman"/>
          <w:highlight w:val="yellow"/>
        </w:rPr>
        <w:t>（</w:t>
      </w:r>
      <w:r>
        <w:rPr>
          <w:rFonts w:hint="eastAsia" w:cs="Times New Roman"/>
          <w:highlight w:val="yellow"/>
          <w:lang w:val="en-US" w:eastAsia="zh-CN"/>
        </w:rPr>
        <w:t>6</w:t>
      </w:r>
      <w:r>
        <w:rPr>
          <w:rFonts w:hint="default" w:ascii="Times New Roman" w:hAnsi="Times New Roman" w:cs="Times New Roman"/>
          <w:highlight w:val="yellow"/>
        </w:rPr>
        <w:t>0m）</w:t>
      </w:r>
      <w:r>
        <w:rPr>
          <w:rFonts w:hint="default" w:ascii="Times New Roman" w:hAnsi="Times New Roman" w:cs="Times New Roman"/>
          <w:highlight w:val="yellow"/>
          <w:lang w:val="en-US" w:eastAsia="zh-CN"/>
        </w:rPr>
        <w:t>塔式</w:t>
      </w:r>
      <w:r>
        <w:rPr>
          <w:rFonts w:hint="default" w:ascii="Times New Roman" w:hAnsi="Times New Roman" w:cs="Times New Roman"/>
          <w:highlight w:val="yellow"/>
        </w:rPr>
        <w:t>起重机整机安装施工计划开始时间为2022年</w:t>
      </w:r>
      <w:r>
        <w:rPr>
          <w:rFonts w:hint="default" w:ascii="Times New Roman" w:hAnsi="Times New Roman" w:cs="Times New Roman"/>
          <w:highlight w:val="yellow"/>
          <w:lang w:val="en-US" w:eastAsia="zh-CN"/>
        </w:rPr>
        <w:t>9</w:t>
      </w:r>
      <w:r>
        <w:rPr>
          <w:rFonts w:hint="default" w:ascii="Times New Roman" w:hAnsi="Times New Roman" w:cs="Times New Roman"/>
          <w:highlight w:val="yellow"/>
        </w:rPr>
        <w:t>月2</w:t>
      </w:r>
      <w:r>
        <w:rPr>
          <w:rFonts w:hint="eastAsia" w:ascii="Times New Roman" w:hAnsi="Times New Roman" w:cs="Times New Roman"/>
          <w:highlight w:val="yellow"/>
          <w:lang w:val="en-US" w:eastAsia="zh-CN"/>
        </w:rPr>
        <w:t>6</w:t>
      </w:r>
      <w:r>
        <w:rPr>
          <w:rFonts w:hint="default" w:ascii="Times New Roman" w:hAnsi="Times New Roman" w:cs="Times New Roman"/>
          <w:highlight w:val="yellow"/>
        </w:rPr>
        <w:t>日，完成时间为202</w:t>
      </w:r>
      <w:r>
        <w:rPr>
          <w:rFonts w:hint="default" w:ascii="Times New Roman" w:hAnsi="Times New Roman" w:cs="Times New Roman"/>
          <w:highlight w:val="yellow"/>
          <w:lang w:val="en-US" w:eastAsia="zh-CN"/>
        </w:rPr>
        <w:t>2</w:t>
      </w:r>
      <w:r>
        <w:rPr>
          <w:rFonts w:hint="default" w:ascii="Times New Roman" w:hAnsi="Times New Roman" w:cs="Times New Roman"/>
          <w:highlight w:val="yellow"/>
        </w:rPr>
        <w:t>年</w:t>
      </w:r>
      <w:r>
        <w:rPr>
          <w:rFonts w:hint="eastAsia" w:ascii="Times New Roman" w:hAnsi="Times New Roman" w:cs="Times New Roman"/>
          <w:highlight w:val="yellow"/>
          <w:lang w:val="en-US" w:eastAsia="zh-CN"/>
        </w:rPr>
        <w:t>11</w:t>
      </w:r>
      <w:r>
        <w:rPr>
          <w:rFonts w:hint="default" w:ascii="Times New Roman" w:hAnsi="Times New Roman" w:cs="Times New Roman"/>
          <w:highlight w:val="yellow"/>
        </w:rPr>
        <w:t>月</w:t>
      </w:r>
      <w:r>
        <w:rPr>
          <w:rFonts w:hint="eastAsia" w:ascii="Times New Roman" w:hAnsi="Times New Roman" w:cs="Times New Roman"/>
          <w:highlight w:val="yellow"/>
          <w:lang w:val="en-US" w:eastAsia="zh-CN"/>
        </w:rPr>
        <w:t>20</w:t>
      </w:r>
      <w:r>
        <w:rPr>
          <w:rFonts w:hint="default" w:ascii="Times New Roman" w:hAnsi="Times New Roman" w:cs="Times New Roman"/>
          <w:highlight w:val="yellow"/>
        </w:rPr>
        <w:t>日；整机拆除施工计划开始时间为202</w:t>
      </w:r>
      <w:r>
        <w:rPr>
          <w:rFonts w:hint="eastAsia" w:ascii="Times New Roman" w:hAnsi="Times New Roman" w:cs="Times New Roman"/>
          <w:highlight w:val="yellow"/>
          <w:lang w:val="en-US" w:eastAsia="zh-CN"/>
        </w:rPr>
        <w:t>5</w:t>
      </w:r>
      <w:r>
        <w:rPr>
          <w:rFonts w:hint="default" w:ascii="Times New Roman" w:hAnsi="Times New Roman" w:cs="Times New Roman"/>
          <w:highlight w:val="yellow"/>
        </w:rPr>
        <w:t>年</w:t>
      </w:r>
      <w:r>
        <w:rPr>
          <w:rFonts w:hint="eastAsia" w:ascii="Times New Roman" w:hAnsi="Times New Roman" w:cs="Times New Roman"/>
          <w:highlight w:val="yellow"/>
          <w:lang w:val="en-US" w:eastAsia="zh-CN"/>
        </w:rPr>
        <w:t>6</w:t>
      </w:r>
      <w:r>
        <w:rPr>
          <w:rFonts w:hint="default" w:ascii="Times New Roman" w:hAnsi="Times New Roman" w:cs="Times New Roman"/>
          <w:highlight w:val="yellow"/>
        </w:rPr>
        <w:t>月</w:t>
      </w:r>
      <w:r>
        <w:rPr>
          <w:rFonts w:hint="default" w:ascii="Times New Roman" w:hAnsi="Times New Roman" w:cs="Times New Roman"/>
          <w:highlight w:val="yellow"/>
          <w:lang w:val="en-US" w:eastAsia="zh-CN"/>
        </w:rPr>
        <w:t>1</w:t>
      </w:r>
      <w:r>
        <w:rPr>
          <w:rFonts w:hint="eastAsia" w:ascii="Times New Roman" w:hAnsi="Times New Roman" w:cs="Times New Roman"/>
          <w:highlight w:val="yellow"/>
          <w:lang w:val="en-US" w:eastAsia="zh-CN"/>
        </w:rPr>
        <w:t>5</w:t>
      </w:r>
      <w:r>
        <w:rPr>
          <w:rFonts w:hint="default" w:ascii="Times New Roman" w:hAnsi="Times New Roman" w:cs="Times New Roman"/>
          <w:highlight w:val="yellow"/>
        </w:rPr>
        <w:t>日，完成时间为202</w:t>
      </w:r>
      <w:r>
        <w:rPr>
          <w:rFonts w:hint="eastAsia" w:ascii="Times New Roman" w:hAnsi="Times New Roman" w:cs="Times New Roman"/>
          <w:highlight w:val="yellow"/>
          <w:lang w:val="en-US" w:eastAsia="zh-CN"/>
        </w:rPr>
        <w:t>5</w:t>
      </w:r>
      <w:r>
        <w:rPr>
          <w:rFonts w:hint="default" w:ascii="Times New Roman" w:hAnsi="Times New Roman" w:cs="Times New Roman"/>
          <w:highlight w:val="yellow"/>
        </w:rPr>
        <w:t>年</w:t>
      </w:r>
      <w:r>
        <w:rPr>
          <w:rFonts w:hint="eastAsia" w:ascii="Times New Roman" w:hAnsi="Times New Roman" w:cs="Times New Roman"/>
          <w:highlight w:val="yellow"/>
          <w:lang w:val="en-US" w:eastAsia="zh-CN"/>
        </w:rPr>
        <w:t>6</w:t>
      </w:r>
      <w:r>
        <w:rPr>
          <w:rFonts w:hint="default" w:ascii="Times New Roman" w:hAnsi="Times New Roman" w:cs="Times New Roman"/>
          <w:highlight w:val="yellow"/>
        </w:rPr>
        <w:t>月</w:t>
      </w:r>
      <w:r>
        <w:rPr>
          <w:rFonts w:hint="eastAsia" w:ascii="Times New Roman" w:hAnsi="Times New Roman" w:cs="Times New Roman"/>
          <w:highlight w:val="yellow"/>
          <w:lang w:val="en-US" w:eastAsia="zh-CN"/>
        </w:rPr>
        <w:t>30</w:t>
      </w:r>
      <w:r>
        <w:rPr>
          <w:rFonts w:hint="default" w:ascii="Times New Roman" w:hAnsi="Times New Roman" w:cs="Times New Roman"/>
          <w:highlight w:val="yellow"/>
        </w:rPr>
        <w:t>日。</w:t>
      </w:r>
    </w:p>
    <w:p w14:paraId="619ED197">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质量要求</w:t>
      </w:r>
    </w:p>
    <w:p w14:paraId="2B2B9C14">
      <w:pPr>
        <w:ind w:firstLine="480"/>
        <w:rPr>
          <w:rFonts w:hint="default" w:ascii="Times New Roman" w:hAnsi="Times New Roman" w:cs="Times New Roman"/>
          <w:highlight w:val="none"/>
        </w:rPr>
      </w:pPr>
      <w:r>
        <w:rPr>
          <w:rFonts w:hint="default" w:ascii="Times New Roman" w:hAnsi="Times New Roman" w:cs="Times New Roman"/>
          <w:highlight w:val="none"/>
        </w:rPr>
        <w:t>（1）不发生质量事故，不发生造成社会恶劣影响的其他事件；</w:t>
      </w:r>
    </w:p>
    <w:p w14:paraId="7BFB8C88">
      <w:pPr>
        <w:ind w:firstLine="480"/>
        <w:rPr>
          <w:rFonts w:hint="default" w:ascii="Times New Roman" w:hAnsi="Times New Roman" w:cs="Times New Roman"/>
          <w:highlight w:val="none"/>
        </w:rPr>
      </w:pPr>
      <w:r>
        <w:rPr>
          <w:rFonts w:hint="default" w:ascii="Times New Roman" w:hAnsi="Times New Roman" w:cs="Times New Roman"/>
          <w:highlight w:val="none"/>
        </w:rPr>
        <w:t>（2）工程质量符合合同、图纸及规范要求。</w:t>
      </w:r>
    </w:p>
    <w:p w14:paraId="5D6F88FC">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安全文明要求</w:t>
      </w:r>
    </w:p>
    <w:p w14:paraId="27B75F49">
      <w:pPr>
        <w:ind w:firstLine="480"/>
        <w:rPr>
          <w:rFonts w:hint="default" w:ascii="Times New Roman" w:hAnsi="Times New Roman" w:cs="Times New Roman"/>
          <w:highlight w:val="none"/>
        </w:rPr>
      </w:pPr>
      <w:r>
        <w:rPr>
          <w:rFonts w:hint="default" w:ascii="Times New Roman" w:hAnsi="Times New Roman" w:cs="Times New Roman"/>
          <w:highlight w:val="none"/>
        </w:rPr>
        <w:t>（1）所有进场施工人员安全教育考核率达100%，特殊岗位操作人员持证上岗率达100%；</w:t>
      </w:r>
    </w:p>
    <w:p w14:paraId="4AAA5315">
      <w:pPr>
        <w:ind w:firstLine="480"/>
        <w:rPr>
          <w:rFonts w:hint="default" w:ascii="Times New Roman" w:hAnsi="Times New Roman" w:cs="Times New Roman"/>
          <w:highlight w:val="none"/>
        </w:rPr>
      </w:pPr>
      <w:r>
        <w:rPr>
          <w:rFonts w:hint="default" w:ascii="Times New Roman" w:hAnsi="Times New Roman" w:cs="Times New Roman"/>
          <w:highlight w:val="none"/>
        </w:rPr>
        <w:t>（2）各种防护用品、设施合格率达100%，施工安全技术交底率达100%。</w:t>
      </w:r>
    </w:p>
    <w:p w14:paraId="527422B4">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安装场地要求</w:t>
      </w:r>
    </w:p>
    <w:p w14:paraId="6DF3C6EF">
      <w:pPr>
        <w:ind w:firstLine="480"/>
        <w:rPr>
          <w:rFonts w:hint="default" w:ascii="Times New Roman" w:hAnsi="Times New Roman" w:cs="Times New Roman"/>
          <w:lang w:val="en-US" w:eastAsia="zh-CN"/>
        </w:rPr>
      </w:pPr>
      <w:r>
        <w:rPr>
          <w:rFonts w:hint="default" w:ascii="Times New Roman" w:hAnsi="Times New Roman" w:cs="Times New Roman"/>
          <w:highlight w:val="none"/>
        </w:rPr>
        <w:t>场地压实后地基承载力不小于</w:t>
      </w:r>
      <w:r>
        <w:rPr>
          <w:rFonts w:hint="eastAsia" w:ascii="Times New Roman" w:hAnsi="Times New Roman" w:cs="Times New Roman"/>
          <w:highlight w:val="none"/>
          <w:lang w:val="en-US" w:eastAsia="zh-CN"/>
        </w:rPr>
        <w:t>20</w:t>
      </w:r>
      <w:r>
        <w:rPr>
          <w:rFonts w:hint="default" w:ascii="Times New Roman" w:hAnsi="Times New Roman" w:cs="Times New Roman"/>
          <w:highlight w:val="none"/>
        </w:rPr>
        <w:t>0kPa。</w:t>
      </w:r>
    </w:p>
    <w:p w14:paraId="03E0ECDE">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运输及进场要求</w:t>
      </w:r>
    </w:p>
    <w:p w14:paraId="1C8D288F">
      <w:pPr>
        <w:ind w:firstLine="480"/>
        <w:rPr>
          <w:rFonts w:hint="default" w:ascii="Times New Roman" w:hAnsi="Times New Roman" w:cs="Times New Roman"/>
        </w:rPr>
      </w:pPr>
      <w:r>
        <w:rPr>
          <w:rFonts w:hint="default" w:ascii="Times New Roman" w:hAnsi="Times New Roman" w:cs="Times New Roman"/>
        </w:rPr>
        <w:t>（1）起重机各类构件采用平板运输车运输，每辆车上对部件用钢丝绳、手拉葫芦锁紧，防止侧翻与滑动。每辆车悬挂安全标志，并办理运输保险事宜。主要部件的运输，按照普通公路的运输要求，委托有运输资质的物流运输单位，重要部件如电机、电气部件等采用包装箱整体运输或局部包装，避免运输途中防雨受潮损坏或遗失。</w:t>
      </w:r>
    </w:p>
    <w:p w14:paraId="01F6A8ED">
      <w:pPr>
        <w:ind w:firstLine="480"/>
        <w:rPr>
          <w:rFonts w:hint="default" w:ascii="Times New Roman" w:hAnsi="Times New Roman" w:cs="Times New Roman"/>
        </w:rPr>
      </w:pPr>
      <w:r>
        <w:rPr>
          <w:rFonts w:hint="default" w:ascii="Times New Roman" w:hAnsi="Times New Roman" w:cs="Times New Roman"/>
        </w:rPr>
        <w:t>（2）发货时要根据现场拼装步骤支腿</w:t>
      </w:r>
      <w:r>
        <w:rPr>
          <w:rFonts w:hint="eastAsia" w:cs="Times New Roman"/>
          <w:lang w:eastAsia="zh-CN"/>
        </w:rPr>
        <w:t>、</w:t>
      </w:r>
      <w:r>
        <w:rPr>
          <w:rFonts w:hint="eastAsia" w:cs="Times New Roman"/>
          <w:lang w:val="en-US" w:eastAsia="zh-CN"/>
        </w:rPr>
        <w:t>基础</w:t>
      </w:r>
      <w:r>
        <w:rPr>
          <w:rFonts w:hint="default" w:ascii="Times New Roman" w:hAnsi="Times New Roman" w:cs="Times New Roman"/>
        </w:rPr>
        <w:t>节、</w:t>
      </w:r>
      <w:r>
        <w:rPr>
          <w:rFonts w:hint="eastAsia" w:cs="Times New Roman"/>
          <w:lang w:val="en-US" w:eastAsia="zh-CN"/>
        </w:rPr>
        <w:t>标准节、爬升套架、特殊节、</w:t>
      </w:r>
      <w:r>
        <w:rPr>
          <w:rFonts w:hint="default" w:ascii="Times New Roman" w:hAnsi="Times New Roman" w:cs="Times New Roman"/>
        </w:rPr>
        <w:t>回转总成、</w:t>
      </w:r>
      <w:r>
        <w:rPr>
          <w:rFonts w:hint="eastAsia" w:cs="Times New Roman"/>
          <w:lang w:val="en-US" w:eastAsia="zh-CN"/>
        </w:rPr>
        <w:t>起重臂臂根节</w:t>
      </w:r>
      <w:r>
        <w:rPr>
          <w:rFonts w:hint="default" w:ascii="Times New Roman" w:hAnsi="Times New Roman" w:cs="Times New Roman"/>
        </w:rPr>
        <w:t>、平衡臂</w:t>
      </w:r>
      <w:r>
        <w:rPr>
          <w:rFonts w:hint="eastAsia" w:cs="Times New Roman"/>
          <w:lang w:eastAsia="zh-CN"/>
        </w:rPr>
        <w:t>、</w:t>
      </w:r>
      <w:r>
        <w:rPr>
          <w:rFonts w:hint="eastAsia" w:cs="Times New Roman"/>
          <w:lang w:val="en-US" w:eastAsia="zh-CN"/>
        </w:rPr>
        <w:t>平衡重</w:t>
      </w:r>
      <w:r>
        <w:rPr>
          <w:rFonts w:hint="default" w:ascii="Times New Roman" w:hAnsi="Times New Roman" w:cs="Times New Roman"/>
        </w:rPr>
        <w:t>、起重臂等顺序。前后协调，统筹配发，以免现场造成堆压和不必要的周转拨运。</w:t>
      </w:r>
    </w:p>
    <w:p w14:paraId="6A81C63D">
      <w:pPr>
        <w:ind w:firstLine="480"/>
        <w:rPr>
          <w:rFonts w:hint="default" w:ascii="Times New Roman" w:hAnsi="Times New Roman" w:cs="Times New Roman"/>
        </w:rPr>
      </w:pPr>
      <w:r>
        <w:rPr>
          <w:rFonts w:hint="default" w:ascii="Times New Roman" w:hAnsi="Times New Roman" w:cs="Times New Roman"/>
        </w:rPr>
        <w:t>（3）装卸车时，要确保装吊安全，特别是平衡臂等大件，临时存放时，大件下要支垫枕木，并进行固定绑扎，防止倾倒。</w:t>
      </w:r>
    </w:p>
    <w:p w14:paraId="4224EBDB">
      <w:pPr>
        <w:ind w:firstLine="480"/>
        <w:rPr>
          <w:rFonts w:hint="default" w:ascii="Times New Roman" w:hAnsi="Times New Roman" w:cs="Times New Roman"/>
        </w:rPr>
      </w:pPr>
      <w:r>
        <w:rPr>
          <w:rFonts w:hint="default" w:ascii="Times New Roman" w:hAnsi="Times New Roman" w:cs="Times New Roman"/>
        </w:rPr>
        <w:t>（4）电气及电机设备的吊装时注意不能倒置，不得以大压小，运输及存放时要有防雨防潮措施。</w:t>
      </w:r>
    </w:p>
    <w:p w14:paraId="33546CAE">
      <w:pPr>
        <w:ind w:firstLine="480"/>
        <w:rPr>
          <w:rFonts w:hint="default" w:ascii="Times New Roman" w:hAnsi="Times New Roman" w:cs="Times New Roman"/>
        </w:rPr>
      </w:pPr>
      <w:r>
        <w:rPr>
          <w:rFonts w:hint="default" w:ascii="Times New Roman" w:hAnsi="Times New Roman" w:cs="Times New Roman"/>
        </w:rPr>
        <w:t>（5）在设备装卸期间，如果物体的最大尺寸阻挡了起升控制人员的视野，需由另外的操作人员来指引进行操作。</w:t>
      </w:r>
    </w:p>
    <w:p w14:paraId="5F18391C">
      <w:pPr>
        <w:ind w:firstLine="480"/>
        <w:rPr>
          <w:rFonts w:hint="default" w:ascii="Times New Roman" w:hAnsi="Times New Roman" w:cs="Times New Roman"/>
        </w:rPr>
      </w:pPr>
      <w:r>
        <w:rPr>
          <w:rFonts w:hint="default" w:ascii="Times New Roman" w:hAnsi="Times New Roman" w:cs="Times New Roman"/>
        </w:rPr>
        <w:t>（6）在装卸设备之前，检查起升设备和相关物品中（绳索、手拉葫芦等）是否满足所吊负载和适当的稳定性的要求。</w:t>
      </w:r>
    </w:p>
    <w:p w14:paraId="0007E3E5">
      <w:pPr>
        <w:pStyle w:val="5"/>
        <w:bidi w:val="0"/>
        <w:rPr>
          <w:rFonts w:hint="default" w:ascii="Times New Roman" w:hAnsi="Times New Roman" w:cs="Times New Roman"/>
          <w:lang w:val="en-US" w:eastAsia="zh-CN"/>
        </w:rPr>
      </w:pPr>
      <w:bookmarkStart w:id="38" w:name="_Toc10903"/>
      <w:bookmarkStart w:id="39" w:name="_Toc16684"/>
      <w:r>
        <w:rPr>
          <w:rFonts w:hint="default" w:ascii="Times New Roman" w:hAnsi="Times New Roman" w:cs="Times New Roman"/>
          <w:lang w:val="en-US" w:eastAsia="zh-CN"/>
        </w:rPr>
        <w:t>技术保证条件</w:t>
      </w:r>
      <w:bookmarkEnd w:id="38"/>
      <w:bookmarkEnd w:id="39"/>
    </w:p>
    <w:p w14:paraId="2B9853ED">
      <w:pPr>
        <w:ind w:firstLine="480"/>
        <w:rPr>
          <w:rFonts w:hint="default" w:ascii="Times New Roman" w:hAnsi="Times New Roman" w:cs="Times New Roman"/>
        </w:rPr>
      </w:pPr>
      <w:r>
        <w:rPr>
          <w:rFonts w:hint="default" w:ascii="Times New Roman" w:hAnsi="Times New Roman" w:cs="Times New Roman"/>
        </w:rPr>
        <w:t>本方案的技术保证条件主要有：</w:t>
      </w:r>
    </w:p>
    <w:p w14:paraId="784D52D0">
      <w:pPr>
        <w:pStyle w:val="78"/>
        <w:numPr>
          <w:ilvl w:val="0"/>
          <w:numId w:val="7"/>
        </w:numPr>
        <w:ind w:firstLine="480"/>
        <w:rPr>
          <w:rFonts w:hint="default" w:ascii="Times New Roman" w:hAnsi="Times New Roman" w:cs="Times New Roman"/>
        </w:rPr>
      </w:pPr>
      <w:r>
        <w:rPr>
          <w:rFonts w:hint="default" w:ascii="Times New Roman" w:hAnsi="Times New Roman" w:cs="Times New Roman"/>
        </w:rPr>
        <w:t>对</w:t>
      </w:r>
      <w:r>
        <w:rPr>
          <w:rFonts w:hint="eastAsia" w:cs="Times New Roman"/>
          <w:lang w:eastAsia="zh-CN"/>
        </w:rPr>
        <w:t>安装</w:t>
      </w:r>
      <w:r>
        <w:rPr>
          <w:rFonts w:hint="default" w:ascii="Times New Roman" w:hAnsi="Times New Roman" w:cs="Times New Roman"/>
        </w:rPr>
        <w:t>的起吊构件的重量、幅度进行详细的核算；</w:t>
      </w:r>
    </w:p>
    <w:p w14:paraId="6128547F">
      <w:pPr>
        <w:pStyle w:val="78"/>
        <w:ind w:firstLine="480"/>
        <w:rPr>
          <w:rFonts w:hint="default" w:ascii="Times New Roman" w:hAnsi="Times New Roman" w:cs="Times New Roman"/>
        </w:rPr>
      </w:pPr>
      <w:r>
        <w:rPr>
          <w:rFonts w:hint="default" w:ascii="Times New Roman" w:hAnsi="Times New Roman" w:cs="Times New Roman"/>
        </w:rPr>
        <w:t>对</w:t>
      </w:r>
      <w:r>
        <w:rPr>
          <w:rFonts w:hint="eastAsia" w:cs="Times New Roman"/>
          <w:lang w:eastAsia="zh-CN"/>
        </w:rPr>
        <w:t>安装</w:t>
      </w:r>
      <w:r>
        <w:rPr>
          <w:rFonts w:hint="default" w:ascii="Times New Roman" w:hAnsi="Times New Roman" w:cs="Times New Roman"/>
        </w:rPr>
        <w:t>设备进行进场检验，验算拆除场地承载力，确保设备性能及施工条件可靠；</w:t>
      </w:r>
    </w:p>
    <w:p w14:paraId="3CBD69F7">
      <w:pPr>
        <w:pStyle w:val="78"/>
        <w:ind w:firstLine="480"/>
        <w:rPr>
          <w:rFonts w:hint="default" w:ascii="Times New Roman" w:hAnsi="Times New Roman" w:cs="Times New Roman"/>
        </w:rPr>
      </w:pPr>
      <w:r>
        <w:rPr>
          <w:rFonts w:hint="default" w:ascii="Times New Roman" w:hAnsi="Times New Roman" w:cs="Times New Roman"/>
        </w:rPr>
        <w:t>模拟现场的实际作业情况，保证</w:t>
      </w:r>
      <w:r>
        <w:rPr>
          <w:rFonts w:hint="eastAsia" w:cs="Times New Roman"/>
          <w:lang w:eastAsia="zh-CN"/>
        </w:rPr>
        <w:t>安装</w:t>
      </w:r>
      <w:r>
        <w:rPr>
          <w:rFonts w:hint="default" w:ascii="Times New Roman" w:hAnsi="Times New Roman" w:cs="Times New Roman"/>
        </w:rPr>
        <w:t>场地空间足够，避免吊装过程中的干涉；</w:t>
      </w:r>
    </w:p>
    <w:p w14:paraId="4A0BED02">
      <w:pPr>
        <w:pStyle w:val="78"/>
        <w:ind w:firstLine="480"/>
        <w:rPr>
          <w:rFonts w:hint="default" w:ascii="Times New Roman" w:hAnsi="Times New Roman" w:cs="Times New Roman"/>
        </w:rPr>
      </w:pPr>
      <w:r>
        <w:rPr>
          <w:rFonts w:hint="default" w:ascii="Times New Roman" w:hAnsi="Times New Roman" w:cs="Times New Roman"/>
        </w:rPr>
        <w:t>合理安排</w:t>
      </w:r>
      <w:r>
        <w:rPr>
          <w:rFonts w:hint="eastAsia" w:cs="Times New Roman"/>
          <w:lang w:eastAsia="zh-CN"/>
        </w:rPr>
        <w:t>安装</w:t>
      </w:r>
      <w:r>
        <w:rPr>
          <w:rFonts w:hint="default" w:ascii="Times New Roman" w:hAnsi="Times New Roman" w:cs="Times New Roman"/>
        </w:rPr>
        <w:t>工序，协调好场地堆放及构件倒运顺序；</w:t>
      </w:r>
    </w:p>
    <w:p w14:paraId="727E065A">
      <w:pPr>
        <w:pStyle w:val="78"/>
        <w:ind w:firstLine="480"/>
        <w:rPr>
          <w:rFonts w:hint="default" w:ascii="Times New Roman" w:hAnsi="Times New Roman" w:cs="Times New Roman"/>
        </w:rPr>
      </w:pPr>
      <w:r>
        <w:rPr>
          <w:rFonts w:hint="default" w:ascii="Times New Roman" w:hAnsi="Times New Roman" w:cs="Times New Roman"/>
        </w:rPr>
        <w:t>加强技术交底，确保作业过程安全。</w:t>
      </w:r>
    </w:p>
    <w:p w14:paraId="0AD74346">
      <w:pPr>
        <w:widowControl/>
        <w:spacing w:line="240" w:lineRule="auto"/>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br w:type="page"/>
      </w:r>
    </w:p>
    <w:p w14:paraId="34707831">
      <w:pPr>
        <w:pStyle w:val="4"/>
        <w:rPr>
          <w:color w:val="000000" w:themeColor="text1"/>
          <w14:textFill>
            <w14:solidFill>
              <w14:schemeClr w14:val="tx1"/>
            </w14:solidFill>
          </w14:textFill>
        </w:rPr>
      </w:pPr>
      <w:bookmarkStart w:id="40" w:name="_Toc21990"/>
      <w:bookmarkStart w:id="41" w:name="_Toc18544"/>
      <w:r>
        <w:rPr>
          <w:color w:val="000000" w:themeColor="text1"/>
          <w14:textFill>
            <w14:solidFill>
              <w14:schemeClr w14:val="tx1"/>
            </w14:solidFill>
          </w14:textFill>
        </w:rPr>
        <w:t>施工计划</w:t>
      </w:r>
      <w:bookmarkEnd w:id="24"/>
      <w:bookmarkEnd w:id="25"/>
      <w:bookmarkEnd w:id="40"/>
      <w:bookmarkEnd w:id="41"/>
    </w:p>
    <w:p w14:paraId="13E7E8D4">
      <w:pPr>
        <w:pStyle w:val="5"/>
        <w:rPr>
          <w:rFonts w:cs="Times New Roman"/>
          <w:color w:val="000000" w:themeColor="text1"/>
          <w:highlight w:val="none"/>
          <w14:textFill>
            <w14:solidFill>
              <w14:schemeClr w14:val="tx1"/>
            </w14:solidFill>
          </w14:textFill>
        </w:rPr>
      </w:pPr>
      <w:bookmarkStart w:id="42" w:name="_Toc9644"/>
      <w:r>
        <w:rPr>
          <w:rFonts w:cs="Times New Roman"/>
          <w:color w:val="000000" w:themeColor="text1"/>
          <w:highlight w:val="none"/>
          <w14:textFill>
            <w14:solidFill>
              <w14:schemeClr w14:val="tx1"/>
            </w14:solidFill>
          </w14:textFill>
        </w:rPr>
        <w:t>施工进度计划</w:t>
      </w:r>
      <w:bookmarkEnd w:id="42"/>
    </w:p>
    <w:p w14:paraId="05CF4D50">
      <w:pPr>
        <w:ind w:firstLine="480"/>
        <w:rPr>
          <w:rFonts w:hint="default" w:ascii="Times New Roman" w:hAnsi="Times New Roman" w:cs="Times New Roman"/>
          <w:highlight w:val="none"/>
        </w:rPr>
      </w:pPr>
      <w:bookmarkStart w:id="43" w:name="_Ref73022781"/>
      <w:bookmarkStart w:id="44" w:name="_Ref73023232"/>
      <w:r>
        <w:rPr>
          <w:rFonts w:hint="eastAsia" w:cs="Times New Roman"/>
          <w:highlight w:val="none"/>
          <w:lang w:val="en-US" w:eastAsia="zh-CN"/>
        </w:rPr>
        <w:t>民乐渠大桥</w:t>
      </w:r>
      <w:r>
        <w:rPr>
          <w:rFonts w:hint="eastAsia" w:cs="Times New Roman"/>
          <w:highlight w:val="none"/>
          <w:lang w:eastAsia="zh-CN"/>
        </w:rPr>
        <w:t>10#、11#</w:t>
      </w:r>
      <w:r>
        <w:rPr>
          <w:rFonts w:hint="eastAsia" w:cs="Times New Roman"/>
          <w:highlight w:val="none"/>
          <w:lang w:val="en-US" w:eastAsia="zh-CN"/>
        </w:rPr>
        <w:t>墩</w:t>
      </w:r>
      <w:r>
        <w:rPr>
          <w:rFonts w:hint="eastAsia" w:cs="Times New Roman"/>
          <w:highlight w:val="none"/>
          <w:lang w:eastAsia="zh-CN"/>
        </w:rPr>
        <w:t>XGT6015A-8S</w:t>
      </w:r>
      <w:r>
        <w:rPr>
          <w:rFonts w:hint="default" w:ascii="Times New Roman" w:hAnsi="Times New Roman" w:cs="Times New Roman"/>
        </w:rPr>
        <w:t>（</w:t>
      </w:r>
      <w:r>
        <w:rPr>
          <w:rFonts w:hint="eastAsia" w:cs="Times New Roman"/>
          <w:lang w:val="en-US" w:eastAsia="zh-CN"/>
        </w:rPr>
        <w:t>6</w:t>
      </w:r>
      <w:r>
        <w:rPr>
          <w:rFonts w:hint="default" w:ascii="Times New Roman" w:hAnsi="Times New Roman" w:cs="Times New Roman"/>
        </w:rPr>
        <w:t>0m）</w:t>
      </w:r>
      <w:r>
        <w:rPr>
          <w:rFonts w:hint="default" w:ascii="Times New Roman" w:hAnsi="Times New Roman" w:cs="Times New Roman"/>
          <w:highlight w:val="none"/>
        </w:rPr>
        <w:t>塔吊总体施工工期见表3.1-1。</w:t>
      </w:r>
    </w:p>
    <w:p w14:paraId="7E5F6948">
      <w:pPr>
        <w:pStyle w:val="14"/>
        <w:bidi w:val="0"/>
        <w:rPr>
          <w:rFonts w:hint="default" w:ascii="Times New Roman" w:hAnsi="Times New Roman" w:cs="Times New Roman"/>
          <w:highlight w:val="none"/>
        </w:rPr>
      </w:pPr>
      <w:r>
        <w:rPr>
          <w:rFonts w:hint="default" w:ascii="Times New Roman" w:hAnsi="Times New Roman" w:cs="Times New Roman"/>
          <w:highlight w:val="none"/>
        </w:rPr>
        <w:t>表</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STYLEREF 2 \s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3.1</w:t>
      </w:r>
      <w:r>
        <w:rPr>
          <w:rFonts w:hint="default" w:ascii="Times New Roman" w:hAnsi="Times New Roman" w:cs="Times New Roman"/>
          <w:highlight w:val="none"/>
        </w:rPr>
        <w:fldChar w:fldCharType="end"/>
      </w:r>
      <w:r>
        <w:rPr>
          <w:rFonts w:hint="default" w:ascii="Times New Roman" w:hAnsi="Times New Roman" w:cs="Times New Roman"/>
          <w:highlight w:val="none"/>
        </w:rPr>
        <w:t>-</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SEQ 表 \* ARABIC \s 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w:t>
      </w:r>
      <w:r>
        <w:rPr>
          <w:rFonts w:hint="default" w:ascii="Times New Roman" w:hAnsi="Times New Roman" w:cs="Times New Roman"/>
          <w:highlight w:val="none"/>
        </w:rPr>
        <w:fldChar w:fldCharType="end"/>
      </w:r>
      <w:r>
        <w:rPr>
          <w:rFonts w:hint="default" w:ascii="Times New Roman" w:hAnsi="Times New Roman" w:cs="Times New Roman"/>
          <w:highlight w:val="none"/>
        </w:rPr>
        <w:t xml:space="preserve"> </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rPr>
        <w:t>总体施工计划</w:t>
      </w:r>
    </w:p>
    <w:tbl>
      <w:tblPr>
        <w:tblStyle w:val="13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4"/>
        <w:gridCol w:w="1251"/>
        <w:gridCol w:w="1220"/>
        <w:gridCol w:w="1030"/>
        <w:gridCol w:w="1830"/>
        <w:gridCol w:w="1600"/>
        <w:gridCol w:w="1204"/>
      </w:tblGrid>
      <w:tr w14:paraId="20040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5" w:type="pct"/>
            <w:shd w:val="clear" w:color="auto" w:fill="auto"/>
            <w:vAlign w:val="center"/>
          </w:tcPr>
          <w:p w14:paraId="6BB1A302">
            <w:pPr>
              <w:pStyle w:val="15"/>
              <w:rPr>
                <w:rFonts w:hint="default" w:ascii="Times New Roman" w:hAnsi="Times New Roman" w:cs="Times New Roman"/>
                <w:b/>
                <w:sz w:val="20"/>
                <w:szCs w:val="20"/>
                <w:highlight w:val="none"/>
              </w:rPr>
            </w:pPr>
            <w:r>
              <w:rPr>
                <w:rFonts w:hint="default" w:ascii="Times New Roman" w:hAnsi="Times New Roman" w:cs="Times New Roman"/>
                <w:b/>
                <w:sz w:val="20"/>
                <w:szCs w:val="20"/>
                <w:highlight w:val="none"/>
              </w:rPr>
              <w:t>序号</w:t>
            </w:r>
          </w:p>
        </w:tc>
        <w:tc>
          <w:tcPr>
            <w:tcW w:w="734" w:type="pct"/>
            <w:shd w:val="clear" w:color="auto" w:fill="auto"/>
            <w:vAlign w:val="center"/>
          </w:tcPr>
          <w:p w14:paraId="24268960">
            <w:pPr>
              <w:pStyle w:val="15"/>
              <w:rPr>
                <w:rFonts w:hint="default" w:ascii="Times New Roman" w:hAnsi="Times New Roman" w:cs="Times New Roman"/>
                <w:b/>
                <w:sz w:val="20"/>
                <w:szCs w:val="20"/>
                <w:highlight w:val="none"/>
              </w:rPr>
            </w:pPr>
            <w:r>
              <w:rPr>
                <w:rFonts w:hint="default" w:ascii="Times New Roman" w:hAnsi="Times New Roman" w:cs="Times New Roman"/>
                <w:b/>
                <w:sz w:val="20"/>
                <w:szCs w:val="20"/>
                <w:highlight w:val="none"/>
              </w:rPr>
              <w:t>塔吊型号</w:t>
            </w:r>
          </w:p>
        </w:tc>
        <w:tc>
          <w:tcPr>
            <w:tcW w:w="716" w:type="pct"/>
            <w:shd w:val="clear" w:color="auto" w:fill="auto"/>
            <w:vAlign w:val="center"/>
          </w:tcPr>
          <w:p w14:paraId="327459E4">
            <w:pPr>
              <w:pStyle w:val="15"/>
              <w:rPr>
                <w:rFonts w:hint="default" w:ascii="Times New Roman" w:hAnsi="Times New Roman" w:cs="Times New Roman"/>
                <w:b/>
                <w:sz w:val="20"/>
                <w:szCs w:val="20"/>
                <w:highlight w:val="none"/>
              </w:rPr>
            </w:pPr>
            <w:r>
              <w:rPr>
                <w:rFonts w:hint="default" w:ascii="Times New Roman" w:hAnsi="Times New Roman" w:cs="Times New Roman"/>
                <w:b/>
                <w:sz w:val="20"/>
                <w:szCs w:val="20"/>
                <w:highlight w:val="none"/>
              </w:rPr>
              <w:t>项目</w:t>
            </w:r>
          </w:p>
        </w:tc>
        <w:tc>
          <w:tcPr>
            <w:tcW w:w="604" w:type="pct"/>
            <w:shd w:val="clear" w:color="auto" w:fill="auto"/>
            <w:vAlign w:val="center"/>
          </w:tcPr>
          <w:p w14:paraId="5918326E">
            <w:pPr>
              <w:pStyle w:val="15"/>
              <w:rPr>
                <w:rFonts w:hint="default" w:ascii="Times New Roman" w:hAnsi="Times New Roman" w:cs="Times New Roman"/>
                <w:b/>
                <w:sz w:val="20"/>
                <w:szCs w:val="20"/>
                <w:highlight w:val="none"/>
              </w:rPr>
            </w:pPr>
            <w:r>
              <w:rPr>
                <w:rFonts w:hint="default" w:ascii="Times New Roman" w:hAnsi="Times New Roman" w:cs="Times New Roman"/>
                <w:b/>
                <w:sz w:val="20"/>
                <w:szCs w:val="20"/>
                <w:highlight w:val="none"/>
              </w:rPr>
              <w:t>计划工期</w:t>
            </w:r>
          </w:p>
        </w:tc>
        <w:tc>
          <w:tcPr>
            <w:tcW w:w="1074" w:type="pct"/>
            <w:shd w:val="clear" w:color="auto" w:fill="auto"/>
            <w:vAlign w:val="center"/>
          </w:tcPr>
          <w:p w14:paraId="24F6F3AA">
            <w:pPr>
              <w:pStyle w:val="15"/>
              <w:rPr>
                <w:rFonts w:hint="default" w:ascii="Times New Roman" w:hAnsi="Times New Roman" w:cs="Times New Roman"/>
                <w:b/>
                <w:sz w:val="20"/>
                <w:szCs w:val="20"/>
                <w:highlight w:val="yellow"/>
              </w:rPr>
            </w:pPr>
            <w:r>
              <w:rPr>
                <w:rFonts w:hint="default" w:ascii="Times New Roman" w:hAnsi="Times New Roman" w:cs="Times New Roman"/>
                <w:b/>
                <w:sz w:val="20"/>
                <w:szCs w:val="20"/>
                <w:highlight w:val="none"/>
                <w:shd w:val="clear"/>
              </w:rPr>
              <w:t>计划开始时间</w:t>
            </w:r>
          </w:p>
        </w:tc>
        <w:tc>
          <w:tcPr>
            <w:tcW w:w="939" w:type="pct"/>
            <w:shd w:val="clear" w:color="auto" w:fill="auto"/>
            <w:vAlign w:val="center"/>
          </w:tcPr>
          <w:p w14:paraId="440A6BA8">
            <w:pPr>
              <w:pStyle w:val="15"/>
              <w:rPr>
                <w:rFonts w:hint="default" w:ascii="Times New Roman" w:hAnsi="Times New Roman" w:cs="Times New Roman"/>
                <w:b/>
                <w:sz w:val="20"/>
                <w:szCs w:val="20"/>
                <w:highlight w:val="yellow"/>
              </w:rPr>
            </w:pPr>
            <w:r>
              <w:rPr>
                <w:rFonts w:hint="default" w:ascii="Times New Roman" w:hAnsi="Times New Roman" w:cs="Times New Roman"/>
                <w:b/>
                <w:sz w:val="20"/>
                <w:szCs w:val="20"/>
                <w:highlight w:val="none"/>
              </w:rPr>
              <w:t>计划结束时间</w:t>
            </w:r>
          </w:p>
        </w:tc>
        <w:tc>
          <w:tcPr>
            <w:tcW w:w="706" w:type="pct"/>
            <w:shd w:val="clear" w:color="auto" w:fill="auto"/>
            <w:vAlign w:val="center"/>
          </w:tcPr>
          <w:p w14:paraId="479AE144">
            <w:pPr>
              <w:pStyle w:val="15"/>
              <w:rPr>
                <w:rFonts w:hint="default" w:ascii="Times New Roman" w:hAnsi="Times New Roman" w:cs="Times New Roman"/>
                <w:b/>
                <w:sz w:val="20"/>
                <w:szCs w:val="20"/>
                <w:highlight w:val="none"/>
              </w:rPr>
            </w:pPr>
            <w:r>
              <w:rPr>
                <w:rFonts w:hint="default" w:ascii="Times New Roman" w:hAnsi="Times New Roman" w:cs="Times New Roman"/>
                <w:b/>
                <w:sz w:val="20"/>
                <w:szCs w:val="20"/>
                <w:highlight w:val="none"/>
              </w:rPr>
              <w:t>备注</w:t>
            </w:r>
          </w:p>
        </w:tc>
      </w:tr>
      <w:tr w14:paraId="4F44D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5" w:type="pct"/>
            <w:shd w:val="clear" w:color="auto" w:fill="auto"/>
            <w:vAlign w:val="center"/>
          </w:tcPr>
          <w:p w14:paraId="0FF191A8">
            <w:pPr>
              <w:pStyle w:val="15"/>
              <w:rPr>
                <w:rFonts w:hint="default" w:ascii="Times New Roman" w:hAnsi="Times New Roman" w:cs="Times New Roman"/>
                <w:b w:val="0"/>
                <w:bCs/>
                <w:highlight w:val="none"/>
              </w:rPr>
            </w:pPr>
            <w:r>
              <w:rPr>
                <w:rFonts w:hint="default" w:ascii="Times New Roman" w:hAnsi="Times New Roman" w:cs="Times New Roman"/>
                <w:b w:val="0"/>
                <w:bCs/>
                <w:highlight w:val="none"/>
              </w:rPr>
              <w:t>1</w:t>
            </w:r>
          </w:p>
        </w:tc>
        <w:tc>
          <w:tcPr>
            <w:tcW w:w="734" w:type="pct"/>
            <w:vMerge w:val="restart"/>
            <w:shd w:val="clear" w:color="auto" w:fill="auto"/>
            <w:vAlign w:val="center"/>
          </w:tcPr>
          <w:p w14:paraId="73B3F0CB">
            <w:pPr>
              <w:pStyle w:val="15"/>
              <w:rPr>
                <w:rFonts w:hint="default" w:ascii="Times New Roman" w:hAnsi="Times New Roman" w:cs="Times New Roman"/>
                <w:b w:val="0"/>
                <w:bCs/>
                <w:highlight w:val="none"/>
              </w:rPr>
            </w:pPr>
            <w:r>
              <w:rPr>
                <w:rFonts w:hint="eastAsia" w:cs="Times New Roman"/>
                <w:b w:val="0"/>
                <w:bCs/>
                <w:highlight w:val="none"/>
                <w:lang w:eastAsia="zh-CN"/>
              </w:rPr>
              <w:t>XGT6015A-8S</w:t>
            </w:r>
            <w:r>
              <w:rPr>
                <w:rFonts w:hint="default" w:ascii="Times New Roman" w:hAnsi="Times New Roman" w:cs="Times New Roman"/>
                <w:b w:val="0"/>
                <w:bCs/>
                <w:highlight w:val="none"/>
              </w:rPr>
              <w:t>（</w:t>
            </w:r>
            <w:r>
              <w:rPr>
                <w:rFonts w:hint="eastAsia" w:cs="Times New Roman"/>
                <w:b w:val="0"/>
                <w:bCs/>
                <w:highlight w:val="none"/>
                <w:lang w:val="en-US" w:eastAsia="zh-CN"/>
              </w:rPr>
              <w:t>6</w:t>
            </w:r>
            <w:r>
              <w:rPr>
                <w:rFonts w:hint="default" w:ascii="Times New Roman" w:hAnsi="Times New Roman" w:cs="Times New Roman"/>
                <w:b w:val="0"/>
                <w:bCs/>
                <w:highlight w:val="none"/>
              </w:rPr>
              <w:t>0m）</w:t>
            </w:r>
          </w:p>
        </w:tc>
        <w:tc>
          <w:tcPr>
            <w:tcW w:w="716" w:type="pct"/>
            <w:shd w:val="clear" w:color="auto" w:fill="auto"/>
            <w:vAlign w:val="center"/>
          </w:tcPr>
          <w:p w14:paraId="16262468">
            <w:pPr>
              <w:pStyle w:val="15"/>
              <w:rPr>
                <w:rFonts w:hint="default" w:ascii="Times New Roman" w:hAnsi="Times New Roman" w:cs="Times New Roman"/>
                <w:b w:val="0"/>
                <w:bCs/>
                <w:highlight w:val="none"/>
              </w:rPr>
            </w:pPr>
            <w:r>
              <w:rPr>
                <w:rFonts w:hint="default" w:ascii="Times New Roman" w:hAnsi="Times New Roman" w:cs="Times New Roman"/>
                <w:b w:val="0"/>
                <w:bCs/>
                <w:highlight w:val="none"/>
              </w:rPr>
              <w:t>基础施工</w:t>
            </w:r>
          </w:p>
        </w:tc>
        <w:tc>
          <w:tcPr>
            <w:tcW w:w="604" w:type="pct"/>
            <w:shd w:val="clear" w:color="auto" w:fill="auto"/>
            <w:vAlign w:val="center"/>
          </w:tcPr>
          <w:p w14:paraId="7112570C">
            <w:pPr>
              <w:pStyle w:val="15"/>
              <w:ind w:firstLine="0" w:firstLineChars="0"/>
              <w:rPr>
                <w:rFonts w:hint="default" w:ascii="Times New Roman" w:hAnsi="Times New Roman" w:cs="Times New Roman"/>
                <w:b w:val="0"/>
                <w:bCs/>
                <w:highlight w:val="none"/>
              </w:rPr>
            </w:pPr>
          </w:p>
        </w:tc>
        <w:tc>
          <w:tcPr>
            <w:tcW w:w="1074" w:type="pct"/>
            <w:shd w:val="clear" w:color="auto" w:fill="auto"/>
            <w:vAlign w:val="center"/>
          </w:tcPr>
          <w:p w14:paraId="4593E682">
            <w:pPr>
              <w:pStyle w:val="15"/>
              <w:ind w:firstLine="0" w:firstLineChars="0"/>
              <w:rPr>
                <w:rFonts w:hint="default" w:ascii="Times New Roman" w:hAnsi="Times New Roman" w:cs="Times New Roman"/>
                <w:b w:val="0"/>
                <w:bCs/>
                <w:highlight w:val="yellow"/>
              </w:rPr>
            </w:pPr>
          </w:p>
        </w:tc>
        <w:tc>
          <w:tcPr>
            <w:tcW w:w="939" w:type="pct"/>
            <w:shd w:val="clear" w:color="auto" w:fill="auto"/>
            <w:vAlign w:val="center"/>
          </w:tcPr>
          <w:p w14:paraId="753A1557">
            <w:pPr>
              <w:pStyle w:val="15"/>
              <w:ind w:firstLine="0" w:firstLineChars="0"/>
              <w:rPr>
                <w:rFonts w:hint="default" w:ascii="Times New Roman" w:hAnsi="Times New Roman" w:cs="Times New Roman"/>
                <w:b w:val="0"/>
                <w:bCs/>
                <w:highlight w:val="none"/>
              </w:rPr>
            </w:pPr>
          </w:p>
        </w:tc>
        <w:tc>
          <w:tcPr>
            <w:tcW w:w="706" w:type="pct"/>
            <w:shd w:val="clear" w:color="auto" w:fill="auto"/>
            <w:vAlign w:val="center"/>
          </w:tcPr>
          <w:p w14:paraId="5BAB5B4D">
            <w:pPr>
              <w:pStyle w:val="15"/>
              <w:rPr>
                <w:rFonts w:hint="default" w:ascii="Times New Roman" w:hAnsi="Times New Roman" w:cs="Times New Roman"/>
                <w:b w:val="0"/>
                <w:bCs/>
                <w:highlight w:val="none"/>
              </w:rPr>
            </w:pPr>
          </w:p>
        </w:tc>
      </w:tr>
      <w:tr w14:paraId="323B38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25" w:type="pct"/>
            <w:shd w:val="clear" w:color="auto" w:fill="auto"/>
            <w:vAlign w:val="center"/>
          </w:tcPr>
          <w:p w14:paraId="67F972C5">
            <w:pPr>
              <w:pStyle w:val="15"/>
              <w:rPr>
                <w:rFonts w:hint="default" w:ascii="Times New Roman" w:hAnsi="Times New Roman" w:cs="Times New Roman"/>
                <w:b w:val="0"/>
                <w:bCs/>
                <w:highlight w:val="none"/>
              </w:rPr>
            </w:pPr>
            <w:r>
              <w:rPr>
                <w:rFonts w:hint="default" w:ascii="Times New Roman" w:hAnsi="Times New Roman" w:cs="Times New Roman"/>
                <w:b w:val="0"/>
                <w:bCs/>
                <w:highlight w:val="none"/>
              </w:rPr>
              <w:t>2</w:t>
            </w:r>
          </w:p>
        </w:tc>
        <w:tc>
          <w:tcPr>
            <w:tcW w:w="734" w:type="pct"/>
            <w:vMerge w:val="continue"/>
            <w:shd w:val="clear" w:color="auto" w:fill="auto"/>
            <w:vAlign w:val="center"/>
          </w:tcPr>
          <w:p w14:paraId="76414FBA">
            <w:pPr>
              <w:pStyle w:val="15"/>
              <w:rPr>
                <w:rFonts w:hint="default" w:ascii="Times New Roman" w:hAnsi="Times New Roman" w:cs="Times New Roman"/>
                <w:b w:val="0"/>
                <w:bCs/>
                <w:highlight w:val="none"/>
              </w:rPr>
            </w:pPr>
          </w:p>
        </w:tc>
        <w:tc>
          <w:tcPr>
            <w:tcW w:w="716" w:type="pct"/>
            <w:shd w:val="clear" w:color="auto" w:fill="auto"/>
            <w:vAlign w:val="center"/>
          </w:tcPr>
          <w:p w14:paraId="7EE9C979">
            <w:pPr>
              <w:pStyle w:val="15"/>
              <w:rPr>
                <w:rFonts w:hint="default" w:ascii="Times New Roman" w:hAnsi="Times New Roman" w:cs="Times New Roman"/>
                <w:b w:val="0"/>
                <w:bCs/>
                <w:highlight w:val="none"/>
              </w:rPr>
            </w:pPr>
            <w:r>
              <w:rPr>
                <w:rFonts w:hint="default" w:ascii="Times New Roman" w:hAnsi="Times New Roman" w:cs="Times New Roman"/>
                <w:b w:val="0"/>
                <w:bCs/>
                <w:highlight w:val="none"/>
              </w:rPr>
              <w:t>整机安装</w:t>
            </w:r>
          </w:p>
        </w:tc>
        <w:tc>
          <w:tcPr>
            <w:tcW w:w="604" w:type="pct"/>
            <w:shd w:val="clear" w:color="auto" w:fill="auto"/>
            <w:vAlign w:val="center"/>
          </w:tcPr>
          <w:p w14:paraId="07111DCB">
            <w:pPr>
              <w:pStyle w:val="15"/>
              <w:ind w:firstLine="0" w:firstLineChars="0"/>
              <w:rPr>
                <w:rFonts w:hint="default" w:ascii="Times New Roman" w:hAnsi="Times New Roman" w:cs="Times New Roman"/>
                <w:b w:val="0"/>
                <w:bCs/>
                <w:highlight w:val="none"/>
              </w:rPr>
            </w:pPr>
            <w:r>
              <w:rPr>
                <w:rFonts w:hint="eastAsia"/>
                <w:b w:val="0"/>
                <w:bCs/>
                <w:highlight w:val="none"/>
                <w:lang w:val="en-US" w:eastAsia="zh-CN"/>
              </w:rPr>
              <w:t>3</w:t>
            </w:r>
            <w:r>
              <w:rPr>
                <w:b w:val="0"/>
                <w:bCs/>
                <w:highlight w:val="none"/>
              </w:rPr>
              <w:t>d</w:t>
            </w:r>
          </w:p>
        </w:tc>
        <w:tc>
          <w:tcPr>
            <w:tcW w:w="1074" w:type="pct"/>
            <w:shd w:val="clear" w:color="auto" w:fill="auto"/>
            <w:vAlign w:val="center"/>
          </w:tcPr>
          <w:p w14:paraId="1329885C">
            <w:pPr>
              <w:pStyle w:val="15"/>
              <w:ind w:firstLine="0" w:firstLineChars="0"/>
              <w:rPr>
                <w:rFonts w:hint="default" w:ascii="Times New Roman" w:hAnsi="Times New Roman" w:cs="Times New Roman"/>
                <w:b w:val="0"/>
                <w:bCs/>
                <w:highlight w:val="none"/>
              </w:rPr>
            </w:pPr>
          </w:p>
        </w:tc>
        <w:tc>
          <w:tcPr>
            <w:tcW w:w="939" w:type="pct"/>
            <w:shd w:val="clear" w:color="auto" w:fill="auto"/>
            <w:vAlign w:val="center"/>
          </w:tcPr>
          <w:p w14:paraId="070AD538">
            <w:pPr>
              <w:pStyle w:val="15"/>
              <w:ind w:firstLine="0" w:firstLineChars="0"/>
              <w:rPr>
                <w:rFonts w:hint="default" w:ascii="Times New Roman" w:hAnsi="Times New Roman" w:cs="Times New Roman"/>
                <w:b w:val="0"/>
                <w:bCs/>
                <w:highlight w:val="none"/>
                <w:lang w:val="en-US"/>
              </w:rPr>
            </w:pPr>
          </w:p>
        </w:tc>
        <w:tc>
          <w:tcPr>
            <w:tcW w:w="706" w:type="pct"/>
            <w:shd w:val="clear" w:color="auto" w:fill="auto"/>
            <w:vAlign w:val="center"/>
          </w:tcPr>
          <w:p w14:paraId="7921FA08">
            <w:pPr>
              <w:pStyle w:val="15"/>
              <w:rPr>
                <w:rFonts w:hint="default" w:ascii="Times New Roman" w:hAnsi="Times New Roman" w:cs="Times New Roman"/>
                <w:b w:val="0"/>
                <w:bCs/>
                <w:highlight w:val="none"/>
              </w:rPr>
            </w:pPr>
          </w:p>
        </w:tc>
      </w:tr>
      <w:tr w14:paraId="601C21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5" w:type="pct"/>
            <w:shd w:val="clear" w:color="auto" w:fill="auto"/>
            <w:vAlign w:val="center"/>
          </w:tcPr>
          <w:p w14:paraId="50B9A60A">
            <w:pPr>
              <w:pStyle w:val="15"/>
              <w:rPr>
                <w:rFonts w:hint="default" w:ascii="Times New Roman" w:hAnsi="Times New Roman" w:cs="Times New Roman"/>
                <w:b w:val="0"/>
                <w:bCs/>
                <w:highlight w:val="none"/>
              </w:rPr>
            </w:pPr>
            <w:r>
              <w:rPr>
                <w:rFonts w:hint="default" w:ascii="Times New Roman" w:hAnsi="Times New Roman" w:cs="Times New Roman"/>
                <w:b w:val="0"/>
                <w:bCs/>
                <w:highlight w:val="none"/>
              </w:rPr>
              <w:t>3</w:t>
            </w:r>
          </w:p>
        </w:tc>
        <w:tc>
          <w:tcPr>
            <w:tcW w:w="734" w:type="pct"/>
            <w:vMerge w:val="continue"/>
            <w:shd w:val="clear" w:color="auto" w:fill="auto"/>
            <w:vAlign w:val="center"/>
          </w:tcPr>
          <w:p w14:paraId="7F816CB6">
            <w:pPr>
              <w:pStyle w:val="15"/>
              <w:rPr>
                <w:rFonts w:hint="default" w:ascii="Times New Roman" w:hAnsi="Times New Roman" w:cs="Times New Roman"/>
                <w:b w:val="0"/>
                <w:bCs/>
                <w:highlight w:val="none"/>
              </w:rPr>
            </w:pPr>
          </w:p>
        </w:tc>
        <w:tc>
          <w:tcPr>
            <w:tcW w:w="716" w:type="pct"/>
            <w:shd w:val="clear" w:color="auto" w:fill="auto"/>
            <w:vAlign w:val="center"/>
          </w:tcPr>
          <w:p w14:paraId="442CF0E2">
            <w:pPr>
              <w:pStyle w:val="15"/>
              <w:rPr>
                <w:rFonts w:hint="default" w:ascii="Times New Roman" w:hAnsi="Times New Roman" w:cs="Times New Roman"/>
                <w:b w:val="0"/>
                <w:bCs/>
                <w:highlight w:val="none"/>
              </w:rPr>
            </w:pPr>
            <w:r>
              <w:rPr>
                <w:rFonts w:hint="default" w:ascii="Times New Roman" w:hAnsi="Times New Roman" w:cs="Times New Roman"/>
                <w:b w:val="0"/>
                <w:bCs/>
                <w:highlight w:val="none"/>
              </w:rPr>
              <w:t>整机拆除</w:t>
            </w:r>
          </w:p>
        </w:tc>
        <w:tc>
          <w:tcPr>
            <w:tcW w:w="604" w:type="pct"/>
            <w:shd w:val="clear" w:color="auto" w:fill="auto"/>
            <w:vAlign w:val="center"/>
          </w:tcPr>
          <w:p w14:paraId="1C866B5E">
            <w:pPr>
              <w:pStyle w:val="15"/>
              <w:ind w:firstLine="0" w:firstLineChars="0"/>
              <w:rPr>
                <w:rFonts w:hint="default" w:ascii="Times New Roman" w:hAnsi="Times New Roman" w:cs="Times New Roman"/>
                <w:b w:val="0"/>
                <w:bCs/>
                <w:highlight w:val="none"/>
              </w:rPr>
            </w:pPr>
            <w:r>
              <w:rPr>
                <w:rFonts w:hint="eastAsia"/>
                <w:b w:val="0"/>
                <w:bCs/>
                <w:highlight w:val="none"/>
                <w:lang w:val="en-US" w:eastAsia="zh-CN"/>
              </w:rPr>
              <w:t>3</w:t>
            </w:r>
            <w:r>
              <w:rPr>
                <w:b w:val="0"/>
                <w:bCs/>
                <w:highlight w:val="none"/>
              </w:rPr>
              <w:t>d</w:t>
            </w:r>
          </w:p>
        </w:tc>
        <w:tc>
          <w:tcPr>
            <w:tcW w:w="1074" w:type="pct"/>
            <w:shd w:val="clear" w:color="auto" w:fill="auto"/>
            <w:vAlign w:val="center"/>
          </w:tcPr>
          <w:p w14:paraId="2E7DE9B8">
            <w:pPr>
              <w:pStyle w:val="15"/>
              <w:ind w:firstLine="0" w:firstLineChars="0"/>
              <w:rPr>
                <w:rFonts w:hint="default" w:ascii="Times New Roman" w:hAnsi="Times New Roman" w:cs="Times New Roman"/>
                <w:b w:val="0"/>
                <w:bCs/>
                <w:highlight w:val="none"/>
              </w:rPr>
            </w:pPr>
          </w:p>
        </w:tc>
        <w:tc>
          <w:tcPr>
            <w:tcW w:w="939" w:type="pct"/>
            <w:shd w:val="clear" w:color="auto" w:fill="auto"/>
            <w:vAlign w:val="center"/>
          </w:tcPr>
          <w:p w14:paraId="408AF03B">
            <w:pPr>
              <w:pStyle w:val="15"/>
              <w:ind w:firstLine="0" w:firstLineChars="0"/>
              <w:rPr>
                <w:rFonts w:hint="default" w:ascii="Times New Roman" w:hAnsi="Times New Roman" w:cs="Times New Roman"/>
                <w:b w:val="0"/>
                <w:bCs/>
                <w:highlight w:val="none"/>
              </w:rPr>
            </w:pPr>
          </w:p>
        </w:tc>
        <w:tc>
          <w:tcPr>
            <w:tcW w:w="706" w:type="pct"/>
            <w:shd w:val="clear" w:color="auto" w:fill="auto"/>
            <w:vAlign w:val="center"/>
          </w:tcPr>
          <w:p w14:paraId="2C8A7E31">
            <w:pPr>
              <w:pStyle w:val="15"/>
              <w:rPr>
                <w:rFonts w:hint="default" w:ascii="Times New Roman" w:hAnsi="Times New Roman" w:cs="Times New Roman"/>
                <w:b w:val="0"/>
                <w:bCs/>
                <w:highlight w:val="none"/>
              </w:rPr>
            </w:pPr>
          </w:p>
        </w:tc>
      </w:tr>
      <w:bookmarkEnd w:id="43"/>
      <w:bookmarkEnd w:id="44"/>
    </w:tbl>
    <w:p w14:paraId="299079DA">
      <w:pPr>
        <w:pStyle w:val="5"/>
        <w:bidi w:val="0"/>
        <w:rPr>
          <w:rFonts w:hint="default"/>
          <w:lang w:val="en-US" w:eastAsia="zh-CN"/>
        </w:rPr>
      </w:pPr>
      <w:bookmarkStart w:id="45" w:name="_Toc20428"/>
      <w:r>
        <w:rPr>
          <w:rFonts w:hint="eastAsia"/>
          <w:lang w:val="en-US" w:eastAsia="zh-CN"/>
        </w:rPr>
        <w:t>材料计划</w:t>
      </w:r>
      <w:bookmarkEnd w:id="45"/>
    </w:p>
    <w:p w14:paraId="4D49CC1C">
      <w:pPr>
        <w:pStyle w:val="6"/>
        <w:bidi w:val="0"/>
        <w:rPr>
          <w:rFonts w:hint="default"/>
          <w:lang w:val="en-US" w:eastAsia="zh-CN"/>
        </w:rPr>
      </w:pPr>
      <w:r>
        <w:rPr>
          <w:rFonts w:hint="default"/>
          <w:lang w:val="en-US" w:eastAsia="zh-CN"/>
        </w:rPr>
        <w:t>塔式起重机部件计划</w:t>
      </w:r>
    </w:p>
    <w:p w14:paraId="5A37176D">
      <w:pPr>
        <w:pStyle w:val="46"/>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3.2.1</w:t>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XGT6015A-8S</w:t>
      </w:r>
      <w:r>
        <w:rPr>
          <w:color w:val="000000" w:themeColor="text1"/>
          <w14:textFill>
            <w14:solidFill>
              <w14:schemeClr w14:val="tx1"/>
            </w14:solidFill>
          </w14:textFill>
        </w:rPr>
        <w:t>塔式起重机主要吊装单元重量</w:t>
      </w:r>
    </w:p>
    <w:tbl>
      <w:tblPr>
        <w:tblStyle w:val="71"/>
        <w:tblW w:w="916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85"/>
        <w:gridCol w:w="1724"/>
        <w:gridCol w:w="720"/>
        <w:gridCol w:w="720"/>
        <w:gridCol w:w="1328"/>
        <w:gridCol w:w="2092"/>
      </w:tblGrid>
      <w:tr w14:paraId="27D925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00" w:type="dxa"/>
            <w:vAlign w:val="center"/>
          </w:tcPr>
          <w:p w14:paraId="481D1A6D">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序号</w:t>
            </w:r>
          </w:p>
        </w:tc>
        <w:tc>
          <w:tcPr>
            <w:tcW w:w="1685" w:type="dxa"/>
            <w:vAlign w:val="center"/>
          </w:tcPr>
          <w:p w14:paraId="02640A1B">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部件各称</w:t>
            </w:r>
          </w:p>
        </w:tc>
        <w:tc>
          <w:tcPr>
            <w:tcW w:w="1724" w:type="dxa"/>
            <w:vAlign w:val="center"/>
          </w:tcPr>
          <w:p w14:paraId="2F6F18C2">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规格型号</w:t>
            </w:r>
          </w:p>
        </w:tc>
        <w:tc>
          <w:tcPr>
            <w:tcW w:w="720" w:type="dxa"/>
            <w:vAlign w:val="center"/>
          </w:tcPr>
          <w:p w14:paraId="7C604F39">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单位</w:t>
            </w:r>
          </w:p>
        </w:tc>
        <w:tc>
          <w:tcPr>
            <w:tcW w:w="720" w:type="dxa"/>
            <w:vAlign w:val="center"/>
          </w:tcPr>
          <w:p w14:paraId="163A1B38">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数量</w:t>
            </w:r>
          </w:p>
        </w:tc>
        <w:tc>
          <w:tcPr>
            <w:tcW w:w="1328" w:type="dxa"/>
            <w:vAlign w:val="center"/>
          </w:tcPr>
          <w:p w14:paraId="11C7AC1D">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单重（t）</w:t>
            </w:r>
          </w:p>
        </w:tc>
        <w:tc>
          <w:tcPr>
            <w:tcW w:w="2092" w:type="dxa"/>
            <w:vAlign w:val="center"/>
          </w:tcPr>
          <w:p w14:paraId="61DBF080">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备注</w:t>
            </w:r>
          </w:p>
        </w:tc>
      </w:tr>
      <w:tr w14:paraId="57A9C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900" w:type="dxa"/>
            <w:vAlign w:val="center"/>
          </w:tcPr>
          <w:p w14:paraId="0C977D30">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685" w:type="dxa"/>
            <w:vAlign w:val="center"/>
          </w:tcPr>
          <w:p w14:paraId="108302ED">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起重臂总成</w:t>
            </w:r>
          </w:p>
        </w:tc>
        <w:tc>
          <w:tcPr>
            <w:tcW w:w="1724" w:type="dxa"/>
            <w:vAlign w:val="center"/>
          </w:tcPr>
          <w:p w14:paraId="21F99736">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0m</w:t>
            </w:r>
          </w:p>
        </w:tc>
        <w:tc>
          <w:tcPr>
            <w:tcW w:w="720" w:type="dxa"/>
            <w:vAlign w:val="center"/>
          </w:tcPr>
          <w:p w14:paraId="56B1209D">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套</w:t>
            </w:r>
          </w:p>
        </w:tc>
        <w:tc>
          <w:tcPr>
            <w:tcW w:w="720" w:type="dxa"/>
            <w:vAlign w:val="center"/>
          </w:tcPr>
          <w:p w14:paraId="29D9CD38">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328" w:type="dxa"/>
            <w:vAlign w:val="center"/>
          </w:tcPr>
          <w:p w14:paraId="7DCA22E5">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2.771</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1.567</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1.443</w:t>
            </w:r>
          </w:p>
          <w:p w14:paraId="66C91832">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0.533</w:t>
            </w:r>
          </w:p>
          <w:p w14:paraId="7DADB24E">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0.79+0.703</w:t>
            </w:r>
          </w:p>
          <w:p w14:paraId="0009CE0C">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r>
              <w:rPr>
                <w:rFonts w:hint="eastAsia" w:ascii="宋体" w:hAnsi="宋体" w:eastAsia="宋体" w:cs="宋体"/>
                <w:color w:val="000000" w:themeColor="text1"/>
                <w:sz w:val="21"/>
                <w:szCs w:val="21"/>
                <w:lang w:val="en-US" w:eastAsia="zh-CN"/>
                <w14:textFill>
                  <w14:solidFill>
                    <w14:schemeClr w14:val="tx1"/>
                  </w14:solidFill>
                </w14:textFill>
              </w:rPr>
              <w:t>231+0.218+0.133</w:t>
            </w:r>
          </w:p>
        </w:tc>
        <w:tc>
          <w:tcPr>
            <w:tcW w:w="2092" w:type="dxa"/>
            <w:vAlign w:val="center"/>
          </w:tcPr>
          <w:p w14:paraId="770E2E21">
            <w:pPr>
              <w:pStyle w:val="85"/>
              <w:rPr>
                <w:rFonts w:hint="eastAsia"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T1211</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T1213</w:t>
            </w:r>
          </w:p>
          <w:p w14:paraId="233B9CF2">
            <w:pPr>
              <w:pStyle w:val="85"/>
              <w:rPr>
                <w:rFonts w:hint="eastAsia"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T1214</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T1215</w:t>
            </w:r>
          </w:p>
          <w:p w14:paraId="74B451D6">
            <w:pPr>
              <w:pStyle w:val="85"/>
              <w:rPr>
                <w:rFonts w:hint="eastAsia"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T1206+T1216+T1209+T1210</w:t>
            </w:r>
          </w:p>
          <w:p w14:paraId="49368391">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+臂</w:t>
            </w:r>
            <w:r>
              <w:rPr>
                <w:rFonts w:hint="eastAsia" w:ascii="宋体" w:hAnsi="宋体" w:eastAsia="宋体" w:cs="宋体"/>
                <w:color w:val="000000" w:themeColor="text1"/>
                <w:sz w:val="21"/>
                <w:szCs w:val="21"/>
                <w:lang w:val="en-US" w:eastAsia="zh-CN"/>
                <w14:textFill>
                  <w14:solidFill>
                    <w14:schemeClr w14:val="tx1"/>
                  </w14:solidFill>
                </w14:textFill>
              </w:rPr>
              <w:t>头</w:t>
            </w:r>
          </w:p>
        </w:tc>
      </w:tr>
      <w:tr w14:paraId="71F150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14:paraId="4AFF3139">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1685" w:type="dxa"/>
            <w:vAlign w:val="center"/>
          </w:tcPr>
          <w:p w14:paraId="301C2078">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平衡臂总成</w:t>
            </w:r>
          </w:p>
        </w:tc>
        <w:tc>
          <w:tcPr>
            <w:tcW w:w="1724" w:type="dxa"/>
            <w:vAlign w:val="center"/>
          </w:tcPr>
          <w:p w14:paraId="6C55B5B3">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10.2</w:t>
            </w:r>
            <w:r>
              <w:rPr>
                <w:rFonts w:hint="eastAsia" w:ascii="宋体" w:hAnsi="宋体" w:eastAsia="宋体" w:cs="宋体"/>
                <w:color w:val="000000" w:themeColor="text1"/>
                <w:sz w:val="21"/>
                <w:szCs w:val="21"/>
                <w14:textFill>
                  <w14:solidFill>
                    <w14:schemeClr w14:val="tx1"/>
                  </w14:solidFill>
                </w14:textFill>
              </w:rPr>
              <w:t>m</w:t>
            </w:r>
          </w:p>
        </w:tc>
        <w:tc>
          <w:tcPr>
            <w:tcW w:w="720" w:type="dxa"/>
            <w:vAlign w:val="center"/>
          </w:tcPr>
          <w:p w14:paraId="6AAAA4CF">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套</w:t>
            </w:r>
          </w:p>
        </w:tc>
        <w:tc>
          <w:tcPr>
            <w:tcW w:w="720" w:type="dxa"/>
            <w:vAlign w:val="center"/>
          </w:tcPr>
          <w:p w14:paraId="6115813D">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328" w:type="dxa"/>
            <w:vAlign w:val="center"/>
          </w:tcPr>
          <w:p w14:paraId="407FED88">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5.027</w:t>
            </w:r>
          </w:p>
        </w:tc>
        <w:tc>
          <w:tcPr>
            <w:tcW w:w="2092" w:type="dxa"/>
            <w:vAlign w:val="center"/>
          </w:tcPr>
          <w:p w14:paraId="22D3441C">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平衡臂拉杆、起升机构、配电柜</w:t>
            </w:r>
          </w:p>
        </w:tc>
      </w:tr>
      <w:tr w14:paraId="01556D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00" w:type="dxa"/>
            <w:vAlign w:val="center"/>
          </w:tcPr>
          <w:p w14:paraId="1D0E183F">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p>
        </w:tc>
        <w:tc>
          <w:tcPr>
            <w:tcW w:w="1685" w:type="dxa"/>
            <w:vAlign w:val="center"/>
          </w:tcPr>
          <w:p w14:paraId="27E8FCAF">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回转总成</w:t>
            </w:r>
          </w:p>
        </w:tc>
        <w:tc>
          <w:tcPr>
            <w:tcW w:w="1724" w:type="dxa"/>
            <w:vAlign w:val="center"/>
          </w:tcPr>
          <w:p w14:paraId="21E7DF65">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1.8</w:t>
            </w:r>
            <w:r>
              <w:rPr>
                <w:rFonts w:hint="eastAsia" w:ascii="宋体" w:hAnsi="宋体" w:eastAsia="宋体" w:cs="宋体"/>
                <w:color w:val="000000" w:themeColor="text1"/>
                <w:sz w:val="21"/>
                <w:szCs w:val="21"/>
                <w:highlight w:val="none"/>
                <w14:textFill>
                  <w14:solidFill>
                    <w14:schemeClr w14:val="tx1"/>
                  </w14:solidFill>
                </w14:textFill>
              </w:rPr>
              <w:t>x</w:t>
            </w:r>
            <w:r>
              <w:rPr>
                <w:rFonts w:hint="eastAsia" w:ascii="宋体" w:hAnsi="宋体" w:eastAsia="宋体" w:cs="宋体"/>
                <w:color w:val="000000" w:themeColor="text1"/>
                <w:sz w:val="21"/>
                <w:szCs w:val="21"/>
                <w:highlight w:val="none"/>
                <w:lang w:val="en-US" w:eastAsia="zh-CN"/>
                <w14:textFill>
                  <w14:solidFill>
                    <w14:schemeClr w14:val="tx1"/>
                  </w14:solidFill>
                </w14:textFill>
              </w:rPr>
              <w:t>1.9</w:t>
            </w:r>
            <w:r>
              <w:rPr>
                <w:rFonts w:hint="eastAsia" w:ascii="宋体" w:hAnsi="宋体" w:eastAsia="宋体" w:cs="宋体"/>
                <w:color w:val="000000" w:themeColor="text1"/>
                <w:sz w:val="21"/>
                <w:szCs w:val="21"/>
                <w:highlight w:val="none"/>
                <w14:textFill>
                  <w14:solidFill>
                    <w14:schemeClr w14:val="tx1"/>
                  </w14:solidFill>
                </w14:textFill>
              </w:rPr>
              <w:t>x</w:t>
            </w:r>
            <w:r>
              <w:rPr>
                <w:rFonts w:hint="eastAsia" w:ascii="宋体" w:hAnsi="宋体" w:eastAsia="宋体" w:cs="宋体"/>
                <w:color w:val="000000" w:themeColor="text1"/>
                <w:sz w:val="21"/>
                <w:szCs w:val="21"/>
                <w:highlight w:val="none"/>
                <w:lang w:val="en-US" w:eastAsia="zh-CN"/>
                <w14:textFill>
                  <w14:solidFill>
                    <w14:schemeClr w14:val="tx1"/>
                  </w14:solidFill>
                </w14:textFill>
              </w:rPr>
              <w:t>0.7</w:t>
            </w:r>
          </w:p>
        </w:tc>
        <w:tc>
          <w:tcPr>
            <w:tcW w:w="720" w:type="dxa"/>
            <w:vAlign w:val="center"/>
          </w:tcPr>
          <w:p w14:paraId="7DD3C722">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套</w:t>
            </w:r>
          </w:p>
        </w:tc>
        <w:tc>
          <w:tcPr>
            <w:tcW w:w="720" w:type="dxa"/>
            <w:vAlign w:val="center"/>
          </w:tcPr>
          <w:p w14:paraId="54A4048C">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328" w:type="dxa"/>
            <w:vAlign w:val="center"/>
          </w:tcPr>
          <w:p w14:paraId="31218C99">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3.983</w:t>
            </w:r>
          </w:p>
        </w:tc>
        <w:tc>
          <w:tcPr>
            <w:tcW w:w="2092" w:type="dxa"/>
            <w:vAlign w:val="center"/>
          </w:tcPr>
          <w:p w14:paraId="32852E4E">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含司机室总成、回转机构</w:t>
            </w:r>
          </w:p>
        </w:tc>
      </w:tr>
      <w:tr w14:paraId="6E1D6C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00" w:type="dxa"/>
            <w:vAlign w:val="center"/>
          </w:tcPr>
          <w:p w14:paraId="7C5B0315">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w:t>
            </w:r>
          </w:p>
        </w:tc>
        <w:tc>
          <w:tcPr>
            <w:tcW w:w="1685" w:type="dxa"/>
            <w:vAlign w:val="center"/>
          </w:tcPr>
          <w:p w14:paraId="13F92B00">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爬升套架</w:t>
            </w:r>
          </w:p>
        </w:tc>
        <w:tc>
          <w:tcPr>
            <w:tcW w:w="1724" w:type="dxa"/>
            <w:vAlign w:val="center"/>
          </w:tcPr>
          <w:p w14:paraId="56F3A2D1">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6.36</w:t>
            </w:r>
            <w:r>
              <w:rPr>
                <w:rFonts w:hint="eastAsia" w:ascii="宋体" w:hAnsi="宋体" w:eastAsia="宋体" w:cs="宋体"/>
                <w:color w:val="000000" w:themeColor="text1"/>
                <w:sz w:val="21"/>
                <w:szCs w:val="21"/>
                <w:highlight w:val="none"/>
                <w14:textFill>
                  <w14:solidFill>
                    <w14:schemeClr w14:val="tx1"/>
                  </w14:solidFill>
                </w14:textFill>
              </w:rPr>
              <w:t>x</w:t>
            </w:r>
            <w:r>
              <w:rPr>
                <w:rFonts w:hint="eastAsia" w:ascii="宋体" w:hAnsi="宋体" w:eastAsia="宋体" w:cs="宋体"/>
                <w:color w:val="000000" w:themeColor="text1"/>
                <w:sz w:val="21"/>
                <w:szCs w:val="21"/>
                <w:highlight w:val="none"/>
                <w:lang w:val="en-US" w:eastAsia="zh-CN"/>
                <w14:textFill>
                  <w14:solidFill>
                    <w14:schemeClr w14:val="tx1"/>
                  </w14:solidFill>
                </w14:textFill>
              </w:rPr>
              <w:t>2.31</w:t>
            </w:r>
            <w:r>
              <w:rPr>
                <w:rFonts w:hint="eastAsia" w:ascii="宋体" w:hAnsi="宋体" w:eastAsia="宋体" w:cs="宋体"/>
                <w:color w:val="000000" w:themeColor="text1"/>
                <w:sz w:val="21"/>
                <w:szCs w:val="21"/>
                <w:highlight w:val="none"/>
                <w14:textFill>
                  <w14:solidFill>
                    <w14:schemeClr w14:val="tx1"/>
                  </w14:solidFill>
                </w14:textFill>
              </w:rPr>
              <w:t>x</w:t>
            </w:r>
            <w:r>
              <w:rPr>
                <w:rFonts w:hint="eastAsia" w:ascii="宋体" w:hAnsi="宋体" w:eastAsia="宋体" w:cs="宋体"/>
                <w:color w:val="000000" w:themeColor="text1"/>
                <w:sz w:val="21"/>
                <w:szCs w:val="21"/>
                <w:highlight w:val="none"/>
                <w:lang w:val="en-US" w:eastAsia="zh-CN"/>
                <w14:textFill>
                  <w14:solidFill>
                    <w14:schemeClr w14:val="tx1"/>
                  </w14:solidFill>
                </w14:textFill>
              </w:rPr>
              <w:t>2.26</w:t>
            </w:r>
          </w:p>
        </w:tc>
        <w:tc>
          <w:tcPr>
            <w:tcW w:w="720" w:type="dxa"/>
            <w:vAlign w:val="center"/>
          </w:tcPr>
          <w:p w14:paraId="0B874B6E">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节</w:t>
            </w:r>
          </w:p>
        </w:tc>
        <w:tc>
          <w:tcPr>
            <w:tcW w:w="720" w:type="dxa"/>
            <w:vAlign w:val="center"/>
          </w:tcPr>
          <w:p w14:paraId="6760B74F">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328" w:type="dxa"/>
            <w:vAlign w:val="center"/>
          </w:tcPr>
          <w:p w14:paraId="12CCD43C">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3.381</w:t>
            </w:r>
          </w:p>
        </w:tc>
        <w:tc>
          <w:tcPr>
            <w:tcW w:w="2092" w:type="dxa"/>
            <w:vAlign w:val="center"/>
          </w:tcPr>
          <w:p w14:paraId="5B8C87BD">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包括</w:t>
            </w:r>
            <w:r>
              <w:rPr>
                <w:rFonts w:hint="eastAsia" w:ascii="宋体" w:hAnsi="宋体" w:eastAsia="宋体" w:cs="宋体"/>
                <w:color w:val="000000" w:themeColor="text1"/>
                <w:sz w:val="21"/>
                <w:szCs w:val="21"/>
                <w14:textFill>
                  <w14:solidFill>
                    <w14:schemeClr w14:val="tx1"/>
                  </w14:solidFill>
                </w14:textFill>
              </w:rPr>
              <w:t>油缸、泵</w:t>
            </w:r>
          </w:p>
        </w:tc>
      </w:tr>
      <w:tr w14:paraId="4052C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00" w:type="dxa"/>
            <w:vAlign w:val="center"/>
          </w:tcPr>
          <w:p w14:paraId="66F4A98B">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w:t>
            </w:r>
          </w:p>
        </w:tc>
        <w:tc>
          <w:tcPr>
            <w:tcW w:w="1685" w:type="dxa"/>
            <w:vAlign w:val="center"/>
          </w:tcPr>
          <w:p w14:paraId="6CCB96BD">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标准节</w:t>
            </w:r>
          </w:p>
        </w:tc>
        <w:tc>
          <w:tcPr>
            <w:tcW w:w="1724" w:type="dxa"/>
            <w:vAlign w:val="center"/>
          </w:tcPr>
          <w:p w14:paraId="7B37252F">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1.6</w:t>
            </w:r>
            <w:r>
              <w:rPr>
                <w:rFonts w:hint="eastAsia" w:ascii="宋体" w:hAnsi="宋体" w:eastAsia="宋体" w:cs="宋体"/>
                <w:color w:val="000000" w:themeColor="text1"/>
                <w:sz w:val="21"/>
                <w:szCs w:val="21"/>
                <w:highlight w:val="none"/>
                <w14:textFill>
                  <w14:solidFill>
                    <w14:schemeClr w14:val="tx1"/>
                  </w14:solidFill>
                </w14:textFill>
              </w:rPr>
              <w:t>x</w:t>
            </w:r>
            <w:r>
              <w:rPr>
                <w:rFonts w:hint="eastAsia" w:ascii="宋体" w:hAnsi="宋体" w:eastAsia="宋体" w:cs="宋体"/>
                <w:color w:val="000000" w:themeColor="text1"/>
                <w:sz w:val="21"/>
                <w:szCs w:val="21"/>
                <w:highlight w:val="none"/>
                <w:lang w:val="en-US" w:eastAsia="zh-CN"/>
                <w14:textFill>
                  <w14:solidFill>
                    <w14:schemeClr w14:val="tx1"/>
                  </w14:solidFill>
                </w14:textFill>
              </w:rPr>
              <w:t>1.6</w:t>
            </w:r>
            <w:r>
              <w:rPr>
                <w:rFonts w:hint="eastAsia" w:ascii="宋体" w:hAnsi="宋体" w:eastAsia="宋体" w:cs="宋体"/>
                <w:color w:val="000000" w:themeColor="text1"/>
                <w:sz w:val="21"/>
                <w:szCs w:val="21"/>
                <w:highlight w:val="none"/>
                <w14:textFill>
                  <w14:solidFill>
                    <w14:schemeClr w14:val="tx1"/>
                  </w14:solidFill>
                </w14:textFill>
              </w:rPr>
              <w:t>x</w:t>
            </w:r>
            <w:r>
              <w:rPr>
                <w:rFonts w:hint="eastAsia" w:ascii="宋体" w:hAnsi="宋体" w:eastAsia="宋体" w:cs="宋体"/>
                <w:color w:val="000000" w:themeColor="text1"/>
                <w:sz w:val="21"/>
                <w:szCs w:val="21"/>
                <w:highlight w:val="none"/>
                <w:lang w:val="en-US" w:eastAsia="zh-CN"/>
                <w14:textFill>
                  <w14:solidFill>
                    <w14:schemeClr w14:val="tx1"/>
                  </w14:solidFill>
                </w14:textFill>
              </w:rPr>
              <w:t>2.8</w:t>
            </w:r>
          </w:p>
        </w:tc>
        <w:tc>
          <w:tcPr>
            <w:tcW w:w="720" w:type="dxa"/>
            <w:vAlign w:val="center"/>
          </w:tcPr>
          <w:p w14:paraId="655D178E">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节</w:t>
            </w:r>
          </w:p>
        </w:tc>
        <w:tc>
          <w:tcPr>
            <w:tcW w:w="720" w:type="dxa"/>
            <w:vAlign w:val="center"/>
          </w:tcPr>
          <w:p w14:paraId="080D5CA7">
            <w:pPr>
              <w:pStyle w:val="85"/>
              <w:rPr>
                <w:rFonts w:hint="eastAsia" w:ascii="宋体" w:hAnsi="宋体" w:eastAsia="宋体" w:cs="宋体"/>
                <w:color w:val="000000" w:themeColor="text1"/>
                <w:sz w:val="21"/>
                <w:szCs w:val="21"/>
                <w:highlight w:val="yellow"/>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1328" w:type="dxa"/>
            <w:vAlign w:val="center"/>
          </w:tcPr>
          <w:p w14:paraId="488596C5">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0.838</w:t>
            </w:r>
          </w:p>
        </w:tc>
        <w:tc>
          <w:tcPr>
            <w:tcW w:w="2092" w:type="dxa"/>
            <w:vAlign w:val="center"/>
          </w:tcPr>
          <w:p w14:paraId="12E73407">
            <w:pPr>
              <w:pStyle w:val="85"/>
              <w:rPr>
                <w:rFonts w:hint="eastAsia" w:ascii="宋体" w:hAnsi="宋体" w:eastAsia="宋体" w:cs="宋体"/>
                <w:color w:val="000000" w:themeColor="text1"/>
                <w:sz w:val="21"/>
                <w:szCs w:val="21"/>
                <w14:textFill>
                  <w14:solidFill>
                    <w14:schemeClr w14:val="tx1"/>
                  </w14:solidFill>
                </w14:textFill>
              </w:rPr>
            </w:pPr>
          </w:p>
        </w:tc>
      </w:tr>
      <w:tr w14:paraId="70343A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0" w:type="dxa"/>
            <w:vMerge w:val="restart"/>
            <w:vAlign w:val="center"/>
          </w:tcPr>
          <w:p w14:paraId="1EE2C69F">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1685" w:type="dxa"/>
            <w:vMerge w:val="restart"/>
            <w:vAlign w:val="center"/>
          </w:tcPr>
          <w:p w14:paraId="7A14237D">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配重（平衡）</w:t>
            </w:r>
          </w:p>
        </w:tc>
        <w:tc>
          <w:tcPr>
            <w:tcW w:w="1724" w:type="dxa"/>
            <w:vMerge w:val="restart"/>
            <w:vAlign w:val="center"/>
          </w:tcPr>
          <w:p w14:paraId="21E9AB69">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0m：4A+B</w:t>
            </w:r>
            <w:r>
              <w:rPr>
                <w:rFonts w:hint="eastAsia" w:ascii="宋体" w:hAnsi="宋体" w:eastAsia="宋体" w:cs="宋体"/>
                <w:color w:val="000000" w:themeColor="text1"/>
                <w:sz w:val="21"/>
                <w:szCs w:val="21"/>
                <w:lang w:val="en-US" w:eastAsia="zh-CN"/>
                <w14:textFill>
                  <w14:solidFill>
                    <w14:schemeClr w14:val="tx1"/>
                  </w14:solidFill>
                </w14:textFill>
              </w:rPr>
              <w:t>+C</w:t>
            </w:r>
          </w:p>
        </w:tc>
        <w:tc>
          <w:tcPr>
            <w:tcW w:w="720" w:type="dxa"/>
            <w:vAlign w:val="center"/>
          </w:tcPr>
          <w:p w14:paraId="35BA6B47">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块</w:t>
            </w:r>
          </w:p>
        </w:tc>
        <w:tc>
          <w:tcPr>
            <w:tcW w:w="720" w:type="dxa"/>
            <w:vAlign w:val="center"/>
          </w:tcPr>
          <w:p w14:paraId="5263C39F">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p>
        </w:tc>
        <w:tc>
          <w:tcPr>
            <w:tcW w:w="1328" w:type="dxa"/>
            <w:vAlign w:val="center"/>
          </w:tcPr>
          <w:p w14:paraId="0580CDCC">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3.2</w:t>
            </w:r>
          </w:p>
        </w:tc>
        <w:tc>
          <w:tcPr>
            <w:tcW w:w="2092" w:type="dxa"/>
            <w:vMerge w:val="restart"/>
            <w:vAlign w:val="center"/>
          </w:tcPr>
          <w:p w14:paraId="50622B3A">
            <w:pPr>
              <w:pStyle w:val="85"/>
              <w:ind w:left="0" w:left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r>
              <w:rPr>
                <w:rFonts w:hint="eastAsia" w:ascii="宋体" w:hAnsi="宋体" w:eastAsia="宋体" w:cs="宋体"/>
                <w:color w:val="000000" w:themeColor="text1"/>
                <w:sz w:val="21"/>
                <w:szCs w:val="21"/>
                <w:lang w:val="en-US" w:eastAsia="zh-CN"/>
                <w14:textFill>
                  <w14:solidFill>
                    <w14:schemeClr w14:val="tx1"/>
                  </w14:solidFill>
                </w14:textFill>
              </w:rPr>
              <w:t>×3.2</w:t>
            </w:r>
            <w:r>
              <w:rPr>
                <w:rFonts w:hint="eastAsia" w:ascii="宋体" w:hAnsi="宋体" w:eastAsia="宋体" w:cs="宋体"/>
                <w:color w:val="000000" w:themeColor="text1"/>
                <w:sz w:val="21"/>
                <w:szCs w:val="21"/>
                <w14:textFill>
                  <w14:solidFill>
                    <w14:schemeClr w14:val="tx1"/>
                  </w14:solidFill>
                </w14:textFill>
              </w:rPr>
              <w:t>t+</w:t>
            </w:r>
            <w:r>
              <w:rPr>
                <w:rFonts w:hint="eastAsia" w:ascii="宋体" w:hAnsi="宋体" w:eastAsia="宋体" w:cs="宋体"/>
                <w:color w:val="000000" w:themeColor="text1"/>
                <w:sz w:val="21"/>
                <w:szCs w:val="21"/>
                <w:lang w:val="en-US" w:eastAsia="zh-CN"/>
                <w14:textFill>
                  <w14:solidFill>
                    <w14:schemeClr w14:val="tx1"/>
                  </w14:solidFill>
                </w14:textFill>
              </w:rPr>
              <w:t>2.3</w:t>
            </w:r>
            <w:r>
              <w:rPr>
                <w:rFonts w:hint="eastAsia" w:ascii="宋体" w:hAnsi="宋体" w:eastAsia="宋体" w:cs="宋体"/>
                <w:color w:val="000000" w:themeColor="text1"/>
                <w:sz w:val="21"/>
                <w:szCs w:val="21"/>
                <w14:textFill>
                  <w14:solidFill>
                    <w14:schemeClr w14:val="tx1"/>
                  </w14:solidFill>
                </w14:textFill>
              </w:rPr>
              <w:t>t</w:t>
            </w:r>
            <w:r>
              <w:rPr>
                <w:rFonts w:hint="eastAsia" w:ascii="宋体" w:hAnsi="宋体" w:eastAsia="宋体" w:cs="宋体"/>
                <w:color w:val="000000" w:themeColor="text1"/>
                <w:sz w:val="21"/>
                <w:szCs w:val="21"/>
                <w:lang w:val="en-US" w:eastAsia="zh-CN"/>
                <w14:textFill>
                  <w14:solidFill>
                    <w14:schemeClr w14:val="tx1"/>
                  </w14:solidFill>
                </w14:textFill>
              </w:rPr>
              <w:t>+1t</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16.1</w:t>
            </w:r>
            <w:r>
              <w:rPr>
                <w:rFonts w:hint="eastAsia" w:ascii="宋体" w:hAnsi="宋体" w:eastAsia="宋体" w:cs="宋体"/>
                <w:color w:val="000000" w:themeColor="text1"/>
                <w:sz w:val="21"/>
                <w:szCs w:val="21"/>
                <w14:textFill>
                  <w14:solidFill>
                    <w14:schemeClr w14:val="tx1"/>
                  </w14:solidFill>
                </w14:textFill>
              </w:rPr>
              <w:t>t</w:t>
            </w:r>
          </w:p>
        </w:tc>
      </w:tr>
      <w:tr w14:paraId="004F26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900" w:type="dxa"/>
            <w:vMerge w:val="continue"/>
            <w:vAlign w:val="center"/>
          </w:tcPr>
          <w:p w14:paraId="2C92B0C4">
            <w:pPr>
              <w:pStyle w:val="85"/>
              <w:rPr>
                <w:rFonts w:hint="eastAsia" w:ascii="宋体" w:hAnsi="宋体" w:eastAsia="宋体" w:cs="宋体"/>
                <w:color w:val="000000" w:themeColor="text1"/>
                <w:sz w:val="21"/>
                <w:szCs w:val="21"/>
                <w14:textFill>
                  <w14:solidFill>
                    <w14:schemeClr w14:val="tx1"/>
                  </w14:solidFill>
                </w14:textFill>
              </w:rPr>
            </w:pPr>
          </w:p>
        </w:tc>
        <w:tc>
          <w:tcPr>
            <w:tcW w:w="1685" w:type="dxa"/>
            <w:vMerge w:val="continue"/>
            <w:vAlign w:val="center"/>
          </w:tcPr>
          <w:p w14:paraId="07CF5382">
            <w:pPr>
              <w:pStyle w:val="85"/>
              <w:rPr>
                <w:rFonts w:hint="eastAsia" w:ascii="宋体" w:hAnsi="宋体" w:eastAsia="宋体" w:cs="宋体"/>
                <w:color w:val="000000" w:themeColor="text1"/>
                <w:sz w:val="21"/>
                <w:szCs w:val="21"/>
                <w14:textFill>
                  <w14:solidFill>
                    <w14:schemeClr w14:val="tx1"/>
                  </w14:solidFill>
                </w14:textFill>
              </w:rPr>
            </w:pPr>
          </w:p>
        </w:tc>
        <w:tc>
          <w:tcPr>
            <w:tcW w:w="1724" w:type="dxa"/>
            <w:vMerge w:val="continue"/>
            <w:vAlign w:val="center"/>
          </w:tcPr>
          <w:p w14:paraId="7434C09C">
            <w:pPr>
              <w:pStyle w:val="85"/>
              <w:rPr>
                <w:rFonts w:hint="eastAsia" w:ascii="宋体" w:hAnsi="宋体" w:eastAsia="宋体" w:cs="宋体"/>
                <w:color w:val="000000" w:themeColor="text1"/>
                <w:sz w:val="21"/>
                <w:szCs w:val="21"/>
                <w14:textFill>
                  <w14:solidFill>
                    <w14:schemeClr w14:val="tx1"/>
                  </w14:solidFill>
                </w14:textFill>
              </w:rPr>
            </w:pPr>
          </w:p>
        </w:tc>
        <w:tc>
          <w:tcPr>
            <w:tcW w:w="720" w:type="dxa"/>
            <w:vAlign w:val="center"/>
          </w:tcPr>
          <w:p w14:paraId="38AED207">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块</w:t>
            </w:r>
          </w:p>
        </w:tc>
        <w:tc>
          <w:tcPr>
            <w:tcW w:w="720" w:type="dxa"/>
            <w:vAlign w:val="center"/>
          </w:tcPr>
          <w:p w14:paraId="4F3AC745">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328" w:type="dxa"/>
            <w:vAlign w:val="center"/>
          </w:tcPr>
          <w:p w14:paraId="09ADD2CA">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2.3</w:t>
            </w:r>
          </w:p>
        </w:tc>
        <w:tc>
          <w:tcPr>
            <w:tcW w:w="2092" w:type="dxa"/>
            <w:vMerge w:val="continue"/>
            <w:vAlign w:val="center"/>
          </w:tcPr>
          <w:p w14:paraId="6B019394">
            <w:pPr>
              <w:pStyle w:val="85"/>
              <w:rPr>
                <w:rFonts w:hint="eastAsia" w:ascii="宋体" w:hAnsi="宋体" w:eastAsia="宋体" w:cs="宋体"/>
                <w:color w:val="000000" w:themeColor="text1"/>
                <w:sz w:val="21"/>
                <w:szCs w:val="21"/>
                <w14:textFill>
                  <w14:solidFill>
                    <w14:schemeClr w14:val="tx1"/>
                  </w14:solidFill>
                </w14:textFill>
              </w:rPr>
            </w:pPr>
          </w:p>
        </w:tc>
      </w:tr>
      <w:tr w14:paraId="41955F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900" w:type="dxa"/>
            <w:vMerge w:val="continue"/>
            <w:vAlign w:val="center"/>
          </w:tcPr>
          <w:p w14:paraId="0077E346">
            <w:pPr>
              <w:pStyle w:val="85"/>
              <w:rPr>
                <w:rFonts w:hint="eastAsia" w:ascii="宋体" w:hAnsi="宋体" w:eastAsia="宋体" w:cs="宋体"/>
                <w:color w:val="000000" w:themeColor="text1"/>
                <w:sz w:val="21"/>
                <w:szCs w:val="21"/>
                <w14:textFill>
                  <w14:solidFill>
                    <w14:schemeClr w14:val="tx1"/>
                  </w14:solidFill>
                </w14:textFill>
              </w:rPr>
            </w:pPr>
          </w:p>
        </w:tc>
        <w:tc>
          <w:tcPr>
            <w:tcW w:w="1685" w:type="dxa"/>
            <w:vMerge w:val="continue"/>
            <w:vAlign w:val="center"/>
          </w:tcPr>
          <w:p w14:paraId="4934D7C0">
            <w:pPr>
              <w:pStyle w:val="85"/>
              <w:rPr>
                <w:rFonts w:hint="eastAsia" w:ascii="宋体" w:hAnsi="宋体" w:eastAsia="宋体" w:cs="宋体"/>
                <w:color w:val="000000" w:themeColor="text1"/>
                <w:sz w:val="21"/>
                <w:szCs w:val="21"/>
                <w14:textFill>
                  <w14:solidFill>
                    <w14:schemeClr w14:val="tx1"/>
                  </w14:solidFill>
                </w14:textFill>
              </w:rPr>
            </w:pPr>
          </w:p>
        </w:tc>
        <w:tc>
          <w:tcPr>
            <w:tcW w:w="1724" w:type="dxa"/>
            <w:vMerge w:val="continue"/>
            <w:vAlign w:val="center"/>
          </w:tcPr>
          <w:p w14:paraId="67847493">
            <w:pPr>
              <w:pStyle w:val="85"/>
              <w:rPr>
                <w:rFonts w:hint="eastAsia" w:ascii="宋体" w:hAnsi="宋体" w:eastAsia="宋体" w:cs="宋体"/>
                <w:color w:val="000000" w:themeColor="text1"/>
                <w:sz w:val="21"/>
                <w:szCs w:val="21"/>
                <w14:textFill>
                  <w14:solidFill>
                    <w14:schemeClr w14:val="tx1"/>
                  </w14:solidFill>
                </w14:textFill>
              </w:rPr>
            </w:pPr>
          </w:p>
        </w:tc>
        <w:tc>
          <w:tcPr>
            <w:tcW w:w="720" w:type="dxa"/>
            <w:shd w:val="clear" w:color="auto" w:fill="auto"/>
            <w:vAlign w:val="center"/>
          </w:tcPr>
          <w:p w14:paraId="2A1B1C76">
            <w:pPr>
              <w:pStyle w:val="85"/>
              <w:ind w:firstLine="0" w:firstLineChars="0"/>
              <w:rPr>
                <w:rFonts w:hint="eastAsia" w:ascii="宋体" w:hAnsi="宋体" w:eastAsia="宋体" w:cs="宋体"/>
                <w:snapToGrid w:val="0"/>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块</w:t>
            </w:r>
          </w:p>
        </w:tc>
        <w:tc>
          <w:tcPr>
            <w:tcW w:w="720" w:type="dxa"/>
            <w:shd w:val="clear" w:color="auto" w:fill="auto"/>
            <w:vAlign w:val="center"/>
          </w:tcPr>
          <w:p w14:paraId="7B81D5E2">
            <w:pPr>
              <w:pStyle w:val="85"/>
              <w:ind w:firstLine="0" w:firstLineChars="0"/>
              <w:rPr>
                <w:rFonts w:hint="eastAsia" w:ascii="宋体" w:hAnsi="宋体" w:eastAsia="宋体" w:cs="宋体"/>
                <w:snapToGrid w:val="0"/>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328" w:type="dxa"/>
            <w:vAlign w:val="center"/>
          </w:tcPr>
          <w:p w14:paraId="38609A30">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2092" w:type="dxa"/>
            <w:vMerge w:val="continue"/>
            <w:vAlign w:val="center"/>
          </w:tcPr>
          <w:p w14:paraId="2AB3EF19">
            <w:pPr>
              <w:pStyle w:val="85"/>
              <w:rPr>
                <w:rFonts w:hint="eastAsia" w:ascii="宋体" w:hAnsi="宋体" w:eastAsia="宋体" w:cs="宋体"/>
                <w:color w:val="000000" w:themeColor="text1"/>
                <w:sz w:val="21"/>
                <w:szCs w:val="21"/>
                <w14:textFill>
                  <w14:solidFill>
                    <w14:schemeClr w14:val="tx1"/>
                  </w14:solidFill>
                </w14:textFill>
              </w:rPr>
            </w:pPr>
          </w:p>
        </w:tc>
      </w:tr>
    </w:tbl>
    <w:p w14:paraId="230C67C9">
      <w:pPr>
        <w:pStyle w:val="6"/>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安全防护措施计划</w:t>
      </w:r>
    </w:p>
    <w:p w14:paraId="4EF25050">
      <w:pPr>
        <w:pStyle w:val="137"/>
        <w:rPr>
          <w:rFonts w:cs="Times New Roman"/>
          <w:highlight w:val="none"/>
        </w:rPr>
      </w:pPr>
      <w:r>
        <w:rPr>
          <w:rFonts w:hint="eastAsia" w:cs="Times New Roman"/>
          <w:highlight w:val="none"/>
        </w:rPr>
        <w:t>表3</w:t>
      </w:r>
      <w:r>
        <w:rPr>
          <w:rFonts w:cs="Times New Roman"/>
          <w:highlight w:val="none"/>
        </w:rPr>
        <w:t>.2.</w:t>
      </w:r>
      <w:r>
        <w:rPr>
          <w:rFonts w:hint="eastAsia" w:cs="Times New Roman"/>
          <w:highlight w:val="none"/>
          <w:lang w:val="en-US" w:eastAsia="zh-CN"/>
        </w:rPr>
        <w:t>2</w:t>
      </w:r>
      <w:r>
        <w:rPr>
          <w:rFonts w:cs="Times New Roman"/>
          <w:highlight w:val="none"/>
        </w:rPr>
        <w:noBreakHyphen/>
      </w:r>
      <w:r>
        <w:rPr>
          <w:rFonts w:cs="Times New Roman"/>
          <w:highlight w:val="none"/>
        </w:rPr>
        <w:t>1安全防护措施材料计划表</w:t>
      </w:r>
    </w:p>
    <w:tbl>
      <w:tblPr>
        <w:tblStyle w:val="3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2181"/>
        <w:gridCol w:w="1671"/>
        <w:gridCol w:w="736"/>
        <w:gridCol w:w="1562"/>
        <w:gridCol w:w="1345"/>
      </w:tblGrid>
      <w:tr w14:paraId="76542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81" w:type="dxa"/>
            <w:vAlign w:val="center"/>
          </w:tcPr>
          <w:p w14:paraId="42B31AF5">
            <w:pPr>
              <w:spacing w:line="240" w:lineRule="auto"/>
              <w:ind w:firstLine="0" w:firstLineChars="0"/>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序号</w:t>
            </w:r>
          </w:p>
        </w:tc>
        <w:tc>
          <w:tcPr>
            <w:tcW w:w="2181" w:type="dxa"/>
            <w:vAlign w:val="center"/>
          </w:tcPr>
          <w:p w14:paraId="31C4438E">
            <w:pPr>
              <w:spacing w:line="240" w:lineRule="auto"/>
              <w:ind w:firstLine="0" w:firstLineChars="0"/>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类型</w:t>
            </w:r>
          </w:p>
        </w:tc>
        <w:tc>
          <w:tcPr>
            <w:tcW w:w="1671" w:type="dxa"/>
            <w:vAlign w:val="center"/>
          </w:tcPr>
          <w:p w14:paraId="1AA761BA">
            <w:pPr>
              <w:spacing w:line="240" w:lineRule="auto"/>
              <w:ind w:firstLine="0" w:firstLineChars="0"/>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使用部位</w:t>
            </w:r>
          </w:p>
        </w:tc>
        <w:tc>
          <w:tcPr>
            <w:tcW w:w="736" w:type="dxa"/>
            <w:vAlign w:val="center"/>
          </w:tcPr>
          <w:p w14:paraId="0E851D09">
            <w:pPr>
              <w:spacing w:line="240" w:lineRule="auto"/>
              <w:ind w:firstLine="0" w:firstLineChars="0"/>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数量</w:t>
            </w:r>
          </w:p>
        </w:tc>
        <w:tc>
          <w:tcPr>
            <w:tcW w:w="1562" w:type="dxa"/>
            <w:vAlign w:val="center"/>
          </w:tcPr>
          <w:p w14:paraId="29EAF314">
            <w:pPr>
              <w:spacing w:line="240" w:lineRule="auto"/>
              <w:ind w:firstLine="0" w:firstLineChars="0"/>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规格</w:t>
            </w:r>
          </w:p>
        </w:tc>
        <w:tc>
          <w:tcPr>
            <w:tcW w:w="1345" w:type="dxa"/>
            <w:vAlign w:val="center"/>
          </w:tcPr>
          <w:p w14:paraId="0FE6E4FC">
            <w:pPr>
              <w:spacing w:line="240" w:lineRule="auto"/>
              <w:ind w:firstLine="0" w:firstLineChars="0"/>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来源</w:t>
            </w:r>
          </w:p>
        </w:tc>
      </w:tr>
      <w:tr w14:paraId="0CF98B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49D4D3A8">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1</w:t>
            </w:r>
          </w:p>
        </w:tc>
        <w:tc>
          <w:tcPr>
            <w:tcW w:w="2181" w:type="dxa"/>
            <w:vAlign w:val="center"/>
          </w:tcPr>
          <w:p w14:paraId="6413D848">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安全警戒绳</w:t>
            </w:r>
          </w:p>
        </w:tc>
        <w:tc>
          <w:tcPr>
            <w:tcW w:w="1671" w:type="dxa"/>
            <w:vAlign w:val="center"/>
          </w:tcPr>
          <w:p w14:paraId="6794CBD7">
            <w:pPr>
              <w:spacing w:line="240" w:lineRule="auto"/>
              <w:ind w:firstLine="0" w:firstLineChars="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c>
          <w:tcPr>
            <w:tcW w:w="736" w:type="dxa"/>
            <w:vAlign w:val="center"/>
          </w:tcPr>
          <w:p w14:paraId="74FC5DDA">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150m</w:t>
            </w:r>
          </w:p>
        </w:tc>
        <w:tc>
          <w:tcPr>
            <w:tcW w:w="1562" w:type="dxa"/>
            <w:vAlign w:val="center"/>
          </w:tcPr>
          <w:p w14:paraId="4210358A">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2928EC46">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7B9A5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7F104201">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2</w:t>
            </w:r>
          </w:p>
        </w:tc>
        <w:tc>
          <w:tcPr>
            <w:tcW w:w="2181" w:type="dxa"/>
            <w:vAlign w:val="center"/>
          </w:tcPr>
          <w:p w14:paraId="7892C909">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安全帽</w:t>
            </w:r>
          </w:p>
        </w:tc>
        <w:tc>
          <w:tcPr>
            <w:tcW w:w="1671" w:type="dxa"/>
            <w:vAlign w:val="center"/>
          </w:tcPr>
          <w:p w14:paraId="3E772C8D">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00209C07">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10个</w:t>
            </w:r>
          </w:p>
        </w:tc>
        <w:tc>
          <w:tcPr>
            <w:tcW w:w="1562" w:type="dxa"/>
            <w:vAlign w:val="center"/>
          </w:tcPr>
          <w:p w14:paraId="253C3B1C">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玻璃钢</w:t>
            </w:r>
          </w:p>
        </w:tc>
        <w:tc>
          <w:tcPr>
            <w:tcW w:w="1345" w:type="dxa"/>
            <w:vAlign w:val="center"/>
          </w:tcPr>
          <w:p w14:paraId="4BA05B82">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57FE8C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68288BA2">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3</w:t>
            </w:r>
          </w:p>
        </w:tc>
        <w:tc>
          <w:tcPr>
            <w:tcW w:w="2181" w:type="dxa"/>
            <w:vAlign w:val="center"/>
          </w:tcPr>
          <w:p w14:paraId="6B61153F">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安全带</w:t>
            </w:r>
          </w:p>
        </w:tc>
        <w:tc>
          <w:tcPr>
            <w:tcW w:w="1671" w:type="dxa"/>
            <w:vAlign w:val="center"/>
          </w:tcPr>
          <w:p w14:paraId="159F6D1B">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7381DFC5">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10条</w:t>
            </w:r>
          </w:p>
        </w:tc>
        <w:tc>
          <w:tcPr>
            <w:tcW w:w="1562" w:type="dxa"/>
            <w:vAlign w:val="center"/>
          </w:tcPr>
          <w:p w14:paraId="05DD56A7">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4BCA4B4F">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629F47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21AF960A">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4</w:t>
            </w:r>
          </w:p>
        </w:tc>
        <w:tc>
          <w:tcPr>
            <w:tcW w:w="2181" w:type="dxa"/>
            <w:vAlign w:val="center"/>
          </w:tcPr>
          <w:p w14:paraId="4DC9E6D6">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工具袋</w:t>
            </w:r>
          </w:p>
        </w:tc>
        <w:tc>
          <w:tcPr>
            <w:tcW w:w="1671" w:type="dxa"/>
            <w:vAlign w:val="center"/>
          </w:tcPr>
          <w:p w14:paraId="019ADE41">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56CCE6F5">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3个</w:t>
            </w:r>
          </w:p>
        </w:tc>
        <w:tc>
          <w:tcPr>
            <w:tcW w:w="1562" w:type="dxa"/>
            <w:vAlign w:val="center"/>
          </w:tcPr>
          <w:p w14:paraId="51F43894">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4F376A43">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4C64C5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620E6531">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5</w:t>
            </w:r>
          </w:p>
        </w:tc>
        <w:tc>
          <w:tcPr>
            <w:tcW w:w="2181" w:type="dxa"/>
            <w:vAlign w:val="center"/>
          </w:tcPr>
          <w:p w14:paraId="1906CFE8">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防滑鞋</w:t>
            </w:r>
          </w:p>
        </w:tc>
        <w:tc>
          <w:tcPr>
            <w:tcW w:w="1671" w:type="dxa"/>
            <w:vAlign w:val="center"/>
          </w:tcPr>
          <w:p w14:paraId="6265EDB9">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04DEBE58">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10双</w:t>
            </w:r>
          </w:p>
        </w:tc>
        <w:tc>
          <w:tcPr>
            <w:tcW w:w="1562" w:type="dxa"/>
            <w:vAlign w:val="center"/>
          </w:tcPr>
          <w:p w14:paraId="2EB422AB">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67D55F20">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440567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31484F07">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6</w:t>
            </w:r>
          </w:p>
        </w:tc>
        <w:tc>
          <w:tcPr>
            <w:tcW w:w="2181" w:type="dxa"/>
            <w:vAlign w:val="center"/>
          </w:tcPr>
          <w:p w14:paraId="2F9834BE">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灭火器</w:t>
            </w:r>
          </w:p>
        </w:tc>
        <w:tc>
          <w:tcPr>
            <w:tcW w:w="1671" w:type="dxa"/>
            <w:vAlign w:val="center"/>
          </w:tcPr>
          <w:p w14:paraId="532BE09A">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29CA660D">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2台</w:t>
            </w:r>
          </w:p>
        </w:tc>
        <w:tc>
          <w:tcPr>
            <w:tcW w:w="1562" w:type="dxa"/>
            <w:vAlign w:val="center"/>
          </w:tcPr>
          <w:p w14:paraId="261230B2">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347A3002">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2D10D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6EB25917">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7</w:t>
            </w:r>
          </w:p>
        </w:tc>
        <w:tc>
          <w:tcPr>
            <w:tcW w:w="2181" w:type="dxa"/>
            <w:vAlign w:val="center"/>
          </w:tcPr>
          <w:p w14:paraId="65816219">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防滑手套</w:t>
            </w:r>
          </w:p>
        </w:tc>
        <w:tc>
          <w:tcPr>
            <w:tcW w:w="1671" w:type="dxa"/>
            <w:vAlign w:val="center"/>
          </w:tcPr>
          <w:p w14:paraId="2068F90B">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1A067032">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10双</w:t>
            </w:r>
          </w:p>
        </w:tc>
        <w:tc>
          <w:tcPr>
            <w:tcW w:w="1562" w:type="dxa"/>
            <w:vAlign w:val="center"/>
          </w:tcPr>
          <w:p w14:paraId="7CC50812">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561A9D6A">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2244B1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6B9AF6D9">
            <w:pPr>
              <w:spacing w:line="240" w:lineRule="auto"/>
              <w:ind w:firstLine="0" w:firstLineChars="0"/>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8</w:t>
            </w:r>
          </w:p>
        </w:tc>
        <w:tc>
          <w:tcPr>
            <w:tcW w:w="2181" w:type="dxa"/>
            <w:vAlign w:val="center"/>
          </w:tcPr>
          <w:p w14:paraId="44A5E5D2">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防护眼镜</w:t>
            </w:r>
          </w:p>
        </w:tc>
        <w:tc>
          <w:tcPr>
            <w:tcW w:w="1671" w:type="dxa"/>
            <w:vAlign w:val="center"/>
          </w:tcPr>
          <w:p w14:paraId="0AC9B2B4">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34CC9345">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6个</w:t>
            </w:r>
          </w:p>
        </w:tc>
        <w:tc>
          <w:tcPr>
            <w:tcW w:w="1562" w:type="dxa"/>
            <w:vAlign w:val="center"/>
          </w:tcPr>
          <w:p w14:paraId="4EEA4CD9">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54918252">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470D0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785A7573">
            <w:pPr>
              <w:spacing w:line="240" w:lineRule="auto"/>
              <w:ind w:firstLine="0" w:firstLineChars="0"/>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9</w:t>
            </w:r>
          </w:p>
        </w:tc>
        <w:tc>
          <w:tcPr>
            <w:tcW w:w="2181" w:type="dxa"/>
            <w:vAlign w:val="center"/>
          </w:tcPr>
          <w:p w14:paraId="3917FE6E">
            <w:pPr>
              <w:pStyle w:val="15"/>
              <w:ind w:firstLine="0" w:firstLineChars="0"/>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警示标牌</w:t>
            </w:r>
          </w:p>
        </w:tc>
        <w:tc>
          <w:tcPr>
            <w:tcW w:w="1671" w:type="dxa"/>
            <w:vAlign w:val="center"/>
          </w:tcPr>
          <w:p w14:paraId="38277710">
            <w:pPr>
              <w:pStyle w:val="15"/>
              <w:ind w:firstLine="0" w:firstLineChars="0"/>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kern w:val="2"/>
                <w:sz w:val="21"/>
                <w:szCs w:val="21"/>
                <w:highlight w:val="none"/>
                <w:lang w:val="en-US" w:eastAsia="zh-CN" w:bidi="ar-SA"/>
              </w:rPr>
              <w:t>/</w:t>
            </w:r>
          </w:p>
        </w:tc>
        <w:tc>
          <w:tcPr>
            <w:tcW w:w="736" w:type="dxa"/>
            <w:vAlign w:val="center"/>
          </w:tcPr>
          <w:p w14:paraId="229C61A5">
            <w:pPr>
              <w:pStyle w:val="15"/>
              <w:ind w:firstLine="0" w:firstLineChars="0"/>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若干</w:t>
            </w:r>
          </w:p>
        </w:tc>
        <w:tc>
          <w:tcPr>
            <w:tcW w:w="1562" w:type="dxa"/>
            <w:vAlign w:val="center"/>
          </w:tcPr>
          <w:p w14:paraId="1C0AB6B3">
            <w:pPr>
              <w:widowControl w:val="0"/>
              <w:shd w:val="clear"/>
              <w:spacing w:line="240" w:lineRule="auto"/>
              <w:ind w:firstLine="0" w:firstLineChars="0"/>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w:t>
            </w:r>
          </w:p>
        </w:tc>
        <w:tc>
          <w:tcPr>
            <w:tcW w:w="1345" w:type="dxa"/>
            <w:vAlign w:val="center"/>
          </w:tcPr>
          <w:p w14:paraId="17BB9414">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bl>
    <w:p w14:paraId="6A1C26A3">
      <w:pPr>
        <w:pStyle w:val="6"/>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安全临时设施</w:t>
      </w:r>
    </w:p>
    <w:p w14:paraId="15C3D35B">
      <w:pPr>
        <w:spacing w:line="360" w:lineRule="auto"/>
        <w:jc w:val="center"/>
        <w:rPr>
          <w:rFonts w:ascii="Times New Roman" w:hAnsi="Times New Roman" w:eastAsia="宋体" w:cs="Times New Roman"/>
          <w:b/>
          <w:bCs/>
          <w:szCs w:val="21"/>
          <w:highlight w:val="none"/>
        </w:rPr>
      </w:pPr>
      <w:r>
        <w:rPr>
          <w:rFonts w:hint="eastAsia" w:ascii="Times New Roman" w:hAnsi="Times New Roman" w:eastAsia="宋体" w:cs="Times New Roman"/>
          <w:b/>
          <w:szCs w:val="20"/>
          <w:highlight w:val="none"/>
        </w:rPr>
        <w:t>表3</w:t>
      </w:r>
      <w:r>
        <w:rPr>
          <w:rFonts w:ascii="Times New Roman" w:hAnsi="Times New Roman" w:eastAsia="宋体" w:cs="Times New Roman"/>
          <w:b/>
          <w:szCs w:val="20"/>
          <w:highlight w:val="none"/>
        </w:rPr>
        <w:t>.2.</w:t>
      </w:r>
      <w:r>
        <w:rPr>
          <w:rFonts w:hint="eastAsia" w:ascii="Times New Roman" w:hAnsi="Times New Roman" w:eastAsia="宋体" w:cs="Times New Roman"/>
          <w:b/>
          <w:szCs w:val="20"/>
          <w:highlight w:val="none"/>
          <w:lang w:val="en-US" w:eastAsia="zh-CN"/>
        </w:rPr>
        <w:t>3</w:t>
      </w:r>
      <w:r>
        <w:rPr>
          <w:rFonts w:ascii="Times New Roman" w:hAnsi="Times New Roman" w:eastAsia="宋体" w:cs="Times New Roman"/>
          <w:b/>
          <w:szCs w:val="20"/>
          <w:highlight w:val="none"/>
        </w:rPr>
        <w:noBreakHyphen/>
      </w:r>
      <w:r>
        <w:rPr>
          <w:rFonts w:ascii="Times New Roman" w:hAnsi="Times New Roman" w:eastAsia="宋体" w:cs="Times New Roman"/>
          <w:b/>
          <w:szCs w:val="20"/>
          <w:highlight w:val="none"/>
        </w:rPr>
        <w:fldChar w:fldCharType="begin"/>
      </w:r>
      <w:r>
        <w:rPr>
          <w:rFonts w:ascii="Times New Roman" w:hAnsi="Times New Roman" w:eastAsia="宋体" w:cs="Times New Roman"/>
          <w:b/>
          <w:szCs w:val="20"/>
          <w:highlight w:val="none"/>
        </w:rPr>
        <w:instrText xml:space="preserve"> </w:instrText>
      </w:r>
      <w:r>
        <w:rPr>
          <w:rFonts w:hint="eastAsia" w:ascii="Times New Roman" w:hAnsi="Times New Roman" w:eastAsia="宋体" w:cs="Times New Roman"/>
          <w:b/>
          <w:szCs w:val="20"/>
          <w:highlight w:val="none"/>
        </w:rPr>
        <w:instrText xml:space="preserve">SEQ 表 \* ARABIC \s 2</w:instrText>
      </w:r>
      <w:r>
        <w:rPr>
          <w:rFonts w:ascii="Times New Roman" w:hAnsi="Times New Roman" w:eastAsia="宋体" w:cs="Times New Roman"/>
          <w:b/>
          <w:szCs w:val="20"/>
          <w:highlight w:val="none"/>
        </w:rPr>
        <w:instrText xml:space="preserve"> </w:instrText>
      </w:r>
      <w:r>
        <w:rPr>
          <w:rFonts w:ascii="Times New Roman" w:hAnsi="Times New Roman" w:eastAsia="宋体" w:cs="Times New Roman"/>
          <w:b/>
          <w:szCs w:val="20"/>
          <w:highlight w:val="none"/>
        </w:rPr>
        <w:fldChar w:fldCharType="separate"/>
      </w:r>
      <w:r>
        <w:rPr>
          <w:rFonts w:ascii="Times New Roman" w:hAnsi="Times New Roman" w:eastAsia="宋体" w:cs="Times New Roman"/>
          <w:b/>
          <w:szCs w:val="20"/>
          <w:highlight w:val="none"/>
        </w:rPr>
        <w:t>1</w:t>
      </w:r>
      <w:r>
        <w:rPr>
          <w:rFonts w:ascii="Times New Roman" w:hAnsi="Times New Roman" w:eastAsia="宋体" w:cs="Times New Roman"/>
          <w:b/>
          <w:szCs w:val="20"/>
          <w:highlight w:val="none"/>
        </w:rPr>
        <w:fldChar w:fldCharType="end"/>
      </w:r>
      <w:r>
        <w:rPr>
          <w:rFonts w:hint="eastAsia" w:ascii="Times New Roman" w:hAnsi="Times New Roman" w:eastAsia="宋体" w:cs="Times New Roman"/>
          <w:b/>
          <w:szCs w:val="20"/>
          <w:highlight w:val="none"/>
        </w:rPr>
        <w:t xml:space="preserve"> 安全临时设施计划表</w:t>
      </w:r>
    </w:p>
    <w:tbl>
      <w:tblPr>
        <w:tblStyle w:val="3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2181"/>
        <w:gridCol w:w="1671"/>
        <w:gridCol w:w="736"/>
        <w:gridCol w:w="1562"/>
        <w:gridCol w:w="1345"/>
      </w:tblGrid>
      <w:tr w14:paraId="6D1CB6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81" w:type="dxa"/>
            <w:vAlign w:val="center"/>
          </w:tcPr>
          <w:p w14:paraId="772140E8">
            <w:pPr>
              <w:spacing w:line="240" w:lineRule="auto"/>
              <w:ind w:firstLine="0" w:firstLineChars="0"/>
              <w:jc w:val="center"/>
              <w:rPr>
                <w:b/>
                <w:bCs/>
                <w:color w:val="000000"/>
                <w:kern w:val="0"/>
                <w:sz w:val="21"/>
                <w:highlight w:val="none"/>
              </w:rPr>
            </w:pPr>
            <w:r>
              <w:rPr>
                <w:b/>
                <w:bCs/>
                <w:color w:val="000000"/>
                <w:kern w:val="0"/>
                <w:sz w:val="21"/>
                <w:highlight w:val="none"/>
              </w:rPr>
              <w:t>序号</w:t>
            </w:r>
          </w:p>
        </w:tc>
        <w:tc>
          <w:tcPr>
            <w:tcW w:w="2181" w:type="dxa"/>
            <w:vAlign w:val="center"/>
          </w:tcPr>
          <w:p w14:paraId="64D051CA">
            <w:pPr>
              <w:spacing w:line="240" w:lineRule="auto"/>
              <w:ind w:firstLine="0" w:firstLineChars="0"/>
              <w:jc w:val="center"/>
              <w:rPr>
                <w:b/>
                <w:bCs/>
                <w:color w:val="000000"/>
                <w:kern w:val="0"/>
                <w:sz w:val="21"/>
                <w:highlight w:val="none"/>
              </w:rPr>
            </w:pPr>
            <w:r>
              <w:rPr>
                <w:b/>
                <w:bCs/>
                <w:color w:val="000000"/>
                <w:kern w:val="0"/>
                <w:sz w:val="21"/>
                <w:highlight w:val="none"/>
              </w:rPr>
              <w:t>类型</w:t>
            </w:r>
          </w:p>
        </w:tc>
        <w:tc>
          <w:tcPr>
            <w:tcW w:w="1671" w:type="dxa"/>
            <w:vAlign w:val="center"/>
          </w:tcPr>
          <w:p w14:paraId="20EFF0DE">
            <w:pPr>
              <w:spacing w:line="240" w:lineRule="auto"/>
              <w:ind w:firstLine="0" w:firstLineChars="0"/>
              <w:jc w:val="center"/>
              <w:rPr>
                <w:b/>
                <w:bCs/>
                <w:color w:val="000000"/>
                <w:kern w:val="0"/>
                <w:sz w:val="21"/>
                <w:highlight w:val="none"/>
              </w:rPr>
            </w:pPr>
            <w:r>
              <w:rPr>
                <w:b/>
                <w:bCs/>
                <w:color w:val="000000"/>
                <w:kern w:val="0"/>
                <w:sz w:val="21"/>
                <w:highlight w:val="none"/>
              </w:rPr>
              <w:t>使用部位</w:t>
            </w:r>
          </w:p>
        </w:tc>
        <w:tc>
          <w:tcPr>
            <w:tcW w:w="736" w:type="dxa"/>
            <w:vAlign w:val="center"/>
          </w:tcPr>
          <w:p w14:paraId="0936C04F">
            <w:pPr>
              <w:spacing w:line="240" w:lineRule="auto"/>
              <w:ind w:firstLine="0" w:firstLineChars="0"/>
              <w:jc w:val="center"/>
              <w:rPr>
                <w:b/>
                <w:bCs/>
                <w:color w:val="000000"/>
                <w:kern w:val="0"/>
                <w:sz w:val="21"/>
                <w:highlight w:val="none"/>
              </w:rPr>
            </w:pPr>
            <w:r>
              <w:rPr>
                <w:b/>
                <w:bCs/>
                <w:color w:val="000000"/>
                <w:kern w:val="0"/>
                <w:sz w:val="21"/>
                <w:highlight w:val="none"/>
              </w:rPr>
              <w:t>数量</w:t>
            </w:r>
          </w:p>
        </w:tc>
        <w:tc>
          <w:tcPr>
            <w:tcW w:w="1562" w:type="dxa"/>
            <w:vAlign w:val="center"/>
          </w:tcPr>
          <w:p w14:paraId="70D886FF">
            <w:pPr>
              <w:spacing w:line="240" w:lineRule="auto"/>
              <w:ind w:firstLine="0" w:firstLineChars="0"/>
              <w:jc w:val="center"/>
              <w:rPr>
                <w:b/>
                <w:bCs/>
                <w:color w:val="000000"/>
                <w:kern w:val="0"/>
                <w:sz w:val="21"/>
                <w:highlight w:val="none"/>
              </w:rPr>
            </w:pPr>
            <w:r>
              <w:rPr>
                <w:b/>
                <w:bCs/>
                <w:color w:val="000000"/>
                <w:kern w:val="0"/>
                <w:sz w:val="21"/>
                <w:highlight w:val="none"/>
              </w:rPr>
              <w:t>规格</w:t>
            </w:r>
          </w:p>
        </w:tc>
        <w:tc>
          <w:tcPr>
            <w:tcW w:w="1345" w:type="dxa"/>
            <w:vAlign w:val="center"/>
          </w:tcPr>
          <w:p w14:paraId="7E63F670">
            <w:pPr>
              <w:spacing w:line="240" w:lineRule="auto"/>
              <w:ind w:firstLine="0" w:firstLineChars="0"/>
              <w:jc w:val="center"/>
              <w:rPr>
                <w:b/>
                <w:bCs/>
                <w:color w:val="000000"/>
                <w:kern w:val="0"/>
                <w:sz w:val="21"/>
                <w:highlight w:val="none"/>
              </w:rPr>
            </w:pPr>
            <w:r>
              <w:rPr>
                <w:b/>
                <w:bCs/>
                <w:color w:val="000000"/>
                <w:kern w:val="0"/>
                <w:sz w:val="21"/>
                <w:highlight w:val="none"/>
              </w:rPr>
              <w:t>来源</w:t>
            </w:r>
          </w:p>
        </w:tc>
      </w:tr>
      <w:tr w14:paraId="6CB82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781" w:type="dxa"/>
            <w:vAlign w:val="center"/>
          </w:tcPr>
          <w:p w14:paraId="7EFAEC16">
            <w:pPr>
              <w:spacing w:line="240" w:lineRule="auto"/>
              <w:ind w:firstLine="0" w:firstLineChars="0"/>
              <w:jc w:val="center"/>
              <w:rPr>
                <w:color w:val="000000"/>
                <w:kern w:val="0"/>
                <w:sz w:val="21"/>
                <w:highlight w:val="none"/>
              </w:rPr>
            </w:pPr>
            <w:r>
              <w:rPr>
                <w:color w:val="000000"/>
                <w:kern w:val="0"/>
                <w:sz w:val="21"/>
                <w:highlight w:val="none"/>
              </w:rPr>
              <w:t>1</w:t>
            </w:r>
          </w:p>
        </w:tc>
        <w:tc>
          <w:tcPr>
            <w:tcW w:w="2181" w:type="dxa"/>
            <w:vAlign w:val="center"/>
          </w:tcPr>
          <w:p w14:paraId="24C1D2D4">
            <w:pPr>
              <w:spacing w:line="240" w:lineRule="auto"/>
              <w:ind w:firstLine="0" w:firstLineChars="0"/>
              <w:jc w:val="center"/>
              <w:rPr>
                <w:color w:val="000000"/>
                <w:kern w:val="0"/>
                <w:sz w:val="21"/>
                <w:highlight w:val="none"/>
              </w:rPr>
            </w:pPr>
            <w:r>
              <w:rPr>
                <w:sz w:val="21"/>
                <w:highlight w:val="none"/>
              </w:rPr>
              <w:t>塔下安全通道</w:t>
            </w:r>
          </w:p>
        </w:tc>
        <w:tc>
          <w:tcPr>
            <w:tcW w:w="1671" w:type="dxa"/>
            <w:vAlign w:val="center"/>
          </w:tcPr>
          <w:p w14:paraId="4636997E">
            <w:pPr>
              <w:spacing w:line="240" w:lineRule="auto"/>
              <w:ind w:firstLine="0" w:firstLineChars="0"/>
              <w:jc w:val="center"/>
              <w:rPr>
                <w:color w:val="000000"/>
                <w:kern w:val="0"/>
                <w:sz w:val="21"/>
                <w:highlight w:val="none"/>
              </w:rPr>
            </w:pPr>
            <w:r>
              <w:rPr>
                <w:sz w:val="21"/>
                <w:highlight w:val="none"/>
              </w:rPr>
              <w:t>塔下作业区</w:t>
            </w:r>
          </w:p>
        </w:tc>
        <w:tc>
          <w:tcPr>
            <w:tcW w:w="736" w:type="dxa"/>
            <w:vAlign w:val="center"/>
          </w:tcPr>
          <w:p w14:paraId="1FEC37F0">
            <w:pPr>
              <w:spacing w:line="240" w:lineRule="auto"/>
              <w:ind w:firstLine="0" w:firstLineChars="0"/>
              <w:jc w:val="center"/>
              <w:rPr>
                <w:rFonts w:hint="eastAsia" w:eastAsia="宋体"/>
                <w:color w:val="000000"/>
                <w:kern w:val="0"/>
                <w:sz w:val="21"/>
                <w:highlight w:val="none"/>
                <w:lang w:val="en-US" w:eastAsia="zh-CN"/>
              </w:rPr>
            </w:pPr>
            <w:r>
              <w:rPr>
                <w:sz w:val="21"/>
                <w:highlight w:val="none"/>
              </w:rPr>
              <w:t>2</w:t>
            </w:r>
            <w:r>
              <w:rPr>
                <w:rFonts w:hint="eastAsia"/>
                <w:sz w:val="21"/>
                <w:highlight w:val="none"/>
                <w:lang w:val="en-US" w:eastAsia="zh-CN"/>
              </w:rPr>
              <w:t>套</w:t>
            </w:r>
          </w:p>
        </w:tc>
        <w:tc>
          <w:tcPr>
            <w:tcW w:w="1562" w:type="dxa"/>
            <w:vAlign w:val="center"/>
          </w:tcPr>
          <w:p w14:paraId="256258EE">
            <w:pPr>
              <w:spacing w:line="240" w:lineRule="auto"/>
              <w:ind w:firstLine="0" w:firstLineChars="0"/>
              <w:jc w:val="center"/>
              <w:rPr>
                <w:color w:val="000000"/>
                <w:kern w:val="0"/>
                <w:sz w:val="21"/>
                <w:highlight w:val="none"/>
              </w:rPr>
            </w:pPr>
            <w:r>
              <w:rPr>
                <w:sz w:val="21"/>
                <w:highlight w:val="none"/>
              </w:rPr>
              <w:t>/</w:t>
            </w:r>
          </w:p>
        </w:tc>
        <w:tc>
          <w:tcPr>
            <w:tcW w:w="1345" w:type="dxa"/>
            <w:vAlign w:val="center"/>
          </w:tcPr>
          <w:p w14:paraId="681D704F">
            <w:pPr>
              <w:spacing w:line="240" w:lineRule="auto"/>
              <w:ind w:firstLine="0" w:firstLineChars="0"/>
              <w:jc w:val="center"/>
              <w:rPr>
                <w:color w:val="000000"/>
                <w:kern w:val="0"/>
                <w:sz w:val="21"/>
                <w:highlight w:val="none"/>
              </w:rPr>
            </w:pPr>
            <w:r>
              <w:rPr>
                <w:sz w:val="21"/>
                <w:highlight w:val="none"/>
              </w:rPr>
              <w:t>自制</w:t>
            </w:r>
          </w:p>
        </w:tc>
      </w:tr>
      <w:tr w14:paraId="170FFE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297CC060">
            <w:pPr>
              <w:spacing w:line="240" w:lineRule="auto"/>
              <w:ind w:firstLine="0" w:firstLineChars="0"/>
              <w:jc w:val="center"/>
              <w:rPr>
                <w:rFonts w:hint="eastAsia" w:ascii="Times New Roman" w:hAnsi="Times New Roman" w:eastAsia="宋体" w:cs="Times New Roman"/>
                <w:color w:val="000000"/>
                <w:kern w:val="0"/>
                <w:sz w:val="21"/>
                <w:szCs w:val="21"/>
                <w:highlight w:val="none"/>
                <w:lang w:val="en-US" w:eastAsia="zh-CN" w:bidi="ar-SA"/>
              </w:rPr>
            </w:pPr>
            <w:r>
              <w:rPr>
                <w:rFonts w:hint="eastAsia"/>
                <w:color w:val="000000"/>
                <w:kern w:val="0"/>
                <w:sz w:val="21"/>
                <w:highlight w:val="none"/>
                <w:lang w:val="en-US" w:eastAsia="zh-CN"/>
              </w:rPr>
              <w:t>2</w:t>
            </w:r>
          </w:p>
        </w:tc>
        <w:tc>
          <w:tcPr>
            <w:tcW w:w="2181" w:type="dxa"/>
            <w:vAlign w:val="center"/>
          </w:tcPr>
          <w:p w14:paraId="18AA16F6">
            <w:pPr>
              <w:spacing w:line="240" w:lineRule="auto"/>
              <w:ind w:firstLine="0" w:firstLineChars="0"/>
              <w:jc w:val="center"/>
              <w:rPr>
                <w:color w:val="000000"/>
                <w:kern w:val="0"/>
                <w:sz w:val="21"/>
                <w:highlight w:val="none"/>
              </w:rPr>
            </w:pPr>
            <w:r>
              <w:rPr>
                <w:rFonts w:hint="eastAsia"/>
                <w:color w:val="000000"/>
                <w:sz w:val="21"/>
                <w:highlight w:val="none"/>
              </w:rPr>
              <w:t>上下爬梯</w:t>
            </w:r>
          </w:p>
        </w:tc>
        <w:tc>
          <w:tcPr>
            <w:tcW w:w="1671" w:type="dxa"/>
            <w:vAlign w:val="center"/>
          </w:tcPr>
          <w:p w14:paraId="4260703F">
            <w:pPr>
              <w:spacing w:line="240" w:lineRule="auto"/>
              <w:ind w:firstLine="0" w:firstLineChars="0"/>
              <w:jc w:val="center"/>
              <w:rPr>
                <w:sz w:val="21"/>
                <w:highlight w:val="none"/>
              </w:rPr>
            </w:pPr>
            <w:r>
              <w:rPr>
                <w:rFonts w:hint="eastAsia"/>
                <w:sz w:val="21"/>
                <w:highlight w:val="none"/>
              </w:rPr>
              <w:t>塔吊内部</w:t>
            </w:r>
          </w:p>
        </w:tc>
        <w:tc>
          <w:tcPr>
            <w:tcW w:w="736" w:type="dxa"/>
            <w:vAlign w:val="center"/>
          </w:tcPr>
          <w:p w14:paraId="7BBC7A76">
            <w:pPr>
              <w:spacing w:line="240" w:lineRule="auto"/>
              <w:ind w:firstLine="0" w:firstLineChars="0"/>
              <w:jc w:val="center"/>
              <w:rPr>
                <w:color w:val="000000"/>
                <w:kern w:val="0"/>
                <w:sz w:val="21"/>
                <w:highlight w:val="none"/>
              </w:rPr>
            </w:pPr>
            <w:r>
              <w:rPr>
                <w:rFonts w:hint="eastAsia"/>
                <w:color w:val="000000"/>
                <w:sz w:val="21"/>
                <w:highlight w:val="none"/>
              </w:rPr>
              <w:t>2套</w:t>
            </w:r>
          </w:p>
        </w:tc>
        <w:tc>
          <w:tcPr>
            <w:tcW w:w="1562" w:type="dxa"/>
            <w:vAlign w:val="center"/>
          </w:tcPr>
          <w:p w14:paraId="713FCB8D">
            <w:pPr>
              <w:spacing w:line="240" w:lineRule="auto"/>
              <w:ind w:firstLine="0" w:firstLineChars="0"/>
              <w:jc w:val="center"/>
              <w:rPr>
                <w:color w:val="000000"/>
                <w:kern w:val="0"/>
                <w:sz w:val="21"/>
                <w:highlight w:val="none"/>
              </w:rPr>
            </w:pPr>
            <w:r>
              <w:rPr>
                <w:sz w:val="21"/>
                <w:highlight w:val="none"/>
              </w:rPr>
              <w:t>/</w:t>
            </w:r>
          </w:p>
        </w:tc>
        <w:tc>
          <w:tcPr>
            <w:tcW w:w="1345" w:type="dxa"/>
            <w:vAlign w:val="center"/>
          </w:tcPr>
          <w:p w14:paraId="220FFFEE">
            <w:pPr>
              <w:spacing w:line="240" w:lineRule="auto"/>
              <w:ind w:firstLine="0" w:firstLineChars="0"/>
              <w:jc w:val="center"/>
              <w:rPr>
                <w:color w:val="000000"/>
                <w:kern w:val="0"/>
                <w:sz w:val="21"/>
                <w:highlight w:val="none"/>
              </w:rPr>
            </w:pPr>
            <w:r>
              <w:rPr>
                <w:rFonts w:hint="eastAsia"/>
                <w:color w:val="000000"/>
                <w:sz w:val="21"/>
                <w:highlight w:val="none"/>
              </w:rPr>
              <w:t>设备自有</w:t>
            </w:r>
          </w:p>
        </w:tc>
      </w:tr>
    </w:tbl>
    <w:p w14:paraId="3458638E">
      <w:pPr>
        <w:pStyle w:val="5"/>
        <w:bidi w:val="0"/>
        <w:rPr>
          <w:rFonts w:hint="default" w:ascii="Times New Roman" w:hAnsi="Times New Roman" w:cs="Times New Roman"/>
          <w:highlight w:val="none"/>
          <w:lang w:val="en-US" w:eastAsia="zh-CN"/>
        </w:rPr>
      </w:pPr>
      <w:bookmarkStart w:id="46" w:name="_Toc6434"/>
      <w:bookmarkStart w:id="47" w:name="_Toc31526"/>
      <w:r>
        <w:rPr>
          <w:rFonts w:hint="default" w:ascii="Times New Roman" w:hAnsi="Times New Roman" w:cs="Times New Roman"/>
          <w:highlight w:val="none"/>
          <w:lang w:val="en-US" w:eastAsia="zh-CN"/>
        </w:rPr>
        <w:t>设备及工具计划</w:t>
      </w:r>
      <w:bookmarkEnd w:id="46"/>
      <w:bookmarkEnd w:id="47"/>
    </w:p>
    <w:p w14:paraId="6F22D1F3">
      <w:pPr>
        <w:ind w:firstLine="480"/>
        <w:rPr>
          <w:rFonts w:hint="default" w:ascii="Times New Roman" w:hAnsi="Times New Roman" w:cs="Times New Roman"/>
        </w:rPr>
      </w:pPr>
      <w:r>
        <w:rPr>
          <w:rFonts w:hint="eastAsia" w:ascii="Times New Roman" w:hAnsi="Times New Roman" w:cs="Times New Roman"/>
          <w:lang w:val="en-US" w:eastAsia="zh-CN"/>
        </w:rPr>
        <w:t>塔式起重机</w:t>
      </w:r>
      <w:r>
        <w:rPr>
          <w:rFonts w:hint="default" w:ascii="Times New Roman" w:hAnsi="Times New Roman" w:cs="Times New Roman"/>
        </w:rPr>
        <w:t>安装施工投入的主要设备</w:t>
      </w:r>
      <w:r>
        <w:rPr>
          <w:rFonts w:hint="default" w:ascii="Times New Roman" w:hAnsi="Times New Roman" w:cs="Times New Roman"/>
          <w:lang w:val="en-US" w:eastAsia="zh-CN"/>
        </w:rPr>
        <w:t>及工具</w:t>
      </w:r>
      <w:r>
        <w:rPr>
          <w:rFonts w:hint="default" w:ascii="Times New Roman" w:hAnsi="Times New Roman" w:cs="Times New Roman"/>
        </w:rPr>
        <w:t>情况如下表3.3-1。</w:t>
      </w:r>
    </w:p>
    <w:p w14:paraId="03828F37">
      <w:pPr>
        <w:pStyle w:val="46"/>
        <w:rPr>
          <w:rFonts w:hint="default" w:ascii="Times New Roman" w:hAnsi="Times New Roman" w:cs="Times New Roman"/>
        </w:rPr>
      </w:pPr>
      <w:r>
        <w:rPr>
          <w:rFonts w:hint="default" w:ascii="Times New Roman" w:hAnsi="Times New Roman" w:cs="Times New Roman"/>
        </w:rPr>
        <w:t>表3.</w:t>
      </w:r>
      <w:r>
        <w:rPr>
          <w:rFonts w:hint="eastAsia" w:ascii="Times New Roman" w:hAnsi="Times New Roman" w:cs="Times New Roman"/>
          <w:lang w:val="en-US" w:eastAsia="zh-CN"/>
        </w:rPr>
        <w:t>3</w:t>
      </w:r>
      <w:r>
        <w:rPr>
          <w:rFonts w:hint="default" w:ascii="Times New Roman" w:hAnsi="Times New Roman" w:cs="Times New Roman"/>
        </w:rPr>
        <w:t>-1 施工工机具计划表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2170"/>
        <w:gridCol w:w="2531"/>
        <w:gridCol w:w="1031"/>
        <w:gridCol w:w="1159"/>
        <w:gridCol w:w="1040"/>
      </w:tblGrid>
      <w:tr w14:paraId="5FA82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1787489A">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序号</w:t>
            </w:r>
          </w:p>
        </w:tc>
        <w:tc>
          <w:tcPr>
            <w:tcW w:w="1273" w:type="pct"/>
            <w:vAlign w:val="center"/>
          </w:tcPr>
          <w:p w14:paraId="7A5DC0CE">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sz w:val="21"/>
                <w:szCs w:val="21"/>
              </w:rPr>
            </w:pPr>
            <w:r>
              <w:rPr>
                <w:rFonts w:hint="eastAsia" w:ascii="宋体" w:hAnsi="宋体" w:eastAsia="宋体" w:cs="宋体"/>
                <w:b/>
                <w:sz w:val="21"/>
                <w:szCs w:val="21"/>
              </w:rPr>
              <w:t>设备名称</w:t>
            </w:r>
          </w:p>
        </w:tc>
        <w:tc>
          <w:tcPr>
            <w:tcW w:w="1485" w:type="pct"/>
            <w:vAlign w:val="center"/>
          </w:tcPr>
          <w:p w14:paraId="7E1A5170">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sz w:val="21"/>
                <w:szCs w:val="21"/>
              </w:rPr>
            </w:pPr>
            <w:r>
              <w:rPr>
                <w:rFonts w:hint="eastAsia" w:ascii="宋体" w:hAnsi="宋体" w:eastAsia="宋体" w:cs="宋体"/>
                <w:b/>
                <w:sz w:val="21"/>
                <w:szCs w:val="21"/>
              </w:rPr>
              <w:t>设备规格型号</w:t>
            </w:r>
          </w:p>
        </w:tc>
        <w:tc>
          <w:tcPr>
            <w:tcW w:w="605" w:type="pct"/>
            <w:vAlign w:val="center"/>
          </w:tcPr>
          <w:p w14:paraId="6654AE3A">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单位</w:t>
            </w:r>
          </w:p>
        </w:tc>
        <w:tc>
          <w:tcPr>
            <w:tcW w:w="680" w:type="pct"/>
            <w:vAlign w:val="center"/>
          </w:tcPr>
          <w:p w14:paraId="5B38E1ED">
            <w:pPr>
              <w:pStyle w:val="1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kern w:val="2"/>
                <w:sz w:val="21"/>
                <w:szCs w:val="21"/>
                <w:lang w:val="en-US" w:eastAsia="zh-CN" w:bidi="ar-SA"/>
              </w:rPr>
            </w:pPr>
            <w:r>
              <w:rPr>
                <w:rFonts w:hint="eastAsia" w:ascii="宋体" w:hAnsi="宋体" w:eastAsia="宋体" w:cs="宋体"/>
                <w:b/>
                <w:sz w:val="21"/>
                <w:szCs w:val="21"/>
              </w:rPr>
              <w:t>数量</w:t>
            </w:r>
          </w:p>
        </w:tc>
        <w:tc>
          <w:tcPr>
            <w:tcW w:w="610" w:type="pct"/>
            <w:vAlign w:val="center"/>
          </w:tcPr>
          <w:p w14:paraId="1C957784">
            <w:pPr>
              <w:pStyle w:val="1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备注</w:t>
            </w:r>
          </w:p>
        </w:tc>
      </w:tr>
      <w:tr w14:paraId="70ADF0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33B4C651">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w:t>
            </w:r>
          </w:p>
        </w:tc>
        <w:tc>
          <w:tcPr>
            <w:tcW w:w="1273" w:type="pct"/>
            <w:vAlign w:val="center"/>
          </w:tcPr>
          <w:p w14:paraId="4C9A3B16">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汽车吊</w:t>
            </w:r>
          </w:p>
        </w:tc>
        <w:tc>
          <w:tcPr>
            <w:tcW w:w="1485" w:type="pct"/>
            <w:vAlign w:val="center"/>
          </w:tcPr>
          <w:p w14:paraId="6EBC8799">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25</w:t>
            </w:r>
            <w:r>
              <w:rPr>
                <w:rFonts w:hint="eastAsia" w:ascii="宋体" w:hAnsi="宋体" w:eastAsia="宋体" w:cs="宋体"/>
                <w:b w:val="0"/>
                <w:bCs/>
                <w:sz w:val="21"/>
                <w:szCs w:val="21"/>
              </w:rPr>
              <w:t>t</w:t>
            </w:r>
          </w:p>
        </w:tc>
        <w:tc>
          <w:tcPr>
            <w:tcW w:w="605" w:type="pct"/>
            <w:vAlign w:val="center"/>
          </w:tcPr>
          <w:p w14:paraId="77C1545D">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台</w:t>
            </w:r>
          </w:p>
        </w:tc>
        <w:tc>
          <w:tcPr>
            <w:tcW w:w="680" w:type="pct"/>
            <w:vAlign w:val="center"/>
          </w:tcPr>
          <w:p w14:paraId="5A4D8FE3">
            <w:pPr>
              <w:pStyle w:val="1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1</w:t>
            </w:r>
          </w:p>
        </w:tc>
        <w:tc>
          <w:tcPr>
            <w:tcW w:w="610" w:type="pct"/>
            <w:vAlign w:val="center"/>
          </w:tcPr>
          <w:p w14:paraId="6EBF5796">
            <w:pPr>
              <w:pStyle w:val="1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sz w:val="21"/>
                <w:szCs w:val="21"/>
              </w:rPr>
            </w:pPr>
          </w:p>
        </w:tc>
      </w:tr>
      <w:tr w14:paraId="458728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0CE4DD5A">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w:t>
            </w:r>
          </w:p>
        </w:tc>
        <w:tc>
          <w:tcPr>
            <w:tcW w:w="1273" w:type="pct"/>
            <w:vAlign w:val="center"/>
          </w:tcPr>
          <w:p w14:paraId="4C4B8014">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平板运输车</w:t>
            </w:r>
          </w:p>
        </w:tc>
        <w:tc>
          <w:tcPr>
            <w:tcW w:w="1485" w:type="pct"/>
            <w:vAlign w:val="center"/>
          </w:tcPr>
          <w:p w14:paraId="05929E22">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605" w:type="pct"/>
            <w:vAlign w:val="center"/>
          </w:tcPr>
          <w:p w14:paraId="5806B51D">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辆</w:t>
            </w:r>
          </w:p>
        </w:tc>
        <w:tc>
          <w:tcPr>
            <w:tcW w:w="680" w:type="pct"/>
            <w:vAlign w:val="center"/>
          </w:tcPr>
          <w:p w14:paraId="6DAD1D10">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1</w:t>
            </w:r>
          </w:p>
        </w:tc>
        <w:tc>
          <w:tcPr>
            <w:tcW w:w="610" w:type="pct"/>
            <w:vAlign w:val="center"/>
          </w:tcPr>
          <w:p w14:paraId="3AAC0F9F">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7A392D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3BBC2F67">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w:t>
            </w:r>
          </w:p>
        </w:tc>
        <w:tc>
          <w:tcPr>
            <w:tcW w:w="1273" w:type="pct"/>
            <w:vAlign w:val="center"/>
          </w:tcPr>
          <w:p w14:paraId="2C23976C">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链条葫芦</w:t>
            </w:r>
          </w:p>
        </w:tc>
        <w:tc>
          <w:tcPr>
            <w:tcW w:w="1485" w:type="pct"/>
            <w:vAlign w:val="center"/>
          </w:tcPr>
          <w:p w14:paraId="07F8F2BA">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2t</w:t>
            </w:r>
          </w:p>
        </w:tc>
        <w:tc>
          <w:tcPr>
            <w:tcW w:w="605" w:type="pct"/>
            <w:vAlign w:val="center"/>
          </w:tcPr>
          <w:p w14:paraId="49208F10">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只</w:t>
            </w:r>
          </w:p>
        </w:tc>
        <w:tc>
          <w:tcPr>
            <w:tcW w:w="680" w:type="pct"/>
            <w:vAlign w:val="center"/>
          </w:tcPr>
          <w:p w14:paraId="62A76F34">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2</w:t>
            </w:r>
          </w:p>
        </w:tc>
        <w:tc>
          <w:tcPr>
            <w:tcW w:w="610" w:type="pct"/>
            <w:vAlign w:val="center"/>
          </w:tcPr>
          <w:p w14:paraId="5D7178FD">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6533A0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36D0F5EE">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w:t>
            </w:r>
          </w:p>
        </w:tc>
        <w:tc>
          <w:tcPr>
            <w:tcW w:w="1273" w:type="pct"/>
            <w:vAlign w:val="center"/>
          </w:tcPr>
          <w:p w14:paraId="00935EFD">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重型套筒</w:t>
            </w:r>
          </w:p>
        </w:tc>
        <w:tc>
          <w:tcPr>
            <w:tcW w:w="1485" w:type="pct"/>
            <w:vAlign w:val="center"/>
          </w:tcPr>
          <w:p w14:paraId="32B0DD9E">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32件</w:t>
            </w:r>
          </w:p>
        </w:tc>
        <w:tc>
          <w:tcPr>
            <w:tcW w:w="605" w:type="pct"/>
            <w:vAlign w:val="center"/>
          </w:tcPr>
          <w:p w14:paraId="014D3486">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套</w:t>
            </w:r>
          </w:p>
        </w:tc>
        <w:tc>
          <w:tcPr>
            <w:tcW w:w="680" w:type="pct"/>
            <w:vAlign w:val="center"/>
          </w:tcPr>
          <w:p w14:paraId="2A86487B">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0C4A32AD">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4BE2B0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1FA17850">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w:t>
            </w:r>
          </w:p>
        </w:tc>
        <w:tc>
          <w:tcPr>
            <w:tcW w:w="1273" w:type="pct"/>
            <w:vAlign w:val="center"/>
          </w:tcPr>
          <w:p w14:paraId="1CE2BFE0">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活动扳手</w:t>
            </w:r>
          </w:p>
        </w:tc>
        <w:tc>
          <w:tcPr>
            <w:tcW w:w="1485" w:type="pct"/>
            <w:vAlign w:val="center"/>
          </w:tcPr>
          <w:p w14:paraId="3EC77328">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21件</w:t>
            </w:r>
          </w:p>
        </w:tc>
        <w:tc>
          <w:tcPr>
            <w:tcW w:w="605" w:type="pct"/>
            <w:vAlign w:val="center"/>
          </w:tcPr>
          <w:p w14:paraId="20F11B4D">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套</w:t>
            </w:r>
          </w:p>
        </w:tc>
        <w:tc>
          <w:tcPr>
            <w:tcW w:w="680" w:type="pct"/>
            <w:vAlign w:val="center"/>
          </w:tcPr>
          <w:p w14:paraId="15122FE7">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1AA42404">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7FCC4D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0A1BA06B">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w:t>
            </w:r>
          </w:p>
        </w:tc>
        <w:tc>
          <w:tcPr>
            <w:tcW w:w="1273" w:type="pct"/>
            <w:vAlign w:val="center"/>
          </w:tcPr>
          <w:p w14:paraId="2507B125">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梅花扳手</w:t>
            </w:r>
          </w:p>
        </w:tc>
        <w:tc>
          <w:tcPr>
            <w:tcW w:w="1485" w:type="pct"/>
            <w:vAlign w:val="center"/>
          </w:tcPr>
          <w:p w14:paraId="62514514">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21件</w:t>
            </w:r>
          </w:p>
        </w:tc>
        <w:tc>
          <w:tcPr>
            <w:tcW w:w="605" w:type="pct"/>
            <w:vAlign w:val="center"/>
          </w:tcPr>
          <w:p w14:paraId="55A32F67">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套</w:t>
            </w:r>
          </w:p>
        </w:tc>
        <w:tc>
          <w:tcPr>
            <w:tcW w:w="680" w:type="pct"/>
            <w:vAlign w:val="center"/>
          </w:tcPr>
          <w:p w14:paraId="2E373DCA">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12ED0094">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7509A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39802AC5">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7</w:t>
            </w:r>
          </w:p>
        </w:tc>
        <w:tc>
          <w:tcPr>
            <w:tcW w:w="1273" w:type="pct"/>
            <w:vAlign w:val="center"/>
          </w:tcPr>
          <w:p w14:paraId="0D226A5F">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大锤</w:t>
            </w:r>
          </w:p>
        </w:tc>
        <w:tc>
          <w:tcPr>
            <w:tcW w:w="1485" w:type="pct"/>
            <w:vAlign w:val="center"/>
          </w:tcPr>
          <w:p w14:paraId="09C63E1D">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4-18P</w:t>
            </w:r>
          </w:p>
        </w:tc>
        <w:tc>
          <w:tcPr>
            <w:tcW w:w="605" w:type="pct"/>
            <w:vAlign w:val="center"/>
          </w:tcPr>
          <w:p w14:paraId="7465C19A">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套</w:t>
            </w:r>
          </w:p>
        </w:tc>
        <w:tc>
          <w:tcPr>
            <w:tcW w:w="680" w:type="pct"/>
            <w:vAlign w:val="center"/>
          </w:tcPr>
          <w:p w14:paraId="07B57824">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068CCE67">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6640D2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58BAA280">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8</w:t>
            </w:r>
          </w:p>
        </w:tc>
        <w:tc>
          <w:tcPr>
            <w:tcW w:w="1273" w:type="pct"/>
            <w:vAlign w:val="center"/>
          </w:tcPr>
          <w:p w14:paraId="6C3792CE">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万用电表</w:t>
            </w:r>
          </w:p>
        </w:tc>
        <w:tc>
          <w:tcPr>
            <w:tcW w:w="1485" w:type="pct"/>
            <w:vAlign w:val="center"/>
          </w:tcPr>
          <w:p w14:paraId="6DD55E9D">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605" w:type="pct"/>
            <w:vAlign w:val="center"/>
          </w:tcPr>
          <w:p w14:paraId="7572AE30">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只</w:t>
            </w:r>
          </w:p>
        </w:tc>
        <w:tc>
          <w:tcPr>
            <w:tcW w:w="680" w:type="pct"/>
            <w:vAlign w:val="center"/>
          </w:tcPr>
          <w:p w14:paraId="052BB659">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23F7A822">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123D9B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747FAA77">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9</w:t>
            </w:r>
          </w:p>
        </w:tc>
        <w:tc>
          <w:tcPr>
            <w:tcW w:w="1273" w:type="pct"/>
            <w:vAlign w:val="center"/>
          </w:tcPr>
          <w:p w14:paraId="410E8007">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电工常用工具</w:t>
            </w:r>
          </w:p>
        </w:tc>
        <w:tc>
          <w:tcPr>
            <w:tcW w:w="1485" w:type="pct"/>
            <w:vAlign w:val="center"/>
          </w:tcPr>
          <w:p w14:paraId="6821CB61">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605" w:type="pct"/>
            <w:vAlign w:val="center"/>
          </w:tcPr>
          <w:p w14:paraId="1AB4B328">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套</w:t>
            </w:r>
          </w:p>
        </w:tc>
        <w:tc>
          <w:tcPr>
            <w:tcW w:w="680" w:type="pct"/>
            <w:vAlign w:val="center"/>
          </w:tcPr>
          <w:p w14:paraId="519A7EC8">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73E942A6">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2BC4D5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00D83044">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10</w:t>
            </w:r>
          </w:p>
        </w:tc>
        <w:tc>
          <w:tcPr>
            <w:tcW w:w="1273" w:type="pct"/>
            <w:vAlign w:val="center"/>
          </w:tcPr>
          <w:p w14:paraId="53EC92D0">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接地摇表</w:t>
            </w:r>
          </w:p>
        </w:tc>
        <w:tc>
          <w:tcPr>
            <w:tcW w:w="1485" w:type="pct"/>
            <w:vAlign w:val="center"/>
          </w:tcPr>
          <w:p w14:paraId="3CE83FDA">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605" w:type="pct"/>
            <w:vAlign w:val="center"/>
          </w:tcPr>
          <w:p w14:paraId="1CE7C582">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只</w:t>
            </w:r>
          </w:p>
        </w:tc>
        <w:tc>
          <w:tcPr>
            <w:tcW w:w="680" w:type="pct"/>
            <w:vAlign w:val="center"/>
          </w:tcPr>
          <w:p w14:paraId="53D8EAD8">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1FEF2117">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515D70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5AAEC0F5">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11</w:t>
            </w:r>
          </w:p>
        </w:tc>
        <w:tc>
          <w:tcPr>
            <w:tcW w:w="1273" w:type="pct"/>
            <w:vAlign w:val="center"/>
          </w:tcPr>
          <w:p w14:paraId="26EA77AE">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吊起重臂钢丝绳</w:t>
            </w:r>
          </w:p>
        </w:tc>
        <w:tc>
          <w:tcPr>
            <w:tcW w:w="1485" w:type="pct"/>
            <w:vAlign w:val="center"/>
          </w:tcPr>
          <w:p w14:paraId="1EEC5201">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6</w:t>
            </w:r>
            <w:r>
              <w:rPr>
                <w:rFonts w:hint="eastAsia" w:ascii="宋体" w:hAnsi="宋体" w:cs="宋体"/>
                <w:b w:val="0"/>
                <w:bCs/>
                <w:sz w:val="21"/>
                <w:szCs w:val="21"/>
                <w:highlight w:val="none"/>
                <w:lang w:val="en-US" w:eastAsia="zh-CN"/>
              </w:rPr>
              <w:t>×</w:t>
            </w:r>
            <w:r>
              <w:rPr>
                <w:rFonts w:hint="eastAsia" w:ascii="宋体" w:hAnsi="宋体" w:eastAsia="宋体" w:cs="宋体"/>
                <w:b w:val="0"/>
                <w:bCs/>
                <w:sz w:val="21"/>
                <w:szCs w:val="21"/>
                <w:highlight w:val="none"/>
                <w:lang w:val="en-US" w:eastAsia="zh-CN"/>
              </w:rPr>
              <w:t>19</w:t>
            </w:r>
            <w:r>
              <w:rPr>
                <w:rFonts w:hint="eastAsia" w:ascii="宋体" w:hAnsi="宋体" w:eastAsia="宋体" w:cs="宋体"/>
                <w:b w:val="0"/>
                <w:bCs/>
                <w:sz w:val="21"/>
                <w:szCs w:val="21"/>
                <w:highlight w:val="none"/>
              </w:rPr>
              <w:t>S+FC-1</w:t>
            </w:r>
            <w:r>
              <w:rPr>
                <w:rFonts w:hint="eastAsia" w:ascii="宋体" w:hAnsi="宋体" w:eastAsia="宋体" w:cs="宋体"/>
                <w:b w:val="0"/>
                <w:bCs/>
                <w:sz w:val="21"/>
                <w:szCs w:val="21"/>
                <w:highlight w:val="none"/>
                <w:lang w:val="en-US" w:eastAsia="zh-CN"/>
              </w:rPr>
              <w:t>8</w:t>
            </w:r>
            <w:r>
              <w:rPr>
                <w:rFonts w:hint="eastAsia" w:ascii="宋体" w:hAnsi="宋体" w:eastAsia="宋体" w:cs="宋体"/>
                <w:b w:val="0"/>
                <w:bCs/>
                <w:sz w:val="21"/>
                <w:szCs w:val="21"/>
                <w:highlight w:val="none"/>
              </w:rPr>
              <w:t>70-Ø</w:t>
            </w:r>
            <w:r>
              <w:rPr>
                <w:rFonts w:hint="eastAsia" w:ascii="宋体" w:hAnsi="宋体" w:eastAsia="宋体" w:cs="宋体"/>
                <w:b w:val="0"/>
                <w:bCs/>
                <w:sz w:val="21"/>
                <w:szCs w:val="21"/>
                <w:highlight w:val="none"/>
                <w:lang w:val="en-US" w:eastAsia="zh-CN"/>
              </w:rPr>
              <w:t>16</w:t>
            </w:r>
            <w:r>
              <w:rPr>
                <w:rFonts w:hint="eastAsia" w:ascii="宋体" w:hAnsi="宋体" w:eastAsia="宋体" w:cs="宋体"/>
                <w:b w:val="0"/>
                <w:bCs/>
                <w:sz w:val="21"/>
                <w:szCs w:val="21"/>
                <w:highlight w:val="none"/>
              </w:rPr>
              <w:t>mm</w:t>
            </w:r>
          </w:p>
        </w:tc>
        <w:tc>
          <w:tcPr>
            <w:tcW w:w="605" w:type="pct"/>
            <w:vAlign w:val="center"/>
          </w:tcPr>
          <w:p w14:paraId="7E493564">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根</w:t>
            </w:r>
          </w:p>
        </w:tc>
        <w:tc>
          <w:tcPr>
            <w:tcW w:w="680" w:type="pct"/>
            <w:vAlign w:val="center"/>
          </w:tcPr>
          <w:p w14:paraId="376FF241">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2</w:t>
            </w:r>
          </w:p>
        </w:tc>
        <w:tc>
          <w:tcPr>
            <w:tcW w:w="610" w:type="pct"/>
            <w:vAlign w:val="center"/>
          </w:tcPr>
          <w:p w14:paraId="11E2AD32">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6EE162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5979BA14">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12</w:t>
            </w:r>
          </w:p>
        </w:tc>
        <w:tc>
          <w:tcPr>
            <w:tcW w:w="1273" w:type="pct"/>
            <w:vAlign w:val="center"/>
          </w:tcPr>
          <w:p w14:paraId="50684AF7">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吊平衡臂钢丝绳</w:t>
            </w:r>
          </w:p>
        </w:tc>
        <w:tc>
          <w:tcPr>
            <w:tcW w:w="1485" w:type="pct"/>
            <w:vAlign w:val="center"/>
          </w:tcPr>
          <w:p w14:paraId="1EA66FFB">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6</w:t>
            </w:r>
            <w:r>
              <w:rPr>
                <w:rFonts w:hint="eastAsia" w:ascii="宋体" w:hAnsi="宋体" w:cs="宋体"/>
                <w:b w:val="0"/>
                <w:bCs/>
                <w:sz w:val="21"/>
                <w:szCs w:val="21"/>
                <w:highlight w:val="none"/>
                <w:lang w:val="en-US" w:eastAsia="zh-CN"/>
              </w:rPr>
              <w:t>×</w:t>
            </w:r>
            <w:r>
              <w:rPr>
                <w:rFonts w:hint="eastAsia" w:ascii="宋体" w:hAnsi="宋体" w:eastAsia="宋体" w:cs="宋体"/>
                <w:b w:val="0"/>
                <w:bCs/>
                <w:sz w:val="21"/>
                <w:szCs w:val="21"/>
                <w:highlight w:val="none"/>
                <w:lang w:val="en-US" w:eastAsia="zh-CN"/>
              </w:rPr>
              <w:t>19</w:t>
            </w:r>
            <w:r>
              <w:rPr>
                <w:rFonts w:hint="eastAsia" w:ascii="宋体" w:hAnsi="宋体" w:eastAsia="宋体" w:cs="宋体"/>
                <w:b w:val="0"/>
                <w:bCs/>
                <w:sz w:val="21"/>
                <w:szCs w:val="21"/>
                <w:highlight w:val="none"/>
              </w:rPr>
              <w:t>S+FC-1</w:t>
            </w:r>
            <w:r>
              <w:rPr>
                <w:rFonts w:hint="eastAsia" w:ascii="宋体" w:hAnsi="宋体" w:eastAsia="宋体" w:cs="宋体"/>
                <w:b w:val="0"/>
                <w:bCs/>
                <w:sz w:val="21"/>
                <w:szCs w:val="21"/>
                <w:highlight w:val="none"/>
                <w:lang w:val="en-US" w:eastAsia="zh-CN"/>
              </w:rPr>
              <w:t>8</w:t>
            </w:r>
            <w:r>
              <w:rPr>
                <w:rFonts w:hint="eastAsia" w:ascii="宋体" w:hAnsi="宋体" w:eastAsia="宋体" w:cs="宋体"/>
                <w:b w:val="0"/>
                <w:bCs/>
                <w:sz w:val="21"/>
                <w:szCs w:val="21"/>
                <w:highlight w:val="none"/>
              </w:rPr>
              <w:t>70-Ø</w:t>
            </w:r>
            <w:r>
              <w:rPr>
                <w:rFonts w:hint="eastAsia" w:ascii="宋体" w:hAnsi="宋体" w:eastAsia="宋体" w:cs="宋体"/>
                <w:b w:val="0"/>
                <w:bCs/>
                <w:sz w:val="21"/>
                <w:szCs w:val="21"/>
                <w:highlight w:val="none"/>
                <w:lang w:val="en-US" w:eastAsia="zh-CN"/>
              </w:rPr>
              <w:t>18</w:t>
            </w:r>
            <w:r>
              <w:rPr>
                <w:rFonts w:hint="eastAsia" w:ascii="宋体" w:hAnsi="宋体" w:eastAsia="宋体" w:cs="宋体"/>
                <w:b w:val="0"/>
                <w:bCs/>
                <w:sz w:val="21"/>
                <w:szCs w:val="21"/>
                <w:highlight w:val="none"/>
              </w:rPr>
              <w:t>mm</w:t>
            </w:r>
          </w:p>
        </w:tc>
        <w:tc>
          <w:tcPr>
            <w:tcW w:w="605" w:type="pct"/>
            <w:vAlign w:val="center"/>
          </w:tcPr>
          <w:p w14:paraId="4451CBD9">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根</w:t>
            </w:r>
          </w:p>
        </w:tc>
        <w:tc>
          <w:tcPr>
            <w:tcW w:w="680" w:type="pct"/>
            <w:vAlign w:val="center"/>
          </w:tcPr>
          <w:p w14:paraId="3B909F00">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4</w:t>
            </w:r>
          </w:p>
        </w:tc>
        <w:tc>
          <w:tcPr>
            <w:tcW w:w="610" w:type="pct"/>
            <w:vAlign w:val="center"/>
          </w:tcPr>
          <w:p w14:paraId="1F0A4083">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55C94E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78468FB0">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13</w:t>
            </w:r>
          </w:p>
        </w:tc>
        <w:tc>
          <w:tcPr>
            <w:tcW w:w="1273" w:type="pct"/>
            <w:vAlign w:val="center"/>
          </w:tcPr>
          <w:p w14:paraId="193B9D30">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吊塔身部件钢丝绳</w:t>
            </w:r>
          </w:p>
        </w:tc>
        <w:tc>
          <w:tcPr>
            <w:tcW w:w="1485" w:type="pct"/>
            <w:vAlign w:val="center"/>
          </w:tcPr>
          <w:p w14:paraId="4D51A0B7">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6</w:t>
            </w:r>
            <w:r>
              <w:rPr>
                <w:rFonts w:hint="eastAsia" w:ascii="宋体" w:hAnsi="宋体" w:cs="宋体"/>
                <w:b w:val="0"/>
                <w:bCs/>
                <w:sz w:val="21"/>
                <w:szCs w:val="21"/>
                <w:highlight w:val="none"/>
                <w:lang w:val="en-US" w:eastAsia="zh-CN"/>
              </w:rPr>
              <w:t>×</w:t>
            </w:r>
            <w:r>
              <w:rPr>
                <w:rFonts w:hint="eastAsia" w:ascii="宋体" w:hAnsi="宋体" w:eastAsia="宋体" w:cs="宋体"/>
                <w:b w:val="0"/>
                <w:bCs/>
                <w:sz w:val="21"/>
                <w:szCs w:val="21"/>
                <w:highlight w:val="none"/>
                <w:lang w:val="en-US" w:eastAsia="zh-CN"/>
              </w:rPr>
              <w:t>19</w:t>
            </w:r>
            <w:r>
              <w:rPr>
                <w:rFonts w:hint="eastAsia" w:ascii="宋体" w:hAnsi="宋体" w:eastAsia="宋体" w:cs="宋体"/>
                <w:b w:val="0"/>
                <w:bCs/>
                <w:sz w:val="21"/>
                <w:szCs w:val="21"/>
                <w:highlight w:val="none"/>
              </w:rPr>
              <w:t>S+FC-1</w:t>
            </w:r>
            <w:r>
              <w:rPr>
                <w:rFonts w:hint="eastAsia" w:ascii="宋体" w:hAnsi="宋体" w:eastAsia="宋体" w:cs="宋体"/>
                <w:b w:val="0"/>
                <w:bCs/>
                <w:sz w:val="21"/>
                <w:szCs w:val="21"/>
                <w:highlight w:val="none"/>
                <w:lang w:val="en-US" w:eastAsia="zh-CN"/>
              </w:rPr>
              <w:t>8</w:t>
            </w:r>
            <w:r>
              <w:rPr>
                <w:rFonts w:hint="eastAsia" w:ascii="宋体" w:hAnsi="宋体" w:eastAsia="宋体" w:cs="宋体"/>
                <w:b w:val="0"/>
                <w:bCs/>
                <w:sz w:val="21"/>
                <w:szCs w:val="21"/>
                <w:highlight w:val="none"/>
              </w:rPr>
              <w:t>70-Ø18mm</w:t>
            </w:r>
          </w:p>
        </w:tc>
        <w:tc>
          <w:tcPr>
            <w:tcW w:w="605" w:type="pct"/>
            <w:vAlign w:val="center"/>
          </w:tcPr>
          <w:p w14:paraId="04AE8EC1">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根</w:t>
            </w:r>
          </w:p>
        </w:tc>
        <w:tc>
          <w:tcPr>
            <w:tcW w:w="680" w:type="pct"/>
            <w:vAlign w:val="center"/>
          </w:tcPr>
          <w:p w14:paraId="71B89842">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4</w:t>
            </w:r>
          </w:p>
        </w:tc>
        <w:tc>
          <w:tcPr>
            <w:tcW w:w="610" w:type="pct"/>
            <w:vAlign w:val="center"/>
          </w:tcPr>
          <w:p w14:paraId="031B748E">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617842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72DDA8B1">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14</w:t>
            </w:r>
          </w:p>
        </w:tc>
        <w:tc>
          <w:tcPr>
            <w:tcW w:w="1273" w:type="pct"/>
            <w:vAlign w:val="center"/>
          </w:tcPr>
          <w:p w14:paraId="5BF54FFA">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铁丝/麻绳</w:t>
            </w:r>
          </w:p>
        </w:tc>
        <w:tc>
          <w:tcPr>
            <w:tcW w:w="1485" w:type="pct"/>
            <w:vAlign w:val="center"/>
          </w:tcPr>
          <w:p w14:paraId="29CBE92F">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8﹟/Ø18mm</w:t>
            </w:r>
          </w:p>
        </w:tc>
        <w:tc>
          <w:tcPr>
            <w:tcW w:w="605" w:type="pct"/>
            <w:vAlign w:val="center"/>
          </w:tcPr>
          <w:p w14:paraId="3B761E79">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Kg/m</w:t>
            </w:r>
          </w:p>
        </w:tc>
        <w:tc>
          <w:tcPr>
            <w:tcW w:w="680" w:type="pct"/>
            <w:vAlign w:val="center"/>
          </w:tcPr>
          <w:p w14:paraId="68850BF3">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5/60</w:t>
            </w:r>
          </w:p>
        </w:tc>
        <w:tc>
          <w:tcPr>
            <w:tcW w:w="610" w:type="pct"/>
            <w:vAlign w:val="center"/>
          </w:tcPr>
          <w:p w14:paraId="499FF5FF">
            <w:pPr>
              <w:pStyle w:val="15"/>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796716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3BCCAC22">
            <w:pPr>
              <w:pStyle w:val="15"/>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15</w:t>
            </w:r>
          </w:p>
        </w:tc>
        <w:tc>
          <w:tcPr>
            <w:tcW w:w="1273" w:type="pct"/>
            <w:vAlign w:val="bottom"/>
          </w:tcPr>
          <w:p w14:paraId="7ED03EA2">
            <w:pPr>
              <w:pStyle w:val="15"/>
              <w:jc w:val="center"/>
              <w:rPr>
                <w:rFonts w:hint="eastAsia" w:ascii="宋体" w:hAnsi="宋体" w:eastAsia="宋体" w:cs="宋体"/>
                <w:b w:val="0"/>
                <w:bCs/>
                <w:sz w:val="21"/>
                <w:szCs w:val="21"/>
              </w:rPr>
            </w:pPr>
            <w:r>
              <w:rPr>
                <w:rFonts w:hint="eastAsia" w:ascii="宋体" w:hAnsi="宋体" w:eastAsia="宋体" w:cs="宋体"/>
                <w:b w:val="0"/>
                <w:bCs/>
                <w:sz w:val="21"/>
                <w:szCs w:val="21"/>
              </w:rPr>
              <w:t>对讲机/口哨</w:t>
            </w:r>
          </w:p>
        </w:tc>
        <w:tc>
          <w:tcPr>
            <w:tcW w:w="1485" w:type="pct"/>
            <w:vAlign w:val="center"/>
          </w:tcPr>
          <w:p w14:paraId="3088F42F">
            <w:pPr>
              <w:pStyle w:val="15"/>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605" w:type="pct"/>
            <w:vAlign w:val="center"/>
          </w:tcPr>
          <w:p w14:paraId="539B3D5C">
            <w:pPr>
              <w:pStyle w:val="15"/>
              <w:jc w:val="center"/>
              <w:rPr>
                <w:rFonts w:hint="eastAsia" w:ascii="宋体" w:hAnsi="宋体" w:eastAsia="宋体" w:cs="宋体"/>
                <w:b w:val="0"/>
                <w:bCs/>
                <w:sz w:val="21"/>
                <w:szCs w:val="21"/>
              </w:rPr>
            </w:pPr>
            <w:r>
              <w:rPr>
                <w:rFonts w:hint="eastAsia" w:ascii="宋体" w:hAnsi="宋体" w:eastAsia="宋体" w:cs="宋体"/>
                <w:b w:val="0"/>
                <w:bCs/>
                <w:sz w:val="21"/>
                <w:szCs w:val="21"/>
              </w:rPr>
              <w:t>台/个</w:t>
            </w:r>
          </w:p>
        </w:tc>
        <w:tc>
          <w:tcPr>
            <w:tcW w:w="680" w:type="pct"/>
            <w:vAlign w:val="center"/>
          </w:tcPr>
          <w:p w14:paraId="427366A5">
            <w:pPr>
              <w:pStyle w:val="15"/>
              <w:jc w:val="center"/>
              <w:rPr>
                <w:rFonts w:hint="eastAsia" w:ascii="宋体" w:hAnsi="宋体" w:eastAsia="宋体" w:cs="宋体"/>
                <w:b w:val="0"/>
                <w:bCs/>
                <w:sz w:val="21"/>
                <w:szCs w:val="21"/>
              </w:rPr>
            </w:pPr>
            <w:r>
              <w:rPr>
                <w:rFonts w:hint="eastAsia" w:ascii="宋体" w:hAnsi="宋体" w:eastAsia="宋体" w:cs="宋体"/>
                <w:b w:val="0"/>
                <w:bCs/>
                <w:sz w:val="21"/>
                <w:szCs w:val="21"/>
              </w:rPr>
              <w:t>3/2</w:t>
            </w:r>
          </w:p>
        </w:tc>
        <w:tc>
          <w:tcPr>
            <w:tcW w:w="610" w:type="pct"/>
            <w:vAlign w:val="center"/>
          </w:tcPr>
          <w:p w14:paraId="211A3F5F">
            <w:pPr>
              <w:pStyle w:val="15"/>
              <w:jc w:val="center"/>
              <w:rPr>
                <w:rFonts w:hint="eastAsia" w:ascii="宋体" w:hAnsi="宋体" w:eastAsia="宋体" w:cs="宋体"/>
                <w:b w:val="0"/>
                <w:bCs/>
                <w:sz w:val="21"/>
                <w:szCs w:val="21"/>
              </w:rPr>
            </w:pPr>
          </w:p>
        </w:tc>
      </w:tr>
      <w:tr w14:paraId="19D13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0B077693">
            <w:pPr>
              <w:pStyle w:val="15"/>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16</w:t>
            </w:r>
          </w:p>
        </w:tc>
        <w:tc>
          <w:tcPr>
            <w:tcW w:w="1273" w:type="pct"/>
            <w:vAlign w:val="bottom"/>
          </w:tcPr>
          <w:p w14:paraId="1F3E85C7">
            <w:pPr>
              <w:pStyle w:val="15"/>
              <w:jc w:val="center"/>
              <w:rPr>
                <w:rFonts w:hint="eastAsia" w:ascii="宋体" w:hAnsi="宋体" w:eastAsia="宋体" w:cs="宋体"/>
                <w:b w:val="0"/>
                <w:bCs/>
                <w:sz w:val="21"/>
                <w:szCs w:val="21"/>
              </w:rPr>
            </w:pPr>
            <w:r>
              <w:rPr>
                <w:rFonts w:hint="eastAsia" w:ascii="宋体" w:hAnsi="宋体" w:eastAsia="宋体" w:cs="宋体"/>
                <w:b w:val="0"/>
                <w:bCs/>
                <w:sz w:val="21"/>
                <w:szCs w:val="21"/>
              </w:rPr>
              <w:t>撬棍</w:t>
            </w:r>
          </w:p>
        </w:tc>
        <w:tc>
          <w:tcPr>
            <w:tcW w:w="1485" w:type="pct"/>
            <w:vAlign w:val="center"/>
          </w:tcPr>
          <w:p w14:paraId="1A467A2A">
            <w:pPr>
              <w:pStyle w:val="15"/>
              <w:jc w:val="center"/>
              <w:rPr>
                <w:rFonts w:hint="eastAsia" w:ascii="宋体" w:hAnsi="宋体" w:eastAsia="宋体" w:cs="宋体"/>
                <w:b w:val="0"/>
                <w:bCs/>
                <w:sz w:val="21"/>
                <w:szCs w:val="21"/>
              </w:rPr>
            </w:pPr>
            <w:r>
              <w:rPr>
                <w:rFonts w:hint="eastAsia" w:ascii="宋体" w:hAnsi="宋体" w:eastAsia="宋体" w:cs="宋体"/>
                <w:b w:val="0"/>
                <w:bCs/>
                <w:sz w:val="21"/>
                <w:szCs w:val="21"/>
              </w:rPr>
              <w:t>（0.5m/1m/1.2m）</w:t>
            </w:r>
          </w:p>
        </w:tc>
        <w:tc>
          <w:tcPr>
            <w:tcW w:w="605" w:type="pct"/>
            <w:vAlign w:val="center"/>
          </w:tcPr>
          <w:p w14:paraId="51B2A020">
            <w:pPr>
              <w:pStyle w:val="15"/>
              <w:jc w:val="center"/>
              <w:rPr>
                <w:rFonts w:hint="eastAsia" w:ascii="宋体" w:hAnsi="宋体" w:eastAsia="宋体" w:cs="宋体"/>
                <w:b w:val="0"/>
                <w:bCs/>
                <w:sz w:val="21"/>
                <w:szCs w:val="21"/>
              </w:rPr>
            </w:pPr>
            <w:r>
              <w:rPr>
                <w:rFonts w:hint="eastAsia" w:ascii="宋体" w:hAnsi="宋体" w:eastAsia="宋体" w:cs="宋体"/>
                <w:b w:val="0"/>
                <w:bCs/>
                <w:sz w:val="21"/>
                <w:szCs w:val="21"/>
              </w:rPr>
              <w:t>根</w:t>
            </w:r>
          </w:p>
        </w:tc>
        <w:tc>
          <w:tcPr>
            <w:tcW w:w="680" w:type="pct"/>
            <w:vAlign w:val="center"/>
          </w:tcPr>
          <w:p w14:paraId="73ED30BB">
            <w:pPr>
              <w:pStyle w:val="15"/>
              <w:jc w:val="center"/>
              <w:rPr>
                <w:rFonts w:hint="eastAsia" w:ascii="宋体" w:hAnsi="宋体" w:eastAsia="宋体" w:cs="宋体"/>
                <w:b w:val="0"/>
                <w:bCs/>
                <w:sz w:val="21"/>
                <w:szCs w:val="21"/>
              </w:rPr>
            </w:pPr>
            <w:r>
              <w:rPr>
                <w:rFonts w:hint="eastAsia" w:ascii="宋体" w:hAnsi="宋体" w:eastAsia="宋体" w:cs="宋体"/>
                <w:b w:val="0"/>
                <w:bCs/>
                <w:sz w:val="21"/>
                <w:szCs w:val="21"/>
              </w:rPr>
              <w:t>各2</w:t>
            </w:r>
          </w:p>
        </w:tc>
        <w:tc>
          <w:tcPr>
            <w:tcW w:w="610" w:type="pct"/>
            <w:vAlign w:val="center"/>
          </w:tcPr>
          <w:p w14:paraId="641C32A8">
            <w:pPr>
              <w:pStyle w:val="15"/>
              <w:jc w:val="center"/>
              <w:rPr>
                <w:rFonts w:hint="eastAsia" w:ascii="宋体" w:hAnsi="宋体" w:eastAsia="宋体" w:cs="宋体"/>
                <w:b w:val="0"/>
                <w:bCs/>
                <w:sz w:val="21"/>
                <w:szCs w:val="21"/>
              </w:rPr>
            </w:pPr>
          </w:p>
        </w:tc>
      </w:tr>
      <w:tr w14:paraId="35C660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63A0328E">
            <w:pPr>
              <w:pStyle w:val="15"/>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17</w:t>
            </w:r>
          </w:p>
        </w:tc>
        <w:tc>
          <w:tcPr>
            <w:tcW w:w="1273" w:type="pct"/>
            <w:vAlign w:val="bottom"/>
          </w:tcPr>
          <w:p w14:paraId="0127F983">
            <w:pPr>
              <w:pStyle w:val="15"/>
              <w:jc w:val="center"/>
              <w:rPr>
                <w:rFonts w:hint="eastAsia" w:ascii="宋体" w:hAnsi="宋体" w:eastAsia="宋体" w:cs="宋体"/>
                <w:b w:val="0"/>
                <w:bCs/>
                <w:sz w:val="21"/>
                <w:szCs w:val="21"/>
              </w:rPr>
            </w:pPr>
            <w:r>
              <w:rPr>
                <w:rFonts w:hint="eastAsia" w:ascii="宋体" w:hAnsi="宋体" w:eastAsia="宋体" w:cs="宋体"/>
                <w:b w:val="0"/>
                <w:bCs/>
                <w:sz w:val="21"/>
                <w:szCs w:val="21"/>
              </w:rPr>
              <w:t>各种规格吊卡具</w:t>
            </w:r>
          </w:p>
        </w:tc>
        <w:tc>
          <w:tcPr>
            <w:tcW w:w="1485" w:type="pct"/>
            <w:vAlign w:val="center"/>
          </w:tcPr>
          <w:p w14:paraId="682AAE4C">
            <w:pPr>
              <w:pStyle w:val="15"/>
              <w:jc w:val="center"/>
              <w:rPr>
                <w:rFonts w:hint="eastAsia" w:ascii="宋体" w:hAnsi="宋体" w:eastAsia="宋体" w:cs="宋体"/>
                <w:b w:val="0"/>
                <w:bCs/>
                <w:sz w:val="21"/>
                <w:szCs w:val="21"/>
              </w:rPr>
            </w:pPr>
            <w:r>
              <w:rPr>
                <w:rFonts w:hint="eastAsia" w:ascii="宋体" w:hAnsi="宋体" w:eastAsia="宋体" w:cs="宋体"/>
                <w:b w:val="0"/>
                <w:bCs/>
                <w:sz w:val="21"/>
                <w:szCs w:val="21"/>
              </w:rPr>
              <w:t>1t/2t/3t/4t/5t</w:t>
            </w:r>
          </w:p>
        </w:tc>
        <w:tc>
          <w:tcPr>
            <w:tcW w:w="605" w:type="pct"/>
            <w:vAlign w:val="center"/>
          </w:tcPr>
          <w:p w14:paraId="00A81C76">
            <w:pPr>
              <w:pStyle w:val="15"/>
              <w:jc w:val="center"/>
              <w:rPr>
                <w:rFonts w:hint="eastAsia" w:ascii="宋体" w:hAnsi="宋体" w:eastAsia="宋体" w:cs="宋体"/>
                <w:b w:val="0"/>
                <w:bCs/>
                <w:sz w:val="21"/>
                <w:szCs w:val="21"/>
              </w:rPr>
            </w:pPr>
            <w:r>
              <w:rPr>
                <w:rFonts w:hint="eastAsia" w:ascii="宋体" w:hAnsi="宋体" w:eastAsia="宋体" w:cs="宋体"/>
                <w:b w:val="0"/>
                <w:bCs/>
                <w:sz w:val="21"/>
                <w:szCs w:val="21"/>
              </w:rPr>
              <w:t>只</w:t>
            </w:r>
          </w:p>
        </w:tc>
        <w:tc>
          <w:tcPr>
            <w:tcW w:w="680" w:type="pct"/>
            <w:vAlign w:val="center"/>
          </w:tcPr>
          <w:p w14:paraId="522695C1">
            <w:pPr>
              <w:pStyle w:val="15"/>
              <w:jc w:val="center"/>
              <w:rPr>
                <w:rFonts w:hint="eastAsia" w:ascii="宋体" w:hAnsi="宋体" w:eastAsia="宋体" w:cs="宋体"/>
                <w:b w:val="0"/>
                <w:bCs/>
                <w:sz w:val="21"/>
                <w:szCs w:val="21"/>
              </w:rPr>
            </w:pPr>
            <w:r>
              <w:rPr>
                <w:rFonts w:hint="eastAsia" w:ascii="宋体" w:hAnsi="宋体" w:eastAsia="宋体" w:cs="宋体"/>
                <w:b w:val="0"/>
                <w:bCs/>
                <w:sz w:val="21"/>
                <w:szCs w:val="21"/>
              </w:rPr>
              <w:t>各4</w:t>
            </w:r>
          </w:p>
        </w:tc>
        <w:tc>
          <w:tcPr>
            <w:tcW w:w="610" w:type="pct"/>
            <w:vAlign w:val="center"/>
          </w:tcPr>
          <w:p w14:paraId="33C67D12">
            <w:pPr>
              <w:pStyle w:val="15"/>
              <w:jc w:val="center"/>
              <w:rPr>
                <w:rFonts w:hint="eastAsia" w:ascii="宋体" w:hAnsi="宋体" w:eastAsia="宋体" w:cs="宋体"/>
                <w:b w:val="0"/>
                <w:bCs/>
                <w:sz w:val="21"/>
                <w:szCs w:val="21"/>
              </w:rPr>
            </w:pPr>
          </w:p>
        </w:tc>
      </w:tr>
    </w:tbl>
    <w:p w14:paraId="1CB8D4C1">
      <w:pPr>
        <w:ind w:left="0" w:leftChars="0" w:firstLine="0" w:firstLineChars="0"/>
        <w:rPr>
          <w:color w:val="000000" w:themeColor="text1"/>
          <w14:textFill>
            <w14:solidFill>
              <w14:schemeClr w14:val="tx1"/>
            </w14:solidFill>
          </w14:textFill>
        </w:rPr>
      </w:pPr>
      <w:bookmarkStart w:id="48" w:name="_Toc40778436"/>
    </w:p>
    <w:p w14:paraId="17E473CA">
      <w:pPr>
        <w:pStyle w:val="4"/>
        <w:rPr>
          <w:color w:val="000000" w:themeColor="text1"/>
          <w14:textFill>
            <w14:solidFill>
              <w14:schemeClr w14:val="tx1"/>
            </w14:solidFill>
          </w14:textFill>
        </w:rPr>
      </w:pPr>
      <w:bookmarkStart w:id="49" w:name="_Toc6760"/>
      <w:bookmarkStart w:id="50" w:name="_Toc31407"/>
      <w:bookmarkStart w:id="51" w:name="_Toc28251"/>
      <w:r>
        <w:rPr>
          <w:color w:val="000000" w:themeColor="text1"/>
          <w14:textFill>
            <w14:solidFill>
              <w14:schemeClr w14:val="tx1"/>
            </w14:solidFill>
          </w14:textFill>
        </w:rPr>
        <w:t>施工工艺技术</w:t>
      </w:r>
      <w:bookmarkEnd w:id="48"/>
      <w:bookmarkEnd w:id="49"/>
      <w:bookmarkEnd w:id="50"/>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以10#墩塔式起重机为例）</w:t>
      </w:r>
      <w:bookmarkEnd w:id="51"/>
    </w:p>
    <w:p w14:paraId="385B3A21">
      <w:pPr>
        <w:pStyle w:val="5"/>
        <w:rPr>
          <w:rFonts w:cs="Times New Roman"/>
          <w:color w:val="000000" w:themeColor="text1"/>
          <w14:textFill>
            <w14:solidFill>
              <w14:schemeClr w14:val="tx1"/>
            </w14:solidFill>
          </w14:textFill>
        </w:rPr>
      </w:pPr>
      <w:bookmarkStart w:id="52" w:name="_Toc7588"/>
      <w:bookmarkStart w:id="53" w:name="_Toc40778437"/>
      <w:bookmarkStart w:id="54" w:name="_Toc2911"/>
      <w:bookmarkStart w:id="55" w:name="_Toc1607"/>
      <w:bookmarkStart w:id="56" w:name="_Toc11075"/>
      <w:bookmarkStart w:id="57" w:name="_Toc29597"/>
      <w:bookmarkStart w:id="58" w:name="_Toc26392"/>
      <w:r>
        <w:rPr>
          <w:rFonts w:cs="Times New Roman"/>
          <w:color w:val="000000" w:themeColor="text1"/>
          <w14:textFill>
            <w14:solidFill>
              <w14:schemeClr w14:val="tx1"/>
            </w14:solidFill>
          </w14:textFill>
        </w:rPr>
        <w:t>塔式起重机</w:t>
      </w:r>
      <w:r>
        <w:rPr>
          <w:rFonts w:hint="eastAsia" w:cs="Times New Roman"/>
          <w:color w:val="000000" w:themeColor="text1"/>
          <w:lang w:eastAsia="zh-CN"/>
          <w14:textFill>
            <w14:solidFill>
              <w14:schemeClr w14:val="tx1"/>
            </w14:solidFill>
          </w14:textFill>
        </w:rPr>
        <w:t>安装</w:t>
      </w:r>
      <w:r>
        <w:rPr>
          <w:rFonts w:cs="Times New Roman"/>
          <w:color w:val="000000" w:themeColor="text1"/>
          <w14:textFill>
            <w14:solidFill>
              <w14:schemeClr w14:val="tx1"/>
            </w14:solidFill>
          </w14:textFill>
        </w:rPr>
        <w:t>施工工艺流程</w:t>
      </w:r>
      <w:bookmarkEnd w:id="52"/>
    </w:p>
    <w:p w14:paraId="5B6230EB">
      <w:pPr>
        <w:pStyle w:val="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塔式起重机安装施工工艺流程</w:t>
      </w:r>
    </w:p>
    <w:p w14:paraId="270797EB">
      <w:pPr>
        <w:bidi w:val="0"/>
        <w:rPr>
          <w:color w:val="000000" w:themeColor="text1"/>
          <w14:textFill>
            <w14:solidFill>
              <w14:schemeClr w14:val="tx1"/>
            </w14:solidFill>
          </w14:textFill>
        </w:rPr>
      </w:pPr>
      <w:r>
        <w:rPr>
          <w:rFonts w:hint="eastAsia"/>
          <w:lang w:val="en-US" w:eastAsia="zh-CN"/>
        </w:rPr>
        <w:t>安装前检查</w:t>
      </w:r>
      <w:r>
        <w:rPr>
          <w:rFonts w:hint="default"/>
        </w:rPr>
        <w:t>→</w:t>
      </w:r>
      <w:r>
        <w:rPr>
          <w:rFonts w:hint="eastAsia"/>
          <w:lang w:val="en-US" w:eastAsia="zh-CN"/>
        </w:rPr>
        <w:t>安装1个基础节</w:t>
      </w:r>
      <w:r>
        <w:rPr>
          <w:rFonts w:hint="default"/>
        </w:rPr>
        <w:t>→</w:t>
      </w:r>
      <w:r>
        <w:rPr>
          <w:rFonts w:hint="eastAsia"/>
          <w:lang w:val="en-US" w:eastAsia="zh-CN"/>
        </w:rPr>
        <w:t>安装1个标准节</w:t>
      </w:r>
      <w:r>
        <w:rPr>
          <w:rFonts w:hint="default"/>
        </w:rPr>
        <w:t>→</w:t>
      </w:r>
      <w:r>
        <w:rPr>
          <w:rFonts w:hint="eastAsia"/>
          <w:lang w:val="en-US" w:eastAsia="zh-CN"/>
        </w:rPr>
        <w:t>安装爬升架</w:t>
      </w:r>
      <w:r>
        <w:rPr>
          <w:rFonts w:hint="default"/>
        </w:rPr>
        <w:t>→</w:t>
      </w:r>
      <w:r>
        <w:rPr>
          <w:rFonts w:hint="eastAsia"/>
          <w:lang w:val="en-US" w:eastAsia="zh-CN"/>
        </w:rPr>
        <w:t>安装特殊节</w:t>
      </w:r>
      <w:r>
        <w:rPr>
          <w:rFonts w:hint="default"/>
        </w:rPr>
        <w:t>→</w:t>
      </w:r>
      <w:r>
        <w:rPr>
          <w:rFonts w:hint="eastAsia"/>
          <w:lang w:val="en-US" w:eastAsia="zh-CN"/>
        </w:rPr>
        <w:t>安装回转总成</w:t>
      </w:r>
      <w:r>
        <w:rPr>
          <w:rFonts w:hint="default"/>
        </w:rPr>
        <w:t>→</w:t>
      </w:r>
      <w:r>
        <w:rPr>
          <w:rFonts w:hint="eastAsia"/>
          <w:lang w:val="en-US" w:eastAsia="zh-CN"/>
        </w:rPr>
        <w:t>安装起重臂臂根节</w:t>
      </w:r>
      <w:r>
        <w:rPr>
          <w:rFonts w:hint="default"/>
        </w:rPr>
        <w:t>→</w:t>
      </w:r>
      <w:r>
        <w:rPr>
          <w:rFonts w:hint="eastAsia"/>
          <w:lang w:val="en-US" w:eastAsia="zh-CN"/>
        </w:rPr>
        <w:t>安装平衡臂（及拉杆）</w:t>
      </w:r>
      <w:r>
        <w:rPr>
          <w:rFonts w:hint="default"/>
        </w:rPr>
        <w:t>→</w:t>
      </w:r>
      <w:r>
        <w:rPr>
          <w:rFonts w:hint="eastAsia"/>
          <w:lang w:val="en-US" w:eastAsia="zh-CN"/>
        </w:rPr>
        <w:t>安装两块平衡重</w:t>
      </w:r>
      <w:r>
        <w:rPr>
          <w:rFonts w:hint="default"/>
        </w:rPr>
        <w:t>→</w:t>
      </w:r>
      <w:r>
        <w:rPr>
          <w:rFonts w:hint="eastAsia"/>
          <w:lang w:val="en-US" w:eastAsia="zh-CN"/>
        </w:rPr>
        <w:t>安装剩余起重臂</w:t>
      </w:r>
      <w:r>
        <w:rPr>
          <w:rFonts w:hint="default"/>
        </w:rPr>
        <w:t>→</w:t>
      </w:r>
      <w:r>
        <w:rPr>
          <w:rFonts w:hint="eastAsia"/>
          <w:lang w:val="en-US" w:eastAsia="zh-CN"/>
        </w:rPr>
        <w:t>安装剩余平衡重</w:t>
      </w:r>
      <w:r>
        <w:rPr>
          <w:rFonts w:hint="default"/>
        </w:rPr>
        <w:t>→</w:t>
      </w:r>
      <w:r>
        <w:rPr>
          <w:rFonts w:hint="eastAsia"/>
          <w:lang w:val="en-US" w:eastAsia="zh-CN"/>
        </w:rPr>
        <w:t>穿好起升钢丝绳及吊钩</w:t>
      </w:r>
      <w:r>
        <w:rPr>
          <w:rFonts w:hint="default"/>
        </w:rPr>
        <w:t>→</w:t>
      </w:r>
      <w:r>
        <w:rPr>
          <w:rFonts w:hint="eastAsia"/>
          <w:lang w:val="en-US" w:eastAsia="zh-CN"/>
        </w:rPr>
        <w:t>顶升至一定高度</w:t>
      </w:r>
      <w:r>
        <w:rPr>
          <w:rFonts w:hint="default"/>
        </w:rPr>
        <w:t>→</w:t>
      </w:r>
      <w:r>
        <w:rPr>
          <w:rFonts w:hint="eastAsia"/>
          <w:lang w:val="en-US" w:eastAsia="zh-CN"/>
        </w:rPr>
        <w:t>塔机调试，试运转</w:t>
      </w:r>
      <w:r>
        <w:rPr>
          <w:rFonts w:hint="default"/>
        </w:rPr>
        <w:t>→</w:t>
      </w:r>
      <w:r>
        <w:rPr>
          <w:rFonts w:hint="eastAsia"/>
          <w:lang w:val="en-US" w:eastAsia="zh-CN"/>
        </w:rPr>
        <w:t>安装完毕。</w:t>
      </w:r>
    </w:p>
    <w:p w14:paraId="694180F2">
      <w:pPr>
        <w:pStyle w:val="5"/>
        <w:rPr>
          <w:rFonts w:cs="Times New Roman"/>
          <w:color w:val="000000" w:themeColor="text1"/>
          <w14:textFill>
            <w14:solidFill>
              <w14:schemeClr w14:val="tx1"/>
            </w14:solidFill>
          </w14:textFill>
        </w:rPr>
      </w:pPr>
      <w:bookmarkStart w:id="59" w:name="_Toc31487"/>
      <w:bookmarkStart w:id="60" w:name="_Toc12005"/>
      <w:r>
        <w:rPr>
          <w:rFonts w:cs="Times New Roman"/>
          <w:color w:val="000000" w:themeColor="text1"/>
          <w14:textFill>
            <w14:solidFill>
              <w14:schemeClr w14:val="tx1"/>
            </w14:solidFill>
          </w14:textFill>
        </w:rPr>
        <w:t>主要设备选型</w:t>
      </w:r>
      <w:bookmarkEnd w:id="59"/>
    </w:p>
    <w:p w14:paraId="411C7BDA">
      <w:pPr>
        <w:pStyle w:val="6"/>
        <w:bidi w:val="0"/>
        <w:rPr>
          <w:rFonts w:hint="default"/>
        </w:rPr>
      </w:pPr>
      <w:r>
        <w:rPr>
          <w:rFonts w:hint="default"/>
        </w:rPr>
        <w:t>辅助起重机选型及计算</w:t>
      </w:r>
    </w:p>
    <w:p w14:paraId="70FB2D6A">
      <w:pPr>
        <w:pStyle w:val="7"/>
        <w:bidi w:val="0"/>
        <w:rPr>
          <w:rFonts w:hint="default"/>
          <w:highlight w:val="none"/>
        </w:rPr>
      </w:pPr>
      <w:r>
        <w:rPr>
          <w:rFonts w:hint="default"/>
          <w:highlight w:val="none"/>
        </w:rPr>
        <w:t>辅助起重设备基本参数</w:t>
      </w:r>
    </w:p>
    <w:p w14:paraId="0495C215">
      <w:pPr>
        <w:pStyle w:val="46"/>
        <w:rPr>
          <w:rFonts w:hint="default" w:ascii="Times New Roman" w:hAnsi="Times New Roman" w:cs="Times New Roman"/>
        </w:rPr>
      </w:pPr>
      <w:r>
        <w:rPr>
          <w:rFonts w:hint="default" w:ascii="Times New Roman" w:hAnsi="Times New Roman" w:cs="Times New Roman"/>
        </w:rPr>
        <w:t>表</w:t>
      </w:r>
      <w:r>
        <w:rPr>
          <w:rFonts w:hint="eastAsia" w:ascii="Times New Roman" w:hAnsi="Times New Roman" w:cs="Times New Roman"/>
          <w:lang w:val="en-US" w:eastAsia="zh-CN"/>
        </w:rPr>
        <w:t>4.2</w:t>
      </w:r>
      <w:r>
        <w:rPr>
          <w:rFonts w:hint="default" w:ascii="Times New Roman" w:hAnsi="Times New Roman" w:cs="Times New Roman"/>
        </w:rPr>
        <w:t>.1.1-1</w:t>
      </w:r>
      <w:r>
        <w:rPr>
          <w:rFonts w:hint="eastAsia" w:cs="Times New Roman"/>
          <w:lang w:val="en-US" w:eastAsia="zh-CN"/>
        </w:rPr>
        <w:t xml:space="preserve"> 25</w:t>
      </w:r>
      <w:r>
        <w:rPr>
          <w:rFonts w:hint="default" w:ascii="Times New Roman" w:hAnsi="Times New Roman" w:cs="Times New Roman"/>
        </w:rPr>
        <w:t>t汽车吊整机基本尺寸</w:t>
      </w:r>
    </w:p>
    <w:tbl>
      <w:tblPr>
        <w:tblStyle w:val="30"/>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70"/>
        <w:gridCol w:w="2671"/>
        <w:gridCol w:w="919"/>
        <w:gridCol w:w="859"/>
        <w:gridCol w:w="1231"/>
        <w:gridCol w:w="2172"/>
      </w:tblGrid>
      <w:tr w14:paraId="7E1EDD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Align w:val="center"/>
          </w:tcPr>
          <w:p w14:paraId="00F41FA7">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类 别</w:t>
            </w:r>
          </w:p>
        </w:tc>
        <w:tc>
          <w:tcPr>
            <w:tcW w:w="2610" w:type="pct"/>
            <w:gridSpan w:val="3"/>
            <w:tcBorders>
              <w:right w:val="single" w:color="auto" w:sz="6" w:space="0"/>
            </w:tcBorders>
            <w:vAlign w:val="center"/>
          </w:tcPr>
          <w:p w14:paraId="42611197">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项          目</w:t>
            </w:r>
          </w:p>
        </w:tc>
        <w:tc>
          <w:tcPr>
            <w:tcW w:w="722" w:type="pct"/>
            <w:tcBorders>
              <w:right w:val="single" w:color="auto" w:sz="6" w:space="0"/>
            </w:tcBorders>
            <w:vAlign w:val="center"/>
          </w:tcPr>
          <w:p w14:paraId="4ADCC761">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单   位</w:t>
            </w:r>
          </w:p>
        </w:tc>
        <w:tc>
          <w:tcPr>
            <w:tcW w:w="1274" w:type="pct"/>
            <w:tcBorders>
              <w:left w:val="single" w:color="auto" w:sz="6" w:space="0"/>
            </w:tcBorders>
            <w:vAlign w:val="center"/>
          </w:tcPr>
          <w:p w14:paraId="3C2E1E5D">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参    数</w:t>
            </w:r>
          </w:p>
        </w:tc>
      </w:tr>
      <w:tr w14:paraId="195C8E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restart"/>
            <w:vAlign w:val="center"/>
          </w:tcPr>
          <w:p w14:paraId="3D8DFB5B">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主</w:t>
            </w:r>
          </w:p>
          <w:p w14:paraId="268B5811">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要</w:t>
            </w:r>
          </w:p>
          <w:p w14:paraId="04D3C094">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性</w:t>
            </w:r>
          </w:p>
          <w:p w14:paraId="52F7D29C">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能</w:t>
            </w:r>
          </w:p>
          <w:p w14:paraId="720320BA">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参</w:t>
            </w:r>
          </w:p>
          <w:p w14:paraId="549F11AC">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数</w:t>
            </w:r>
          </w:p>
        </w:tc>
        <w:tc>
          <w:tcPr>
            <w:tcW w:w="2610" w:type="pct"/>
            <w:gridSpan w:val="3"/>
            <w:tcBorders>
              <w:right w:val="single" w:color="auto" w:sz="6" w:space="0"/>
            </w:tcBorders>
            <w:vAlign w:val="center"/>
          </w:tcPr>
          <w:p w14:paraId="75176CE4">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最 大 额 定 总 起 重 量</w:t>
            </w:r>
          </w:p>
        </w:tc>
        <w:tc>
          <w:tcPr>
            <w:tcW w:w="722" w:type="pct"/>
            <w:tcBorders>
              <w:right w:val="single" w:color="auto" w:sz="6" w:space="0"/>
            </w:tcBorders>
            <w:vAlign w:val="center"/>
          </w:tcPr>
          <w:p w14:paraId="0B001B99">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t</w:t>
            </w:r>
          </w:p>
        </w:tc>
        <w:tc>
          <w:tcPr>
            <w:tcW w:w="1274" w:type="pct"/>
            <w:tcBorders>
              <w:left w:val="single" w:color="auto" w:sz="6" w:space="0"/>
            </w:tcBorders>
            <w:vAlign w:val="center"/>
          </w:tcPr>
          <w:p w14:paraId="33591124">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25</w:t>
            </w:r>
          </w:p>
        </w:tc>
      </w:tr>
      <w:tr w14:paraId="4562C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44C89AA4">
            <w:pPr>
              <w:spacing w:line="0" w:lineRule="atLeast"/>
              <w:ind w:firstLine="0" w:firstLineChars="0"/>
              <w:rPr>
                <w:rFonts w:hint="default" w:ascii="Times New Roman" w:hAnsi="Times New Roman" w:cs="Times New Roman"/>
                <w:szCs w:val="24"/>
              </w:rPr>
            </w:pPr>
          </w:p>
        </w:tc>
        <w:tc>
          <w:tcPr>
            <w:tcW w:w="2610" w:type="pct"/>
            <w:gridSpan w:val="3"/>
            <w:tcBorders>
              <w:right w:val="single" w:color="auto" w:sz="6" w:space="0"/>
            </w:tcBorders>
            <w:vAlign w:val="center"/>
          </w:tcPr>
          <w:p w14:paraId="491B9A98">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最 小 额 定 幅 度</w:t>
            </w:r>
          </w:p>
        </w:tc>
        <w:tc>
          <w:tcPr>
            <w:tcW w:w="722" w:type="pct"/>
            <w:tcBorders>
              <w:right w:val="single" w:color="auto" w:sz="6" w:space="0"/>
            </w:tcBorders>
            <w:vAlign w:val="center"/>
          </w:tcPr>
          <w:p w14:paraId="19C45801">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tcBorders>
              <w:left w:val="single" w:color="auto" w:sz="6" w:space="0"/>
            </w:tcBorders>
            <w:vAlign w:val="center"/>
          </w:tcPr>
          <w:p w14:paraId="269EB818">
            <w:pPr>
              <w:spacing w:line="0" w:lineRule="atLeast"/>
              <w:ind w:firstLine="0" w:firstLineChars="0"/>
              <w:jc w:val="center"/>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3</w:t>
            </w:r>
          </w:p>
        </w:tc>
      </w:tr>
      <w:tr w14:paraId="596A7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40" w:hRule="atLeast"/>
          <w:jc w:val="center"/>
        </w:trPr>
        <w:tc>
          <w:tcPr>
            <w:tcW w:w="393" w:type="pct"/>
            <w:vMerge w:val="continue"/>
            <w:vAlign w:val="center"/>
          </w:tcPr>
          <w:p w14:paraId="37780360">
            <w:pPr>
              <w:spacing w:line="0" w:lineRule="atLeast"/>
              <w:ind w:firstLine="0" w:firstLineChars="0"/>
              <w:rPr>
                <w:rFonts w:hint="default" w:ascii="Times New Roman" w:hAnsi="Times New Roman" w:cs="Times New Roman"/>
                <w:szCs w:val="24"/>
              </w:rPr>
            </w:pPr>
          </w:p>
        </w:tc>
        <w:tc>
          <w:tcPr>
            <w:tcW w:w="2610" w:type="pct"/>
            <w:gridSpan w:val="3"/>
            <w:tcBorders>
              <w:right w:val="single" w:color="auto" w:sz="6" w:space="0"/>
            </w:tcBorders>
            <w:vAlign w:val="center"/>
          </w:tcPr>
          <w:p w14:paraId="78C4BCE2">
            <w:pPr>
              <w:spacing w:line="0" w:lineRule="atLeast"/>
              <w:ind w:firstLine="0" w:firstLineChars="0"/>
              <w:rPr>
                <w:rFonts w:hint="eastAsia" w:ascii="Times New Roman" w:hAnsi="Times New Roman" w:eastAsia="宋体" w:cs="Times New Roman"/>
                <w:szCs w:val="24"/>
                <w:lang w:eastAsia="zh-CN"/>
              </w:rPr>
            </w:pPr>
            <w:r>
              <w:rPr>
                <w:rFonts w:hint="default" w:ascii="Times New Roman" w:hAnsi="Times New Roman" w:cs="Times New Roman"/>
                <w:szCs w:val="24"/>
              </w:rPr>
              <w:t>转 台 尾 部 回 转 半 经</w:t>
            </w:r>
          </w:p>
        </w:tc>
        <w:tc>
          <w:tcPr>
            <w:tcW w:w="722" w:type="pct"/>
            <w:tcBorders>
              <w:bottom w:val="single" w:color="auto" w:sz="4" w:space="0"/>
              <w:right w:val="single" w:color="auto" w:sz="6" w:space="0"/>
            </w:tcBorders>
            <w:vAlign w:val="center"/>
          </w:tcPr>
          <w:p w14:paraId="45E1C105">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tcBorders>
              <w:left w:val="single" w:color="auto" w:sz="6" w:space="0"/>
              <w:bottom w:val="single" w:color="auto" w:sz="4" w:space="0"/>
            </w:tcBorders>
            <w:vAlign w:val="center"/>
          </w:tcPr>
          <w:p w14:paraId="6D2C6088">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3.3</w:t>
            </w:r>
          </w:p>
        </w:tc>
      </w:tr>
      <w:tr w14:paraId="47888D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22" w:hRule="atLeast"/>
          <w:jc w:val="center"/>
        </w:trPr>
        <w:tc>
          <w:tcPr>
            <w:tcW w:w="393" w:type="pct"/>
            <w:vMerge w:val="continue"/>
            <w:vAlign w:val="center"/>
          </w:tcPr>
          <w:p w14:paraId="3531B821">
            <w:pPr>
              <w:spacing w:line="0" w:lineRule="atLeast"/>
              <w:ind w:firstLine="0" w:firstLineChars="0"/>
              <w:rPr>
                <w:rFonts w:hint="default" w:ascii="Times New Roman" w:hAnsi="Times New Roman" w:cs="Times New Roman"/>
                <w:szCs w:val="24"/>
              </w:rPr>
            </w:pPr>
          </w:p>
        </w:tc>
        <w:tc>
          <w:tcPr>
            <w:tcW w:w="1567" w:type="pct"/>
            <w:vMerge w:val="restart"/>
            <w:tcBorders>
              <w:right w:val="single" w:color="auto" w:sz="4" w:space="0"/>
            </w:tcBorders>
            <w:vAlign w:val="center"/>
          </w:tcPr>
          <w:p w14:paraId="464AAF78">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最大起重力矩</w:t>
            </w:r>
          </w:p>
        </w:tc>
        <w:tc>
          <w:tcPr>
            <w:tcW w:w="1043" w:type="pct"/>
            <w:gridSpan w:val="2"/>
            <w:tcBorders>
              <w:left w:val="single" w:color="auto" w:sz="4" w:space="0"/>
            </w:tcBorders>
            <w:vAlign w:val="center"/>
          </w:tcPr>
          <w:p w14:paraId="725EE296">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基 本 臂</w:t>
            </w:r>
          </w:p>
        </w:tc>
        <w:tc>
          <w:tcPr>
            <w:tcW w:w="722" w:type="pct"/>
            <w:vAlign w:val="center"/>
          </w:tcPr>
          <w:p w14:paraId="6C20AD54">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kN.m</w:t>
            </w:r>
          </w:p>
        </w:tc>
        <w:tc>
          <w:tcPr>
            <w:tcW w:w="1274" w:type="pct"/>
            <w:vAlign w:val="center"/>
          </w:tcPr>
          <w:p w14:paraId="6279B343">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1088</w:t>
            </w:r>
          </w:p>
        </w:tc>
      </w:tr>
      <w:tr w14:paraId="45C75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393" w:type="pct"/>
            <w:vMerge w:val="continue"/>
            <w:vAlign w:val="center"/>
          </w:tcPr>
          <w:p w14:paraId="6B37BC30">
            <w:pPr>
              <w:spacing w:line="0" w:lineRule="atLeast"/>
              <w:ind w:firstLine="0" w:firstLineChars="0"/>
              <w:rPr>
                <w:rFonts w:hint="default" w:ascii="Times New Roman" w:hAnsi="Times New Roman" w:cs="Times New Roman"/>
                <w:szCs w:val="24"/>
              </w:rPr>
            </w:pPr>
          </w:p>
        </w:tc>
        <w:tc>
          <w:tcPr>
            <w:tcW w:w="1567" w:type="pct"/>
            <w:vMerge w:val="continue"/>
            <w:tcBorders>
              <w:right w:val="single" w:color="auto" w:sz="4" w:space="0"/>
            </w:tcBorders>
            <w:vAlign w:val="center"/>
          </w:tcPr>
          <w:p w14:paraId="670197F9">
            <w:pPr>
              <w:spacing w:line="0" w:lineRule="atLeast"/>
              <w:ind w:firstLine="0" w:firstLineChars="0"/>
              <w:jc w:val="center"/>
              <w:rPr>
                <w:rFonts w:hint="default" w:ascii="Times New Roman" w:hAnsi="Times New Roman" w:cs="Times New Roman"/>
                <w:szCs w:val="24"/>
              </w:rPr>
            </w:pPr>
          </w:p>
        </w:tc>
        <w:tc>
          <w:tcPr>
            <w:tcW w:w="1043" w:type="pct"/>
            <w:gridSpan w:val="2"/>
            <w:tcBorders>
              <w:left w:val="single" w:color="auto" w:sz="4" w:space="0"/>
            </w:tcBorders>
            <w:vAlign w:val="center"/>
          </w:tcPr>
          <w:p w14:paraId="369C56A7">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最长主</w:t>
            </w:r>
            <w:r>
              <w:rPr>
                <w:rFonts w:hint="eastAsia" w:cs="Times New Roman"/>
                <w:szCs w:val="24"/>
                <w:lang w:val="en-US" w:eastAsia="zh-CN"/>
              </w:rPr>
              <w:t>起重</w:t>
            </w:r>
            <w:r>
              <w:rPr>
                <w:rFonts w:hint="default" w:ascii="Times New Roman" w:hAnsi="Times New Roman" w:cs="Times New Roman"/>
                <w:szCs w:val="24"/>
              </w:rPr>
              <w:t>臂</w:t>
            </w:r>
          </w:p>
        </w:tc>
        <w:tc>
          <w:tcPr>
            <w:tcW w:w="722" w:type="pct"/>
            <w:vAlign w:val="center"/>
          </w:tcPr>
          <w:p w14:paraId="23EC469E">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kN.m</w:t>
            </w:r>
          </w:p>
        </w:tc>
        <w:tc>
          <w:tcPr>
            <w:tcW w:w="1274" w:type="pct"/>
            <w:vAlign w:val="center"/>
          </w:tcPr>
          <w:p w14:paraId="5C7DF9FB">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672</w:t>
            </w:r>
          </w:p>
        </w:tc>
      </w:tr>
      <w:tr w14:paraId="01673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19D87839">
            <w:pPr>
              <w:spacing w:line="0" w:lineRule="atLeast"/>
              <w:ind w:firstLine="0" w:firstLineChars="0"/>
              <w:rPr>
                <w:rFonts w:hint="default" w:ascii="Times New Roman" w:hAnsi="Times New Roman" w:cs="Times New Roman"/>
                <w:szCs w:val="24"/>
              </w:rPr>
            </w:pPr>
          </w:p>
        </w:tc>
        <w:tc>
          <w:tcPr>
            <w:tcW w:w="1567" w:type="pct"/>
            <w:vMerge w:val="continue"/>
            <w:tcBorders>
              <w:right w:val="single" w:color="auto" w:sz="4" w:space="0"/>
            </w:tcBorders>
            <w:vAlign w:val="center"/>
          </w:tcPr>
          <w:p w14:paraId="3198BE26">
            <w:pPr>
              <w:spacing w:line="0" w:lineRule="atLeast"/>
              <w:ind w:firstLine="0" w:firstLineChars="0"/>
              <w:jc w:val="center"/>
              <w:rPr>
                <w:rFonts w:hint="default" w:ascii="Times New Roman" w:hAnsi="Times New Roman" w:cs="Times New Roman"/>
                <w:szCs w:val="24"/>
              </w:rPr>
            </w:pPr>
          </w:p>
        </w:tc>
        <w:tc>
          <w:tcPr>
            <w:tcW w:w="1043" w:type="pct"/>
            <w:gridSpan w:val="2"/>
            <w:tcBorders>
              <w:left w:val="single" w:color="auto" w:sz="4" w:space="0"/>
            </w:tcBorders>
            <w:vAlign w:val="center"/>
          </w:tcPr>
          <w:p w14:paraId="6CE75545">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最长主</w:t>
            </w:r>
            <w:r>
              <w:rPr>
                <w:rFonts w:hint="eastAsia" w:cs="Times New Roman"/>
                <w:szCs w:val="24"/>
                <w:lang w:val="en-US" w:eastAsia="zh-CN"/>
              </w:rPr>
              <w:t>起重</w:t>
            </w:r>
            <w:r>
              <w:rPr>
                <w:rFonts w:hint="default" w:ascii="Times New Roman" w:hAnsi="Times New Roman" w:cs="Times New Roman"/>
                <w:szCs w:val="24"/>
              </w:rPr>
              <w:t>臂 + 副</w:t>
            </w:r>
            <w:r>
              <w:rPr>
                <w:rFonts w:hint="eastAsia" w:cs="Times New Roman"/>
                <w:szCs w:val="24"/>
                <w:lang w:val="en-US" w:eastAsia="zh-CN"/>
              </w:rPr>
              <w:t>起重</w:t>
            </w:r>
            <w:r>
              <w:rPr>
                <w:rFonts w:hint="default" w:ascii="Times New Roman" w:hAnsi="Times New Roman" w:cs="Times New Roman"/>
                <w:szCs w:val="24"/>
              </w:rPr>
              <w:t>臂</w:t>
            </w:r>
          </w:p>
        </w:tc>
        <w:tc>
          <w:tcPr>
            <w:tcW w:w="722" w:type="pct"/>
            <w:vAlign w:val="center"/>
          </w:tcPr>
          <w:p w14:paraId="5508AD35">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kN.m</w:t>
            </w:r>
          </w:p>
        </w:tc>
        <w:tc>
          <w:tcPr>
            <w:tcW w:w="1274" w:type="pct"/>
            <w:vAlign w:val="center"/>
          </w:tcPr>
          <w:p w14:paraId="70BB87C4">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387</w:t>
            </w:r>
          </w:p>
        </w:tc>
      </w:tr>
      <w:tr w14:paraId="0EC09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6FA59897">
            <w:pPr>
              <w:spacing w:line="0" w:lineRule="atLeast"/>
              <w:ind w:firstLine="0" w:firstLineChars="0"/>
              <w:rPr>
                <w:rFonts w:hint="default" w:ascii="Times New Roman" w:hAnsi="Times New Roman" w:cs="Times New Roman"/>
                <w:szCs w:val="24"/>
              </w:rPr>
            </w:pPr>
          </w:p>
        </w:tc>
        <w:tc>
          <w:tcPr>
            <w:tcW w:w="1567" w:type="pct"/>
            <w:vMerge w:val="restart"/>
            <w:vAlign w:val="center"/>
          </w:tcPr>
          <w:p w14:paraId="0502B0C5">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支 腿 跨 距 (全伸)</w:t>
            </w:r>
          </w:p>
        </w:tc>
        <w:tc>
          <w:tcPr>
            <w:tcW w:w="1043" w:type="pct"/>
            <w:gridSpan w:val="2"/>
            <w:vAlign w:val="center"/>
          </w:tcPr>
          <w:p w14:paraId="1DF13EFF">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纵   向</w:t>
            </w:r>
          </w:p>
        </w:tc>
        <w:tc>
          <w:tcPr>
            <w:tcW w:w="722" w:type="pct"/>
            <w:vAlign w:val="center"/>
          </w:tcPr>
          <w:p w14:paraId="0E6C6909">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vAlign w:val="center"/>
          </w:tcPr>
          <w:p w14:paraId="160702BD">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5.18</w:t>
            </w:r>
          </w:p>
        </w:tc>
      </w:tr>
      <w:tr w14:paraId="3B8ED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0B4806A5">
            <w:pPr>
              <w:spacing w:line="0" w:lineRule="atLeast"/>
              <w:ind w:firstLine="0" w:firstLineChars="0"/>
              <w:rPr>
                <w:rFonts w:hint="default" w:ascii="Times New Roman" w:hAnsi="Times New Roman" w:cs="Times New Roman"/>
                <w:szCs w:val="24"/>
              </w:rPr>
            </w:pPr>
          </w:p>
        </w:tc>
        <w:tc>
          <w:tcPr>
            <w:tcW w:w="1567" w:type="pct"/>
            <w:vMerge w:val="continue"/>
            <w:vAlign w:val="center"/>
          </w:tcPr>
          <w:p w14:paraId="6CDC9B92">
            <w:pPr>
              <w:spacing w:line="0" w:lineRule="atLeast"/>
              <w:ind w:firstLine="0" w:firstLineChars="0"/>
              <w:jc w:val="center"/>
              <w:rPr>
                <w:rFonts w:hint="default" w:ascii="Times New Roman" w:hAnsi="Times New Roman" w:cs="Times New Roman"/>
                <w:szCs w:val="24"/>
              </w:rPr>
            </w:pPr>
          </w:p>
        </w:tc>
        <w:tc>
          <w:tcPr>
            <w:tcW w:w="1043" w:type="pct"/>
            <w:gridSpan w:val="2"/>
            <w:vAlign w:val="center"/>
          </w:tcPr>
          <w:p w14:paraId="0ABC9455">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横   向</w:t>
            </w:r>
          </w:p>
        </w:tc>
        <w:tc>
          <w:tcPr>
            <w:tcW w:w="722" w:type="pct"/>
            <w:vAlign w:val="center"/>
          </w:tcPr>
          <w:p w14:paraId="195BBA50">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vAlign w:val="center"/>
          </w:tcPr>
          <w:p w14:paraId="5842220B">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6.4</w:t>
            </w:r>
          </w:p>
        </w:tc>
      </w:tr>
      <w:tr w14:paraId="1F767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51486C8E">
            <w:pPr>
              <w:spacing w:line="0" w:lineRule="atLeast"/>
              <w:ind w:firstLine="0" w:firstLineChars="0"/>
              <w:rPr>
                <w:rFonts w:hint="default" w:ascii="Times New Roman" w:hAnsi="Times New Roman" w:cs="Times New Roman"/>
                <w:szCs w:val="24"/>
              </w:rPr>
            </w:pPr>
          </w:p>
        </w:tc>
        <w:tc>
          <w:tcPr>
            <w:tcW w:w="1567" w:type="pct"/>
            <w:vMerge w:val="restart"/>
            <w:vAlign w:val="center"/>
          </w:tcPr>
          <w:p w14:paraId="6B68D93A">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起 升 高 度</w:t>
            </w:r>
          </w:p>
        </w:tc>
        <w:tc>
          <w:tcPr>
            <w:tcW w:w="1043" w:type="pct"/>
            <w:gridSpan w:val="2"/>
            <w:vAlign w:val="center"/>
          </w:tcPr>
          <w:p w14:paraId="4774FE35">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基 本 臂</w:t>
            </w:r>
          </w:p>
        </w:tc>
        <w:tc>
          <w:tcPr>
            <w:tcW w:w="722" w:type="pct"/>
            <w:vAlign w:val="center"/>
          </w:tcPr>
          <w:p w14:paraId="3F0779FC">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vAlign w:val="center"/>
          </w:tcPr>
          <w:p w14:paraId="698DA471">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11</w:t>
            </w:r>
          </w:p>
        </w:tc>
      </w:tr>
      <w:tr w14:paraId="2E69F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71F10752">
            <w:pPr>
              <w:spacing w:line="0" w:lineRule="atLeast"/>
              <w:ind w:firstLine="0" w:firstLineChars="0"/>
              <w:rPr>
                <w:rFonts w:hint="default" w:ascii="Times New Roman" w:hAnsi="Times New Roman" w:cs="Times New Roman"/>
                <w:szCs w:val="24"/>
              </w:rPr>
            </w:pPr>
          </w:p>
        </w:tc>
        <w:tc>
          <w:tcPr>
            <w:tcW w:w="1567" w:type="pct"/>
            <w:vMerge w:val="continue"/>
            <w:vAlign w:val="center"/>
          </w:tcPr>
          <w:p w14:paraId="3D6C8922">
            <w:pPr>
              <w:spacing w:line="0" w:lineRule="atLeast"/>
              <w:ind w:firstLine="0" w:firstLineChars="0"/>
              <w:jc w:val="center"/>
              <w:rPr>
                <w:rFonts w:hint="default" w:ascii="Times New Roman" w:hAnsi="Times New Roman" w:cs="Times New Roman"/>
                <w:szCs w:val="24"/>
              </w:rPr>
            </w:pPr>
          </w:p>
        </w:tc>
        <w:tc>
          <w:tcPr>
            <w:tcW w:w="1043" w:type="pct"/>
            <w:gridSpan w:val="2"/>
            <w:vAlign w:val="center"/>
          </w:tcPr>
          <w:p w14:paraId="34E4B06C">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最长主</w:t>
            </w:r>
            <w:r>
              <w:rPr>
                <w:rFonts w:hint="eastAsia" w:cs="Times New Roman"/>
                <w:szCs w:val="24"/>
                <w:lang w:val="en-US" w:eastAsia="zh-CN"/>
              </w:rPr>
              <w:t>起重</w:t>
            </w:r>
            <w:r>
              <w:rPr>
                <w:rFonts w:hint="default" w:ascii="Times New Roman" w:hAnsi="Times New Roman" w:cs="Times New Roman"/>
                <w:szCs w:val="24"/>
              </w:rPr>
              <w:t>臂</w:t>
            </w:r>
          </w:p>
        </w:tc>
        <w:tc>
          <w:tcPr>
            <w:tcW w:w="722" w:type="pct"/>
            <w:vAlign w:val="center"/>
          </w:tcPr>
          <w:p w14:paraId="2E7F6AD3">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vAlign w:val="center"/>
          </w:tcPr>
          <w:p w14:paraId="00F8FE84">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41.5</w:t>
            </w:r>
          </w:p>
        </w:tc>
      </w:tr>
      <w:tr w14:paraId="537A4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7993BB2A">
            <w:pPr>
              <w:spacing w:line="0" w:lineRule="atLeast"/>
              <w:ind w:firstLine="0" w:firstLineChars="0"/>
              <w:rPr>
                <w:rFonts w:hint="default" w:ascii="Times New Roman" w:hAnsi="Times New Roman" w:cs="Times New Roman"/>
                <w:szCs w:val="24"/>
              </w:rPr>
            </w:pPr>
          </w:p>
        </w:tc>
        <w:tc>
          <w:tcPr>
            <w:tcW w:w="1567" w:type="pct"/>
            <w:vMerge w:val="continue"/>
            <w:vAlign w:val="center"/>
          </w:tcPr>
          <w:p w14:paraId="4A977985">
            <w:pPr>
              <w:spacing w:line="0" w:lineRule="atLeast"/>
              <w:ind w:firstLine="0" w:firstLineChars="0"/>
              <w:jc w:val="center"/>
              <w:rPr>
                <w:rFonts w:hint="default" w:ascii="Times New Roman" w:hAnsi="Times New Roman" w:cs="Times New Roman"/>
                <w:szCs w:val="24"/>
              </w:rPr>
            </w:pPr>
          </w:p>
        </w:tc>
        <w:tc>
          <w:tcPr>
            <w:tcW w:w="1043" w:type="pct"/>
            <w:gridSpan w:val="2"/>
            <w:vAlign w:val="center"/>
          </w:tcPr>
          <w:p w14:paraId="3D836CA7">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最长主</w:t>
            </w:r>
            <w:r>
              <w:rPr>
                <w:rFonts w:hint="eastAsia" w:cs="Times New Roman"/>
                <w:szCs w:val="24"/>
                <w:lang w:val="en-US" w:eastAsia="zh-CN"/>
              </w:rPr>
              <w:t>起重</w:t>
            </w:r>
            <w:r>
              <w:rPr>
                <w:rFonts w:hint="default" w:ascii="Times New Roman" w:hAnsi="Times New Roman" w:cs="Times New Roman"/>
                <w:szCs w:val="24"/>
              </w:rPr>
              <w:t>臂 + 副</w:t>
            </w:r>
            <w:r>
              <w:rPr>
                <w:rFonts w:hint="eastAsia" w:cs="Times New Roman"/>
                <w:szCs w:val="24"/>
                <w:lang w:val="en-US" w:eastAsia="zh-CN"/>
              </w:rPr>
              <w:t>起重</w:t>
            </w:r>
            <w:r>
              <w:rPr>
                <w:rFonts w:hint="default" w:ascii="Times New Roman" w:hAnsi="Times New Roman" w:cs="Times New Roman"/>
                <w:szCs w:val="24"/>
              </w:rPr>
              <w:t>臂</w:t>
            </w:r>
          </w:p>
        </w:tc>
        <w:tc>
          <w:tcPr>
            <w:tcW w:w="722" w:type="pct"/>
            <w:vAlign w:val="center"/>
          </w:tcPr>
          <w:p w14:paraId="7702D0AC">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vAlign w:val="center"/>
          </w:tcPr>
          <w:p w14:paraId="6ED79136">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49.5</w:t>
            </w:r>
          </w:p>
        </w:tc>
      </w:tr>
      <w:tr w14:paraId="123AA0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764D3B04">
            <w:pPr>
              <w:spacing w:line="0" w:lineRule="atLeast"/>
              <w:ind w:firstLine="0" w:firstLineChars="0"/>
              <w:jc w:val="center"/>
              <w:rPr>
                <w:rFonts w:hint="default" w:ascii="Times New Roman" w:hAnsi="Times New Roman" w:cs="Times New Roman"/>
                <w:szCs w:val="24"/>
              </w:rPr>
            </w:pPr>
          </w:p>
        </w:tc>
        <w:tc>
          <w:tcPr>
            <w:tcW w:w="1567" w:type="pct"/>
            <w:vMerge w:val="restart"/>
            <w:tcBorders>
              <w:right w:val="single" w:color="auto" w:sz="6" w:space="0"/>
            </w:tcBorders>
            <w:vAlign w:val="center"/>
          </w:tcPr>
          <w:p w14:paraId="019C2278">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起 重 臂 长 度</w:t>
            </w:r>
          </w:p>
        </w:tc>
        <w:tc>
          <w:tcPr>
            <w:tcW w:w="1043" w:type="pct"/>
            <w:gridSpan w:val="2"/>
            <w:tcBorders>
              <w:right w:val="single" w:color="auto" w:sz="6" w:space="0"/>
            </w:tcBorders>
            <w:vAlign w:val="center"/>
          </w:tcPr>
          <w:p w14:paraId="3DEB5BE8">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基 本 臂</w:t>
            </w:r>
          </w:p>
        </w:tc>
        <w:tc>
          <w:tcPr>
            <w:tcW w:w="722" w:type="pct"/>
            <w:tcBorders>
              <w:right w:val="single" w:color="auto" w:sz="6" w:space="0"/>
            </w:tcBorders>
            <w:vAlign w:val="center"/>
          </w:tcPr>
          <w:p w14:paraId="02A6EC65">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tcBorders>
              <w:left w:val="single" w:color="auto" w:sz="6" w:space="0"/>
            </w:tcBorders>
            <w:vAlign w:val="center"/>
          </w:tcPr>
          <w:p w14:paraId="332A66C8">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10.7</w:t>
            </w:r>
          </w:p>
        </w:tc>
      </w:tr>
      <w:tr w14:paraId="1229EA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5FBAB998">
            <w:pPr>
              <w:spacing w:line="0" w:lineRule="atLeast"/>
              <w:ind w:firstLine="0" w:firstLineChars="0"/>
              <w:jc w:val="center"/>
              <w:rPr>
                <w:rFonts w:hint="default" w:ascii="Times New Roman" w:hAnsi="Times New Roman" w:cs="Times New Roman"/>
                <w:szCs w:val="24"/>
              </w:rPr>
            </w:pPr>
          </w:p>
        </w:tc>
        <w:tc>
          <w:tcPr>
            <w:tcW w:w="1567" w:type="pct"/>
            <w:vMerge w:val="continue"/>
            <w:tcBorders>
              <w:right w:val="single" w:color="auto" w:sz="6" w:space="0"/>
            </w:tcBorders>
            <w:vAlign w:val="center"/>
          </w:tcPr>
          <w:p w14:paraId="4AA1EF7D">
            <w:pPr>
              <w:spacing w:line="0" w:lineRule="atLeast"/>
              <w:ind w:firstLine="0" w:firstLineChars="0"/>
              <w:jc w:val="center"/>
              <w:rPr>
                <w:rFonts w:hint="default" w:ascii="Times New Roman" w:hAnsi="Times New Roman" w:cs="Times New Roman"/>
                <w:szCs w:val="24"/>
              </w:rPr>
            </w:pPr>
          </w:p>
        </w:tc>
        <w:tc>
          <w:tcPr>
            <w:tcW w:w="1043" w:type="pct"/>
            <w:gridSpan w:val="2"/>
            <w:tcBorders>
              <w:right w:val="single" w:color="auto" w:sz="6" w:space="0"/>
            </w:tcBorders>
            <w:vAlign w:val="center"/>
          </w:tcPr>
          <w:p w14:paraId="368F4333">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最长主</w:t>
            </w:r>
            <w:r>
              <w:rPr>
                <w:rFonts w:hint="eastAsia" w:cs="Times New Roman"/>
                <w:szCs w:val="24"/>
                <w:lang w:val="en-US" w:eastAsia="zh-CN"/>
              </w:rPr>
              <w:t>起重</w:t>
            </w:r>
            <w:r>
              <w:rPr>
                <w:rFonts w:hint="default" w:ascii="Times New Roman" w:hAnsi="Times New Roman" w:cs="Times New Roman"/>
                <w:szCs w:val="24"/>
              </w:rPr>
              <w:t xml:space="preserve">臂   </w:t>
            </w:r>
          </w:p>
        </w:tc>
        <w:tc>
          <w:tcPr>
            <w:tcW w:w="722" w:type="pct"/>
            <w:tcBorders>
              <w:right w:val="single" w:color="auto" w:sz="6" w:space="0"/>
            </w:tcBorders>
            <w:vAlign w:val="center"/>
          </w:tcPr>
          <w:p w14:paraId="58707C2E">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tcBorders>
              <w:left w:val="single" w:color="auto" w:sz="6" w:space="0"/>
            </w:tcBorders>
            <w:vAlign w:val="center"/>
          </w:tcPr>
          <w:p w14:paraId="08792561">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41</w:t>
            </w:r>
          </w:p>
        </w:tc>
      </w:tr>
      <w:tr w14:paraId="5580F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5ECE66B8">
            <w:pPr>
              <w:spacing w:line="0" w:lineRule="atLeast"/>
              <w:ind w:firstLine="0" w:firstLineChars="0"/>
              <w:jc w:val="center"/>
              <w:rPr>
                <w:rFonts w:hint="default" w:ascii="Times New Roman" w:hAnsi="Times New Roman" w:cs="Times New Roman"/>
                <w:szCs w:val="24"/>
              </w:rPr>
            </w:pPr>
          </w:p>
        </w:tc>
        <w:tc>
          <w:tcPr>
            <w:tcW w:w="1567" w:type="pct"/>
            <w:vMerge w:val="continue"/>
            <w:tcBorders>
              <w:right w:val="single" w:color="auto" w:sz="6" w:space="0"/>
            </w:tcBorders>
            <w:vAlign w:val="center"/>
          </w:tcPr>
          <w:p w14:paraId="32972035">
            <w:pPr>
              <w:spacing w:line="0" w:lineRule="atLeast"/>
              <w:ind w:firstLine="0" w:firstLineChars="0"/>
              <w:jc w:val="center"/>
              <w:rPr>
                <w:rFonts w:hint="default" w:ascii="Times New Roman" w:hAnsi="Times New Roman" w:cs="Times New Roman"/>
                <w:szCs w:val="24"/>
              </w:rPr>
            </w:pPr>
          </w:p>
        </w:tc>
        <w:tc>
          <w:tcPr>
            <w:tcW w:w="1043" w:type="pct"/>
            <w:gridSpan w:val="2"/>
            <w:tcBorders>
              <w:right w:val="single" w:color="auto" w:sz="6" w:space="0"/>
            </w:tcBorders>
            <w:vAlign w:val="center"/>
          </w:tcPr>
          <w:p w14:paraId="71F54D4F">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最长主</w:t>
            </w:r>
            <w:r>
              <w:rPr>
                <w:rFonts w:hint="eastAsia" w:cs="Times New Roman"/>
                <w:szCs w:val="24"/>
                <w:lang w:val="en-US" w:eastAsia="zh-CN"/>
              </w:rPr>
              <w:t>起重</w:t>
            </w:r>
            <w:r>
              <w:rPr>
                <w:rFonts w:hint="default" w:ascii="Times New Roman" w:hAnsi="Times New Roman" w:cs="Times New Roman"/>
                <w:szCs w:val="24"/>
              </w:rPr>
              <w:t>臂 + 副</w:t>
            </w:r>
            <w:r>
              <w:rPr>
                <w:rFonts w:hint="eastAsia" w:cs="Times New Roman"/>
                <w:szCs w:val="24"/>
                <w:lang w:val="en-US" w:eastAsia="zh-CN"/>
              </w:rPr>
              <w:t>起重</w:t>
            </w:r>
            <w:r>
              <w:rPr>
                <w:rFonts w:hint="default" w:ascii="Times New Roman" w:hAnsi="Times New Roman" w:cs="Times New Roman"/>
                <w:szCs w:val="24"/>
              </w:rPr>
              <w:t>臂</w:t>
            </w:r>
          </w:p>
        </w:tc>
        <w:tc>
          <w:tcPr>
            <w:tcW w:w="722" w:type="pct"/>
            <w:tcBorders>
              <w:right w:val="single" w:color="auto" w:sz="6" w:space="0"/>
            </w:tcBorders>
            <w:vAlign w:val="center"/>
          </w:tcPr>
          <w:p w14:paraId="263520BF">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tcBorders>
              <w:left w:val="single" w:color="auto" w:sz="6" w:space="0"/>
            </w:tcBorders>
            <w:vAlign w:val="center"/>
          </w:tcPr>
          <w:p w14:paraId="72E4193D">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49</w:t>
            </w:r>
          </w:p>
        </w:tc>
      </w:tr>
      <w:tr w14:paraId="32DB70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3604339D">
            <w:pPr>
              <w:spacing w:line="0" w:lineRule="atLeast"/>
              <w:ind w:firstLine="0" w:firstLineChars="0"/>
              <w:rPr>
                <w:rFonts w:hint="default" w:ascii="Times New Roman" w:hAnsi="Times New Roman" w:cs="Times New Roman"/>
                <w:w w:val="90"/>
                <w:szCs w:val="24"/>
              </w:rPr>
            </w:pPr>
          </w:p>
        </w:tc>
        <w:tc>
          <w:tcPr>
            <w:tcW w:w="2610" w:type="pct"/>
            <w:gridSpan w:val="3"/>
            <w:tcBorders>
              <w:right w:val="single" w:color="auto" w:sz="6" w:space="0"/>
            </w:tcBorders>
            <w:vAlign w:val="center"/>
          </w:tcPr>
          <w:p w14:paraId="4E25DF15">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副 臂 安 装 角</w:t>
            </w:r>
          </w:p>
        </w:tc>
        <w:tc>
          <w:tcPr>
            <w:tcW w:w="722" w:type="pct"/>
            <w:tcBorders>
              <w:left w:val="single" w:color="auto" w:sz="6" w:space="0"/>
              <w:right w:val="single" w:color="auto" w:sz="6" w:space="0"/>
            </w:tcBorders>
            <w:vAlign w:val="center"/>
          </w:tcPr>
          <w:p w14:paraId="2D50DF6A">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w:t>
            </w:r>
          </w:p>
        </w:tc>
        <w:tc>
          <w:tcPr>
            <w:tcW w:w="1274" w:type="pct"/>
            <w:tcBorders>
              <w:left w:val="single" w:color="auto" w:sz="6" w:space="0"/>
            </w:tcBorders>
            <w:vAlign w:val="center"/>
          </w:tcPr>
          <w:p w14:paraId="0F39257C">
            <w:pPr>
              <w:spacing w:line="0" w:lineRule="atLeast"/>
              <w:ind w:firstLine="0" w:firstLineChars="0"/>
              <w:jc w:val="center"/>
              <w:rPr>
                <w:rFonts w:hint="default" w:asciiTheme="minorEastAsia" w:hAnsiTheme="minorEastAsia" w:eastAsiaTheme="minorEastAsia" w:cstheme="minorEastAsia"/>
                <w:w w:val="90"/>
                <w:szCs w:val="24"/>
                <w:lang w:val="en-US" w:eastAsia="zh-CN"/>
              </w:rPr>
            </w:pPr>
            <w:r>
              <w:rPr>
                <w:rFonts w:hint="eastAsia" w:asciiTheme="minorEastAsia" w:hAnsiTheme="minorEastAsia" w:eastAsiaTheme="minorEastAsia" w:cstheme="minorEastAsia"/>
                <w:b w:val="0"/>
                <w:bCs w:val="0"/>
                <w:w w:val="90"/>
                <w:sz w:val="24"/>
                <w:szCs w:val="24"/>
                <w:lang w:val="en-US" w:eastAsia="zh-CN"/>
              </w:rPr>
              <w:t>0、15、</w:t>
            </w:r>
            <w:r>
              <w:rPr>
                <w:rFonts w:hint="eastAsia" w:asciiTheme="minorEastAsia" w:hAnsiTheme="minorEastAsia" w:eastAsiaTheme="minorEastAsia" w:cstheme="minorEastAsia"/>
                <w:b w:val="0"/>
                <w:bCs w:val="0"/>
                <w:szCs w:val="24"/>
                <w:lang w:val="en-US" w:eastAsia="zh-CN"/>
              </w:rPr>
              <w:t>30</w:t>
            </w:r>
          </w:p>
        </w:tc>
      </w:tr>
      <w:tr w14:paraId="73075E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restart"/>
            <w:vAlign w:val="center"/>
          </w:tcPr>
          <w:p w14:paraId="5258AC71">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工</w:t>
            </w:r>
          </w:p>
          <w:p w14:paraId="1B43A222">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作</w:t>
            </w:r>
          </w:p>
          <w:p w14:paraId="167F8A1C">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速</w:t>
            </w:r>
          </w:p>
          <w:p w14:paraId="544FC348">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度</w:t>
            </w:r>
          </w:p>
          <w:p w14:paraId="4E1B23CF">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参</w:t>
            </w:r>
          </w:p>
          <w:p w14:paraId="24833238">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数</w:t>
            </w:r>
          </w:p>
        </w:tc>
        <w:tc>
          <w:tcPr>
            <w:tcW w:w="2610" w:type="pct"/>
            <w:gridSpan w:val="3"/>
            <w:tcBorders>
              <w:right w:val="single" w:color="auto" w:sz="6" w:space="0"/>
            </w:tcBorders>
            <w:vAlign w:val="center"/>
          </w:tcPr>
          <w:p w14:paraId="3C86CEDE">
            <w:pPr>
              <w:spacing w:line="0" w:lineRule="atLeast"/>
              <w:ind w:firstLine="0" w:firstLineChars="0"/>
              <w:rPr>
                <w:rFonts w:hint="default" w:ascii="Times New Roman" w:hAnsi="Times New Roman" w:cs="Times New Roman"/>
                <w:szCs w:val="24"/>
              </w:rPr>
            </w:pPr>
            <w:r>
              <w:rPr>
                <w:rFonts w:hint="eastAsia" w:cs="Times New Roman"/>
                <w:szCs w:val="24"/>
                <w:lang w:val="en-US" w:eastAsia="zh-CN"/>
              </w:rPr>
              <w:t>主卷扬单绳最大速度（空载）</w:t>
            </w:r>
          </w:p>
        </w:tc>
        <w:tc>
          <w:tcPr>
            <w:tcW w:w="722" w:type="pct"/>
            <w:tcBorders>
              <w:left w:val="single" w:color="auto" w:sz="6" w:space="0"/>
            </w:tcBorders>
            <w:vAlign w:val="center"/>
          </w:tcPr>
          <w:p w14:paraId="0B291A1C">
            <w:pPr>
              <w:spacing w:line="0" w:lineRule="atLeast"/>
              <w:ind w:firstLine="0" w:firstLineChars="0"/>
              <w:jc w:val="center"/>
              <w:rPr>
                <w:rFonts w:hint="default" w:ascii="Times New Roman" w:hAnsi="Times New Roman" w:eastAsia="宋体" w:cs="Times New Roman"/>
                <w:szCs w:val="24"/>
                <w:lang w:val="en-US" w:eastAsia="zh-CN"/>
              </w:rPr>
            </w:pPr>
            <w:r>
              <w:rPr>
                <w:rFonts w:hint="eastAsia" w:cs="Times New Roman"/>
                <w:szCs w:val="24"/>
                <w:lang w:val="en-US" w:eastAsia="zh-CN"/>
              </w:rPr>
              <w:t>m/min</w:t>
            </w:r>
          </w:p>
        </w:tc>
        <w:tc>
          <w:tcPr>
            <w:tcW w:w="1274" w:type="pct"/>
            <w:tcBorders>
              <w:bottom w:val="single" w:color="auto" w:sz="6" w:space="0"/>
            </w:tcBorders>
            <w:vAlign w:val="center"/>
          </w:tcPr>
          <w:p w14:paraId="15EA898D">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140</w:t>
            </w:r>
          </w:p>
        </w:tc>
      </w:tr>
      <w:tr w14:paraId="6C106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3C1759D1">
            <w:pPr>
              <w:spacing w:line="0" w:lineRule="atLeast"/>
              <w:ind w:firstLine="0" w:firstLineChars="0"/>
              <w:jc w:val="center"/>
              <w:rPr>
                <w:rFonts w:hint="default" w:ascii="Times New Roman" w:hAnsi="Times New Roman" w:cs="Times New Roman"/>
                <w:szCs w:val="24"/>
              </w:rPr>
            </w:pPr>
          </w:p>
        </w:tc>
        <w:tc>
          <w:tcPr>
            <w:tcW w:w="2610" w:type="pct"/>
            <w:gridSpan w:val="3"/>
            <w:tcBorders>
              <w:right w:val="single" w:color="auto" w:sz="6" w:space="0"/>
            </w:tcBorders>
            <w:vAlign w:val="center"/>
          </w:tcPr>
          <w:p w14:paraId="5F4C5ABA">
            <w:pPr>
              <w:spacing w:line="0" w:lineRule="atLeast"/>
              <w:ind w:firstLine="0" w:firstLineChars="0"/>
              <w:rPr>
                <w:rFonts w:hint="default" w:ascii="Times New Roman" w:hAnsi="Times New Roman" w:cs="Times New Roman"/>
                <w:szCs w:val="24"/>
              </w:rPr>
            </w:pPr>
            <w:r>
              <w:rPr>
                <w:rFonts w:hint="eastAsia" w:cs="Times New Roman"/>
                <w:szCs w:val="24"/>
                <w:lang w:val="en-US" w:eastAsia="zh-CN"/>
              </w:rPr>
              <w:t>副卷扬单绳最大速度（空载）</w:t>
            </w:r>
          </w:p>
        </w:tc>
        <w:tc>
          <w:tcPr>
            <w:tcW w:w="722" w:type="pct"/>
            <w:tcBorders>
              <w:left w:val="single" w:color="auto" w:sz="6" w:space="0"/>
            </w:tcBorders>
            <w:vAlign w:val="center"/>
          </w:tcPr>
          <w:p w14:paraId="59360411">
            <w:pPr>
              <w:spacing w:line="0" w:lineRule="atLeast"/>
              <w:ind w:firstLine="0" w:firstLineChars="0"/>
              <w:jc w:val="center"/>
              <w:rPr>
                <w:rFonts w:hint="default" w:ascii="Times New Roman" w:hAnsi="Times New Roman" w:eastAsia="宋体" w:cs="Times New Roman"/>
                <w:szCs w:val="24"/>
                <w:lang w:val="en-US" w:eastAsia="zh-CN"/>
              </w:rPr>
            </w:pPr>
            <w:r>
              <w:rPr>
                <w:rFonts w:hint="eastAsia" w:cs="Times New Roman"/>
                <w:szCs w:val="24"/>
                <w:lang w:val="en-US" w:eastAsia="zh-CN"/>
              </w:rPr>
              <w:t>m/min</w:t>
            </w:r>
          </w:p>
        </w:tc>
        <w:tc>
          <w:tcPr>
            <w:tcW w:w="1274" w:type="pct"/>
            <w:tcBorders>
              <w:bottom w:val="single" w:color="auto" w:sz="6" w:space="0"/>
            </w:tcBorders>
            <w:vAlign w:val="center"/>
          </w:tcPr>
          <w:p w14:paraId="00CA1EDC">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rPr>
              <w:t>1</w:t>
            </w:r>
            <w:r>
              <w:rPr>
                <w:rFonts w:hint="eastAsia" w:asciiTheme="minorEastAsia" w:hAnsiTheme="minorEastAsia" w:eastAsiaTheme="minorEastAsia" w:cstheme="minorEastAsia"/>
                <w:szCs w:val="24"/>
                <w:lang w:val="en-US" w:eastAsia="zh-CN"/>
              </w:rPr>
              <w:t>40</w:t>
            </w:r>
          </w:p>
        </w:tc>
      </w:tr>
      <w:tr w14:paraId="4AB29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0035DB21">
            <w:pPr>
              <w:spacing w:line="0" w:lineRule="atLeast"/>
              <w:ind w:firstLine="0" w:firstLineChars="0"/>
              <w:jc w:val="center"/>
              <w:rPr>
                <w:rFonts w:hint="default" w:ascii="Times New Roman" w:hAnsi="Times New Roman" w:cs="Times New Roman"/>
                <w:szCs w:val="24"/>
              </w:rPr>
            </w:pPr>
          </w:p>
        </w:tc>
        <w:tc>
          <w:tcPr>
            <w:tcW w:w="2610" w:type="pct"/>
            <w:gridSpan w:val="3"/>
            <w:tcBorders>
              <w:right w:val="single" w:color="auto" w:sz="6" w:space="0"/>
            </w:tcBorders>
            <w:vAlign w:val="center"/>
          </w:tcPr>
          <w:p w14:paraId="3AF174E0">
            <w:pPr>
              <w:spacing w:line="0" w:lineRule="atLeast"/>
              <w:ind w:firstLine="0" w:firstLineChars="0"/>
              <w:rPr>
                <w:rFonts w:hint="default" w:cs="Times New Roman"/>
                <w:szCs w:val="24"/>
                <w:lang w:val="en-US" w:eastAsia="zh-CN"/>
              </w:rPr>
            </w:pPr>
            <w:r>
              <w:rPr>
                <w:rFonts w:hint="eastAsia" w:cs="Times New Roman"/>
                <w:szCs w:val="24"/>
                <w:lang w:val="en-US" w:eastAsia="zh-CN"/>
              </w:rPr>
              <w:t>起重臂全伸/缩时间</w:t>
            </w:r>
          </w:p>
        </w:tc>
        <w:tc>
          <w:tcPr>
            <w:tcW w:w="722" w:type="pct"/>
            <w:tcBorders>
              <w:left w:val="single" w:color="auto" w:sz="6" w:space="0"/>
            </w:tcBorders>
            <w:vAlign w:val="center"/>
          </w:tcPr>
          <w:p w14:paraId="683B47A5">
            <w:pPr>
              <w:spacing w:line="0" w:lineRule="atLeast"/>
              <w:ind w:firstLine="0" w:firstLineChars="0"/>
              <w:jc w:val="center"/>
              <w:rPr>
                <w:rFonts w:hint="default" w:cs="Times New Roman"/>
                <w:szCs w:val="24"/>
                <w:lang w:val="en-US" w:eastAsia="zh-CN"/>
              </w:rPr>
            </w:pPr>
            <w:r>
              <w:rPr>
                <w:rFonts w:hint="eastAsia" w:cs="Times New Roman"/>
                <w:szCs w:val="24"/>
                <w:lang w:val="en-US" w:eastAsia="zh-CN"/>
              </w:rPr>
              <w:t>s</w:t>
            </w:r>
          </w:p>
        </w:tc>
        <w:tc>
          <w:tcPr>
            <w:tcW w:w="1274" w:type="pct"/>
            <w:tcBorders>
              <w:bottom w:val="single" w:color="auto" w:sz="6" w:space="0"/>
            </w:tcBorders>
            <w:vAlign w:val="center"/>
          </w:tcPr>
          <w:p w14:paraId="0F6BD465">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80/95</w:t>
            </w:r>
          </w:p>
        </w:tc>
      </w:tr>
      <w:tr w14:paraId="1DF4C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4352AF62">
            <w:pPr>
              <w:spacing w:line="0" w:lineRule="atLeast"/>
              <w:ind w:firstLine="0" w:firstLineChars="0"/>
              <w:jc w:val="center"/>
              <w:rPr>
                <w:rFonts w:hint="default" w:ascii="Times New Roman" w:hAnsi="Times New Roman" w:cs="Times New Roman"/>
                <w:szCs w:val="24"/>
              </w:rPr>
            </w:pPr>
          </w:p>
        </w:tc>
        <w:tc>
          <w:tcPr>
            <w:tcW w:w="2610" w:type="pct"/>
            <w:gridSpan w:val="3"/>
            <w:tcBorders>
              <w:right w:val="single" w:color="auto" w:sz="6" w:space="0"/>
            </w:tcBorders>
            <w:vAlign w:val="center"/>
          </w:tcPr>
          <w:p w14:paraId="470E7907">
            <w:pPr>
              <w:spacing w:line="0" w:lineRule="atLeast"/>
              <w:ind w:firstLine="0" w:firstLineChars="0"/>
              <w:rPr>
                <w:rFonts w:hint="default" w:cs="Times New Roman"/>
                <w:szCs w:val="24"/>
                <w:lang w:val="en-US" w:eastAsia="zh-CN"/>
              </w:rPr>
            </w:pPr>
            <w:r>
              <w:rPr>
                <w:rFonts w:hint="eastAsia" w:cs="Times New Roman"/>
                <w:szCs w:val="24"/>
                <w:lang w:val="en-US" w:eastAsia="zh-CN"/>
              </w:rPr>
              <w:t>起重臂全起/落时间</w:t>
            </w:r>
          </w:p>
        </w:tc>
        <w:tc>
          <w:tcPr>
            <w:tcW w:w="722" w:type="pct"/>
            <w:tcBorders>
              <w:left w:val="single" w:color="auto" w:sz="6" w:space="0"/>
            </w:tcBorders>
            <w:vAlign w:val="center"/>
          </w:tcPr>
          <w:p w14:paraId="4238BD31">
            <w:pPr>
              <w:spacing w:line="0" w:lineRule="atLeast"/>
              <w:ind w:firstLine="0" w:firstLineChars="0"/>
              <w:jc w:val="center"/>
              <w:rPr>
                <w:rFonts w:hint="default" w:cs="Times New Roman"/>
                <w:szCs w:val="24"/>
                <w:lang w:val="en-US" w:eastAsia="zh-CN"/>
              </w:rPr>
            </w:pPr>
            <w:r>
              <w:rPr>
                <w:rFonts w:hint="eastAsia" w:cs="Times New Roman"/>
                <w:szCs w:val="24"/>
                <w:lang w:val="en-US" w:eastAsia="zh-CN"/>
              </w:rPr>
              <w:t>s</w:t>
            </w:r>
          </w:p>
        </w:tc>
        <w:tc>
          <w:tcPr>
            <w:tcW w:w="1274" w:type="pct"/>
            <w:tcBorders>
              <w:bottom w:val="single" w:color="auto" w:sz="6" w:space="0"/>
            </w:tcBorders>
            <w:vAlign w:val="center"/>
          </w:tcPr>
          <w:p w14:paraId="0BC0D803">
            <w:pPr>
              <w:spacing w:line="0" w:lineRule="atLeast"/>
              <w:ind w:firstLine="0" w:firstLineChars="0"/>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35/45</w:t>
            </w:r>
          </w:p>
        </w:tc>
      </w:tr>
      <w:tr w14:paraId="13B10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71329823">
            <w:pPr>
              <w:spacing w:line="0" w:lineRule="atLeast"/>
              <w:ind w:firstLine="0" w:firstLineChars="0"/>
              <w:jc w:val="center"/>
              <w:rPr>
                <w:rFonts w:hint="default" w:ascii="Times New Roman" w:hAnsi="Times New Roman" w:cs="Times New Roman"/>
                <w:szCs w:val="24"/>
              </w:rPr>
            </w:pPr>
          </w:p>
        </w:tc>
        <w:tc>
          <w:tcPr>
            <w:tcW w:w="2610" w:type="pct"/>
            <w:gridSpan w:val="3"/>
            <w:tcBorders>
              <w:right w:val="single" w:color="auto" w:sz="6" w:space="0"/>
            </w:tcBorders>
            <w:vAlign w:val="center"/>
          </w:tcPr>
          <w:p w14:paraId="793EB8C8">
            <w:pPr>
              <w:spacing w:line="0" w:lineRule="atLeast"/>
              <w:ind w:left="0" w:leftChars="0" w:firstLine="0" w:firstLineChars="0"/>
              <w:rPr>
                <w:rFonts w:hint="default" w:ascii="Times New Roman" w:hAnsi="Times New Roman" w:cs="Times New Roman"/>
                <w:szCs w:val="24"/>
              </w:rPr>
            </w:pPr>
            <w:r>
              <w:rPr>
                <w:rFonts w:hint="default" w:ascii="Times New Roman" w:hAnsi="Times New Roman" w:cs="Times New Roman"/>
                <w:szCs w:val="24"/>
              </w:rPr>
              <w:t>回转速度</w:t>
            </w:r>
          </w:p>
        </w:tc>
        <w:tc>
          <w:tcPr>
            <w:tcW w:w="722" w:type="pct"/>
            <w:tcBorders>
              <w:left w:val="single" w:color="auto" w:sz="6" w:space="0"/>
            </w:tcBorders>
            <w:vAlign w:val="center"/>
          </w:tcPr>
          <w:p w14:paraId="4EEE2406">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r/min</w:t>
            </w:r>
          </w:p>
        </w:tc>
        <w:tc>
          <w:tcPr>
            <w:tcW w:w="1274" w:type="pct"/>
            <w:vAlign w:val="center"/>
          </w:tcPr>
          <w:p w14:paraId="3434D516">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0-3</w:t>
            </w:r>
          </w:p>
        </w:tc>
      </w:tr>
      <w:tr w14:paraId="04A2C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43383C01">
            <w:pPr>
              <w:spacing w:line="0" w:lineRule="atLeast"/>
              <w:ind w:firstLine="0" w:firstLineChars="0"/>
              <w:jc w:val="center"/>
              <w:rPr>
                <w:rFonts w:hint="default" w:ascii="Times New Roman" w:hAnsi="Times New Roman" w:cs="Times New Roman"/>
                <w:szCs w:val="24"/>
              </w:rPr>
            </w:pPr>
          </w:p>
        </w:tc>
        <w:tc>
          <w:tcPr>
            <w:tcW w:w="1567" w:type="pct"/>
            <w:vMerge w:val="restart"/>
            <w:tcBorders>
              <w:right w:val="single" w:color="auto" w:sz="6" w:space="0"/>
            </w:tcBorders>
            <w:vAlign w:val="center"/>
          </w:tcPr>
          <w:p w14:paraId="4706D9B7">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支 腿 伸 缩 时 间</w:t>
            </w:r>
          </w:p>
        </w:tc>
        <w:tc>
          <w:tcPr>
            <w:tcW w:w="539" w:type="pct"/>
            <w:vMerge w:val="restart"/>
            <w:tcBorders>
              <w:right w:val="single" w:color="auto" w:sz="6" w:space="0"/>
            </w:tcBorders>
            <w:vAlign w:val="center"/>
          </w:tcPr>
          <w:p w14:paraId="71F09725">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水 平</w:t>
            </w:r>
          </w:p>
          <w:p w14:paraId="1B531322">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支 腿</w:t>
            </w:r>
          </w:p>
        </w:tc>
        <w:tc>
          <w:tcPr>
            <w:tcW w:w="503" w:type="pct"/>
            <w:tcBorders>
              <w:right w:val="single" w:color="auto" w:sz="6" w:space="0"/>
            </w:tcBorders>
            <w:vAlign w:val="center"/>
          </w:tcPr>
          <w:p w14:paraId="52511B48">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同时伸</w:t>
            </w:r>
          </w:p>
        </w:tc>
        <w:tc>
          <w:tcPr>
            <w:tcW w:w="722" w:type="pct"/>
            <w:tcBorders>
              <w:left w:val="single" w:color="auto" w:sz="6" w:space="0"/>
            </w:tcBorders>
            <w:vAlign w:val="center"/>
          </w:tcPr>
          <w:p w14:paraId="463EC174">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s</w:t>
            </w:r>
          </w:p>
        </w:tc>
        <w:tc>
          <w:tcPr>
            <w:tcW w:w="1274" w:type="pct"/>
            <w:vAlign w:val="center"/>
          </w:tcPr>
          <w:p w14:paraId="07FACDFA">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30</w:t>
            </w:r>
          </w:p>
        </w:tc>
      </w:tr>
      <w:tr w14:paraId="1D8A4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773148E6">
            <w:pPr>
              <w:spacing w:line="0" w:lineRule="atLeast"/>
              <w:ind w:firstLine="0" w:firstLineChars="0"/>
              <w:jc w:val="center"/>
              <w:rPr>
                <w:rFonts w:hint="default" w:ascii="Times New Roman" w:hAnsi="Times New Roman" w:cs="Times New Roman"/>
                <w:szCs w:val="24"/>
              </w:rPr>
            </w:pPr>
          </w:p>
        </w:tc>
        <w:tc>
          <w:tcPr>
            <w:tcW w:w="1567" w:type="pct"/>
            <w:vMerge w:val="continue"/>
            <w:tcBorders>
              <w:right w:val="single" w:color="auto" w:sz="6" w:space="0"/>
            </w:tcBorders>
            <w:vAlign w:val="center"/>
          </w:tcPr>
          <w:p w14:paraId="06F78ADF">
            <w:pPr>
              <w:spacing w:line="0" w:lineRule="atLeast"/>
              <w:ind w:firstLine="0" w:firstLineChars="0"/>
              <w:jc w:val="center"/>
              <w:rPr>
                <w:rFonts w:hint="default" w:ascii="Times New Roman" w:hAnsi="Times New Roman" w:cs="Times New Roman"/>
                <w:szCs w:val="24"/>
              </w:rPr>
            </w:pPr>
          </w:p>
        </w:tc>
        <w:tc>
          <w:tcPr>
            <w:tcW w:w="539" w:type="pct"/>
            <w:vMerge w:val="continue"/>
            <w:tcBorders>
              <w:right w:val="single" w:color="auto" w:sz="6" w:space="0"/>
            </w:tcBorders>
            <w:vAlign w:val="center"/>
          </w:tcPr>
          <w:p w14:paraId="2EC5E627">
            <w:pPr>
              <w:spacing w:line="0" w:lineRule="atLeast"/>
              <w:ind w:firstLine="0" w:firstLineChars="0"/>
              <w:rPr>
                <w:rFonts w:hint="default" w:ascii="Times New Roman" w:hAnsi="Times New Roman" w:cs="Times New Roman"/>
                <w:szCs w:val="24"/>
              </w:rPr>
            </w:pPr>
          </w:p>
        </w:tc>
        <w:tc>
          <w:tcPr>
            <w:tcW w:w="503" w:type="pct"/>
            <w:tcBorders>
              <w:right w:val="single" w:color="auto" w:sz="6" w:space="0"/>
            </w:tcBorders>
            <w:vAlign w:val="center"/>
          </w:tcPr>
          <w:p w14:paraId="32726EBC">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同时缩</w:t>
            </w:r>
          </w:p>
        </w:tc>
        <w:tc>
          <w:tcPr>
            <w:tcW w:w="722" w:type="pct"/>
            <w:tcBorders>
              <w:left w:val="single" w:color="auto" w:sz="6" w:space="0"/>
            </w:tcBorders>
            <w:vAlign w:val="center"/>
          </w:tcPr>
          <w:p w14:paraId="0AD69C0F">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s</w:t>
            </w:r>
          </w:p>
        </w:tc>
        <w:tc>
          <w:tcPr>
            <w:tcW w:w="1274" w:type="pct"/>
            <w:vAlign w:val="center"/>
          </w:tcPr>
          <w:p w14:paraId="1D2A4ED6">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45</w:t>
            </w:r>
          </w:p>
        </w:tc>
      </w:tr>
      <w:tr w14:paraId="3411B4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3D81FE5F">
            <w:pPr>
              <w:spacing w:line="0" w:lineRule="atLeast"/>
              <w:ind w:firstLine="0" w:firstLineChars="0"/>
              <w:jc w:val="center"/>
              <w:rPr>
                <w:rFonts w:hint="default" w:ascii="Times New Roman" w:hAnsi="Times New Roman" w:cs="Times New Roman"/>
                <w:szCs w:val="24"/>
              </w:rPr>
            </w:pPr>
          </w:p>
        </w:tc>
        <w:tc>
          <w:tcPr>
            <w:tcW w:w="1567" w:type="pct"/>
            <w:vMerge w:val="continue"/>
            <w:tcBorders>
              <w:right w:val="single" w:color="auto" w:sz="6" w:space="0"/>
            </w:tcBorders>
            <w:vAlign w:val="center"/>
          </w:tcPr>
          <w:p w14:paraId="3ED41B4C">
            <w:pPr>
              <w:spacing w:line="0" w:lineRule="atLeast"/>
              <w:ind w:firstLine="0" w:firstLineChars="0"/>
              <w:jc w:val="center"/>
              <w:rPr>
                <w:rFonts w:hint="default" w:ascii="Times New Roman" w:hAnsi="Times New Roman" w:cs="Times New Roman"/>
                <w:szCs w:val="24"/>
              </w:rPr>
            </w:pPr>
          </w:p>
        </w:tc>
        <w:tc>
          <w:tcPr>
            <w:tcW w:w="539" w:type="pct"/>
            <w:vMerge w:val="restart"/>
            <w:tcBorders>
              <w:right w:val="single" w:color="auto" w:sz="6" w:space="0"/>
            </w:tcBorders>
            <w:vAlign w:val="center"/>
          </w:tcPr>
          <w:p w14:paraId="641A4741">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垂 直</w:t>
            </w:r>
          </w:p>
          <w:p w14:paraId="79175258">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支 腿</w:t>
            </w:r>
          </w:p>
        </w:tc>
        <w:tc>
          <w:tcPr>
            <w:tcW w:w="503" w:type="pct"/>
            <w:tcBorders>
              <w:right w:val="single" w:color="auto" w:sz="6" w:space="0"/>
            </w:tcBorders>
            <w:vAlign w:val="center"/>
          </w:tcPr>
          <w:p w14:paraId="6C86F986">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同时伸</w:t>
            </w:r>
          </w:p>
        </w:tc>
        <w:tc>
          <w:tcPr>
            <w:tcW w:w="722" w:type="pct"/>
            <w:tcBorders>
              <w:left w:val="single" w:color="auto" w:sz="6" w:space="0"/>
            </w:tcBorders>
            <w:vAlign w:val="center"/>
          </w:tcPr>
          <w:p w14:paraId="577FC75B">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s</w:t>
            </w:r>
          </w:p>
        </w:tc>
        <w:tc>
          <w:tcPr>
            <w:tcW w:w="1274" w:type="pct"/>
            <w:vAlign w:val="center"/>
          </w:tcPr>
          <w:p w14:paraId="792EE829">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25</w:t>
            </w:r>
          </w:p>
        </w:tc>
      </w:tr>
      <w:tr w14:paraId="45B600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4F8C2A44">
            <w:pPr>
              <w:spacing w:line="0" w:lineRule="atLeast"/>
              <w:ind w:firstLine="0" w:firstLineChars="0"/>
              <w:jc w:val="center"/>
              <w:rPr>
                <w:rFonts w:hint="default" w:ascii="Times New Roman" w:hAnsi="Times New Roman" w:cs="Times New Roman"/>
                <w:szCs w:val="24"/>
              </w:rPr>
            </w:pPr>
          </w:p>
        </w:tc>
        <w:tc>
          <w:tcPr>
            <w:tcW w:w="1567" w:type="pct"/>
            <w:vMerge w:val="continue"/>
            <w:tcBorders>
              <w:bottom w:val="single" w:color="auto" w:sz="2" w:space="0"/>
              <w:right w:val="single" w:color="auto" w:sz="6" w:space="0"/>
            </w:tcBorders>
            <w:vAlign w:val="center"/>
          </w:tcPr>
          <w:p w14:paraId="66265860">
            <w:pPr>
              <w:spacing w:line="0" w:lineRule="atLeast"/>
              <w:ind w:firstLine="0" w:firstLineChars="0"/>
              <w:jc w:val="center"/>
              <w:rPr>
                <w:rFonts w:hint="default" w:ascii="Times New Roman" w:hAnsi="Times New Roman" w:cs="Times New Roman"/>
                <w:szCs w:val="24"/>
              </w:rPr>
            </w:pPr>
          </w:p>
        </w:tc>
        <w:tc>
          <w:tcPr>
            <w:tcW w:w="539" w:type="pct"/>
            <w:vMerge w:val="continue"/>
            <w:tcBorders>
              <w:right w:val="single" w:color="auto" w:sz="6" w:space="0"/>
            </w:tcBorders>
            <w:vAlign w:val="center"/>
          </w:tcPr>
          <w:p w14:paraId="29BD24E3">
            <w:pPr>
              <w:spacing w:line="0" w:lineRule="atLeast"/>
              <w:ind w:firstLine="0" w:firstLineChars="0"/>
              <w:jc w:val="center"/>
              <w:rPr>
                <w:rFonts w:hint="default" w:ascii="Times New Roman" w:hAnsi="Times New Roman" w:cs="Times New Roman"/>
                <w:szCs w:val="24"/>
              </w:rPr>
            </w:pPr>
          </w:p>
        </w:tc>
        <w:tc>
          <w:tcPr>
            <w:tcW w:w="503" w:type="pct"/>
            <w:tcBorders>
              <w:right w:val="single" w:color="auto" w:sz="6" w:space="0"/>
            </w:tcBorders>
            <w:vAlign w:val="center"/>
          </w:tcPr>
          <w:p w14:paraId="351969C3">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同时缩</w:t>
            </w:r>
          </w:p>
        </w:tc>
        <w:tc>
          <w:tcPr>
            <w:tcW w:w="722" w:type="pct"/>
            <w:tcBorders>
              <w:left w:val="single" w:color="auto" w:sz="6" w:space="0"/>
            </w:tcBorders>
            <w:vAlign w:val="center"/>
          </w:tcPr>
          <w:p w14:paraId="4176120A">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s</w:t>
            </w:r>
          </w:p>
        </w:tc>
        <w:tc>
          <w:tcPr>
            <w:tcW w:w="1274" w:type="pct"/>
            <w:vAlign w:val="center"/>
          </w:tcPr>
          <w:p w14:paraId="3B4D9115">
            <w:pPr>
              <w:spacing w:line="0" w:lineRule="atLeast"/>
              <w:ind w:firstLine="0" w:firstLineChars="0"/>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zCs w:val="24"/>
                <w:lang w:val="en-US" w:eastAsia="zh-CN"/>
              </w:rPr>
              <w:t>20</w:t>
            </w:r>
          </w:p>
        </w:tc>
      </w:tr>
    </w:tbl>
    <w:p w14:paraId="139F9329">
      <w:pPr>
        <w:pStyle w:val="46"/>
      </w:pPr>
      <w:r>
        <w:drawing>
          <wp:inline distT="0" distB="0" distL="114300" distR="114300">
            <wp:extent cx="5267325" cy="4819650"/>
            <wp:effectExtent l="0" t="0" r="9525"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26"/>
                    <a:stretch>
                      <a:fillRect/>
                    </a:stretch>
                  </pic:blipFill>
                  <pic:spPr>
                    <a:xfrm>
                      <a:off x="0" y="0"/>
                      <a:ext cx="5267325" cy="4819650"/>
                    </a:xfrm>
                    <a:prstGeom prst="rect">
                      <a:avLst/>
                    </a:prstGeom>
                    <a:noFill/>
                    <a:ln>
                      <a:noFill/>
                    </a:ln>
                  </pic:spPr>
                </pic:pic>
              </a:graphicData>
            </a:graphic>
          </wp:inline>
        </w:drawing>
      </w:r>
    </w:p>
    <w:p w14:paraId="2AF7B6C0">
      <w:pPr>
        <w:pStyle w:val="46"/>
        <w:jc w:val="center"/>
        <w:rPr>
          <w:rFonts w:hint="default" w:ascii="Times New Roman" w:hAnsi="Times New Roman" w:cs="Times New Roman"/>
        </w:rPr>
      </w:pPr>
      <w:r>
        <w:rPr>
          <w:rFonts w:hint="default" w:ascii="Times New Roman" w:hAnsi="Times New Roman" w:cs="Times New Roman"/>
        </w:rPr>
        <w:t>图</w:t>
      </w:r>
      <w:r>
        <w:rPr>
          <w:rFonts w:hint="eastAsia" w:ascii="Times New Roman" w:hAnsi="Times New Roman" w:cs="Times New Roman"/>
          <w:lang w:val="en-US" w:eastAsia="zh-CN"/>
        </w:rPr>
        <w:t>4.2</w:t>
      </w:r>
      <w:r>
        <w:rPr>
          <w:rFonts w:hint="default" w:ascii="Times New Roman" w:hAnsi="Times New Roman" w:cs="Times New Roman"/>
        </w:rPr>
        <w:t>.1.1-</w:t>
      </w:r>
      <w:r>
        <w:rPr>
          <w:rFonts w:hint="eastAsia" w:cs="Times New Roman"/>
          <w:lang w:val="en-US" w:eastAsia="zh-CN"/>
        </w:rPr>
        <w:t>1</w:t>
      </w:r>
      <w:r>
        <w:rPr>
          <w:rFonts w:hint="default" w:ascii="Times New Roman" w:hAnsi="Times New Roman" w:cs="Times New Roman"/>
        </w:rPr>
        <w:t xml:space="preserve"> </w:t>
      </w:r>
      <w:r>
        <w:rPr>
          <w:rFonts w:hint="eastAsia" w:cs="Times New Roman"/>
          <w:lang w:val="en-US" w:eastAsia="zh-CN"/>
        </w:rPr>
        <w:t>25</w:t>
      </w:r>
      <w:r>
        <w:rPr>
          <w:rFonts w:hint="default" w:ascii="Times New Roman" w:hAnsi="Times New Roman" w:cs="Times New Roman"/>
        </w:rPr>
        <w:t>t汽车吊主臂</w:t>
      </w:r>
      <w:r>
        <w:rPr>
          <w:rFonts w:hint="eastAsia" w:cs="Times New Roman"/>
          <w:lang w:val="en-US" w:eastAsia="zh-CN"/>
        </w:rPr>
        <w:t>性能</w:t>
      </w:r>
      <w:r>
        <w:rPr>
          <w:rFonts w:hint="default" w:ascii="Times New Roman" w:hAnsi="Times New Roman" w:cs="Times New Roman"/>
        </w:rPr>
        <w:t>表</w:t>
      </w:r>
    </w:p>
    <w:p w14:paraId="638FBDB9">
      <w:pPr>
        <w:pStyle w:val="46"/>
      </w:pPr>
      <w:r>
        <w:drawing>
          <wp:inline distT="0" distB="0" distL="114300" distR="114300">
            <wp:extent cx="5267960" cy="5582285"/>
            <wp:effectExtent l="0" t="0" r="8890" b="1841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27"/>
                    <a:stretch>
                      <a:fillRect/>
                    </a:stretch>
                  </pic:blipFill>
                  <pic:spPr>
                    <a:xfrm>
                      <a:off x="0" y="0"/>
                      <a:ext cx="5267960" cy="5582285"/>
                    </a:xfrm>
                    <a:prstGeom prst="rect">
                      <a:avLst/>
                    </a:prstGeom>
                    <a:noFill/>
                    <a:ln>
                      <a:noFill/>
                    </a:ln>
                  </pic:spPr>
                </pic:pic>
              </a:graphicData>
            </a:graphic>
          </wp:inline>
        </w:drawing>
      </w:r>
    </w:p>
    <w:p w14:paraId="0829B825">
      <w:pPr>
        <w:pStyle w:val="46"/>
        <w:jc w:val="center"/>
        <w:rPr>
          <w:rFonts w:hint="default"/>
        </w:rPr>
      </w:pPr>
      <w:r>
        <w:rPr>
          <w:rFonts w:hint="default" w:ascii="Times New Roman" w:hAnsi="Times New Roman" w:cs="Times New Roman"/>
        </w:rPr>
        <w:t>图</w:t>
      </w:r>
      <w:r>
        <w:rPr>
          <w:rFonts w:hint="eastAsia" w:ascii="Times New Roman" w:hAnsi="Times New Roman" w:cs="Times New Roman"/>
          <w:lang w:val="en-US" w:eastAsia="zh-CN"/>
        </w:rPr>
        <w:t>4.2</w:t>
      </w:r>
      <w:r>
        <w:rPr>
          <w:rFonts w:hint="default" w:ascii="Times New Roman" w:hAnsi="Times New Roman" w:cs="Times New Roman"/>
        </w:rPr>
        <w:t>.1.1-</w:t>
      </w:r>
      <w:r>
        <w:rPr>
          <w:rFonts w:hint="eastAsia" w:cs="Times New Roman"/>
          <w:lang w:val="en-US" w:eastAsia="zh-CN"/>
        </w:rPr>
        <w:t>2</w:t>
      </w:r>
      <w:r>
        <w:rPr>
          <w:rFonts w:hint="default" w:ascii="Times New Roman" w:hAnsi="Times New Roman" w:cs="Times New Roman"/>
        </w:rPr>
        <w:t xml:space="preserve"> </w:t>
      </w:r>
      <w:r>
        <w:rPr>
          <w:rFonts w:hint="eastAsia" w:cs="Times New Roman"/>
          <w:lang w:val="en-US" w:eastAsia="zh-CN"/>
        </w:rPr>
        <w:t>25</w:t>
      </w:r>
      <w:r>
        <w:rPr>
          <w:rFonts w:hint="default" w:ascii="Times New Roman" w:hAnsi="Times New Roman" w:cs="Times New Roman"/>
        </w:rPr>
        <w:t>t汽车吊主臂作业范围</w:t>
      </w:r>
    </w:p>
    <w:p w14:paraId="26BDA66B">
      <w:pPr>
        <w:pStyle w:val="7"/>
        <w:bidi w:val="0"/>
        <w:rPr>
          <w:rFonts w:hint="default"/>
        </w:rPr>
      </w:pPr>
      <w:r>
        <w:rPr>
          <w:rFonts w:hint="default"/>
        </w:rPr>
        <w:t>极限工况计算选型</w:t>
      </w:r>
    </w:p>
    <w:p w14:paraId="04C4C28B">
      <w:pPr>
        <w:ind w:firstLine="480"/>
        <w:rPr>
          <w:rFonts w:hint="default" w:ascii="Times New Roman" w:hAnsi="Times New Roman" w:cs="Times New Roman"/>
        </w:rPr>
      </w:pPr>
      <w:r>
        <w:rPr>
          <w:rFonts w:hint="default" w:ascii="Times New Roman" w:hAnsi="Times New Roman" w:cs="Times New Roman"/>
        </w:rPr>
        <w:t>2台塔式起重机</w:t>
      </w:r>
      <w:r>
        <w:rPr>
          <w:rFonts w:hint="eastAsia" w:cs="Times New Roman"/>
          <w:lang w:eastAsia="zh-CN"/>
        </w:rPr>
        <w:t>安装</w:t>
      </w:r>
      <w:r>
        <w:rPr>
          <w:rFonts w:hint="default" w:ascii="Times New Roman" w:hAnsi="Times New Roman" w:cs="Times New Roman"/>
        </w:rPr>
        <w:t>过程中辅助起重设备极限工况为</w:t>
      </w:r>
      <w:r>
        <w:rPr>
          <w:rFonts w:hint="eastAsia" w:cs="Times New Roman"/>
          <w:lang w:eastAsia="zh-CN"/>
        </w:rPr>
        <w:t>安装</w:t>
      </w:r>
      <w:r>
        <w:rPr>
          <w:rFonts w:hint="eastAsia" w:cs="Times New Roman"/>
          <w:lang w:val="en-US" w:eastAsia="zh-CN"/>
        </w:rPr>
        <w:t>平衡臂</w:t>
      </w:r>
      <w:r>
        <w:rPr>
          <w:rFonts w:hint="default" w:ascii="Times New Roman" w:hAnsi="Times New Roman" w:cs="Times New Roman"/>
        </w:rPr>
        <w:t>。此时</w:t>
      </w:r>
      <w:r>
        <w:rPr>
          <w:rFonts w:hint="eastAsia" w:cs="Times New Roman"/>
          <w:lang w:val="en-US" w:eastAsia="zh-CN"/>
        </w:rPr>
        <w:t>25</w:t>
      </w:r>
      <w:r>
        <w:rPr>
          <w:rFonts w:hint="default" w:ascii="Times New Roman" w:hAnsi="Times New Roman" w:cs="Times New Roman"/>
        </w:rPr>
        <w:t>t汽车吊主臂长</w:t>
      </w:r>
      <w:r>
        <w:rPr>
          <w:rFonts w:hint="eastAsia" w:cs="Times New Roman"/>
          <w:lang w:val="en-US" w:eastAsia="zh-CN"/>
        </w:rPr>
        <w:t>33.5</w:t>
      </w:r>
      <w:r>
        <w:rPr>
          <w:rFonts w:hint="default" w:ascii="Times New Roman" w:hAnsi="Times New Roman" w:cs="Times New Roman"/>
        </w:rPr>
        <w:t>m、吊幅</w:t>
      </w:r>
      <w:r>
        <w:rPr>
          <w:rFonts w:hint="eastAsia" w:cs="Times New Roman"/>
          <w:lang w:val="en-US" w:eastAsia="zh-CN"/>
        </w:rPr>
        <w:t>10</w:t>
      </w:r>
      <w:r>
        <w:rPr>
          <w:rFonts w:hint="default" w:ascii="Times New Roman" w:hAnsi="Times New Roman" w:cs="Times New Roman"/>
        </w:rPr>
        <w:t>m、吊高大于</w:t>
      </w:r>
      <w:r>
        <w:rPr>
          <w:rFonts w:hint="eastAsia" w:cs="Times New Roman"/>
          <w:lang w:val="en-US" w:eastAsia="zh-CN"/>
        </w:rPr>
        <w:t>30</w:t>
      </w:r>
      <w:r>
        <w:rPr>
          <w:rFonts w:hint="default" w:ascii="Times New Roman" w:hAnsi="Times New Roman" w:cs="Times New Roman"/>
        </w:rPr>
        <w:t>m、额定载荷为</w:t>
      </w:r>
      <w:r>
        <w:rPr>
          <w:rFonts w:hint="eastAsia" w:cs="Times New Roman"/>
          <w:lang w:val="en-US" w:eastAsia="zh-CN"/>
        </w:rPr>
        <w:t>6.6</w:t>
      </w:r>
      <w:r>
        <w:rPr>
          <w:rFonts w:hint="default" w:ascii="Times New Roman" w:hAnsi="Times New Roman" w:cs="Times New Roman"/>
        </w:rPr>
        <w:t>t（满配重）</w:t>
      </w:r>
      <w:r>
        <w:rPr>
          <w:rFonts w:hint="eastAsia" w:ascii="Times New Roman" w:hAnsi="Times New Roman" w:cs="Times New Roman"/>
          <w:lang w:eastAsia="zh-CN"/>
        </w:rPr>
        <w:t>；</w:t>
      </w:r>
      <w:r>
        <w:rPr>
          <w:rFonts w:hint="eastAsia" w:cs="Times New Roman"/>
          <w:lang w:val="en-US" w:eastAsia="zh-CN"/>
        </w:rPr>
        <w:t>平衡臂</w:t>
      </w:r>
      <w:r>
        <w:rPr>
          <w:rFonts w:hint="default" w:ascii="Times New Roman" w:hAnsi="Times New Roman" w:cs="Times New Roman"/>
        </w:rPr>
        <w:t>（</w:t>
      </w:r>
      <w:r>
        <w:rPr>
          <w:rFonts w:hint="eastAsia" w:cs="Times New Roman"/>
          <w:lang w:val="en-US" w:eastAsia="zh-CN"/>
        </w:rPr>
        <w:t>平衡臂拉杆、起升机构、配电柜</w:t>
      </w:r>
      <w:r>
        <w:rPr>
          <w:rFonts w:hint="default" w:ascii="Times New Roman" w:hAnsi="Times New Roman" w:cs="Times New Roman"/>
        </w:rPr>
        <w:t>）总重</w:t>
      </w:r>
      <w:r>
        <w:rPr>
          <w:rFonts w:hint="eastAsia" w:cs="Times New Roman"/>
          <w:lang w:val="en-US" w:eastAsia="zh-CN"/>
        </w:rPr>
        <w:t>5.027</w:t>
      </w:r>
      <w:r>
        <w:rPr>
          <w:rFonts w:hint="default" w:ascii="Times New Roman" w:hAnsi="Times New Roman" w:cs="Times New Roman"/>
        </w:rPr>
        <w:t>t，最大计算载荷为</w:t>
      </w:r>
      <w:r>
        <w:rPr>
          <w:rFonts w:hint="eastAsia" w:cs="Times New Roman"/>
          <w:lang w:val="en-US" w:eastAsia="zh-CN"/>
        </w:rPr>
        <w:t>5.027</w:t>
      </w:r>
      <w:r>
        <w:rPr>
          <w:rFonts w:hint="default" w:ascii="Times New Roman" w:hAnsi="Times New Roman" w:cs="Times New Roman"/>
        </w:rPr>
        <w:t>t</w:t>
      </w:r>
      <w:r>
        <w:rPr>
          <w:rFonts w:hint="eastAsia" w:cs="Times New Roman"/>
          <w:lang w:val="en-US" w:eastAsia="zh-CN"/>
        </w:rPr>
        <w:t>/0.8</w:t>
      </w:r>
      <w:r>
        <w:rPr>
          <w:rFonts w:hint="default" w:ascii="Times New Roman" w:hAnsi="Times New Roman" w:cs="Times New Roman"/>
        </w:rPr>
        <w:t>=</w:t>
      </w:r>
      <w:r>
        <w:rPr>
          <w:rFonts w:hint="eastAsia" w:cs="Times New Roman"/>
          <w:lang w:val="en-US" w:eastAsia="zh-CN"/>
        </w:rPr>
        <w:t>6.28</w:t>
      </w:r>
      <w:r>
        <w:rPr>
          <w:rFonts w:hint="default" w:ascii="Times New Roman" w:hAnsi="Times New Roman" w:cs="Times New Roman"/>
        </w:rPr>
        <w:t>t＜</w:t>
      </w:r>
      <w:r>
        <w:rPr>
          <w:rFonts w:hint="eastAsia" w:cs="Times New Roman"/>
          <w:lang w:val="en-US" w:eastAsia="zh-CN"/>
        </w:rPr>
        <w:t>6.6</w:t>
      </w:r>
      <w:r>
        <w:rPr>
          <w:rFonts w:hint="default" w:ascii="Times New Roman" w:hAnsi="Times New Roman" w:cs="Times New Roman"/>
        </w:rPr>
        <w:t>t，满足吊装要求。</w:t>
      </w:r>
    </w:p>
    <w:p w14:paraId="7CE34CE9">
      <w:pPr>
        <w:pStyle w:val="7"/>
        <w:bidi w:val="0"/>
        <w:rPr>
          <w:rFonts w:hint="default"/>
          <w:highlight w:val="none"/>
        </w:rPr>
      </w:pPr>
      <w:r>
        <w:rPr>
          <w:rFonts w:hint="default"/>
          <w:highlight w:val="none"/>
        </w:rPr>
        <w:t>全部工况计算选型</w:t>
      </w:r>
      <w:r>
        <w:rPr>
          <w:rFonts w:hint="eastAsia"/>
          <w:highlight w:val="none"/>
          <w:lang w:val="en-US" w:eastAsia="zh-CN"/>
        </w:rPr>
        <w:t xml:space="preserve">                                                                                                                                                                                                                                                                                                                                                                                                                                                                                                                                                                                                                                                                                                                                                                                                                                                                                                                                                                                                                                                                                                                                                                                                                                                                                                                                                                                                                                                                                                                                                                                                                                                                                                                                                                                                                                                                                                                                                                                                                                                                                                                                                                                                                                                                                                                                                                                                                                                                                                                                                                                                                                                                                                                                                                                                                                                                                                                                                                                                                                                                                                                                                                                                                                                                                                                                                                                                                                                                                                                                                                                                                                                                                                                                                                                                                                                                                                                                                                                                                                                                                                                                                                                                                </w:t>
      </w:r>
      <w:r>
        <w:rPr>
          <w:rFonts w:hint="eastAsia"/>
          <w:highlight w:val="none"/>
          <w:lang w:val="en-US" w:eastAsia="zh-CN"/>
        </w:rPr>
        <w:t xml:space="preserve">                                                                                                                                                                                                                                                                                                                                                                                                                                                                                                                                                                                                                                                                                                                                                                                                                                                                                                                                                                                                                                                                                                                                                                                                                                                                                                                                                                                                                                                                                                                                                                                                                                                                                                                                                                                                                                                                                                                                                                                                                                                                                                                                                                                                                                                                                                                                                                                                                                                                                                                                                                                                                                                                                                                                                                                                                                                                                                                                                                                                                                                                                                                                                                                                                                                                                                                                                                                                                                                                                                                                                                                                                                                                                                                                                                                                                                                                                                                                                                                                                                                                                                                                                                                                                </w:t>
      </w:r>
      <w:r>
        <w:rPr>
          <w:rFonts w:hint="eastAsia"/>
          <w:highlight w:val="none"/>
          <w:lang w:val="en-US" w:eastAsia="zh-CN"/>
        </w:rPr>
        <w:t xml:space="preserve">                                                                                                                                                                                                                                                                                                                                                                                                                                                                                                                                                                                                                                                                                                                                                                                                                                                                                                                                                                                                                                                                                                                                                                                                                                                                                                                                                                                  </w:t>
      </w:r>
    </w:p>
    <w:p w14:paraId="696E31BC">
      <w:pPr>
        <w:rPr>
          <w:rFonts w:hint="default"/>
        </w:rPr>
      </w:pPr>
      <w:r>
        <w:rPr>
          <w:rFonts w:hint="eastAsia" w:ascii="宋体" w:hAnsi="宋体" w:eastAsia="宋体" w:cs="宋体"/>
          <w:lang w:val="en-US" w:eastAsia="zh-CN"/>
        </w:rPr>
        <w:t xml:space="preserve"> 汽车吊吊装计算见附件6：汽车吊地基承载力计算书。</w:t>
      </w:r>
    </w:p>
    <w:p w14:paraId="308F6BAB">
      <w:pPr>
        <w:rPr>
          <w:rFonts w:hint="default"/>
        </w:rPr>
      </w:pPr>
    </w:p>
    <w:p w14:paraId="1E969EAA">
      <w:pPr>
        <w:pStyle w:val="2"/>
        <w:rPr>
          <w:rFonts w:hint="default"/>
        </w:rPr>
      </w:pPr>
    </w:p>
    <w:p w14:paraId="39B30EF9">
      <w:pPr>
        <w:pStyle w:val="46"/>
        <w:rPr>
          <w:rFonts w:hint="default" w:ascii="Times New Roman" w:hAnsi="Times New Roman" w:cs="Times New Roman"/>
        </w:rPr>
      </w:pPr>
      <w:r>
        <w:rPr>
          <w:rFonts w:hint="default" w:ascii="Times New Roman" w:hAnsi="Times New Roman" w:cs="Times New Roman"/>
        </w:rPr>
        <w:t>表</w:t>
      </w:r>
      <w:r>
        <w:rPr>
          <w:rFonts w:hint="eastAsia" w:ascii="Times New Roman" w:hAnsi="Times New Roman" w:cs="Times New Roman"/>
          <w:lang w:val="en-US" w:eastAsia="zh-CN"/>
        </w:rPr>
        <w:t>4</w:t>
      </w:r>
      <w:r>
        <w:rPr>
          <w:rFonts w:hint="default" w:ascii="Times New Roman" w:hAnsi="Times New Roman" w:cs="Times New Roman"/>
        </w:rPr>
        <w:t>.</w:t>
      </w:r>
      <w:r>
        <w:rPr>
          <w:rFonts w:hint="eastAsia" w:ascii="Times New Roman" w:hAnsi="Times New Roman" w:cs="Times New Roman"/>
          <w:lang w:val="en-US" w:eastAsia="zh-CN"/>
        </w:rPr>
        <w:t>2.</w:t>
      </w:r>
      <w:r>
        <w:rPr>
          <w:rFonts w:hint="default" w:ascii="Times New Roman" w:hAnsi="Times New Roman" w:cs="Times New Roman"/>
        </w:rPr>
        <w:t xml:space="preserve">1.3-1 </w:t>
      </w:r>
      <w:r>
        <w:rPr>
          <w:rFonts w:hint="eastAsia" w:cs="Times New Roman"/>
          <w:lang w:eastAsia="zh-CN"/>
        </w:rPr>
        <w:t>安装</w:t>
      </w:r>
      <w:r>
        <w:rPr>
          <w:rFonts w:hint="default" w:ascii="Times New Roman" w:hAnsi="Times New Roman" w:cs="Times New Roman"/>
        </w:rPr>
        <w:t>塔式起重机</w:t>
      </w:r>
      <w:r>
        <w:rPr>
          <w:rFonts w:hint="eastAsia" w:cs="Times New Roman"/>
          <w:lang w:eastAsia="zh-CN"/>
        </w:rPr>
        <w:t>安装</w:t>
      </w:r>
      <w:r>
        <w:rPr>
          <w:rFonts w:hint="default" w:ascii="Times New Roman" w:hAnsi="Times New Roman" w:cs="Times New Roman"/>
        </w:rPr>
        <w:t>负载率</w:t>
      </w:r>
    </w:p>
    <w:tbl>
      <w:tblPr>
        <w:tblStyle w:val="31"/>
        <w:tblW w:w="483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3"/>
        <w:gridCol w:w="737"/>
        <w:gridCol w:w="1169"/>
        <w:gridCol w:w="444"/>
        <w:gridCol w:w="729"/>
        <w:gridCol w:w="727"/>
        <w:gridCol w:w="727"/>
        <w:gridCol w:w="729"/>
        <w:gridCol w:w="656"/>
        <w:gridCol w:w="655"/>
      </w:tblGrid>
      <w:tr w14:paraId="504D19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014" w:type="pct"/>
            <w:vMerge w:val="restart"/>
            <w:vAlign w:val="center"/>
          </w:tcPr>
          <w:p w14:paraId="3EA9A5E4">
            <w:pPr>
              <w:pStyle w:val="15"/>
              <w:rPr>
                <w:rFonts w:hint="default" w:ascii="Times New Roman" w:hAnsi="Times New Roman" w:cs="Times New Roman"/>
                <w:b/>
              </w:rPr>
            </w:pPr>
            <w:r>
              <w:rPr>
                <w:rFonts w:hint="default" w:ascii="Times New Roman" w:hAnsi="Times New Roman" w:cs="Times New Roman"/>
                <w:b/>
              </w:rPr>
              <w:t>吊装组件</w:t>
            </w:r>
          </w:p>
        </w:tc>
        <w:tc>
          <w:tcPr>
            <w:tcW w:w="446" w:type="pct"/>
            <w:vMerge w:val="restart"/>
            <w:vAlign w:val="center"/>
          </w:tcPr>
          <w:p w14:paraId="21152226">
            <w:pPr>
              <w:pStyle w:val="15"/>
              <w:rPr>
                <w:rFonts w:hint="default" w:ascii="Times New Roman" w:hAnsi="Times New Roman" w:cs="Times New Roman"/>
                <w:b/>
              </w:rPr>
            </w:pPr>
            <w:r>
              <w:rPr>
                <w:rFonts w:hint="default" w:ascii="Times New Roman" w:hAnsi="Times New Roman" w:cs="Times New Roman"/>
                <w:b/>
              </w:rPr>
              <w:t>组件最大单重（t）</w:t>
            </w:r>
          </w:p>
        </w:tc>
        <w:tc>
          <w:tcPr>
            <w:tcW w:w="3141" w:type="pct"/>
            <w:gridSpan w:val="7"/>
            <w:vAlign w:val="center"/>
          </w:tcPr>
          <w:p w14:paraId="796F2A53">
            <w:pPr>
              <w:pStyle w:val="15"/>
              <w:rPr>
                <w:rFonts w:hint="default" w:ascii="Times New Roman" w:hAnsi="Times New Roman" w:cs="Times New Roman"/>
                <w:b/>
              </w:rPr>
            </w:pPr>
            <w:r>
              <w:rPr>
                <w:rFonts w:hint="default" w:ascii="Times New Roman" w:hAnsi="Times New Roman" w:cs="Times New Roman"/>
                <w:b/>
              </w:rPr>
              <w:t>辅助起重设备</w:t>
            </w:r>
          </w:p>
        </w:tc>
        <w:tc>
          <w:tcPr>
            <w:tcW w:w="397" w:type="pct"/>
            <w:vMerge w:val="restart"/>
            <w:vAlign w:val="center"/>
          </w:tcPr>
          <w:p w14:paraId="7B984A72">
            <w:pPr>
              <w:pStyle w:val="15"/>
              <w:rPr>
                <w:rFonts w:hint="default" w:ascii="Times New Roman" w:hAnsi="Times New Roman" w:cs="Times New Roman"/>
                <w:b/>
              </w:rPr>
            </w:pPr>
            <w:r>
              <w:rPr>
                <w:rFonts w:hint="default" w:ascii="Times New Roman" w:hAnsi="Times New Roman" w:cs="Times New Roman"/>
                <w:b/>
              </w:rPr>
              <w:t>结论</w:t>
            </w:r>
          </w:p>
        </w:tc>
      </w:tr>
      <w:tr w14:paraId="7BF649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014" w:type="pct"/>
            <w:vMerge w:val="continue"/>
            <w:vAlign w:val="center"/>
          </w:tcPr>
          <w:p w14:paraId="3018A24A">
            <w:pPr>
              <w:pStyle w:val="15"/>
              <w:rPr>
                <w:rFonts w:hint="default" w:ascii="Times New Roman" w:hAnsi="Times New Roman" w:cs="Times New Roman"/>
                <w:b/>
              </w:rPr>
            </w:pPr>
          </w:p>
        </w:tc>
        <w:tc>
          <w:tcPr>
            <w:tcW w:w="446" w:type="pct"/>
            <w:vMerge w:val="continue"/>
            <w:vAlign w:val="center"/>
          </w:tcPr>
          <w:p w14:paraId="0D288D3B">
            <w:pPr>
              <w:pStyle w:val="15"/>
              <w:rPr>
                <w:rFonts w:hint="default" w:ascii="Times New Roman" w:hAnsi="Times New Roman" w:cs="Times New Roman"/>
                <w:b/>
              </w:rPr>
            </w:pPr>
          </w:p>
        </w:tc>
        <w:tc>
          <w:tcPr>
            <w:tcW w:w="708" w:type="pct"/>
            <w:vAlign w:val="center"/>
          </w:tcPr>
          <w:p w14:paraId="16EF6661">
            <w:pPr>
              <w:pStyle w:val="15"/>
              <w:rPr>
                <w:rFonts w:hint="default" w:ascii="Times New Roman" w:hAnsi="Times New Roman" w:cs="Times New Roman"/>
                <w:b/>
              </w:rPr>
            </w:pPr>
            <w:r>
              <w:rPr>
                <w:rFonts w:hint="default" w:ascii="Times New Roman" w:hAnsi="Times New Roman" w:cs="Times New Roman"/>
                <w:b/>
              </w:rPr>
              <w:t>设备型号</w:t>
            </w:r>
          </w:p>
        </w:tc>
        <w:tc>
          <w:tcPr>
            <w:tcW w:w="269" w:type="pct"/>
            <w:vAlign w:val="center"/>
          </w:tcPr>
          <w:p w14:paraId="202ADEDC">
            <w:pPr>
              <w:pStyle w:val="15"/>
              <w:rPr>
                <w:rFonts w:hint="default" w:ascii="Times New Roman" w:hAnsi="Times New Roman" w:cs="Times New Roman"/>
                <w:b/>
              </w:rPr>
            </w:pPr>
            <w:r>
              <w:rPr>
                <w:rFonts w:hint="default" w:ascii="Times New Roman" w:hAnsi="Times New Roman" w:cs="Times New Roman"/>
                <w:b/>
              </w:rPr>
              <w:t>数量</w:t>
            </w:r>
          </w:p>
        </w:tc>
        <w:tc>
          <w:tcPr>
            <w:tcW w:w="442" w:type="pct"/>
            <w:vAlign w:val="center"/>
          </w:tcPr>
          <w:p w14:paraId="6015385E">
            <w:pPr>
              <w:pStyle w:val="15"/>
              <w:rPr>
                <w:rFonts w:hint="default" w:ascii="Times New Roman" w:hAnsi="Times New Roman" w:cs="Times New Roman"/>
                <w:b/>
              </w:rPr>
            </w:pPr>
            <w:r>
              <w:rPr>
                <w:rFonts w:hint="default" w:ascii="Times New Roman" w:hAnsi="Times New Roman" w:cs="Times New Roman"/>
                <w:b/>
              </w:rPr>
              <w:t>主臂长度(m)</w:t>
            </w:r>
          </w:p>
        </w:tc>
        <w:tc>
          <w:tcPr>
            <w:tcW w:w="440" w:type="pct"/>
            <w:vAlign w:val="center"/>
          </w:tcPr>
          <w:p w14:paraId="15C37EBB">
            <w:pPr>
              <w:pStyle w:val="15"/>
              <w:rPr>
                <w:rFonts w:hint="default" w:ascii="Times New Roman" w:hAnsi="Times New Roman" w:cs="Times New Roman"/>
                <w:b/>
              </w:rPr>
            </w:pPr>
            <w:r>
              <w:rPr>
                <w:rFonts w:hint="default" w:ascii="Times New Roman" w:hAnsi="Times New Roman" w:cs="Times New Roman"/>
                <w:b/>
              </w:rPr>
              <w:t>最大吊幅(m)</w:t>
            </w:r>
          </w:p>
        </w:tc>
        <w:tc>
          <w:tcPr>
            <w:tcW w:w="440" w:type="pct"/>
            <w:vAlign w:val="center"/>
          </w:tcPr>
          <w:p w14:paraId="0E43299C">
            <w:pPr>
              <w:pStyle w:val="15"/>
              <w:rPr>
                <w:rFonts w:hint="default" w:ascii="Times New Roman" w:hAnsi="Times New Roman" w:cs="Times New Roman"/>
                <w:b/>
              </w:rPr>
            </w:pPr>
            <w:r>
              <w:rPr>
                <w:rFonts w:hint="eastAsia" w:cs="Times New Roman"/>
                <w:b/>
                <w:lang w:val="en-US" w:eastAsia="zh-CN"/>
              </w:rPr>
              <w:t>吊装高度</w:t>
            </w:r>
            <w:r>
              <w:rPr>
                <w:rFonts w:hint="default" w:ascii="Times New Roman" w:hAnsi="Times New Roman" w:cs="Times New Roman"/>
                <w:b/>
              </w:rPr>
              <w:t>(m)</w:t>
            </w:r>
          </w:p>
        </w:tc>
        <w:tc>
          <w:tcPr>
            <w:tcW w:w="442" w:type="pct"/>
            <w:vAlign w:val="center"/>
          </w:tcPr>
          <w:p w14:paraId="2A3E21C5">
            <w:pPr>
              <w:pStyle w:val="15"/>
              <w:rPr>
                <w:rFonts w:hint="default" w:ascii="Times New Roman" w:hAnsi="Times New Roman" w:cs="Times New Roman"/>
                <w:b/>
              </w:rPr>
            </w:pPr>
            <w:r>
              <w:rPr>
                <w:rFonts w:hint="default" w:ascii="Times New Roman" w:hAnsi="Times New Roman" w:cs="Times New Roman"/>
                <w:b/>
              </w:rPr>
              <w:t>额定载荷（t）</w:t>
            </w:r>
          </w:p>
        </w:tc>
        <w:tc>
          <w:tcPr>
            <w:tcW w:w="397" w:type="pct"/>
            <w:vAlign w:val="center"/>
          </w:tcPr>
          <w:p w14:paraId="51959AA3">
            <w:pPr>
              <w:pStyle w:val="15"/>
              <w:rPr>
                <w:rFonts w:hint="default" w:ascii="Times New Roman" w:hAnsi="Times New Roman" w:cs="Times New Roman"/>
                <w:b/>
              </w:rPr>
            </w:pPr>
            <w:r>
              <w:rPr>
                <w:rFonts w:hint="default" w:ascii="Times New Roman" w:hAnsi="Times New Roman" w:cs="Times New Roman"/>
                <w:b/>
              </w:rPr>
              <w:t>负载率</w:t>
            </w:r>
          </w:p>
        </w:tc>
        <w:tc>
          <w:tcPr>
            <w:tcW w:w="397" w:type="pct"/>
            <w:vMerge w:val="continue"/>
            <w:vAlign w:val="center"/>
          </w:tcPr>
          <w:p w14:paraId="1B7C4F6C">
            <w:pPr>
              <w:pStyle w:val="15"/>
              <w:rPr>
                <w:rFonts w:hint="default" w:ascii="Times New Roman" w:hAnsi="Times New Roman" w:cs="Times New Roman"/>
              </w:rPr>
            </w:pPr>
          </w:p>
        </w:tc>
      </w:tr>
      <w:tr w14:paraId="5669E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386721A4">
            <w:pPr>
              <w:pStyle w:val="15"/>
              <w:jc w:val="center"/>
              <w:rPr>
                <w:rFonts w:hint="eastAsia" w:ascii="Times New Roman" w:hAnsi="Times New Roman" w:cs="Times New Roman"/>
                <w:b w:val="0"/>
                <w:bCs/>
                <w:lang w:eastAsia="zh-CN"/>
              </w:rPr>
            </w:pPr>
            <w:r>
              <w:rPr>
                <w:rFonts w:hint="eastAsia" w:ascii="Times New Roman" w:hAnsi="Times New Roman" w:cs="Times New Roman"/>
                <w:b w:val="0"/>
                <w:bCs/>
                <w:lang w:val="en-US" w:eastAsia="zh-CN"/>
              </w:rPr>
              <w:t>基础节</w:t>
            </w:r>
          </w:p>
        </w:tc>
        <w:tc>
          <w:tcPr>
            <w:tcW w:w="446" w:type="pct"/>
            <w:vAlign w:val="center"/>
          </w:tcPr>
          <w:p w14:paraId="201402FA">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1.598</w:t>
            </w:r>
          </w:p>
        </w:tc>
        <w:tc>
          <w:tcPr>
            <w:tcW w:w="708" w:type="pct"/>
            <w:vAlign w:val="center"/>
          </w:tcPr>
          <w:p w14:paraId="06B02B8F">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2C89DEB8">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6690D832">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33.5</w:t>
            </w:r>
          </w:p>
        </w:tc>
        <w:tc>
          <w:tcPr>
            <w:tcW w:w="440" w:type="pct"/>
            <w:vAlign w:val="center"/>
          </w:tcPr>
          <w:p w14:paraId="73F47805">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10</w:t>
            </w:r>
          </w:p>
        </w:tc>
        <w:tc>
          <w:tcPr>
            <w:tcW w:w="440" w:type="pct"/>
            <w:vAlign w:val="center"/>
          </w:tcPr>
          <w:p w14:paraId="37471F82">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15</w:t>
            </w:r>
          </w:p>
        </w:tc>
        <w:tc>
          <w:tcPr>
            <w:tcW w:w="442" w:type="pct"/>
            <w:vAlign w:val="center"/>
          </w:tcPr>
          <w:p w14:paraId="2504A38B">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6.6</w:t>
            </w:r>
          </w:p>
        </w:tc>
        <w:tc>
          <w:tcPr>
            <w:tcW w:w="397" w:type="pct"/>
            <w:vAlign w:val="center"/>
          </w:tcPr>
          <w:p w14:paraId="14129C5D">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24%</w:t>
            </w:r>
          </w:p>
        </w:tc>
        <w:tc>
          <w:tcPr>
            <w:tcW w:w="397" w:type="pct"/>
            <w:vAlign w:val="center"/>
          </w:tcPr>
          <w:p w14:paraId="71EC93C0">
            <w:pPr>
              <w:pStyle w:val="15"/>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3937E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1EAEEB64">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一节标准节</w:t>
            </w:r>
          </w:p>
        </w:tc>
        <w:tc>
          <w:tcPr>
            <w:tcW w:w="446" w:type="pct"/>
            <w:vAlign w:val="center"/>
          </w:tcPr>
          <w:p w14:paraId="1D8EA6A5">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0.838</w:t>
            </w:r>
          </w:p>
        </w:tc>
        <w:tc>
          <w:tcPr>
            <w:tcW w:w="708" w:type="pct"/>
            <w:vAlign w:val="center"/>
          </w:tcPr>
          <w:p w14:paraId="7CF73B71">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6C3A9CFD">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46ECFC46">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6859BA4B">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0F6A9EE6">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18</w:t>
            </w:r>
          </w:p>
        </w:tc>
        <w:tc>
          <w:tcPr>
            <w:tcW w:w="442" w:type="pct"/>
            <w:vAlign w:val="center"/>
          </w:tcPr>
          <w:p w14:paraId="2215C1A5">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600EFE9F">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13%</w:t>
            </w:r>
          </w:p>
        </w:tc>
        <w:tc>
          <w:tcPr>
            <w:tcW w:w="397" w:type="pct"/>
            <w:vAlign w:val="center"/>
          </w:tcPr>
          <w:p w14:paraId="36967DB0">
            <w:pPr>
              <w:pStyle w:val="15"/>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6811FC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7FD10AFC">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爬升架</w:t>
            </w:r>
          </w:p>
        </w:tc>
        <w:tc>
          <w:tcPr>
            <w:tcW w:w="446" w:type="pct"/>
            <w:vAlign w:val="center"/>
          </w:tcPr>
          <w:p w14:paraId="7FBB06F3">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3.381</w:t>
            </w:r>
          </w:p>
        </w:tc>
        <w:tc>
          <w:tcPr>
            <w:tcW w:w="708" w:type="pct"/>
            <w:vAlign w:val="center"/>
          </w:tcPr>
          <w:p w14:paraId="1C869071">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3F2A5095">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23736F50">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650046CF">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5221C947">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24.5</w:t>
            </w:r>
          </w:p>
        </w:tc>
        <w:tc>
          <w:tcPr>
            <w:tcW w:w="442" w:type="pct"/>
            <w:vAlign w:val="center"/>
          </w:tcPr>
          <w:p w14:paraId="688E119F">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5C058438">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51%</w:t>
            </w:r>
          </w:p>
        </w:tc>
        <w:tc>
          <w:tcPr>
            <w:tcW w:w="397" w:type="pct"/>
            <w:vAlign w:val="center"/>
          </w:tcPr>
          <w:p w14:paraId="027F5E24">
            <w:pPr>
              <w:pStyle w:val="15"/>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7395D8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3FB60B18">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特殊节</w:t>
            </w:r>
          </w:p>
        </w:tc>
        <w:tc>
          <w:tcPr>
            <w:tcW w:w="446" w:type="pct"/>
            <w:vAlign w:val="center"/>
          </w:tcPr>
          <w:p w14:paraId="4BA3E410">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1.316</w:t>
            </w:r>
          </w:p>
        </w:tc>
        <w:tc>
          <w:tcPr>
            <w:tcW w:w="708" w:type="pct"/>
            <w:vAlign w:val="center"/>
          </w:tcPr>
          <w:p w14:paraId="3E570053">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256DF16F">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5BF5B12F">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5E82661E">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00B235DD">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21</w:t>
            </w:r>
          </w:p>
        </w:tc>
        <w:tc>
          <w:tcPr>
            <w:tcW w:w="442" w:type="pct"/>
            <w:vAlign w:val="center"/>
          </w:tcPr>
          <w:p w14:paraId="2FC7D7B7">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260E3D07">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20%</w:t>
            </w:r>
          </w:p>
        </w:tc>
        <w:tc>
          <w:tcPr>
            <w:tcW w:w="397" w:type="pct"/>
            <w:vAlign w:val="center"/>
          </w:tcPr>
          <w:p w14:paraId="3BB950C6">
            <w:pPr>
              <w:pStyle w:val="15"/>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2FE5F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62CEE596">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回转总成</w:t>
            </w:r>
          </w:p>
        </w:tc>
        <w:tc>
          <w:tcPr>
            <w:tcW w:w="446" w:type="pct"/>
            <w:vAlign w:val="center"/>
          </w:tcPr>
          <w:p w14:paraId="0D3B0DBE">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3.983</w:t>
            </w:r>
          </w:p>
        </w:tc>
        <w:tc>
          <w:tcPr>
            <w:tcW w:w="708" w:type="pct"/>
            <w:vAlign w:val="center"/>
          </w:tcPr>
          <w:p w14:paraId="2CD12DE7">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31984413">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6D893A84">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350A9CA2">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060605FF">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24</w:t>
            </w:r>
          </w:p>
        </w:tc>
        <w:tc>
          <w:tcPr>
            <w:tcW w:w="442" w:type="pct"/>
            <w:vAlign w:val="center"/>
          </w:tcPr>
          <w:p w14:paraId="732BE2A5">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49453616">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60%</w:t>
            </w:r>
          </w:p>
        </w:tc>
        <w:tc>
          <w:tcPr>
            <w:tcW w:w="397" w:type="pct"/>
            <w:vAlign w:val="center"/>
          </w:tcPr>
          <w:p w14:paraId="23390C25">
            <w:pPr>
              <w:pStyle w:val="15"/>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59E597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3CBEFB10">
            <w:pPr>
              <w:pStyle w:val="15"/>
              <w:jc w:val="center"/>
              <w:rPr>
                <w:rFonts w:hint="default" w:ascii="Times New Roman" w:hAnsi="Times New Roman" w:cs="Times New Roman"/>
                <w:b w:val="0"/>
                <w:bCs/>
              </w:rPr>
            </w:pPr>
            <w:r>
              <w:rPr>
                <w:rFonts w:hint="eastAsia" w:cs="Times New Roman"/>
                <w:b w:val="0"/>
                <w:bCs/>
                <w:lang w:val="en-US" w:eastAsia="zh-CN"/>
              </w:rPr>
              <w:t>臂根节</w:t>
            </w:r>
          </w:p>
        </w:tc>
        <w:tc>
          <w:tcPr>
            <w:tcW w:w="446" w:type="pct"/>
            <w:vAlign w:val="center"/>
          </w:tcPr>
          <w:p w14:paraId="090FC3EE">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2.909</w:t>
            </w:r>
          </w:p>
        </w:tc>
        <w:tc>
          <w:tcPr>
            <w:tcW w:w="708" w:type="pct"/>
            <w:vAlign w:val="center"/>
          </w:tcPr>
          <w:p w14:paraId="11828D08">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02799E25">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597A37F4">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6E7C92C7">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3EFACE95">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30.7</w:t>
            </w:r>
          </w:p>
        </w:tc>
        <w:tc>
          <w:tcPr>
            <w:tcW w:w="442" w:type="pct"/>
            <w:vAlign w:val="center"/>
          </w:tcPr>
          <w:p w14:paraId="343384FA">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2FF30C8F">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44%</w:t>
            </w:r>
          </w:p>
        </w:tc>
        <w:tc>
          <w:tcPr>
            <w:tcW w:w="397" w:type="pct"/>
            <w:vAlign w:val="center"/>
          </w:tcPr>
          <w:p w14:paraId="7773FA12">
            <w:pPr>
              <w:pStyle w:val="15"/>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5AD70D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7603A767">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平衡臂</w:t>
            </w:r>
          </w:p>
        </w:tc>
        <w:tc>
          <w:tcPr>
            <w:tcW w:w="446" w:type="pct"/>
            <w:vAlign w:val="center"/>
          </w:tcPr>
          <w:p w14:paraId="02C938B0">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5.027</w:t>
            </w:r>
          </w:p>
        </w:tc>
        <w:tc>
          <w:tcPr>
            <w:tcW w:w="708" w:type="pct"/>
            <w:vAlign w:val="center"/>
          </w:tcPr>
          <w:p w14:paraId="172A1A64">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18EF8E1D">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78EA2369">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7244E0F0">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3DBD4D74">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24</w:t>
            </w:r>
          </w:p>
        </w:tc>
        <w:tc>
          <w:tcPr>
            <w:tcW w:w="442" w:type="pct"/>
            <w:vAlign w:val="center"/>
          </w:tcPr>
          <w:p w14:paraId="3918C90C">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0F28258B">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76%</w:t>
            </w:r>
          </w:p>
        </w:tc>
        <w:tc>
          <w:tcPr>
            <w:tcW w:w="397" w:type="pct"/>
            <w:vAlign w:val="center"/>
          </w:tcPr>
          <w:p w14:paraId="3F5EE4FF">
            <w:pPr>
              <w:pStyle w:val="15"/>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满足要求</w:t>
            </w:r>
          </w:p>
        </w:tc>
      </w:tr>
      <w:tr w14:paraId="5EC07D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13141DEC">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两块平衡重</w:t>
            </w:r>
          </w:p>
        </w:tc>
        <w:tc>
          <w:tcPr>
            <w:tcW w:w="446" w:type="pct"/>
            <w:vAlign w:val="center"/>
          </w:tcPr>
          <w:p w14:paraId="22ACB291">
            <w:pPr>
              <w:pStyle w:val="15"/>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3.2</w:t>
            </w:r>
          </w:p>
        </w:tc>
        <w:tc>
          <w:tcPr>
            <w:tcW w:w="708" w:type="pct"/>
            <w:vAlign w:val="center"/>
          </w:tcPr>
          <w:p w14:paraId="1E19B9B0">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55DDA217">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0DC722BF">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7C42EA46">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6C556068">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27</w:t>
            </w:r>
          </w:p>
        </w:tc>
        <w:tc>
          <w:tcPr>
            <w:tcW w:w="442" w:type="pct"/>
            <w:vAlign w:val="center"/>
          </w:tcPr>
          <w:p w14:paraId="5E1D78CB">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6FB5BEC0">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48</w:t>
            </w:r>
            <w:r>
              <w:rPr>
                <w:rFonts w:hint="default" w:ascii="Times New Roman" w:hAnsi="Times New Roman" w:cs="Times New Roman"/>
                <w:b w:val="0"/>
                <w:bCs/>
                <w:lang w:val="en-US" w:eastAsia="zh-CN"/>
              </w:rPr>
              <w:t>%</w:t>
            </w:r>
          </w:p>
        </w:tc>
        <w:tc>
          <w:tcPr>
            <w:tcW w:w="397" w:type="pct"/>
            <w:vAlign w:val="center"/>
          </w:tcPr>
          <w:p w14:paraId="733C2CF8">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646652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1C386AF3">
            <w:pPr>
              <w:pStyle w:val="15"/>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起重臂臂节二</w:t>
            </w:r>
          </w:p>
        </w:tc>
        <w:tc>
          <w:tcPr>
            <w:tcW w:w="446" w:type="pct"/>
            <w:vAlign w:val="center"/>
          </w:tcPr>
          <w:p w14:paraId="6D4A1119">
            <w:pPr>
              <w:pStyle w:val="15"/>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1.567</w:t>
            </w:r>
          </w:p>
        </w:tc>
        <w:tc>
          <w:tcPr>
            <w:tcW w:w="708" w:type="pct"/>
            <w:vAlign w:val="center"/>
          </w:tcPr>
          <w:p w14:paraId="323C1E65">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47F4574C">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4864FA85">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6C8E2429">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4AF1D7CD">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30.7</w:t>
            </w:r>
          </w:p>
        </w:tc>
        <w:tc>
          <w:tcPr>
            <w:tcW w:w="442" w:type="pct"/>
            <w:vAlign w:val="center"/>
          </w:tcPr>
          <w:p w14:paraId="503CBA52">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2AB3CF51">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24%</w:t>
            </w:r>
          </w:p>
        </w:tc>
        <w:tc>
          <w:tcPr>
            <w:tcW w:w="397" w:type="pct"/>
            <w:vAlign w:val="center"/>
          </w:tcPr>
          <w:p w14:paraId="7EBC5E77">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1349F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04436CF0">
            <w:pPr>
              <w:pStyle w:val="15"/>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臂节三</w:t>
            </w:r>
          </w:p>
        </w:tc>
        <w:tc>
          <w:tcPr>
            <w:tcW w:w="446" w:type="pct"/>
            <w:vAlign w:val="center"/>
          </w:tcPr>
          <w:p w14:paraId="7FA80F3C">
            <w:pPr>
              <w:pStyle w:val="15"/>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1.443</w:t>
            </w:r>
          </w:p>
        </w:tc>
        <w:tc>
          <w:tcPr>
            <w:tcW w:w="708" w:type="pct"/>
            <w:vAlign w:val="center"/>
          </w:tcPr>
          <w:p w14:paraId="49701BF0">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48DE7D9E">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782B14CE">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33.5</w:t>
            </w:r>
          </w:p>
        </w:tc>
        <w:tc>
          <w:tcPr>
            <w:tcW w:w="440" w:type="pct"/>
            <w:vAlign w:val="center"/>
          </w:tcPr>
          <w:p w14:paraId="68BD101E">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10</w:t>
            </w:r>
          </w:p>
        </w:tc>
        <w:tc>
          <w:tcPr>
            <w:tcW w:w="440" w:type="pct"/>
            <w:vAlign w:val="center"/>
          </w:tcPr>
          <w:p w14:paraId="5672E3A5">
            <w:pPr>
              <w:pStyle w:val="15"/>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19216B85">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6.6</w:t>
            </w:r>
          </w:p>
        </w:tc>
        <w:tc>
          <w:tcPr>
            <w:tcW w:w="397" w:type="pct"/>
            <w:vAlign w:val="center"/>
          </w:tcPr>
          <w:p w14:paraId="1FB5D331">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22%</w:t>
            </w:r>
          </w:p>
        </w:tc>
        <w:tc>
          <w:tcPr>
            <w:tcW w:w="397" w:type="pct"/>
            <w:vAlign w:val="center"/>
          </w:tcPr>
          <w:p w14:paraId="273E5F90">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3B5975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7017E84F">
            <w:pPr>
              <w:pStyle w:val="15"/>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臂节四</w:t>
            </w:r>
          </w:p>
        </w:tc>
        <w:tc>
          <w:tcPr>
            <w:tcW w:w="446" w:type="pct"/>
            <w:vAlign w:val="center"/>
          </w:tcPr>
          <w:p w14:paraId="22AB212E">
            <w:pPr>
              <w:pStyle w:val="15"/>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0.533</w:t>
            </w:r>
          </w:p>
        </w:tc>
        <w:tc>
          <w:tcPr>
            <w:tcW w:w="708" w:type="pct"/>
            <w:vAlign w:val="center"/>
          </w:tcPr>
          <w:p w14:paraId="7666B9A7">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4273E67D">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4F0F845C">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33.5</w:t>
            </w:r>
          </w:p>
        </w:tc>
        <w:tc>
          <w:tcPr>
            <w:tcW w:w="440" w:type="pct"/>
            <w:vAlign w:val="center"/>
          </w:tcPr>
          <w:p w14:paraId="28027E4C">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10</w:t>
            </w:r>
          </w:p>
        </w:tc>
        <w:tc>
          <w:tcPr>
            <w:tcW w:w="440" w:type="pct"/>
            <w:vAlign w:val="center"/>
          </w:tcPr>
          <w:p w14:paraId="1ABBECF3">
            <w:pPr>
              <w:pStyle w:val="15"/>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7D82D43D">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6.6</w:t>
            </w:r>
          </w:p>
        </w:tc>
        <w:tc>
          <w:tcPr>
            <w:tcW w:w="397" w:type="pct"/>
            <w:vAlign w:val="center"/>
          </w:tcPr>
          <w:p w14:paraId="0AE02111">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8%</w:t>
            </w:r>
          </w:p>
        </w:tc>
        <w:tc>
          <w:tcPr>
            <w:tcW w:w="397" w:type="pct"/>
            <w:vAlign w:val="center"/>
          </w:tcPr>
          <w:p w14:paraId="6108B5CA">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07FAFC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17D27A52">
            <w:pPr>
              <w:pStyle w:val="15"/>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臂节五</w:t>
            </w:r>
          </w:p>
        </w:tc>
        <w:tc>
          <w:tcPr>
            <w:tcW w:w="446" w:type="pct"/>
            <w:vAlign w:val="center"/>
          </w:tcPr>
          <w:p w14:paraId="1379970B">
            <w:pPr>
              <w:pStyle w:val="15"/>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0.79</w:t>
            </w:r>
          </w:p>
        </w:tc>
        <w:tc>
          <w:tcPr>
            <w:tcW w:w="708" w:type="pct"/>
            <w:vAlign w:val="center"/>
          </w:tcPr>
          <w:p w14:paraId="5C94B4F6">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6461837F">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441BEB31">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33.5</w:t>
            </w:r>
          </w:p>
        </w:tc>
        <w:tc>
          <w:tcPr>
            <w:tcW w:w="440" w:type="pct"/>
            <w:vAlign w:val="center"/>
          </w:tcPr>
          <w:p w14:paraId="0545B215">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10</w:t>
            </w:r>
          </w:p>
        </w:tc>
        <w:tc>
          <w:tcPr>
            <w:tcW w:w="440" w:type="pct"/>
            <w:vAlign w:val="center"/>
          </w:tcPr>
          <w:p w14:paraId="209C33E1">
            <w:pPr>
              <w:pStyle w:val="15"/>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2C3E869B">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6.6</w:t>
            </w:r>
          </w:p>
        </w:tc>
        <w:tc>
          <w:tcPr>
            <w:tcW w:w="397" w:type="pct"/>
            <w:vAlign w:val="center"/>
          </w:tcPr>
          <w:p w14:paraId="2AA8493F">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12%</w:t>
            </w:r>
          </w:p>
        </w:tc>
        <w:tc>
          <w:tcPr>
            <w:tcW w:w="397" w:type="pct"/>
            <w:vAlign w:val="center"/>
          </w:tcPr>
          <w:p w14:paraId="0B19E78D">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0FD42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5A2C8DBF">
            <w:pPr>
              <w:pStyle w:val="15"/>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臂节六</w:t>
            </w:r>
          </w:p>
        </w:tc>
        <w:tc>
          <w:tcPr>
            <w:tcW w:w="446" w:type="pct"/>
            <w:vAlign w:val="center"/>
          </w:tcPr>
          <w:p w14:paraId="7DD0EF4F">
            <w:pPr>
              <w:pStyle w:val="15"/>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0.703</w:t>
            </w:r>
          </w:p>
        </w:tc>
        <w:tc>
          <w:tcPr>
            <w:tcW w:w="708" w:type="pct"/>
            <w:vAlign w:val="center"/>
          </w:tcPr>
          <w:p w14:paraId="725659B3">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79D9717C">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75089852">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33.5</w:t>
            </w:r>
          </w:p>
        </w:tc>
        <w:tc>
          <w:tcPr>
            <w:tcW w:w="440" w:type="pct"/>
            <w:vAlign w:val="center"/>
          </w:tcPr>
          <w:p w14:paraId="5B883B6D">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10</w:t>
            </w:r>
          </w:p>
        </w:tc>
        <w:tc>
          <w:tcPr>
            <w:tcW w:w="440" w:type="pct"/>
            <w:vAlign w:val="center"/>
          </w:tcPr>
          <w:p w14:paraId="4B12F10C">
            <w:pPr>
              <w:pStyle w:val="15"/>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74CCA55B">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6.6</w:t>
            </w:r>
          </w:p>
        </w:tc>
        <w:tc>
          <w:tcPr>
            <w:tcW w:w="397" w:type="pct"/>
            <w:vAlign w:val="center"/>
          </w:tcPr>
          <w:p w14:paraId="08E79956">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11%</w:t>
            </w:r>
          </w:p>
        </w:tc>
        <w:tc>
          <w:tcPr>
            <w:tcW w:w="397" w:type="pct"/>
            <w:vAlign w:val="center"/>
          </w:tcPr>
          <w:p w14:paraId="2D2A47A2">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7BB555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75C2A9AB">
            <w:pPr>
              <w:pStyle w:val="15"/>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臂节七</w:t>
            </w:r>
          </w:p>
        </w:tc>
        <w:tc>
          <w:tcPr>
            <w:tcW w:w="446" w:type="pct"/>
            <w:vAlign w:val="center"/>
          </w:tcPr>
          <w:p w14:paraId="716D5051">
            <w:pPr>
              <w:pStyle w:val="15"/>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0.231</w:t>
            </w:r>
          </w:p>
        </w:tc>
        <w:tc>
          <w:tcPr>
            <w:tcW w:w="708" w:type="pct"/>
            <w:vAlign w:val="center"/>
          </w:tcPr>
          <w:p w14:paraId="0EDB5D63">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5AABDD24">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57ED0CD1">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33.5</w:t>
            </w:r>
          </w:p>
        </w:tc>
        <w:tc>
          <w:tcPr>
            <w:tcW w:w="440" w:type="pct"/>
            <w:vAlign w:val="center"/>
          </w:tcPr>
          <w:p w14:paraId="63B14FB3">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10</w:t>
            </w:r>
          </w:p>
        </w:tc>
        <w:tc>
          <w:tcPr>
            <w:tcW w:w="440" w:type="pct"/>
            <w:vAlign w:val="center"/>
          </w:tcPr>
          <w:p w14:paraId="21AD28D2">
            <w:pPr>
              <w:pStyle w:val="15"/>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6ABE2EC0">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6.6</w:t>
            </w:r>
          </w:p>
        </w:tc>
        <w:tc>
          <w:tcPr>
            <w:tcW w:w="397" w:type="pct"/>
            <w:vAlign w:val="center"/>
          </w:tcPr>
          <w:p w14:paraId="26EAF64B">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4%</w:t>
            </w:r>
          </w:p>
        </w:tc>
        <w:tc>
          <w:tcPr>
            <w:tcW w:w="397" w:type="pct"/>
            <w:vAlign w:val="center"/>
          </w:tcPr>
          <w:p w14:paraId="35738F0D">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3ED16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6DBC5767">
            <w:pPr>
              <w:pStyle w:val="15"/>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臂节八</w:t>
            </w:r>
          </w:p>
        </w:tc>
        <w:tc>
          <w:tcPr>
            <w:tcW w:w="446" w:type="pct"/>
            <w:vAlign w:val="center"/>
          </w:tcPr>
          <w:p w14:paraId="35CC1757">
            <w:pPr>
              <w:pStyle w:val="15"/>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0.351</w:t>
            </w:r>
          </w:p>
        </w:tc>
        <w:tc>
          <w:tcPr>
            <w:tcW w:w="708" w:type="pct"/>
            <w:vAlign w:val="center"/>
          </w:tcPr>
          <w:p w14:paraId="70E1468B">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162615A6">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5FD14977">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33.5</w:t>
            </w:r>
          </w:p>
        </w:tc>
        <w:tc>
          <w:tcPr>
            <w:tcW w:w="440" w:type="pct"/>
            <w:vAlign w:val="center"/>
          </w:tcPr>
          <w:p w14:paraId="0AADF41D">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10</w:t>
            </w:r>
          </w:p>
        </w:tc>
        <w:tc>
          <w:tcPr>
            <w:tcW w:w="440" w:type="pct"/>
            <w:vAlign w:val="center"/>
          </w:tcPr>
          <w:p w14:paraId="7009D624">
            <w:pPr>
              <w:pStyle w:val="15"/>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7852FEDD">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6.6</w:t>
            </w:r>
          </w:p>
        </w:tc>
        <w:tc>
          <w:tcPr>
            <w:tcW w:w="397" w:type="pct"/>
            <w:vAlign w:val="center"/>
          </w:tcPr>
          <w:p w14:paraId="1F2FD6E4">
            <w:pPr>
              <w:pStyle w:val="15"/>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5%</w:t>
            </w:r>
          </w:p>
        </w:tc>
        <w:tc>
          <w:tcPr>
            <w:tcW w:w="397" w:type="pct"/>
            <w:vAlign w:val="center"/>
          </w:tcPr>
          <w:p w14:paraId="5C74346F">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302ED2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54D97464">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剩余平衡重</w:t>
            </w:r>
          </w:p>
        </w:tc>
        <w:tc>
          <w:tcPr>
            <w:tcW w:w="446" w:type="pct"/>
            <w:vAlign w:val="center"/>
          </w:tcPr>
          <w:p w14:paraId="30F816A2">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3.2</w:t>
            </w:r>
          </w:p>
        </w:tc>
        <w:tc>
          <w:tcPr>
            <w:tcW w:w="708" w:type="pct"/>
            <w:vAlign w:val="center"/>
          </w:tcPr>
          <w:p w14:paraId="27986A4F">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33CA9F57">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6A3CA592">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3D67DE06">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79C86650">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30.7</w:t>
            </w:r>
          </w:p>
        </w:tc>
        <w:tc>
          <w:tcPr>
            <w:tcW w:w="442" w:type="pct"/>
            <w:vAlign w:val="center"/>
          </w:tcPr>
          <w:p w14:paraId="2AC5FD4E">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13B57F6B">
            <w:pPr>
              <w:pStyle w:val="15"/>
              <w:jc w:val="center"/>
              <w:rPr>
                <w:rFonts w:hint="default" w:ascii="Times New Roman" w:hAnsi="Times New Roman" w:cs="Times New Roman"/>
                <w:b w:val="0"/>
                <w:bCs/>
              </w:rPr>
            </w:pPr>
            <w:r>
              <w:rPr>
                <w:rFonts w:hint="default" w:ascii="Times New Roman" w:hAnsi="Times New Roman" w:cs="Times New Roman"/>
                <w:b w:val="0"/>
                <w:bCs/>
                <w:lang w:val="en-US" w:eastAsia="zh-CN"/>
              </w:rPr>
              <w:t>48%</w:t>
            </w:r>
          </w:p>
        </w:tc>
        <w:tc>
          <w:tcPr>
            <w:tcW w:w="397" w:type="pct"/>
            <w:vAlign w:val="center"/>
          </w:tcPr>
          <w:p w14:paraId="3FC26028">
            <w:pPr>
              <w:pStyle w:val="15"/>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bl>
    <w:p w14:paraId="19AB2495">
      <w:pPr>
        <w:pStyle w:val="6"/>
        <w:bidi w:val="0"/>
        <w:rPr>
          <w:rFonts w:hint="default"/>
        </w:rPr>
      </w:pPr>
      <w:r>
        <w:rPr>
          <w:rFonts w:hint="eastAsia"/>
          <w:highlight w:val="none"/>
          <w:lang w:val="en-US" w:eastAsia="zh-CN"/>
        </w:rPr>
        <w:t xml:space="preserve"> 桩基础</w:t>
      </w:r>
      <w:r>
        <w:rPr>
          <w:rFonts w:hint="default"/>
          <w:highlight w:val="none"/>
        </w:rPr>
        <w:t>计算</w:t>
      </w:r>
    </w:p>
    <w:p w14:paraId="434B9C33">
      <w:pPr>
        <w:ind w:firstLine="480"/>
        <w:rPr>
          <w:rFonts w:hint="default" w:ascii="Times New Roman" w:hAnsi="Times New Roman" w:eastAsia="宋体" w:cs="Times New Roman"/>
        </w:rPr>
      </w:pPr>
      <w:r>
        <w:rPr>
          <w:rFonts w:hint="eastAsia" w:ascii="Times New Roman" w:hAnsi="Times New Roman" w:eastAsia="宋体" w:cs="Times New Roman"/>
          <w:lang w:val="en-US" w:eastAsia="zh-CN"/>
        </w:rPr>
        <w:t>现场采用桩基础与混凝土承台形式，</w:t>
      </w:r>
      <w:r>
        <w:rPr>
          <w:rFonts w:hint="eastAsia" w:ascii="Times New Roman" w:hAnsi="Times New Roman" w:eastAsia="宋体" w:cs="Times New Roman"/>
        </w:rPr>
        <w:t>相</w:t>
      </w:r>
      <w:r>
        <w:rPr>
          <w:rFonts w:hint="eastAsia" w:ascii="Times New Roman" w:hAnsi="Times New Roman" w:eastAsia="宋体" w:cs="Times New Roman"/>
          <w:lang w:val="en-US" w:eastAsia="zh-CN"/>
        </w:rPr>
        <w:t>关</w:t>
      </w:r>
      <w:r>
        <w:rPr>
          <w:rFonts w:hint="eastAsia" w:ascii="Times New Roman" w:hAnsi="Times New Roman" w:eastAsia="宋体" w:cs="Times New Roman"/>
        </w:rPr>
        <w:t>计算详见</w:t>
      </w:r>
      <w:r>
        <w:rPr>
          <w:rFonts w:hint="eastAsia" w:ascii="Times New Roman" w:hAnsi="Times New Roman" w:eastAsia="宋体" w:cs="Times New Roman"/>
          <w:lang w:val="en-US" w:eastAsia="zh-CN"/>
        </w:rPr>
        <w:t>附件7：塔式起重机基础计算书</w:t>
      </w:r>
      <w:r>
        <w:rPr>
          <w:rFonts w:hint="eastAsia" w:ascii="Times New Roman" w:hAnsi="Times New Roman" w:eastAsia="宋体" w:cs="Times New Roman"/>
        </w:rPr>
        <w:t>。</w:t>
      </w:r>
    </w:p>
    <w:p w14:paraId="1D59292C">
      <w:pPr>
        <w:pStyle w:val="6"/>
        <w:bidi w:val="0"/>
        <w:rPr>
          <w:rFonts w:hint="default"/>
          <w:highlight w:val="none"/>
        </w:rPr>
      </w:pPr>
      <w:r>
        <w:rPr>
          <w:rFonts w:hint="default"/>
          <w:highlight w:val="none"/>
        </w:rPr>
        <w:t>钢丝绳吊索选型及计算</w:t>
      </w:r>
    </w:p>
    <w:p w14:paraId="4C61C0F5">
      <w:pPr>
        <w:rPr>
          <w:color w:val="auto"/>
        </w:rPr>
      </w:pPr>
      <w:bookmarkStart w:id="61" w:name="_Toc16842"/>
      <w:r>
        <w:rPr>
          <w:rFonts w:hint="eastAsia"/>
          <w:color w:val="auto"/>
          <w:lang w:val="en-US" w:eastAsia="zh-CN"/>
        </w:rPr>
        <w:t>1、</w:t>
      </w:r>
      <w:r>
        <w:rPr>
          <w:color w:val="auto"/>
        </w:rPr>
        <w:t>钢丝绳选型依据</w:t>
      </w:r>
      <w:bookmarkEnd w:id="61"/>
    </w:p>
    <w:p w14:paraId="5ACC72E5">
      <w:pPr>
        <w:ind w:firstLine="480"/>
        <w:rPr>
          <w:rFonts w:ascii="Times New Roman" w:hAnsi="Times New Roman" w:eastAsia="宋体" w:cs="Times New Roman"/>
        </w:rPr>
      </w:pPr>
      <w:r>
        <w:rPr>
          <w:rFonts w:hint="eastAsia" w:ascii="Times New Roman" w:hAnsi="Times New Roman" w:eastAsia="宋体" w:cs="Times New Roman"/>
        </w:rPr>
        <w:t>根据起吊重量选择相对应的钢丝绳和卸扣。</w:t>
      </w:r>
    </w:p>
    <w:p w14:paraId="318F9DE1">
      <w:pPr>
        <w:ind w:firstLine="480"/>
        <w:rPr>
          <w:rFonts w:ascii="Times New Roman" w:hAnsi="Times New Roman" w:eastAsia="宋体" w:cs="Times New Roman"/>
        </w:rPr>
      </w:pPr>
      <w:r>
        <w:rPr>
          <w:rFonts w:hint="eastAsia" w:ascii="Times New Roman" w:hAnsi="Times New Roman" w:eastAsia="宋体" w:cs="Times New Roman"/>
        </w:rPr>
        <w:t>有对称分布的与垂直方向具有相同角度的单肢吊索组成的多肢吊索的工作荷载按《一般用途钢丝绳吊索特性和技术条件》公式计算：</w:t>
      </w:r>
    </w:p>
    <w:p w14:paraId="51563F0E">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WLL=</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d>
            <m:dPr>
              <m:ctrlPr>
                <w:rPr>
                  <w:rFonts w:ascii="Cambria Math" w:hAnsi="Cambria Math"/>
                </w:rPr>
              </m:ctrlPr>
            </m:dPr>
            <m:e>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e>
          </m:d>
        </m:oMath>
      </m:oMathPara>
    </w:p>
    <w:p w14:paraId="748010BC">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p w14:paraId="48397719">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p>
    <w:p w14:paraId="0C7EE581">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p>
    <w:tbl>
      <w:tblPr>
        <w:tblStyle w:val="1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
        <w:gridCol w:w="831"/>
        <w:gridCol w:w="7288"/>
      </w:tblGrid>
      <w:tr w14:paraId="5790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63FB288">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07157F0F">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WLL</w:t>
            </w:r>
          </w:p>
        </w:tc>
        <w:tc>
          <w:tcPr>
            <w:tcW w:w="8048" w:type="dxa"/>
          </w:tcPr>
          <w:p w14:paraId="13753F2F">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——吊索额定工作荷载，单位为t；</w:t>
            </w:r>
          </w:p>
        </w:tc>
      </w:tr>
      <w:tr w14:paraId="7B2A1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761E1591">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5E98B19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48" w:type="dxa"/>
          </w:tcPr>
          <w:p w14:paraId="742C1553">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75CA5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9EE0D5E">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63A19370">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e</w:t>
            </w:r>
          </w:p>
        </w:tc>
        <w:tc>
          <w:tcPr>
            <w:tcW w:w="8048" w:type="dxa"/>
          </w:tcPr>
          <w:p w14:paraId="41C91C35">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——接头形式效能近似系数，压制接头取0.9，插编接头取0.75；</w:t>
            </w:r>
          </w:p>
        </w:tc>
      </w:tr>
      <w:tr w14:paraId="3D1F7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51ADCE47">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3C2DC77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p>
        </w:tc>
        <w:tc>
          <w:tcPr>
            <w:tcW w:w="8048" w:type="dxa"/>
          </w:tcPr>
          <w:p w14:paraId="1302ECE0">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——肢的数量与垂直方向角度的相关系数，两肢吊索取1.4，3～4肢吊索取2.1；</w:t>
            </w:r>
          </w:p>
        </w:tc>
      </w:tr>
      <w:tr w14:paraId="0429A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925F21B">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6A1A8FB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u</w:t>
            </w:r>
          </w:p>
        </w:tc>
        <w:tc>
          <w:tcPr>
            <w:tcW w:w="8048" w:type="dxa"/>
          </w:tcPr>
          <w:p w14:paraId="0C9C965D">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——安全系数，一般取6；</w:t>
            </w:r>
          </w:p>
        </w:tc>
      </w:tr>
      <w:tr w14:paraId="0E38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5537E51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5780338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m</w:t>
            </w:r>
          </w:p>
        </w:tc>
        <w:tc>
          <w:tcPr>
            <w:tcW w:w="8048" w:type="dxa"/>
          </w:tcPr>
          <w:p w14:paraId="3F95DC23">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——质量与力的转换系数，取值为9.80665。</w:t>
            </w:r>
          </w:p>
        </w:tc>
      </w:tr>
    </w:tbl>
    <w:p w14:paraId="4F5C570E">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钢丝绳最小破断拉力按《重要用途钢丝绳》公式计算：</w:t>
      </w:r>
    </w:p>
    <w:p w14:paraId="5C2CC6CE">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p>
            <m:sSupPr>
              <m:ctrlPr>
                <w:rPr>
                  <w:rFonts w:ascii="Cambria Math" w:hAnsi="Cambria Math"/>
                </w:rPr>
              </m:ctrlPr>
            </m:sSupPr>
            <m:e>
              <m:r>
                <m:rPr>
                  <m:nor/>
                  <m:sty m:val="p"/>
                </m:rPr>
                <w:rPr>
                  <w:b w:val="0"/>
                  <w:i w:val="0"/>
                </w:rPr>
                <m:t>D</m:t>
              </m:r>
              <m:ctrlPr>
                <w:rPr>
                  <w:rFonts w:ascii="Cambria Math" w:hAnsi="Cambria Math"/>
                </w:rPr>
              </m:ctrlPr>
            </m:e>
            <m:sup>
              <m:r>
                <m:rPr>
                  <m:nor/>
                  <m:sty m:val="p"/>
                </m:rPr>
                <w:rPr>
                  <w:b w:val="0"/>
                  <w:i w:val="0"/>
                </w:rPr>
                <m:t>2</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÷1000</m:t>
          </m:r>
        </m:oMath>
      </m:oMathPara>
    </w:p>
    <w:p w14:paraId="1BA33EC8">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1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
        <w:gridCol w:w="818"/>
        <w:gridCol w:w="7328"/>
      </w:tblGrid>
      <w:tr w14:paraId="2106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942677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1469BA3B">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63" w:type="dxa"/>
          </w:tcPr>
          <w:p w14:paraId="2B94C669">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73819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55161245">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336B1DD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D</w:t>
            </w:r>
          </w:p>
        </w:tc>
        <w:tc>
          <w:tcPr>
            <w:tcW w:w="8063" w:type="dxa"/>
          </w:tcPr>
          <w:p w14:paraId="693E52DB">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——钢丝绳公称直径，单位为mm；</w:t>
            </w:r>
          </w:p>
        </w:tc>
      </w:tr>
      <w:tr w14:paraId="32A54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3A49474E">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7701C50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R</w:t>
            </w:r>
            <w:r>
              <w:rPr>
                <w:rFonts w:ascii="Times New Roman" w:hAnsi="Times New Roman" w:eastAsia="宋体" w:cs="Times New Roman"/>
                <w:i/>
                <w:kern w:val="0"/>
                <w:sz w:val="24"/>
                <w:szCs w:val="20"/>
                <w:vertAlign w:val="subscript"/>
                <w:lang w:val="en-US" w:eastAsia="zh-CN" w:bidi="ar-SA"/>
              </w:rPr>
              <w:t>0</w:t>
            </w:r>
          </w:p>
        </w:tc>
        <w:tc>
          <w:tcPr>
            <w:tcW w:w="8063" w:type="dxa"/>
          </w:tcPr>
          <w:p w14:paraId="3045A736">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——钢丝绳公称抗拉强度，取1</w:t>
            </w:r>
            <w:r>
              <w:rPr>
                <w:rFonts w:hint="eastAsia" w:cs="Times New Roman"/>
                <w:kern w:val="0"/>
                <w:sz w:val="24"/>
                <w:szCs w:val="20"/>
                <w:lang w:val="en-US" w:eastAsia="zh-CN" w:bidi="ar-SA"/>
              </w:rPr>
              <w:t>87</w:t>
            </w:r>
            <w:r>
              <w:rPr>
                <w:rFonts w:hint="eastAsia" w:ascii="Times New Roman" w:hAnsi="Times New Roman" w:eastAsia="宋体" w:cs="Times New Roman"/>
                <w:kern w:val="0"/>
                <w:sz w:val="24"/>
                <w:szCs w:val="20"/>
                <w:lang w:val="en-US" w:eastAsia="zh-CN" w:bidi="ar-SA"/>
              </w:rPr>
              <w:t>0MPa；</w:t>
            </w:r>
          </w:p>
        </w:tc>
      </w:tr>
      <w:tr w14:paraId="5520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130DC295">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414901F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lang w:val="en-US" w:eastAsia="zh-CN" w:bidi="ar-SA"/>
              </w:rPr>
              <w:t>’</w:t>
            </w:r>
          </w:p>
        </w:tc>
        <w:tc>
          <w:tcPr>
            <w:tcW w:w="8063" w:type="dxa"/>
          </w:tcPr>
          <w:p w14:paraId="577B08BF">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——钢丝绳的最小破断拉力系数，6×</w:t>
            </w:r>
            <w:r>
              <w:rPr>
                <w:rFonts w:hint="eastAsia" w:cs="Times New Roman"/>
                <w:kern w:val="0"/>
                <w:sz w:val="24"/>
                <w:szCs w:val="20"/>
                <w:lang w:val="en-US" w:eastAsia="zh-CN" w:bidi="ar-SA"/>
              </w:rPr>
              <w:t>19W</w:t>
            </w:r>
            <w:r>
              <w:rPr>
                <w:rFonts w:hint="eastAsia" w:ascii="Times New Roman" w:hAnsi="Times New Roman" w:eastAsia="宋体" w:cs="Times New Roman"/>
                <w:kern w:val="0"/>
                <w:sz w:val="24"/>
                <w:szCs w:val="20"/>
                <w:lang w:val="en-US" w:eastAsia="zh-CN" w:bidi="ar-SA"/>
              </w:rPr>
              <w:t>+IWR钢丝绳取0.3</w:t>
            </w:r>
            <w:r>
              <w:rPr>
                <w:rFonts w:hint="eastAsia" w:cs="Times New Roman"/>
                <w:kern w:val="0"/>
                <w:sz w:val="24"/>
                <w:szCs w:val="20"/>
                <w:lang w:val="en-US" w:eastAsia="zh-CN" w:bidi="ar-SA"/>
              </w:rPr>
              <w:t>3</w:t>
            </w:r>
            <w:r>
              <w:rPr>
                <w:rFonts w:hint="eastAsia" w:ascii="Times New Roman" w:hAnsi="Times New Roman" w:eastAsia="宋体" w:cs="Times New Roman"/>
                <w:kern w:val="0"/>
                <w:sz w:val="24"/>
                <w:szCs w:val="20"/>
                <w:lang w:val="en-US" w:eastAsia="zh-CN" w:bidi="ar-SA"/>
              </w:rPr>
              <w:t>。</w:t>
            </w:r>
          </w:p>
        </w:tc>
      </w:tr>
    </w:tbl>
    <w:p w14:paraId="0D54D5A7">
      <w:pPr>
        <w:ind w:firstLine="480"/>
        <w:rPr>
          <w:rFonts w:ascii="Times New Roman" w:hAnsi="Times New Roman" w:eastAsia="宋体" w:cs="Times New Roman"/>
        </w:rPr>
      </w:pPr>
      <w:r>
        <w:rPr>
          <w:rFonts w:hint="eastAsia" w:ascii="Times New Roman" w:hAnsi="Times New Roman" w:eastAsia="宋体" w:cs="Times New Roman"/>
        </w:rPr>
        <w:t>采用四点吊的塔吊主要部件</w:t>
      </w:r>
      <w:r>
        <w:rPr>
          <w:rFonts w:hint="eastAsia" w:cs="Times New Roman"/>
          <w:lang w:val="en-US" w:eastAsia="zh-CN"/>
        </w:rPr>
        <w:t>中</w:t>
      </w:r>
      <w:r>
        <w:rPr>
          <w:rFonts w:hint="eastAsia" w:ascii="Times New Roman" w:hAnsi="Times New Roman" w:eastAsia="宋体" w:cs="Times New Roman"/>
        </w:rPr>
        <w:t>最大重量为</w:t>
      </w:r>
      <w:r>
        <w:rPr>
          <w:rFonts w:hint="eastAsia" w:ascii="Times New Roman" w:hAnsi="Times New Roman" w:eastAsia="宋体" w:cs="Times New Roman"/>
          <w:lang w:val="en-US" w:eastAsia="zh-CN"/>
        </w:rPr>
        <w:t>平衡臂</w:t>
      </w:r>
      <w:r>
        <w:rPr>
          <w:rFonts w:hint="eastAsia" w:ascii="Times New Roman" w:hAnsi="Times New Roman" w:eastAsia="宋体" w:cs="Times New Roman"/>
        </w:rPr>
        <w:t>，</w:t>
      </w:r>
      <w:r>
        <w:rPr>
          <w:rFonts w:hint="eastAsia" w:ascii="Times New Roman" w:hAnsi="Times New Roman" w:eastAsia="宋体" w:cs="Times New Roman"/>
          <w:highlight w:val="none"/>
          <w:lang w:val="en-US" w:eastAsia="zh-CN"/>
        </w:rPr>
        <w:t>平衡臂</w:t>
      </w:r>
      <w:r>
        <w:rPr>
          <w:rFonts w:hint="eastAsia" w:ascii="Times New Roman" w:hAnsi="Times New Roman" w:eastAsia="宋体" w:cs="Times New Roman"/>
        </w:rPr>
        <w:t>起重量约</w:t>
      </w:r>
      <w:r>
        <w:rPr>
          <w:rFonts w:hint="eastAsia" w:cs="Times New Roman"/>
          <w:lang w:val="en-US" w:eastAsia="zh-CN"/>
        </w:rPr>
        <w:t>5.027</w:t>
      </w:r>
      <w:r>
        <w:rPr>
          <w:rFonts w:hint="eastAsia" w:ascii="Times New Roman" w:hAnsi="Times New Roman" w:eastAsia="宋体" w:cs="Times New Roman"/>
        </w:rPr>
        <w:t>t，钢丝绳与</w:t>
      </w:r>
      <w:r>
        <w:rPr>
          <w:rFonts w:hint="eastAsia" w:ascii="Times New Roman" w:hAnsi="Times New Roman" w:eastAsia="宋体" w:cs="Times New Roman"/>
          <w:lang w:val="en-US" w:eastAsia="zh-CN"/>
        </w:rPr>
        <w:t>平衡臂</w:t>
      </w:r>
      <w:r>
        <w:rPr>
          <w:rFonts w:hint="eastAsia" w:ascii="Times New Roman" w:hAnsi="Times New Roman" w:eastAsia="宋体" w:cs="Times New Roman"/>
        </w:rPr>
        <w:t>60°夹角，以</w:t>
      </w:r>
      <w:r>
        <w:rPr>
          <w:rFonts w:hint="eastAsia" w:ascii="Times New Roman" w:hAnsi="Times New Roman" w:eastAsia="宋体" w:cs="Times New Roman"/>
          <w:lang w:val="en-US" w:eastAsia="zh-CN"/>
        </w:rPr>
        <w:t>平衡臂</w:t>
      </w:r>
      <w:r>
        <w:rPr>
          <w:rFonts w:hint="eastAsia" w:ascii="Times New Roman" w:hAnsi="Times New Roman" w:eastAsia="宋体" w:cs="Times New Roman"/>
        </w:rPr>
        <w:t>顶部四个销轴孔作为吊装孔，钢丝绳采用压制接头。</w:t>
      </w:r>
    </w:p>
    <w:p w14:paraId="46A8C409">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26A2299D">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5.027</m:t>
              </m:r>
              <m:r>
                <m:rPr>
                  <m:nor/>
                  <m:sty m:val="p"/>
                </m:rPr>
                <w:rPr>
                  <w:b w:val="0"/>
                  <w:i w:val="0"/>
                </w:rPr>
                <m:t>×9.80665×6</m:t>
              </m:r>
              <m:ctrlPr>
                <w:rPr>
                  <w:rFonts w:ascii="Cambria Math" w:hAnsi="Cambria Math"/>
                </w:rPr>
              </m:ctrlPr>
            </m:num>
            <m:den>
              <m:r>
                <m:rPr>
                  <m:nor/>
                  <m:sty m:val="p"/>
                </m:rPr>
                <w:rPr>
                  <w:b w:val="0"/>
                  <w:i w:val="0"/>
                </w:rPr>
                <m:t>0.9×2.1</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156.51</m:t>
          </m:r>
          <m:r>
            <m:rPr>
              <m:nor/>
              <m:sty m:val="p"/>
            </m:rPr>
            <w:rPr>
              <w:b w:val="0"/>
              <w:i w:val="0"/>
            </w:rPr>
            <m:t>kN</m:t>
          </m:r>
        </m:oMath>
      </m:oMathPara>
    </w:p>
    <w:p w14:paraId="263229E1">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09C65968">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156.51</m:t>
                  </m:r>
                  <m:ctrlPr>
                    <w:rPr>
                      <w:rFonts w:ascii="Cambria Math" w:hAnsi="Cambria Math"/>
                    </w:rPr>
                  </m:ctrlPr>
                </m:num>
                <m:den>
                  <m:r>
                    <m:rPr>
                      <m:nor/>
                      <m:sty m:val="p"/>
                    </m:rPr>
                    <w:rPr>
                      <w:b w:val="0"/>
                      <w:i w:val="0"/>
                    </w:rPr>
                    <m:t>0.33×1</m:t>
                  </m:r>
                  <m:r>
                    <m:rPr>
                      <m:nor/>
                      <m:sty m:val="p"/>
                    </m:rPr>
                    <w:rPr>
                      <w:rFonts w:hint="default" w:ascii="Cambria Math" w:hAnsi="Cambria Math"/>
                      <w:b w:val="0"/>
                      <w:i w:val="0"/>
                      <w:lang w:val="en-US" w:eastAsia="zh-CN"/>
                    </w:rPr>
                    <m:t>87</m:t>
                  </m:r>
                  <m:r>
                    <m:rPr>
                      <m:nor/>
                      <m:sty m:val="p"/>
                    </m:rPr>
                    <w:rPr>
                      <w:b w:val="0"/>
                      <w:i w:val="0"/>
                    </w:rPr>
                    <m:t>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15.93</m:t>
          </m:r>
          <m:r>
            <m:rPr>
              <m:nor/>
              <m:sty m:val="p"/>
            </m:rPr>
            <w:rPr>
              <w:b w:val="0"/>
              <w:i w:val="0"/>
            </w:rPr>
            <m:t>mm</m:t>
          </m:r>
        </m:oMath>
      </m:oMathPara>
    </w:p>
    <w:p w14:paraId="25A0998B">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cs="Times New Roman"/>
          <w:lang w:val="en-US" w:eastAsia="zh-CN"/>
        </w:rPr>
        <w:t>φ18</w:t>
      </w:r>
      <w:r>
        <w:rPr>
          <w:rFonts w:hint="eastAsia" w:ascii="Times New Roman" w:hAnsi="Times New Roman" w:eastAsia="宋体" w:cs="Times New Roman"/>
        </w:rPr>
        <w:t>mm钢丝绳可满足要求。</w:t>
      </w:r>
    </w:p>
    <w:p w14:paraId="72AA9BFD">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cs="Times New Roman"/>
          <w:lang w:val="en-US" w:eastAsia="zh-CN"/>
        </w:rPr>
        <w:t>两</w:t>
      </w:r>
      <w:r>
        <w:rPr>
          <w:rFonts w:hint="eastAsia" w:ascii="Times New Roman" w:hAnsi="Times New Roman" w:eastAsia="宋体" w:cs="Times New Roman"/>
        </w:rPr>
        <w:t>点吊的塔吊主要部件</w:t>
      </w:r>
      <w:r>
        <w:rPr>
          <w:rFonts w:hint="eastAsia" w:cs="Times New Roman"/>
          <w:lang w:val="en-US" w:eastAsia="zh-CN"/>
        </w:rPr>
        <w:t>中</w:t>
      </w:r>
      <w:r>
        <w:rPr>
          <w:rFonts w:hint="eastAsia" w:ascii="Times New Roman" w:hAnsi="Times New Roman" w:eastAsia="宋体" w:cs="Times New Roman"/>
        </w:rPr>
        <w:t>最大重量为</w:t>
      </w:r>
      <w:r>
        <w:rPr>
          <w:rFonts w:hint="eastAsia" w:ascii="Times New Roman" w:hAnsi="Times New Roman" w:eastAsia="宋体" w:cs="Times New Roman"/>
          <w:lang w:val="en-US" w:eastAsia="zh-CN"/>
        </w:rPr>
        <w:t>平衡重</w:t>
      </w:r>
      <w:r>
        <w:rPr>
          <w:rFonts w:hint="eastAsia" w:cs="Times New Roman"/>
          <w:lang w:eastAsia="zh-CN"/>
        </w:rPr>
        <w:t>，</w:t>
      </w:r>
      <w:r>
        <w:rPr>
          <w:rFonts w:hint="eastAsia" w:ascii="Times New Roman" w:hAnsi="Times New Roman" w:eastAsia="宋体" w:cs="Times New Roman"/>
          <w:highlight w:val="none"/>
          <w:lang w:val="en-US" w:eastAsia="zh-CN"/>
        </w:rPr>
        <w:t>平衡重</w:t>
      </w:r>
      <w:r>
        <w:rPr>
          <w:rFonts w:hint="eastAsia" w:ascii="Times New Roman" w:hAnsi="Times New Roman" w:eastAsia="宋体" w:cs="Times New Roman"/>
        </w:rPr>
        <w:t>最大重量约</w:t>
      </w:r>
      <w:r>
        <w:rPr>
          <w:rFonts w:hint="eastAsia" w:cs="Times New Roman"/>
          <w:lang w:val="en-US" w:eastAsia="zh-CN"/>
        </w:rPr>
        <w:t>3.2</w:t>
      </w:r>
      <w:r>
        <w:rPr>
          <w:rFonts w:hint="eastAsia" w:ascii="Times New Roman" w:hAnsi="Times New Roman" w:eastAsia="宋体" w:cs="Times New Roman"/>
        </w:rPr>
        <w:t>t，钢丝绳与</w:t>
      </w:r>
      <w:r>
        <w:rPr>
          <w:rFonts w:hint="eastAsia" w:ascii="Times New Roman" w:hAnsi="Times New Roman" w:eastAsia="宋体" w:cs="Times New Roman"/>
          <w:lang w:val="en-US" w:eastAsia="zh-CN"/>
        </w:rPr>
        <w:t>平衡重</w:t>
      </w:r>
      <w:r>
        <w:rPr>
          <w:rFonts w:hint="eastAsia" w:ascii="Times New Roman" w:hAnsi="Times New Roman" w:eastAsia="宋体" w:cs="Times New Roman"/>
        </w:rPr>
        <w:t>成60°夹角，</w:t>
      </w:r>
      <w:r>
        <w:rPr>
          <w:rFonts w:hint="eastAsia" w:ascii="Times New Roman" w:hAnsi="Times New Roman" w:eastAsia="宋体" w:cs="Times New Roman"/>
          <w:lang w:val="en-US" w:eastAsia="zh-CN"/>
        </w:rPr>
        <w:t>平衡重</w:t>
      </w:r>
      <w:r>
        <w:rPr>
          <w:rFonts w:hint="eastAsia" w:ascii="Times New Roman" w:hAnsi="Times New Roman" w:eastAsia="宋体" w:cs="Times New Roman"/>
        </w:rPr>
        <w:t>吊装采用两点吊，在起重臂腹杆上设置2个吊点，钢丝绳采用压制接头。</w:t>
      </w:r>
    </w:p>
    <w:p w14:paraId="27BFFF97">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043DDD32">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3.2</m:t>
              </m:r>
              <m:r>
                <m:rPr>
                  <m:nor/>
                  <m:sty m:val="p"/>
                </m:rPr>
                <w:rPr>
                  <w:b w:val="0"/>
                  <w:i w:val="0"/>
                </w:rPr>
                <m:t>×9.80665×6</m:t>
              </m:r>
              <m:ctrlPr>
                <w:rPr>
                  <w:rFonts w:ascii="Cambria Math" w:hAnsi="Cambria Math"/>
                </w:rPr>
              </m:ctrlPr>
            </m:num>
            <m:den>
              <m:r>
                <m:rPr>
                  <m:nor/>
                  <m:sty m:val="p"/>
                </m:rPr>
                <w:rPr>
                  <w:b w:val="0"/>
                  <w:i w:val="0"/>
                </w:rPr>
                <m:t>0.9×1.4</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149.44</m:t>
          </m:r>
          <m:r>
            <m:rPr>
              <m:nor/>
              <m:sty m:val="p"/>
            </m:rPr>
            <w:rPr>
              <w:b w:val="0"/>
              <w:i w:val="0"/>
            </w:rPr>
            <m:t>kN</m:t>
          </m:r>
        </m:oMath>
      </m:oMathPara>
    </w:p>
    <w:p w14:paraId="6D1E480E">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1B4E5D37">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149.44</m:t>
                  </m:r>
                  <m:ctrlPr>
                    <w:rPr>
                      <w:rFonts w:ascii="Cambria Math" w:hAnsi="Cambria Math"/>
                    </w:rPr>
                  </m:ctrlPr>
                </m:num>
                <m:den>
                  <m:r>
                    <m:rPr>
                      <m:nor/>
                      <m:sty m:val="p"/>
                    </m:rPr>
                    <w:rPr>
                      <w:b w:val="0"/>
                      <w:i w:val="0"/>
                    </w:rPr>
                    <m:t>0.33×1</m:t>
                  </m:r>
                  <m:r>
                    <m:rPr>
                      <m:nor/>
                      <m:sty m:val="p"/>
                    </m:rPr>
                    <w:rPr>
                      <w:rFonts w:hint="default" w:ascii="Cambria Math" w:hAnsi="Cambria Math"/>
                      <w:b w:val="0"/>
                      <w:i w:val="0"/>
                      <w:lang w:val="en-US" w:eastAsia="zh-CN"/>
                    </w:rPr>
                    <m:t>87</m:t>
                  </m:r>
                  <m:r>
                    <m:rPr>
                      <m:nor/>
                      <m:sty m:val="p"/>
                    </m:rPr>
                    <w:rPr>
                      <w:b w:val="0"/>
                      <w:i w:val="0"/>
                    </w:rPr>
                    <m:t>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15.57</m:t>
          </m:r>
          <m:r>
            <m:rPr>
              <m:nor/>
              <m:sty m:val="p"/>
            </m:rPr>
            <w:rPr>
              <w:b w:val="0"/>
              <w:i w:val="0"/>
            </w:rPr>
            <m:t>mm</m:t>
          </m:r>
        </m:oMath>
      </m:oMathPara>
    </w:p>
    <w:p w14:paraId="7F247487">
      <w:pPr>
        <w:ind w:firstLine="480"/>
        <w:rPr>
          <w:rFonts w:hint="eastAsia" w:ascii="Times New Roman" w:hAnsi="Times New Roman" w:eastAsia="宋体" w:cs="Times New Roman"/>
        </w:rPr>
      </w:pPr>
      <w:r>
        <w:rPr>
          <w:rFonts w:hint="eastAsia" w:ascii="宋体" w:hAnsi="宋体" w:eastAsia="宋体" w:cs="宋体"/>
        </w:rPr>
        <w:t>采用</w:t>
      </w:r>
      <w:r>
        <w:rPr>
          <w:rFonts w:hint="eastAsia" w:ascii="SJQY" w:hAnsi="SJQY" w:eastAsia="SJQY" w:cs="Times New Roman"/>
          <w:lang w:val="en-US" w:eastAsia="zh-CN"/>
        </w:rPr>
        <w:t>φ16</w:t>
      </w:r>
      <w:r>
        <w:rPr>
          <w:rFonts w:hint="eastAsia" w:ascii="Times New Roman" w:hAnsi="Times New Roman" w:eastAsia="宋体" w:cs="Times New Roman"/>
        </w:rPr>
        <w:t>mm钢丝绳可满足要求。</w:t>
      </w:r>
    </w:p>
    <w:p w14:paraId="4C24094D">
      <w:pPr>
        <w:ind w:firstLine="480"/>
        <w:rPr>
          <w:rFonts w:ascii="Times New Roman" w:hAnsi="Times New Roman" w:eastAsia="宋体" w:cs="Times New Roman"/>
        </w:rPr>
      </w:pPr>
      <w:r>
        <w:rPr>
          <w:rFonts w:hint="eastAsia" w:ascii="Times New Roman" w:hAnsi="Times New Roman" w:eastAsia="宋体" w:cs="Times New Roman"/>
        </w:rPr>
        <w:t>卸扣根据《一般起重用D形和弓形锻造卸扣》（GB/T25854-2010）的规定选用。</w:t>
      </w:r>
    </w:p>
    <w:p w14:paraId="3390CA82">
      <w:pPr>
        <w:pStyle w:val="46"/>
        <w:rPr>
          <w:rFonts w:hint="default" w:ascii="Times New Roman" w:hAnsi="Times New Roman" w:eastAsia="宋体" w:cs="Times New Roman"/>
          <w:lang w:val="en-US" w:eastAsia="zh-CN"/>
        </w:rPr>
      </w:pPr>
      <w:r>
        <w:rPr>
          <w:rFonts w:hint="default" w:ascii="Times New Roman" w:hAnsi="Times New Roman" w:eastAsia="宋体" w:cs="Times New Roman"/>
        </w:rPr>
        <w:t>表</w:t>
      </w:r>
      <w:r>
        <w:rPr>
          <w:rFonts w:hint="eastAsia" w:ascii="Times New Roman" w:hAnsi="Times New Roman" w:eastAsia="宋体" w:cs="Times New Roman"/>
          <w:lang w:val="en-US" w:eastAsia="zh-CN"/>
        </w:rPr>
        <w:t>4</w:t>
      </w:r>
      <w:r>
        <w:rPr>
          <w:rFonts w:hint="default" w:ascii="Times New Roman" w:hAnsi="Times New Roman" w:eastAsia="宋体" w:cs="Times New Roman"/>
        </w:rPr>
        <w:t>.</w:t>
      </w:r>
      <w:r>
        <w:rPr>
          <w:rFonts w:hint="eastAsia" w:ascii="Times New Roman" w:hAnsi="Times New Roman" w:eastAsia="宋体" w:cs="Times New Roman"/>
          <w:lang w:val="en-US" w:eastAsia="zh-CN"/>
        </w:rPr>
        <w:t>2.3</w:t>
      </w:r>
      <w:r>
        <w:rPr>
          <w:rFonts w:hint="default" w:ascii="Times New Roman" w:hAnsi="Times New Roman" w:eastAsia="宋体" w:cs="Times New Roman"/>
        </w:rPr>
        <w:t>.</w:t>
      </w:r>
      <w:r>
        <w:rPr>
          <w:rFonts w:hint="eastAsia" w:ascii="Times New Roman" w:hAnsi="Times New Roman" w:eastAsia="宋体" w:cs="Times New Roman"/>
          <w:lang w:val="en-US" w:eastAsia="zh-CN"/>
        </w:rPr>
        <w:t>1</w:t>
      </w:r>
      <w:r>
        <w:rPr>
          <w:rFonts w:hint="default" w:ascii="Times New Roman" w:hAnsi="Times New Roman" w:eastAsia="宋体" w:cs="Times New Roman"/>
        </w:rPr>
        <w:t>-1</w:t>
      </w:r>
      <w:r>
        <w:rPr>
          <w:rFonts w:hint="eastAsia" w:ascii="Times New Roman" w:hAnsi="Times New Roman" w:eastAsia="宋体" w:cs="Times New Roman"/>
          <w:lang w:val="en-US" w:eastAsia="zh-CN"/>
        </w:rPr>
        <w:t>D形卸扣尺寸</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03"/>
        <w:gridCol w:w="1104"/>
        <w:gridCol w:w="1104"/>
        <w:gridCol w:w="982"/>
        <w:gridCol w:w="982"/>
        <w:gridCol w:w="1125"/>
        <w:gridCol w:w="927"/>
        <w:gridCol w:w="1009"/>
      </w:tblGrid>
      <w:tr w14:paraId="70D80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986" w:type="pct"/>
            <w:gridSpan w:val="3"/>
            <w:shd w:val="clear" w:color="auto" w:fill="4472C4"/>
            <w:vAlign w:val="center"/>
          </w:tcPr>
          <w:p w14:paraId="194DBFDE">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极限工作荷载WLL</w:t>
            </w:r>
          </w:p>
        </w:tc>
        <w:tc>
          <w:tcPr>
            <w:tcW w:w="589" w:type="pct"/>
            <w:vMerge w:val="restart"/>
            <w:shd w:val="clear" w:color="auto" w:fill="4472C4"/>
            <w:vAlign w:val="center"/>
          </w:tcPr>
          <w:p w14:paraId="065E9B80">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a</w:t>
            </w:r>
          </w:p>
          <w:p w14:paraId="4EF2FA35">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89" w:type="pct"/>
            <w:vMerge w:val="restart"/>
            <w:shd w:val="clear" w:color="auto" w:fill="4472C4"/>
            <w:vAlign w:val="center"/>
          </w:tcPr>
          <w:p w14:paraId="19631A7F">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b</w:t>
            </w:r>
          </w:p>
          <w:p w14:paraId="09684EDD">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675" w:type="pct"/>
            <w:vMerge w:val="restart"/>
            <w:shd w:val="clear" w:color="auto" w:fill="4472C4"/>
            <w:vAlign w:val="center"/>
          </w:tcPr>
          <w:p w14:paraId="330C9A4A">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e</w:t>
            </w:r>
            <w:r>
              <w:rPr>
                <w:rFonts w:ascii="Times New Roman" w:hAnsi="Times New Roman" w:eastAsia="仿宋" w:cs="Times New Roman"/>
                <w:b/>
                <w:color w:val="FFFFFF"/>
                <w:kern w:val="0"/>
                <w:sz w:val="21"/>
                <w:szCs w:val="21"/>
                <w:vertAlign w:val="superscript"/>
                <w:lang w:val="en-US" w:eastAsia="zh-CN" w:bidi="ar-SA"/>
              </w:rPr>
              <w:t>c</w:t>
            </w:r>
          </w:p>
          <w:p w14:paraId="7B04991D">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56" w:type="pct"/>
            <w:vMerge w:val="restart"/>
            <w:shd w:val="clear" w:color="auto" w:fill="4472C4"/>
            <w:vAlign w:val="center"/>
          </w:tcPr>
          <w:p w14:paraId="2B04FD24">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S</w:t>
            </w:r>
            <w:r>
              <w:rPr>
                <w:rFonts w:ascii="Times New Roman" w:hAnsi="Times New Roman" w:eastAsia="仿宋" w:cs="Times New Roman"/>
                <w:b/>
                <w:color w:val="FFFFFF"/>
                <w:kern w:val="0"/>
                <w:sz w:val="21"/>
                <w:szCs w:val="21"/>
                <w:vertAlign w:val="superscript"/>
                <w:lang w:val="en-US" w:eastAsia="zh-CN" w:bidi="ar-SA"/>
              </w:rPr>
              <w:t>d</w:t>
            </w:r>
          </w:p>
          <w:p w14:paraId="7FDF4BCA">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c>
          <w:tcPr>
            <w:tcW w:w="605" w:type="pct"/>
            <w:vMerge w:val="restart"/>
            <w:shd w:val="clear" w:color="auto" w:fill="4472C4"/>
            <w:vAlign w:val="center"/>
          </w:tcPr>
          <w:p w14:paraId="14CE5310">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W</w:t>
            </w:r>
            <w:r>
              <w:rPr>
                <w:rFonts w:ascii="Times New Roman" w:hAnsi="Times New Roman" w:eastAsia="仿宋" w:cs="Times New Roman"/>
                <w:b/>
                <w:color w:val="FFFFFF"/>
                <w:kern w:val="0"/>
                <w:sz w:val="21"/>
                <w:szCs w:val="21"/>
                <w:vertAlign w:val="superscript"/>
                <w:lang w:val="en-US" w:eastAsia="zh-CN" w:bidi="ar-SA"/>
              </w:rPr>
              <w:t>b</w:t>
            </w:r>
          </w:p>
          <w:p w14:paraId="04F8D5B7">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r>
      <w:tr w14:paraId="51C0CA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4472C4"/>
            <w:vAlign w:val="center"/>
          </w:tcPr>
          <w:p w14:paraId="56A71202">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4级</w:t>
            </w:r>
          </w:p>
        </w:tc>
        <w:tc>
          <w:tcPr>
            <w:tcW w:w="662" w:type="pct"/>
            <w:shd w:val="clear" w:color="auto" w:fill="4472C4"/>
            <w:vAlign w:val="center"/>
          </w:tcPr>
          <w:p w14:paraId="1ED52407">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6级</w:t>
            </w:r>
          </w:p>
        </w:tc>
        <w:tc>
          <w:tcPr>
            <w:tcW w:w="662" w:type="pct"/>
            <w:shd w:val="clear" w:color="auto" w:fill="4472C4"/>
            <w:vAlign w:val="center"/>
          </w:tcPr>
          <w:p w14:paraId="36A8E880">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8级</w:t>
            </w:r>
          </w:p>
        </w:tc>
        <w:tc>
          <w:tcPr>
            <w:tcW w:w="589" w:type="pct"/>
            <w:vMerge w:val="continue"/>
            <w:shd w:val="clear" w:color="auto" w:fill="auto"/>
            <w:vAlign w:val="center"/>
          </w:tcPr>
          <w:p w14:paraId="1146BE5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89" w:type="pct"/>
            <w:vMerge w:val="continue"/>
            <w:shd w:val="clear" w:color="auto" w:fill="auto"/>
            <w:vAlign w:val="center"/>
          </w:tcPr>
          <w:p w14:paraId="2BADF26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75" w:type="pct"/>
            <w:vMerge w:val="continue"/>
            <w:shd w:val="clear" w:color="auto" w:fill="auto"/>
            <w:vAlign w:val="center"/>
          </w:tcPr>
          <w:p w14:paraId="02496AA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56" w:type="pct"/>
            <w:vMerge w:val="continue"/>
            <w:shd w:val="clear" w:color="auto" w:fill="auto"/>
            <w:vAlign w:val="center"/>
          </w:tcPr>
          <w:p w14:paraId="4136990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05" w:type="pct"/>
            <w:vMerge w:val="continue"/>
            <w:shd w:val="clear" w:color="auto" w:fill="auto"/>
            <w:vAlign w:val="center"/>
          </w:tcPr>
          <w:p w14:paraId="71631C9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r>
      <w:tr w14:paraId="52569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86" w:type="pct"/>
            <w:gridSpan w:val="3"/>
            <w:shd w:val="clear" w:color="auto" w:fill="auto"/>
            <w:vAlign w:val="center"/>
          </w:tcPr>
          <w:p w14:paraId="27D427F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t</w:t>
            </w:r>
          </w:p>
        </w:tc>
        <w:tc>
          <w:tcPr>
            <w:tcW w:w="3014" w:type="pct"/>
            <w:gridSpan w:val="5"/>
            <w:shd w:val="clear" w:color="auto" w:fill="auto"/>
            <w:vAlign w:val="center"/>
          </w:tcPr>
          <w:p w14:paraId="7AE04FD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mm</w:t>
            </w:r>
          </w:p>
        </w:tc>
      </w:tr>
      <w:tr w14:paraId="2B0B3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6482948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w:t>
            </w:r>
          </w:p>
        </w:tc>
        <w:tc>
          <w:tcPr>
            <w:tcW w:w="662" w:type="pct"/>
            <w:shd w:val="clear" w:color="auto" w:fill="auto"/>
            <w:vAlign w:val="center"/>
          </w:tcPr>
          <w:p w14:paraId="55EEB5E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679AC2E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589" w:type="pct"/>
            <w:shd w:val="clear" w:color="auto" w:fill="auto"/>
            <w:vAlign w:val="center"/>
          </w:tcPr>
          <w:p w14:paraId="4EB3A06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31.5</w:t>
            </w:r>
          </w:p>
        </w:tc>
        <w:tc>
          <w:tcPr>
            <w:tcW w:w="589" w:type="pct"/>
            <w:shd w:val="clear" w:color="auto" w:fill="auto"/>
            <w:vAlign w:val="center"/>
          </w:tcPr>
          <w:p w14:paraId="2E1F421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675" w:type="pct"/>
            <w:shd w:val="clear" w:color="auto" w:fill="auto"/>
            <w:vAlign w:val="center"/>
          </w:tcPr>
          <w:p w14:paraId="1DA7D78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78.1</w:t>
            </w:r>
          </w:p>
        </w:tc>
        <w:tc>
          <w:tcPr>
            <w:tcW w:w="556" w:type="pct"/>
            <w:shd w:val="clear" w:color="auto" w:fill="auto"/>
            <w:vAlign w:val="center"/>
          </w:tcPr>
          <w:p w14:paraId="54E91CF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05" w:type="pct"/>
            <w:shd w:val="clear" w:color="auto" w:fill="auto"/>
            <w:vAlign w:val="center"/>
          </w:tcPr>
          <w:p w14:paraId="5E63BA8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r>
      <w:tr w14:paraId="593F51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7B125B6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1A784DE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3A1D076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589" w:type="pct"/>
            <w:shd w:val="clear" w:color="auto" w:fill="auto"/>
            <w:vAlign w:val="center"/>
          </w:tcPr>
          <w:p w14:paraId="7A0DD96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589" w:type="pct"/>
            <w:shd w:val="clear" w:color="auto" w:fill="auto"/>
            <w:vAlign w:val="center"/>
          </w:tcPr>
          <w:p w14:paraId="33ABF96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75" w:type="pct"/>
            <w:shd w:val="clear" w:color="auto" w:fill="auto"/>
            <w:vAlign w:val="center"/>
          </w:tcPr>
          <w:p w14:paraId="0EDCB7E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88</w:t>
            </w:r>
          </w:p>
        </w:tc>
        <w:tc>
          <w:tcPr>
            <w:tcW w:w="556" w:type="pct"/>
            <w:shd w:val="clear" w:color="auto" w:fill="auto"/>
            <w:vAlign w:val="center"/>
          </w:tcPr>
          <w:p w14:paraId="1E4C53D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05" w:type="pct"/>
            <w:shd w:val="clear" w:color="auto" w:fill="auto"/>
            <w:vAlign w:val="center"/>
          </w:tcPr>
          <w:p w14:paraId="52966FE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r>
      <w:tr w14:paraId="0794D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5A16548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6E269D1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6679BE8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589" w:type="pct"/>
            <w:shd w:val="clear" w:color="auto" w:fill="auto"/>
            <w:vAlign w:val="center"/>
          </w:tcPr>
          <w:p w14:paraId="1920D63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53C0972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675" w:type="pct"/>
            <w:shd w:val="clear" w:color="auto" w:fill="auto"/>
            <w:vAlign w:val="center"/>
          </w:tcPr>
          <w:p w14:paraId="5A84B12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99</w:t>
            </w:r>
          </w:p>
        </w:tc>
        <w:tc>
          <w:tcPr>
            <w:tcW w:w="556" w:type="pct"/>
            <w:shd w:val="clear" w:color="auto" w:fill="auto"/>
            <w:vAlign w:val="center"/>
          </w:tcPr>
          <w:p w14:paraId="3832EB3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05" w:type="pct"/>
            <w:shd w:val="clear" w:color="auto" w:fill="auto"/>
            <w:vAlign w:val="center"/>
          </w:tcPr>
          <w:p w14:paraId="0AA2C1A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r>
      <w:tr w14:paraId="60F39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72E29F1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53649F7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44B7BE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589" w:type="pct"/>
            <w:shd w:val="clear" w:color="auto" w:fill="auto"/>
            <w:vAlign w:val="center"/>
          </w:tcPr>
          <w:p w14:paraId="3734163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589" w:type="pct"/>
            <w:shd w:val="clear" w:color="auto" w:fill="auto"/>
            <w:vAlign w:val="center"/>
          </w:tcPr>
          <w:p w14:paraId="0F2D9F5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75" w:type="pct"/>
            <w:shd w:val="clear" w:color="auto" w:fill="auto"/>
            <w:vAlign w:val="center"/>
          </w:tcPr>
          <w:p w14:paraId="2B4B973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110</w:t>
            </w:r>
          </w:p>
        </w:tc>
        <w:tc>
          <w:tcPr>
            <w:tcW w:w="556" w:type="pct"/>
            <w:shd w:val="clear" w:color="auto" w:fill="auto"/>
            <w:vAlign w:val="center"/>
          </w:tcPr>
          <w:p w14:paraId="1C5AAA7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05" w:type="pct"/>
            <w:shd w:val="clear" w:color="auto" w:fill="auto"/>
            <w:vAlign w:val="center"/>
          </w:tcPr>
          <w:p w14:paraId="7A07437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r>
      <w:tr w14:paraId="574F4A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0313725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74B8CE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1893D14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589" w:type="pct"/>
            <w:shd w:val="clear" w:color="auto" w:fill="auto"/>
            <w:vAlign w:val="center"/>
          </w:tcPr>
          <w:p w14:paraId="514AC77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6DAE5A0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675" w:type="pct"/>
            <w:shd w:val="clear" w:color="auto" w:fill="auto"/>
            <w:vAlign w:val="center"/>
          </w:tcPr>
          <w:p w14:paraId="541584C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123.2</w:t>
            </w:r>
          </w:p>
        </w:tc>
        <w:tc>
          <w:tcPr>
            <w:tcW w:w="556" w:type="pct"/>
            <w:shd w:val="clear" w:color="auto" w:fill="auto"/>
            <w:vAlign w:val="center"/>
          </w:tcPr>
          <w:p w14:paraId="35A19CB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112</w:t>
            </w:r>
          </w:p>
        </w:tc>
        <w:tc>
          <w:tcPr>
            <w:tcW w:w="605" w:type="pct"/>
            <w:shd w:val="clear" w:color="auto" w:fill="auto"/>
            <w:vAlign w:val="center"/>
          </w:tcPr>
          <w:p w14:paraId="3C265CB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r>
      <w:tr w14:paraId="29B37C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5F64D73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3684D2D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2B8E3D9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589" w:type="pct"/>
            <w:shd w:val="clear" w:color="auto" w:fill="auto"/>
            <w:vAlign w:val="center"/>
          </w:tcPr>
          <w:p w14:paraId="584A932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589" w:type="pct"/>
            <w:shd w:val="clear" w:color="auto" w:fill="auto"/>
            <w:vAlign w:val="center"/>
          </w:tcPr>
          <w:p w14:paraId="5571F89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75" w:type="pct"/>
            <w:shd w:val="clear" w:color="auto" w:fill="auto"/>
            <w:vAlign w:val="center"/>
          </w:tcPr>
          <w:p w14:paraId="222668C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138.6</w:t>
            </w:r>
          </w:p>
        </w:tc>
        <w:tc>
          <w:tcPr>
            <w:tcW w:w="556" w:type="pct"/>
            <w:shd w:val="clear" w:color="auto" w:fill="auto"/>
            <w:vAlign w:val="center"/>
          </w:tcPr>
          <w:p w14:paraId="0BE5F81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05" w:type="pct"/>
            <w:shd w:val="clear" w:color="auto" w:fill="auto"/>
            <w:vAlign w:val="center"/>
          </w:tcPr>
          <w:p w14:paraId="5A4226A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r>
      <w:tr w14:paraId="31CD3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0F953D1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5C1EB5D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3C6FC28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3D85BBF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623378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75" w:type="pct"/>
            <w:shd w:val="clear" w:color="auto" w:fill="auto"/>
            <w:vAlign w:val="center"/>
          </w:tcPr>
          <w:p w14:paraId="0745ECD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156.2</w:t>
            </w:r>
          </w:p>
        </w:tc>
        <w:tc>
          <w:tcPr>
            <w:tcW w:w="556" w:type="pct"/>
            <w:shd w:val="clear" w:color="auto" w:fill="auto"/>
            <w:vAlign w:val="center"/>
          </w:tcPr>
          <w:p w14:paraId="2EA38A1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140</w:t>
            </w:r>
          </w:p>
        </w:tc>
        <w:tc>
          <w:tcPr>
            <w:tcW w:w="605" w:type="pct"/>
            <w:shd w:val="clear" w:color="auto" w:fill="auto"/>
            <w:vAlign w:val="center"/>
          </w:tcPr>
          <w:p w14:paraId="16490D7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r>
      <w:tr w14:paraId="73E38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7351A5D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0DB19D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4C6E482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5D7F20F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589" w:type="pct"/>
            <w:shd w:val="clear" w:color="auto" w:fill="auto"/>
            <w:vAlign w:val="center"/>
          </w:tcPr>
          <w:p w14:paraId="1B238A3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75" w:type="pct"/>
            <w:shd w:val="clear" w:color="auto" w:fill="auto"/>
            <w:vAlign w:val="center"/>
          </w:tcPr>
          <w:p w14:paraId="0D8025A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178</w:t>
            </w:r>
          </w:p>
        </w:tc>
        <w:tc>
          <w:tcPr>
            <w:tcW w:w="556" w:type="pct"/>
            <w:shd w:val="clear" w:color="auto" w:fill="auto"/>
            <w:vAlign w:val="center"/>
          </w:tcPr>
          <w:p w14:paraId="2910667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160</w:t>
            </w:r>
          </w:p>
        </w:tc>
        <w:tc>
          <w:tcPr>
            <w:tcW w:w="605" w:type="pct"/>
            <w:shd w:val="clear" w:color="auto" w:fill="auto"/>
            <w:vAlign w:val="center"/>
          </w:tcPr>
          <w:p w14:paraId="23C2DEC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r>
      <w:tr w14:paraId="79C80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11EA2E4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77BC21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62" w:type="pct"/>
            <w:shd w:val="clear" w:color="auto" w:fill="auto"/>
            <w:vAlign w:val="center"/>
          </w:tcPr>
          <w:p w14:paraId="47A469C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737506E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7FCF52D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75" w:type="pct"/>
            <w:shd w:val="clear" w:color="auto" w:fill="auto"/>
            <w:vAlign w:val="center"/>
          </w:tcPr>
          <w:p w14:paraId="77AB5A1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198</w:t>
            </w:r>
          </w:p>
        </w:tc>
        <w:tc>
          <w:tcPr>
            <w:tcW w:w="556" w:type="pct"/>
            <w:shd w:val="clear" w:color="auto" w:fill="auto"/>
            <w:vAlign w:val="center"/>
          </w:tcPr>
          <w:p w14:paraId="239D22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180</w:t>
            </w:r>
          </w:p>
        </w:tc>
        <w:tc>
          <w:tcPr>
            <w:tcW w:w="605" w:type="pct"/>
            <w:shd w:val="clear" w:color="auto" w:fill="auto"/>
            <w:vAlign w:val="center"/>
          </w:tcPr>
          <w:p w14:paraId="133296B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r>
      <w:tr w14:paraId="28325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10CD3F7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4C6DDE9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0C9FC6D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5FDAC4A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589" w:type="pct"/>
            <w:shd w:val="clear" w:color="auto" w:fill="auto"/>
            <w:vAlign w:val="center"/>
          </w:tcPr>
          <w:p w14:paraId="7490594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75" w:type="pct"/>
            <w:shd w:val="clear" w:color="auto" w:fill="auto"/>
            <w:vAlign w:val="center"/>
          </w:tcPr>
          <w:p w14:paraId="19B60A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220</w:t>
            </w:r>
          </w:p>
        </w:tc>
        <w:tc>
          <w:tcPr>
            <w:tcW w:w="556" w:type="pct"/>
            <w:shd w:val="clear" w:color="auto" w:fill="auto"/>
            <w:vAlign w:val="center"/>
          </w:tcPr>
          <w:p w14:paraId="4AB0466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200</w:t>
            </w:r>
          </w:p>
        </w:tc>
        <w:tc>
          <w:tcPr>
            <w:tcW w:w="605" w:type="pct"/>
            <w:shd w:val="clear" w:color="auto" w:fill="auto"/>
            <w:vAlign w:val="center"/>
          </w:tcPr>
          <w:p w14:paraId="61A6428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r>
    </w:tbl>
    <w:p w14:paraId="0C174BBB">
      <w:pPr>
        <w:ind w:firstLine="480"/>
        <w:rPr>
          <w:rFonts w:ascii="Times New Roman" w:hAnsi="Times New Roman" w:eastAsia="宋体" w:cs="Times New Roman"/>
        </w:rPr>
      </w:pPr>
      <w:r>
        <w:rPr>
          <w:rFonts w:hint="eastAsia" w:ascii="Times New Roman" w:hAnsi="Times New Roman" w:eastAsia="宋体" w:cs="Times New Roman"/>
        </w:rPr>
        <w:t>四点吊的塔吊主要部件</w:t>
      </w:r>
      <w:r>
        <w:rPr>
          <w:rFonts w:hint="eastAsia" w:cs="Times New Roman"/>
          <w:lang w:val="en-US" w:eastAsia="zh-CN"/>
        </w:rPr>
        <w:t>为</w:t>
      </w:r>
      <w:r>
        <w:rPr>
          <w:rFonts w:hint="eastAsia" w:ascii="Times New Roman" w:hAnsi="Times New Roman" w:eastAsia="宋体" w:cs="Times New Roman"/>
          <w:lang w:val="en-US" w:eastAsia="zh-CN"/>
        </w:rPr>
        <w:t>平衡臂</w:t>
      </w:r>
      <w:r>
        <w:rPr>
          <w:rFonts w:hint="eastAsia" w:cs="Times New Roman"/>
          <w:highlight w:val="none"/>
          <w:lang w:eastAsia="zh-CN"/>
        </w:rPr>
        <w:t>，</w:t>
      </w:r>
      <w:r>
        <w:rPr>
          <w:rFonts w:hint="eastAsia" w:ascii="Times New Roman" w:hAnsi="Times New Roman" w:eastAsia="宋体" w:cs="Times New Roman"/>
          <w:lang w:val="en-US" w:eastAsia="zh-CN"/>
        </w:rPr>
        <w:t>平衡臂</w:t>
      </w:r>
      <w:r>
        <w:rPr>
          <w:rFonts w:hint="eastAsia" w:ascii="Times New Roman" w:hAnsi="Times New Roman" w:eastAsia="宋体" w:cs="Times New Roman"/>
        </w:rPr>
        <w:t>最大重量约</w:t>
      </w:r>
      <w:r>
        <w:rPr>
          <w:rFonts w:hint="eastAsia" w:cs="Times New Roman"/>
          <w:lang w:val="en-US" w:eastAsia="zh-CN"/>
        </w:rPr>
        <w:t>5.027</w:t>
      </w:r>
      <w:r>
        <w:rPr>
          <w:rFonts w:hint="eastAsia" w:ascii="Times New Roman" w:hAnsi="Times New Roman" w:eastAsia="宋体" w:cs="Times New Roman"/>
        </w:rPr>
        <w:t>t，钢丝绳连接卸扣工作荷载：</w:t>
      </w:r>
    </w:p>
    <w:p w14:paraId="5B3DC6D6">
      <w:pPr>
        <w:ind w:firstLine="480"/>
        <w:rPr>
          <w:rFonts w:ascii="Times New Roman" w:hAnsi="Times New Roman" w:eastAsia="宋体" w:cs="Times New Roman"/>
        </w:rPr>
      </w:pPr>
      <m:oMath>
        <m:r>
          <m:rPr>
            <m:nor/>
            <m:sty m:val="p"/>
          </m:rPr>
          <w:rPr>
            <w:b w:val="0"/>
            <w:i w:val="0"/>
          </w:rPr>
          <m:t>WL</m:t>
        </m:r>
        <m:sSub>
          <m:sSubPr>
            <m:ctrlPr>
              <w:rPr>
                <w:rFonts w:ascii="Cambria Math" w:hAnsi="Cambria Math"/>
                <w:i/>
              </w:rPr>
            </m:ctrlPr>
          </m:sSubPr>
          <m:e>
            <m:r>
              <m:rPr>
                <m:nor/>
                <m:sty m:val="p"/>
              </m:rPr>
              <w:rPr>
                <w:b w:val="0"/>
                <w:i w:val="0"/>
              </w:rPr>
              <m:t>L</m:t>
            </m:r>
            <m:ctrlPr>
              <w:rPr>
                <w:rFonts w:ascii="Cambria Math" w:hAnsi="Cambria Math"/>
                <w:i/>
              </w:rPr>
            </m:ctrlPr>
          </m:e>
          <m:sub>
            <m:r>
              <m:rPr>
                <m:nor/>
                <m:sty m:val="p"/>
              </m:rPr>
              <w:rPr>
                <w:b w:val="0"/>
                <w:i w:val="0"/>
              </w:rPr>
              <m:t>0</m:t>
            </m:r>
            <m:ctrlPr>
              <w:rPr>
                <w:rFonts w:ascii="Cambria Math" w:hAnsi="Cambria Math"/>
                <w:i/>
              </w:rPr>
            </m:ctrlPr>
          </m:sub>
        </m:sSub>
        <m:r>
          <m:rPr>
            <m:nor/>
            <m:sty m:val="p"/>
          </m:rPr>
          <w:rPr>
            <w:b w:val="0"/>
            <w:i w:val="0"/>
          </w:rPr>
          <m:t>=</m:t>
        </m:r>
        <m:f>
          <m:fPr>
            <m:ctrlPr>
              <w:rPr>
                <w:rFonts w:ascii="Cambria Math" w:hAnsi="Cambria Math"/>
                <w:i/>
              </w:rPr>
            </m:ctrlPr>
          </m:fPr>
          <m:num>
            <m:r>
              <m:rPr/>
              <w:rPr>
                <w:rFonts w:hint="default" w:ascii="Cambria Math" w:hAnsi="Cambria Math"/>
                <w:lang w:val="en-US" w:eastAsia="zh-CN"/>
              </w:rPr>
              <m:t>156.51</m:t>
            </m:r>
            <m:ctrlPr>
              <w:rPr>
                <w:rFonts w:ascii="Cambria Math" w:hAnsi="Cambria Math"/>
                <w:i/>
              </w:rPr>
            </m:ctrlPr>
          </m:num>
          <m:den>
            <m:r>
              <m:rPr>
                <m:nor/>
                <m:sty m:val="p"/>
              </m:rPr>
              <w:rPr>
                <w:b w:val="0"/>
                <w:i w:val="0"/>
              </w:rPr>
              <m:t>6</m:t>
            </m:r>
            <m:ctrlPr>
              <w:rPr>
                <w:rFonts w:ascii="Cambria Math" w:hAnsi="Cambria Math"/>
                <w:i/>
              </w:rPr>
            </m:ctrlPr>
          </m:den>
        </m:f>
        <m:r>
          <m:rPr>
            <m:nor/>
            <m:sty m:val="p"/>
          </m:rPr>
          <w:rPr>
            <w:b w:val="0"/>
            <w:i w:val="0"/>
          </w:rPr>
          <m:t>=</m:t>
        </m:r>
        <m:r>
          <m:rPr>
            <m:nor/>
            <m:sty m:val="p"/>
          </m:rPr>
          <w:rPr>
            <w:rFonts w:hint="default" w:ascii="Cambria Math" w:hAnsi="Cambria Math"/>
            <w:b w:val="0"/>
            <w:i w:val="0"/>
            <w:lang w:val="en-US" w:eastAsia="zh-CN"/>
          </w:rPr>
          <m:t>26.09</m:t>
        </m:r>
        <m:r>
          <m:rPr>
            <m:nor/>
            <m:sty m:val="p"/>
          </m:rPr>
          <w:rPr>
            <w:b w:val="0"/>
            <w:i w:val="0"/>
          </w:rPr>
          <m:t>kN</m:t>
        </m:r>
      </m:oMath>
      <w:r>
        <w:rPr>
          <w:rFonts w:hint="eastAsia" w:ascii="Times New Roman" w:hAnsi="Times New Roman" w:eastAsia="宋体" w:cs="Times New Roman"/>
        </w:rPr>
        <w:t>，选用卸扣</w:t>
      </w:r>
      <w:r>
        <w:rPr>
          <w:rFonts w:hint="eastAsia" w:ascii="Times New Roman" w:hAnsi="Times New Roman" w:eastAsia="宋体" w:cs="Times New Roman"/>
          <w:highlight w:val="none"/>
        </w:rPr>
        <w:t>GB/T25854-6-DW</w:t>
      </w:r>
      <w:r>
        <w:rPr>
          <w:rFonts w:hint="eastAsia" w:cs="Times New Roman"/>
          <w:highlight w:val="none"/>
          <w:lang w:val="en-US" w:eastAsia="zh-CN"/>
        </w:rPr>
        <w:t>5</w:t>
      </w:r>
      <w:r>
        <w:rPr>
          <w:rFonts w:hint="eastAsia" w:ascii="Times New Roman" w:hAnsi="Times New Roman" w:eastAsia="宋体" w:cs="Times New Roman"/>
          <w:highlight w:val="none"/>
        </w:rPr>
        <w:t>。</w:t>
      </w:r>
    </w:p>
    <w:p w14:paraId="42ED4569">
      <w:pPr>
        <w:ind w:firstLine="480"/>
        <w:rPr>
          <w:rFonts w:ascii="Times New Roman" w:hAnsi="Times New Roman" w:eastAsia="宋体" w:cs="Times New Roman"/>
        </w:rPr>
      </w:pPr>
      <w:r>
        <w:rPr>
          <w:rFonts w:hint="eastAsia" w:cs="Times New Roman"/>
          <w:lang w:val="en-US" w:eastAsia="zh-CN"/>
        </w:rPr>
        <w:t>两</w:t>
      </w:r>
      <w:r>
        <w:rPr>
          <w:rFonts w:hint="eastAsia" w:ascii="Times New Roman" w:hAnsi="Times New Roman" w:eastAsia="宋体" w:cs="Times New Roman"/>
        </w:rPr>
        <w:t>点吊的塔吊主要部件</w:t>
      </w:r>
      <w:r>
        <w:rPr>
          <w:rFonts w:hint="eastAsia" w:cs="Times New Roman"/>
          <w:lang w:val="en-US" w:eastAsia="zh-CN"/>
        </w:rPr>
        <w:t>为</w:t>
      </w:r>
      <w:r>
        <w:rPr>
          <w:rFonts w:hint="eastAsia" w:ascii="Times New Roman" w:hAnsi="Times New Roman" w:eastAsia="宋体" w:cs="Times New Roman"/>
          <w:lang w:val="en-US" w:eastAsia="zh-CN"/>
        </w:rPr>
        <w:t>平衡重，平衡重</w:t>
      </w:r>
      <w:r>
        <w:rPr>
          <w:rFonts w:hint="eastAsia" w:ascii="Times New Roman" w:hAnsi="Times New Roman" w:eastAsia="宋体" w:cs="Times New Roman"/>
        </w:rPr>
        <w:t>最大重量约</w:t>
      </w:r>
      <w:r>
        <w:rPr>
          <w:rFonts w:hint="eastAsia" w:cs="Times New Roman"/>
          <w:lang w:val="en-US" w:eastAsia="zh-CN"/>
        </w:rPr>
        <w:t>3.2</w:t>
      </w:r>
      <w:r>
        <w:rPr>
          <w:rFonts w:hint="eastAsia" w:ascii="Times New Roman" w:hAnsi="Times New Roman" w:eastAsia="宋体" w:cs="Times New Roman"/>
        </w:rPr>
        <w:t>t，钢丝绳连接卸扣工作荷载：</w:t>
      </w:r>
    </w:p>
    <w:p w14:paraId="6C4EA10F">
      <w:pPr>
        <w:ind w:firstLine="480"/>
        <w:rPr>
          <w:rFonts w:ascii="Times New Roman" w:hAnsi="Times New Roman" w:eastAsia="宋体" w:cs="Times New Roman"/>
        </w:rPr>
      </w:pPr>
      <m:oMath>
        <m:r>
          <m:rPr>
            <m:nor/>
            <m:sty m:val="p"/>
          </m:rPr>
          <w:rPr>
            <w:rFonts w:ascii="Cambria Math" w:cs="Times New Roman"/>
            <w:b w:val="0"/>
            <w:i w:val="0"/>
          </w:rPr>
          <m:t>WL</m:t>
        </m:r>
        <m:sSub>
          <m:sSubPr>
            <m:ctrlPr>
              <w:rPr>
                <w:rFonts w:ascii="Cambria Math" w:hAnsi="Cambria Math" w:cs="Times New Roman"/>
                <w:i/>
              </w:rPr>
            </m:ctrlPr>
          </m:sSubPr>
          <m:e>
            <m:r>
              <m:rPr>
                <m:nor/>
                <m:sty m:val="p"/>
              </m:rPr>
              <w:rPr>
                <w:rFonts w:ascii="Cambria Math" w:cs="Times New Roman"/>
                <w:b w:val="0"/>
                <w:i w:val="0"/>
              </w:rPr>
              <m:t>L</m:t>
            </m:r>
            <m:ctrlPr>
              <w:rPr>
                <w:rFonts w:ascii="Cambria Math" w:hAnsi="Cambria Math" w:cs="Times New Roman"/>
                <w:i/>
              </w:rPr>
            </m:ctrlPr>
          </m:e>
          <m:sub>
            <m:r>
              <m:rPr>
                <m:nor/>
                <m:sty m:val="p"/>
              </m:rPr>
              <w:rPr>
                <w:rFonts w:ascii="Cambria Math" w:cs="Times New Roman"/>
                <w:b w:val="0"/>
                <w:i w:val="0"/>
              </w:rPr>
              <m:t>0</m:t>
            </m:r>
            <m:ctrlPr>
              <w:rPr>
                <w:rFonts w:ascii="Cambria Math" w:hAnsi="Cambria Math" w:cs="Times New Roman"/>
                <w:i/>
              </w:rPr>
            </m:ctrlPr>
          </m:sub>
        </m:sSub>
        <m:r>
          <m:rPr>
            <m:nor/>
            <m:sty m:val="p"/>
          </m:rPr>
          <w:rPr>
            <w:rFonts w:ascii="Cambria Math" w:cs="Times New Roman"/>
            <w:b w:val="0"/>
            <w:i w:val="0"/>
          </w:rPr>
          <m:t>=</m:t>
        </m:r>
        <m:f>
          <m:fPr>
            <m:ctrlPr>
              <w:rPr>
                <w:rFonts w:ascii="Cambria Math" w:hAnsi="Cambria Math" w:cs="Times New Roman"/>
                <w:i/>
              </w:rPr>
            </m:ctrlPr>
          </m:fPr>
          <m:num>
            <m:r>
              <m:rPr/>
              <w:rPr>
                <w:rFonts w:hint="default" w:ascii="Cambria Math" w:hAnsi="Cambria Math" w:cs="Times New Roman"/>
                <w:lang w:val="en-US" w:eastAsia="zh-CN"/>
              </w:rPr>
              <m:t>149.44</m:t>
            </m:r>
            <m:ctrlPr>
              <w:rPr>
                <w:rFonts w:ascii="Cambria Math" w:hAnsi="Cambria Math" w:cs="Times New Roman"/>
                <w:i/>
              </w:rPr>
            </m:ctrlPr>
          </m:num>
          <m:den>
            <m:r>
              <m:rPr>
                <m:nor/>
                <m:sty m:val="p"/>
              </m:rPr>
              <w:rPr>
                <w:rFonts w:ascii="Cambria Math" w:cs="Times New Roman"/>
                <w:b w:val="0"/>
                <w:i w:val="0"/>
              </w:rPr>
              <m:t>6</m:t>
            </m:r>
            <m:ctrlPr>
              <w:rPr>
                <w:rFonts w:ascii="Cambria Math" w:hAnsi="Cambria Math" w:cs="Times New Roman"/>
                <w:i/>
              </w:rPr>
            </m:ctrlPr>
          </m:den>
        </m:f>
        <m:r>
          <m:rPr>
            <m:nor/>
            <m:sty m:val="p"/>
          </m:rPr>
          <w:rPr>
            <w:rFonts w:ascii="Cambria Math" w:cs="Times New Roman"/>
            <w:b w:val="0"/>
            <w:i w:val="0"/>
          </w:rPr>
          <m:t>=</m:t>
        </m:r>
        <m:r>
          <m:rPr>
            <m:nor/>
            <m:sty m:val="p"/>
          </m:rPr>
          <w:rPr>
            <w:rFonts w:hint="default" w:ascii="Cambria Math" w:cs="Times New Roman"/>
            <w:b w:val="0"/>
            <w:i w:val="0"/>
            <w:lang w:val="en-US" w:eastAsia="zh-CN"/>
          </w:rPr>
          <m:t>24.91</m:t>
        </m:r>
        <m:r>
          <m:rPr>
            <m:nor/>
            <m:sty m:val="p"/>
          </m:rPr>
          <w:rPr>
            <w:rFonts w:ascii="Cambria Math" w:cs="Times New Roman"/>
            <w:b w:val="0"/>
            <w:i w:val="0"/>
          </w:rPr>
          <m:t>kN</m:t>
        </m:r>
      </m:oMath>
      <w:r>
        <w:rPr>
          <w:rFonts w:hint="eastAsia" w:ascii="Times New Roman" w:hAnsi="Times New Roman" w:eastAsia="宋体" w:cs="Times New Roman"/>
        </w:rPr>
        <w:t>，选用卸扣</w:t>
      </w:r>
      <w:r>
        <w:rPr>
          <w:rFonts w:hint="eastAsia" w:ascii="Times New Roman" w:hAnsi="Times New Roman" w:eastAsia="宋体" w:cs="Times New Roman"/>
          <w:highlight w:val="none"/>
        </w:rPr>
        <w:t>GB/T25854-6-DW</w:t>
      </w:r>
      <w:r>
        <w:rPr>
          <w:rFonts w:hint="eastAsia" w:cs="Times New Roman"/>
          <w:highlight w:val="none"/>
          <w:lang w:val="en-US" w:eastAsia="zh-CN"/>
        </w:rPr>
        <w:t>5</w:t>
      </w:r>
      <w:r>
        <w:rPr>
          <w:rFonts w:hint="eastAsia" w:ascii="Times New Roman" w:hAnsi="Times New Roman" w:eastAsia="宋体" w:cs="Times New Roman"/>
          <w:highlight w:val="none"/>
        </w:rPr>
        <w:t>。</w:t>
      </w:r>
    </w:p>
    <w:p w14:paraId="41824F75">
      <w:r>
        <w:rPr>
          <w:color w:val="auto"/>
        </w:rPr>
        <w:t>根据塔吊基础设计参数及塔吊主要部件重量及吊</w:t>
      </w:r>
      <w:r>
        <w:rPr>
          <w:rFonts w:hint="eastAsia"/>
          <w:color w:val="auto"/>
        </w:rPr>
        <w:t>装</w:t>
      </w:r>
      <w:r>
        <w:rPr>
          <w:color w:val="auto"/>
        </w:rPr>
        <w:t>高度，确定安装过程中所需的最大吊重、最大钢丝绳夹角，结合施工现场实际情况，确定起重钢丝绳型号。钢丝绳及卸扣选型见下表。</w:t>
      </w:r>
    </w:p>
    <w:p w14:paraId="6598208D">
      <w:pPr>
        <w:pStyle w:val="14"/>
        <w:rPr>
          <w:color w:val="auto"/>
          <w:highlight w:val="none"/>
        </w:rPr>
      </w:pPr>
      <w:r>
        <w:rPr>
          <w:rFonts w:hint="default" w:ascii="Times New Roman" w:hAnsi="Times New Roman" w:eastAsia="宋体" w:cs="Times New Roman"/>
          <w:highlight w:val="none"/>
        </w:rPr>
        <w:t>表</w:t>
      </w:r>
      <w:r>
        <w:rPr>
          <w:rFonts w:hint="eastAsia" w:ascii="Times New Roman" w:hAnsi="Times New Roman" w:eastAsia="宋体" w:cs="Times New Roman"/>
          <w:highlight w:val="none"/>
          <w:lang w:val="en-US" w:eastAsia="zh-CN"/>
        </w:rPr>
        <w:t>4</w:t>
      </w:r>
      <w:r>
        <w:rPr>
          <w:rFonts w:hint="default" w:ascii="Times New Roman" w:hAnsi="Times New Roman" w:eastAsia="宋体" w:cs="Times New Roman"/>
          <w:highlight w:val="none"/>
        </w:rPr>
        <w:t>.</w:t>
      </w:r>
      <w:r>
        <w:rPr>
          <w:rFonts w:hint="eastAsia" w:ascii="Times New Roman" w:hAnsi="Times New Roman" w:eastAsia="宋体" w:cs="Times New Roman"/>
          <w:highlight w:val="none"/>
          <w:lang w:val="en-US" w:eastAsia="zh-CN"/>
        </w:rPr>
        <w:t>2.3</w:t>
      </w:r>
      <w:r>
        <w:rPr>
          <w:rFonts w:hint="default" w:ascii="Times New Roman" w:hAnsi="Times New Roman" w:eastAsia="宋体" w:cs="Times New Roman"/>
          <w:highlight w:val="none"/>
        </w:rPr>
        <w:t>.</w:t>
      </w:r>
      <w:r>
        <w:rPr>
          <w:rFonts w:hint="eastAsia" w:ascii="Times New Roman" w:hAnsi="Times New Roman" w:eastAsia="宋体" w:cs="Times New Roman"/>
          <w:highlight w:val="none"/>
          <w:lang w:val="en-US" w:eastAsia="zh-CN"/>
        </w:rPr>
        <w:t>1</w:t>
      </w:r>
      <w:r>
        <w:rPr>
          <w:rFonts w:hint="default" w:ascii="Times New Roman" w:hAnsi="Times New Roman" w:eastAsia="宋体" w:cs="Times New Roman"/>
          <w:highlight w:val="none"/>
        </w:rPr>
        <w:t>-</w:t>
      </w:r>
      <w:r>
        <w:rPr>
          <w:rFonts w:hint="eastAsia" w:ascii="Times New Roman" w:hAnsi="Times New Roman" w:eastAsia="宋体" w:cs="Times New Roman"/>
          <w:highlight w:val="none"/>
          <w:lang w:val="en-US" w:eastAsia="zh-CN"/>
        </w:rPr>
        <w:t>2</w:t>
      </w:r>
      <w:r>
        <w:rPr>
          <w:color w:val="auto"/>
          <w:highlight w:val="none"/>
        </w:rPr>
        <w:t>钢丝绳选型表</w:t>
      </w:r>
    </w:p>
    <w:tbl>
      <w:tblPr>
        <w:tblStyle w:val="31"/>
        <w:tblW w:w="59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1"/>
        <w:gridCol w:w="1559"/>
        <w:gridCol w:w="2835"/>
        <w:gridCol w:w="567"/>
        <w:gridCol w:w="567"/>
      </w:tblGrid>
      <w:tr w14:paraId="693F9C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11" w:type="dxa"/>
            <w:vAlign w:val="center"/>
          </w:tcPr>
          <w:p w14:paraId="5FA69D0D">
            <w:pPr>
              <w:pStyle w:val="139"/>
              <w:rPr>
                <w:rFonts w:hint="eastAsia" w:ascii="宋体" w:hAnsi="宋体" w:eastAsia="宋体" w:cs="宋体"/>
                <w:b w:val="0"/>
                <w:color w:val="auto"/>
                <w:sz w:val="21"/>
                <w:szCs w:val="21"/>
              </w:rPr>
            </w:pPr>
            <w:r>
              <w:rPr>
                <w:rFonts w:hint="eastAsia" w:ascii="宋体" w:hAnsi="宋体" w:eastAsia="宋体" w:cs="宋体"/>
                <w:b/>
                <w:color w:val="auto"/>
                <w:sz w:val="21"/>
                <w:szCs w:val="21"/>
              </w:rPr>
              <w:t>序号</w:t>
            </w:r>
          </w:p>
        </w:tc>
        <w:tc>
          <w:tcPr>
            <w:tcW w:w="1559" w:type="dxa"/>
            <w:vAlign w:val="center"/>
          </w:tcPr>
          <w:p w14:paraId="6FBEB4C6">
            <w:pPr>
              <w:pStyle w:val="139"/>
              <w:rPr>
                <w:rFonts w:hint="eastAsia" w:ascii="宋体" w:hAnsi="宋体" w:eastAsia="宋体" w:cs="宋体"/>
                <w:b w:val="0"/>
                <w:color w:val="auto"/>
                <w:sz w:val="21"/>
                <w:szCs w:val="21"/>
              </w:rPr>
            </w:pPr>
            <w:r>
              <w:rPr>
                <w:rFonts w:hint="eastAsia" w:ascii="宋体" w:hAnsi="宋体" w:eastAsia="宋体" w:cs="宋体"/>
                <w:b/>
                <w:color w:val="auto"/>
                <w:sz w:val="21"/>
                <w:szCs w:val="21"/>
              </w:rPr>
              <w:t>设备名称</w:t>
            </w:r>
          </w:p>
        </w:tc>
        <w:tc>
          <w:tcPr>
            <w:tcW w:w="2835" w:type="dxa"/>
            <w:vAlign w:val="center"/>
          </w:tcPr>
          <w:p w14:paraId="525C70DA">
            <w:pPr>
              <w:pStyle w:val="139"/>
              <w:rPr>
                <w:rFonts w:hint="eastAsia" w:ascii="宋体" w:hAnsi="宋体" w:eastAsia="宋体" w:cs="宋体"/>
                <w:b w:val="0"/>
                <w:color w:val="auto"/>
                <w:sz w:val="21"/>
                <w:szCs w:val="21"/>
              </w:rPr>
            </w:pPr>
            <w:r>
              <w:rPr>
                <w:rFonts w:hint="eastAsia" w:ascii="宋体" w:hAnsi="宋体" w:eastAsia="宋体" w:cs="宋体"/>
                <w:b/>
                <w:color w:val="auto"/>
                <w:sz w:val="21"/>
                <w:szCs w:val="21"/>
              </w:rPr>
              <w:t>规格型号</w:t>
            </w:r>
          </w:p>
        </w:tc>
        <w:tc>
          <w:tcPr>
            <w:tcW w:w="567" w:type="dxa"/>
            <w:vAlign w:val="center"/>
          </w:tcPr>
          <w:p w14:paraId="3B170F36">
            <w:pPr>
              <w:pStyle w:val="139"/>
              <w:rPr>
                <w:rFonts w:hint="eastAsia" w:ascii="宋体" w:hAnsi="宋体" w:eastAsia="宋体" w:cs="宋体"/>
                <w:b w:val="0"/>
                <w:color w:val="auto"/>
                <w:sz w:val="21"/>
                <w:szCs w:val="21"/>
              </w:rPr>
            </w:pPr>
            <w:r>
              <w:rPr>
                <w:rFonts w:hint="eastAsia" w:ascii="宋体" w:hAnsi="宋体" w:eastAsia="宋体" w:cs="宋体"/>
                <w:b/>
                <w:color w:val="auto"/>
                <w:sz w:val="21"/>
                <w:szCs w:val="21"/>
              </w:rPr>
              <w:t>单位</w:t>
            </w:r>
          </w:p>
        </w:tc>
        <w:tc>
          <w:tcPr>
            <w:tcW w:w="567" w:type="dxa"/>
            <w:vAlign w:val="center"/>
          </w:tcPr>
          <w:p w14:paraId="1D3B45D2">
            <w:pPr>
              <w:pStyle w:val="139"/>
              <w:rPr>
                <w:rFonts w:hint="eastAsia" w:ascii="宋体" w:hAnsi="宋体" w:eastAsia="宋体" w:cs="宋体"/>
                <w:b w:val="0"/>
                <w:color w:val="auto"/>
                <w:sz w:val="21"/>
                <w:szCs w:val="21"/>
              </w:rPr>
            </w:pPr>
            <w:r>
              <w:rPr>
                <w:rFonts w:hint="eastAsia" w:ascii="宋体" w:hAnsi="宋体" w:eastAsia="宋体" w:cs="宋体"/>
                <w:b/>
                <w:color w:val="auto"/>
                <w:sz w:val="21"/>
                <w:szCs w:val="21"/>
              </w:rPr>
              <w:t>数量</w:t>
            </w:r>
          </w:p>
        </w:tc>
      </w:tr>
      <w:tr w14:paraId="4934B8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22A89D97">
            <w:pPr>
              <w:pStyle w:val="13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1559" w:type="dxa"/>
            <w:vAlign w:val="center"/>
          </w:tcPr>
          <w:p w14:paraId="15E6F257">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起重用钢丝绳</w:t>
            </w:r>
          </w:p>
        </w:tc>
        <w:tc>
          <w:tcPr>
            <w:tcW w:w="2835" w:type="dxa"/>
            <w:vAlign w:val="center"/>
          </w:tcPr>
          <w:p w14:paraId="7F506E05">
            <w:pPr>
              <w:pStyle w:val="139"/>
              <w:rPr>
                <w:rFonts w:hint="eastAsia" w:ascii="宋体" w:hAnsi="宋体" w:eastAsia="宋体" w:cs="宋体"/>
                <w:color w:val="auto"/>
                <w:sz w:val="21"/>
                <w:szCs w:val="21"/>
              </w:rPr>
            </w:pPr>
            <w:r>
              <w:rPr>
                <w:rFonts w:hint="eastAsia" w:ascii="宋体" w:hAnsi="宋体" w:eastAsia="宋体" w:cs="宋体"/>
                <w:b w:val="0"/>
                <w:bCs w:val="0"/>
                <w:sz w:val="21"/>
                <w:szCs w:val="21"/>
                <w:lang w:val="en-US" w:eastAsia="zh-CN"/>
              </w:rPr>
              <w:t>18</w:t>
            </w:r>
            <w:r>
              <w:rPr>
                <w:rFonts w:hint="eastAsia" w:ascii="宋体" w:hAnsi="宋体" w:eastAsia="宋体" w:cs="宋体"/>
                <w:b w:val="0"/>
                <w:bCs w:val="0"/>
                <w:sz w:val="21"/>
                <w:szCs w:val="21"/>
              </w:rPr>
              <w:t>mm6×19S+FC1</w:t>
            </w:r>
            <w:r>
              <w:rPr>
                <w:rFonts w:hint="eastAsia" w:ascii="宋体" w:hAnsi="宋体" w:eastAsia="宋体" w:cs="宋体"/>
                <w:b w:val="0"/>
                <w:bCs w:val="0"/>
                <w:sz w:val="21"/>
                <w:szCs w:val="21"/>
                <w:lang w:val="en-US" w:eastAsia="zh-CN"/>
              </w:rPr>
              <w:t>8</w:t>
            </w:r>
            <w:r>
              <w:rPr>
                <w:rFonts w:hint="eastAsia" w:ascii="宋体" w:hAnsi="宋体" w:eastAsia="宋体" w:cs="宋体"/>
                <w:b w:val="0"/>
                <w:bCs w:val="0"/>
                <w:sz w:val="21"/>
                <w:szCs w:val="21"/>
              </w:rPr>
              <w:t>70Mpa</w:t>
            </w:r>
          </w:p>
        </w:tc>
        <w:tc>
          <w:tcPr>
            <w:tcW w:w="567" w:type="dxa"/>
            <w:vAlign w:val="center"/>
          </w:tcPr>
          <w:p w14:paraId="1E089A5B">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根</w:t>
            </w:r>
          </w:p>
        </w:tc>
        <w:tc>
          <w:tcPr>
            <w:tcW w:w="567" w:type="dxa"/>
            <w:vAlign w:val="center"/>
          </w:tcPr>
          <w:p w14:paraId="7A0EA153">
            <w:pPr>
              <w:pStyle w:val="13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4</w:t>
            </w:r>
          </w:p>
        </w:tc>
      </w:tr>
      <w:tr w14:paraId="2EE420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0DFE88A1">
            <w:pPr>
              <w:pStyle w:val="13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559" w:type="dxa"/>
            <w:vAlign w:val="center"/>
          </w:tcPr>
          <w:p w14:paraId="711DE1D8">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起重用钢丝绳</w:t>
            </w:r>
          </w:p>
        </w:tc>
        <w:tc>
          <w:tcPr>
            <w:tcW w:w="2835" w:type="dxa"/>
            <w:vAlign w:val="center"/>
          </w:tcPr>
          <w:p w14:paraId="14B750DD">
            <w:pPr>
              <w:pStyle w:val="139"/>
              <w:rPr>
                <w:rFonts w:hint="eastAsia" w:ascii="宋体" w:hAnsi="宋体" w:eastAsia="宋体" w:cs="宋体"/>
                <w:color w:val="auto"/>
                <w:sz w:val="21"/>
                <w:szCs w:val="21"/>
              </w:rPr>
            </w:pPr>
            <w:r>
              <w:rPr>
                <w:rFonts w:hint="eastAsia" w:ascii="宋体" w:hAnsi="宋体" w:eastAsia="宋体" w:cs="宋体"/>
                <w:b w:val="0"/>
                <w:bCs w:val="0"/>
                <w:sz w:val="21"/>
                <w:szCs w:val="21"/>
                <w:lang w:val="en-US" w:eastAsia="zh-CN"/>
              </w:rPr>
              <w:t>16</w:t>
            </w:r>
            <w:r>
              <w:rPr>
                <w:rFonts w:hint="eastAsia" w:ascii="宋体" w:hAnsi="宋体" w:eastAsia="宋体" w:cs="宋体"/>
                <w:b w:val="0"/>
                <w:bCs w:val="0"/>
                <w:sz w:val="21"/>
                <w:szCs w:val="21"/>
              </w:rPr>
              <w:t>mm6×19S+FC1</w:t>
            </w:r>
            <w:r>
              <w:rPr>
                <w:rFonts w:hint="eastAsia" w:ascii="宋体" w:hAnsi="宋体" w:eastAsia="宋体" w:cs="宋体"/>
                <w:b w:val="0"/>
                <w:bCs w:val="0"/>
                <w:sz w:val="21"/>
                <w:szCs w:val="21"/>
                <w:lang w:val="en-US" w:eastAsia="zh-CN"/>
              </w:rPr>
              <w:t>8</w:t>
            </w:r>
            <w:r>
              <w:rPr>
                <w:rFonts w:hint="eastAsia" w:ascii="宋体" w:hAnsi="宋体" w:eastAsia="宋体" w:cs="宋体"/>
                <w:b w:val="0"/>
                <w:bCs w:val="0"/>
                <w:sz w:val="21"/>
                <w:szCs w:val="21"/>
              </w:rPr>
              <w:t>70Mpa</w:t>
            </w:r>
          </w:p>
        </w:tc>
        <w:tc>
          <w:tcPr>
            <w:tcW w:w="567" w:type="dxa"/>
            <w:vAlign w:val="center"/>
          </w:tcPr>
          <w:p w14:paraId="524B1A6E">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根</w:t>
            </w:r>
          </w:p>
        </w:tc>
        <w:tc>
          <w:tcPr>
            <w:tcW w:w="567" w:type="dxa"/>
            <w:vAlign w:val="center"/>
          </w:tcPr>
          <w:p w14:paraId="59F7E62F">
            <w:pPr>
              <w:pStyle w:val="13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r>
      <w:tr w14:paraId="20F2D5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33A52081">
            <w:pPr>
              <w:pStyle w:val="13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1559" w:type="dxa"/>
            <w:vAlign w:val="center"/>
          </w:tcPr>
          <w:p w14:paraId="269E116B">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卸扣</w:t>
            </w:r>
          </w:p>
        </w:tc>
        <w:tc>
          <w:tcPr>
            <w:tcW w:w="2835" w:type="dxa"/>
            <w:vAlign w:val="center"/>
          </w:tcPr>
          <w:p w14:paraId="32A79C40">
            <w:pPr>
              <w:pStyle w:val="139"/>
              <w:rPr>
                <w:rFonts w:hint="eastAsia" w:ascii="宋体" w:hAnsi="宋体" w:eastAsia="宋体" w:cs="宋体"/>
                <w:color w:val="auto"/>
                <w:sz w:val="21"/>
                <w:szCs w:val="21"/>
                <w:lang w:val="en-US" w:eastAsia="zh-CN"/>
              </w:rPr>
            </w:pPr>
            <w:r>
              <w:rPr>
                <w:rFonts w:hint="eastAsia" w:ascii="宋体" w:hAnsi="宋体" w:eastAsia="宋体" w:cs="宋体"/>
                <w:sz w:val="21"/>
                <w:szCs w:val="21"/>
              </w:rPr>
              <w:t>GB/T 25854-6-DW</w:t>
            </w:r>
            <w:r>
              <w:rPr>
                <w:rFonts w:hint="eastAsia" w:ascii="宋体" w:hAnsi="宋体" w:eastAsia="宋体" w:cs="宋体"/>
                <w:sz w:val="21"/>
                <w:szCs w:val="21"/>
                <w:lang w:val="en-US" w:eastAsia="zh-CN"/>
              </w:rPr>
              <w:t>5</w:t>
            </w:r>
          </w:p>
        </w:tc>
        <w:tc>
          <w:tcPr>
            <w:tcW w:w="567" w:type="dxa"/>
            <w:vAlign w:val="center"/>
          </w:tcPr>
          <w:p w14:paraId="7E7694B5">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个</w:t>
            </w:r>
          </w:p>
        </w:tc>
        <w:tc>
          <w:tcPr>
            <w:tcW w:w="567" w:type="dxa"/>
            <w:vAlign w:val="center"/>
          </w:tcPr>
          <w:p w14:paraId="1A174885">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4</w:t>
            </w:r>
          </w:p>
        </w:tc>
      </w:tr>
      <w:bookmarkEnd w:id="53"/>
      <w:bookmarkEnd w:id="54"/>
      <w:bookmarkEnd w:id="55"/>
      <w:bookmarkEnd w:id="56"/>
      <w:bookmarkEnd w:id="57"/>
      <w:bookmarkEnd w:id="58"/>
      <w:bookmarkEnd w:id="60"/>
    </w:tbl>
    <w:p w14:paraId="72A6700F">
      <w:pPr>
        <w:pStyle w:val="5"/>
        <w:rPr>
          <w:rFonts w:cs="Times New Roman"/>
          <w:color w:val="000000" w:themeColor="text1"/>
          <w14:textFill>
            <w14:solidFill>
              <w14:schemeClr w14:val="tx1"/>
            </w14:solidFill>
          </w14:textFill>
        </w:rPr>
      </w:pPr>
      <w:bookmarkStart w:id="62" w:name="_Toc6030"/>
      <w:bookmarkStart w:id="63" w:name="_Toc20348"/>
      <w:r>
        <w:rPr>
          <w:rFonts w:cs="Times New Roman"/>
          <w:color w:val="000000" w:themeColor="text1"/>
          <w14:textFill>
            <w14:solidFill>
              <w14:schemeClr w14:val="tx1"/>
            </w14:solidFill>
          </w14:textFill>
        </w:rPr>
        <w:t>施工准备</w:t>
      </w:r>
      <w:bookmarkEnd w:id="62"/>
      <w:bookmarkEnd w:id="63"/>
    </w:p>
    <w:p w14:paraId="74FA182B">
      <w:pPr>
        <w:pStyle w:val="6"/>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技术</w:t>
      </w:r>
      <w:r>
        <w:rPr>
          <w:rFonts w:cs="Times New Roman"/>
          <w:color w:val="000000" w:themeColor="text1"/>
          <w14:textFill>
            <w14:solidFill>
              <w14:schemeClr w14:val="tx1"/>
            </w14:solidFill>
          </w14:textFill>
        </w:rPr>
        <w:t>准备</w:t>
      </w:r>
    </w:p>
    <w:p w14:paraId="3D5077DA">
      <w:pPr>
        <w:pStyle w:val="78"/>
        <w:numPr>
          <w:ilvl w:val="0"/>
          <w:numId w:val="8"/>
        </w:numPr>
        <w:ind w:firstLine="480"/>
        <w:rPr>
          <w:color w:val="000000" w:themeColor="text1"/>
          <w14:textFill>
            <w14:solidFill>
              <w14:schemeClr w14:val="tx1"/>
            </w14:solidFill>
          </w14:textFill>
        </w:rPr>
      </w:pPr>
      <w:r>
        <w:rPr>
          <w:color w:val="000000" w:themeColor="text1"/>
          <w14:textFill>
            <w14:solidFill>
              <w14:schemeClr w14:val="tx1"/>
            </w14:solidFill>
          </w14:textFill>
        </w:rPr>
        <w:t>施工队伍应有合格的</w:t>
      </w:r>
      <w:r>
        <w:rPr>
          <w:rFonts w:hint="eastAsia"/>
          <w:color w:val="000000" w:themeColor="text1"/>
          <w:lang w:eastAsia="zh-CN"/>
          <w14:textFill>
            <w14:solidFill>
              <w14:schemeClr w14:val="tx1"/>
            </w14:solidFill>
          </w14:textFill>
        </w:rPr>
        <w:t>安装</w:t>
      </w:r>
      <w:r>
        <w:rPr>
          <w:color w:val="000000" w:themeColor="text1"/>
          <w14:textFill>
            <w14:solidFill>
              <w14:schemeClr w14:val="tx1"/>
            </w14:solidFill>
          </w14:textFill>
        </w:rPr>
        <w:t>资质，且熟悉塔式起重机</w:t>
      </w:r>
      <w:r>
        <w:rPr>
          <w:rFonts w:hint="eastAsia"/>
          <w:color w:val="000000" w:themeColor="text1"/>
          <w:lang w:eastAsia="zh-CN"/>
          <w14:textFill>
            <w14:solidFill>
              <w14:schemeClr w14:val="tx1"/>
            </w14:solidFill>
          </w14:textFill>
        </w:rPr>
        <w:t>安装</w:t>
      </w:r>
      <w:r>
        <w:rPr>
          <w:color w:val="000000" w:themeColor="text1"/>
          <w14:textFill>
            <w14:solidFill>
              <w14:schemeClr w14:val="tx1"/>
            </w14:solidFill>
          </w14:textFill>
        </w:rPr>
        <w:t>工艺。</w:t>
      </w:r>
    </w:p>
    <w:p w14:paraId="592B9A0D">
      <w:pPr>
        <w:pStyle w:val="78"/>
        <w:numPr>
          <w:ilvl w:val="0"/>
          <w:numId w:val="8"/>
        </w:numPr>
        <w:ind w:firstLine="480"/>
        <w:rPr>
          <w:color w:val="000000" w:themeColor="text1"/>
          <w14:textFill>
            <w14:solidFill>
              <w14:schemeClr w14:val="tx1"/>
            </w14:solidFill>
          </w14:textFill>
        </w:rPr>
      </w:pPr>
      <w:r>
        <w:rPr>
          <w:color w:val="000000" w:themeColor="text1"/>
          <w14:textFill>
            <w14:solidFill>
              <w14:schemeClr w14:val="tx1"/>
            </w14:solidFill>
          </w14:textFill>
        </w:rPr>
        <w:t>成立</w:t>
      </w:r>
      <w:r>
        <w:rPr>
          <w:rFonts w:hint="eastAsia"/>
          <w:color w:val="000000" w:themeColor="text1"/>
          <w:lang w:eastAsia="zh-CN"/>
          <w14:textFill>
            <w14:solidFill>
              <w14:schemeClr w14:val="tx1"/>
            </w14:solidFill>
          </w14:textFill>
        </w:rPr>
        <w:t>安装</w:t>
      </w:r>
      <w:r>
        <w:rPr>
          <w:color w:val="000000" w:themeColor="text1"/>
          <w14:textFill>
            <w14:solidFill>
              <w14:schemeClr w14:val="tx1"/>
            </w14:solidFill>
          </w14:textFill>
        </w:rPr>
        <w:t>安全工作小组，对整个</w:t>
      </w:r>
      <w:r>
        <w:rPr>
          <w:rFonts w:hint="eastAsia"/>
          <w:color w:val="000000" w:themeColor="text1"/>
          <w:lang w:eastAsia="zh-CN"/>
          <w14:textFill>
            <w14:solidFill>
              <w14:schemeClr w14:val="tx1"/>
            </w14:solidFill>
          </w14:textFill>
        </w:rPr>
        <w:t>安装</w:t>
      </w:r>
      <w:r>
        <w:rPr>
          <w:color w:val="000000" w:themeColor="text1"/>
          <w14:textFill>
            <w14:solidFill>
              <w14:schemeClr w14:val="tx1"/>
            </w14:solidFill>
          </w14:textFill>
        </w:rPr>
        <w:t>过程进行有效监管。</w:t>
      </w:r>
    </w:p>
    <w:p w14:paraId="1860C44A">
      <w:pPr>
        <w:pStyle w:val="78"/>
        <w:numPr>
          <w:ilvl w:val="0"/>
          <w:numId w:val="8"/>
        </w:numPr>
        <w:ind w:firstLine="480"/>
        <w:rPr>
          <w:color w:val="000000" w:themeColor="text1"/>
          <w14:textFill>
            <w14:solidFill>
              <w14:schemeClr w14:val="tx1"/>
            </w14:solidFill>
          </w14:textFill>
        </w:rPr>
      </w:pPr>
      <w:r>
        <w:rPr>
          <w:color w:val="000000" w:themeColor="text1"/>
          <w14:textFill>
            <w14:solidFill>
              <w14:schemeClr w14:val="tx1"/>
            </w14:solidFill>
          </w14:textFill>
        </w:rPr>
        <w:t>组织学习安全技术措施，现场进行技术交底，落实每项工作。</w:t>
      </w:r>
    </w:p>
    <w:p w14:paraId="6637472D">
      <w:pPr>
        <w:pStyle w:val="78"/>
        <w:numPr>
          <w:ilvl w:val="0"/>
          <w:numId w:val="8"/>
        </w:numPr>
        <w:ind w:firstLine="480"/>
        <w:rPr>
          <w:color w:val="000000" w:themeColor="text1"/>
          <w14:textFill>
            <w14:solidFill>
              <w14:schemeClr w14:val="tx1"/>
            </w14:solidFill>
          </w14:textFill>
        </w:rPr>
      </w:pPr>
      <w:r>
        <w:rPr>
          <w:color w:val="000000" w:themeColor="text1"/>
          <w14:textFill>
            <w14:solidFill>
              <w14:schemeClr w14:val="tx1"/>
            </w14:solidFill>
          </w14:textFill>
        </w:rPr>
        <w:t>所有进行</w:t>
      </w:r>
      <w:r>
        <w:rPr>
          <w:rFonts w:hint="eastAsia"/>
          <w:color w:val="000000" w:themeColor="text1"/>
          <w:lang w:eastAsia="zh-CN"/>
          <w14:textFill>
            <w14:solidFill>
              <w14:schemeClr w14:val="tx1"/>
            </w14:solidFill>
          </w14:textFill>
        </w:rPr>
        <w:t>安装</w:t>
      </w:r>
      <w:r>
        <w:rPr>
          <w:color w:val="000000" w:themeColor="text1"/>
          <w14:textFill>
            <w14:solidFill>
              <w14:schemeClr w14:val="tx1"/>
            </w14:solidFill>
          </w14:textFill>
        </w:rPr>
        <w:t>的有关人员，均需持证上岗，并针对本工程经过培训。</w:t>
      </w:r>
    </w:p>
    <w:p w14:paraId="112F2C0D">
      <w:pPr>
        <w:numPr>
          <w:ilvl w:val="0"/>
          <w:numId w:val="2"/>
        </w:numPr>
        <w:bidi w:val="0"/>
        <w:rPr>
          <w:color w:val="000000" w:themeColor="text1"/>
          <w14:textFill>
            <w14:solidFill>
              <w14:schemeClr w14:val="tx1"/>
            </w14:solidFill>
          </w14:textFill>
        </w:rPr>
      </w:pPr>
      <w:r>
        <w:rPr>
          <w:rFonts w:hint="default" w:ascii="Times New Roman" w:hAnsi="Times New Roman" w:cs="Times New Roman"/>
        </w:rPr>
        <w:t>附墙杆件</w:t>
      </w:r>
      <w:r>
        <w:rPr>
          <w:rFonts w:hint="default" w:ascii="Times New Roman" w:hAnsi="Times New Roman" w:cs="Times New Roman"/>
          <w:lang w:val="en-US" w:eastAsia="zh-CN"/>
        </w:rPr>
        <w:t>经过</w:t>
      </w:r>
      <w:r>
        <w:rPr>
          <w:rFonts w:hint="default" w:ascii="Times New Roman" w:hAnsi="Times New Roman" w:cs="Times New Roman"/>
        </w:rPr>
        <w:t>设计计算</w:t>
      </w:r>
      <w:r>
        <w:rPr>
          <w:rFonts w:hint="default" w:ascii="Times New Roman" w:hAnsi="Times New Roman" w:cs="Times New Roman"/>
          <w:lang w:val="en-US" w:eastAsia="zh-CN"/>
        </w:rPr>
        <w:t>验证，</w:t>
      </w:r>
      <w:r>
        <w:rPr>
          <w:rFonts w:hint="eastAsia" w:cs="Times New Roman"/>
          <w:lang w:val="en-US" w:eastAsia="zh-CN"/>
        </w:rPr>
        <w:t>安装</w:t>
      </w:r>
      <w:r>
        <w:rPr>
          <w:rFonts w:hint="default" w:ascii="Times New Roman" w:hAnsi="Times New Roman" w:cs="Times New Roman"/>
          <w:lang w:val="en-US" w:eastAsia="zh-CN"/>
        </w:rPr>
        <w:t>方案经过审核审批。</w:t>
      </w:r>
    </w:p>
    <w:p w14:paraId="5B724B70">
      <w:pPr>
        <w:pStyle w:val="6"/>
        <w:bidi w:val="0"/>
        <w:rPr>
          <w:rFonts w:hint="default"/>
          <w:lang w:val="en-US"/>
        </w:rPr>
      </w:pPr>
      <w:r>
        <w:rPr>
          <w:rFonts w:hint="eastAsia"/>
          <w:lang w:val="en-US" w:eastAsia="zh-CN"/>
        </w:rPr>
        <w:t>施工准备</w:t>
      </w:r>
    </w:p>
    <w:p w14:paraId="60D1C024">
      <w:pPr>
        <w:pStyle w:val="78"/>
        <w:numPr>
          <w:ilvl w:val="0"/>
          <w:numId w:val="9"/>
        </w:numPr>
        <w:ind w:firstLine="480"/>
        <w:rPr>
          <w:rFonts w:hint="default" w:ascii="Times New Roman" w:hAnsi="Times New Roman" w:cs="Times New Roman"/>
        </w:rPr>
      </w:pPr>
      <w:r>
        <w:rPr>
          <w:rFonts w:hint="default" w:ascii="Times New Roman" w:hAnsi="Times New Roman" w:cs="Times New Roman"/>
        </w:rPr>
        <w:t>准备好</w:t>
      </w:r>
      <w:r>
        <w:rPr>
          <w:rFonts w:hint="eastAsia" w:cs="Times New Roman"/>
          <w:lang w:eastAsia="zh-CN"/>
        </w:rPr>
        <w:t>安装</w:t>
      </w:r>
      <w:r>
        <w:rPr>
          <w:rFonts w:hint="default" w:ascii="Times New Roman" w:hAnsi="Times New Roman" w:cs="Times New Roman"/>
        </w:rPr>
        <w:t>人员的安全带，安全绳，防滑鞋，安全帽等。</w:t>
      </w:r>
    </w:p>
    <w:p w14:paraId="3837F1E5">
      <w:pPr>
        <w:pStyle w:val="78"/>
        <w:numPr>
          <w:ilvl w:val="0"/>
          <w:numId w:val="9"/>
        </w:numPr>
        <w:ind w:firstLine="480"/>
        <w:rPr>
          <w:rFonts w:hint="default" w:ascii="Times New Roman" w:hAnsi="Times New Roman" w:cs="Times New Roman"/>
        </w:rPr>
      </w:pPr>
      <w:r>
        <w:rPr>
          <w:rFonts w:hint="default" w:ascii="Times New Roman" w:hAnsi="Times New Roman" w:cs="Times New Roman"/>
        </w:rPr>
        <w:t>定好吊装主要部件的尺寸，重量，高度，确定起重设备规格，并准备好吊装机具，</w:t>
      </w:r>
      <w:r>
        <w:rPr>
          <w:rFonts w:hint="eastAsia" w:cs="Times New Roman"/>
          <w:lang w:eastAsia="zh-CN"/>
        </w:rPr>
        <w:t>安装</w:t>
      </w:r>
      <w:r>
        <w:rPr>
          <w:rFonts w:hint="default" w:ascii="Times New Roman" w:hAnsi="Times New Roman" w:cs="Times New Roman"/>
        </w:rPr>
        <w:t>工具（扳手、大锤、钢丝绳、手拉葫芦、氧气乙炔）等。</w:t>
      </w:r>
    </w:p>
    <w:p w14:paraId="7E445475">
      <w:pPr>
        <w:pStyle w:val="78"/>
        <w:numPr>
          <w:ilvl w:val="0"/>
          <w:numId w:val="9"/>
        </w:numPr>
        <w:ind w:firstLine="480"/>
        <w:rPr>
          <w:rFonts w:hint="default" w:ascii="Times New Roman" w:hAnsi="Times New Roman" w:cs="Times New Roman"/>
        </w:rPr>
      </w:pPr>
      <w:r>
        <w:rPr>
          <w:rFonts w:hint="default" w:ascii="Times New Roman" w:hAnsi="Times New Roman" w:cs="Times New Roman"/>
        </w:rPr>
        <w:t>所有起重设备应进行试吊，确保设备完好。</w:t>
      </w:r>
    </w:p>
    <w:p w14:paraId="58A5C2FD">
      <w:pPr>
        <w:pStyle w:val="78"/>
        <w:numPr>
          <w:ilvl w:val="0"/>
          <w:numId w:val="9"/>
        </w:numPr>
        <w:ind w:firstLine="480"/>
        <w:rPr>
          <w:rFonts w:hint="default" w:ascii="Times New Roman" w:hAnsi="Times New Roman" w:cs="Times New Roman"/>
        </w:rPr>
      </w:pPr>
      <w:r>
        <w:rPr>
          <w:rFonts w:hint="default" w:ascii="Times New Roman" w:hAnsi="Times New Roman" w:cs="Times New Roman"/>
        </w:rPr>
        <w:t>所有手动吊装、焊接、测量等工具，均需经计量检验合格，方可用于本工程。</w:t>
      </w:r>
    </w:p>
    <w:p w14:paraId="67824B4A">
      <w:pPr>
        <w:ind w:firstLine="480"/>
        <w:rPr>
          <w:rFonts w:hint="default" w:ascii="Times New Roman" w:hAnsi="Times New Roman" w:cs="Times New Roman"/>
        </w:rPr>
      </w:pPr>
      <w:r>
        <w:rPr>
          <w:rFonts w:hint="default" w:ascii="Times New Roman" w:hAnsi="Times New Roman" w:eastAsia="宋体" w:cs="Times New Roman"/>
          <w:kern w:val="2"/>
          <w:sz w:val="24"/>
          <w:szCs w:val="21"/>
          <w:lang w:val="en-US" w:eastAsia="zh-CN" w:bidi="ar-SA"/>
        </w:rPr>
        <w:t>（5）</w:t>
      </w:r>
      <w:r>
        <w:rPr>
          <w:rFonts w:hint="default" w:ascii="Times New Roman" w:hAnsi="Times New Roman" w:cs="Times New Roman"/>
        </w:rPr>
        <w:t>正式施工前，做好主要施工机具和分项工艺的检验工作。根据检验结果，对工艺进行进一步的修改及细化。设备检查包括：</w:t>
      </w:r>
    </w:p>
    <w:p w14:paraId="54532F4C">
      <w:pPr>
        <w:bidi w:val="0"/>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塔机所有钢构件无变形、无裂纹；塔所有电机机座是否固定牢靠，传动部位有无变形、裂纹；</w:t>
      </w:r>
    </w:p>
    <w:p w14:paraId="6EB3F867">
      <w:pPr>
        <w:bidi w:val="0"/>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塔机所有滑轮部位有无防钢丝绳脱槽装置，滑轮轴有无磨损，滑轮座是否固定牢靠；塔机所有防护栏杆是否完好，焊接牢靠，无锈蚀；</w:t>
      </w:r>
    </w:p>
    <w:p w14:paraId="5244DAD4">
      <w:pPr>
        <w:bidi w:val="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塔机所有柱销孔和销柱体符合要求，无晃动、无严重磨损；</w:t>
      </w:r>
    </w:p>
    <w:p w14:paraId="2ECA396B">
      <w:pPr>
        <w:bidi w:val="0"/>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塔机所有柱销上的开口销是否配套，并开口；</w:t>
      </w:r>
    </w:p>
    <w:p w14:paraId="6D8AC4E3">
      <w:pPr>
        <w:bidi w:val="0"/>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检查钢丝绳磨损状况，检查顶升套架围栏支撑连接部位部件是否完好；</w:t>
      </w:r>
    </w:p>
    <w:p w14:paraId="6FA68C9F">
      <w:pPr>
        <w:bidi w:val="0"/>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检查顶升套架机构滑动部位及支撑的爪钩等处是否完好；</w:t>
      </w:r>
    </w:p>
    <w:p w14:paraId="7B2919F0">
      <w:pPr>
        <w:bidi w:val="0"/>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检查顶升套架标准节推入机构是否完好，各部件无变形；</w:t>
      </w:r>
    </w:p>
    <w:p w14:paraId="60FDFF63">
      <w:pPr>
        <w:bidi w:val="0"/>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检查回转支撑机构是否润滑良好，螺栓是否紧固；</w:t>
      </w:r>
    </w:p>
    <w:p w14:paraId="741D3D03">
      <w:pPr>
        <w:bidi w:val="0"/>
        <w:rPr>
          <w:rFonts w:hint="default" w:ascii="Times New Roman" w:hAnsi="Times New Roman" w:cs="Times New Roman"/>
        </w:rPr>
      </w:pPr>
      <w:r>
        <w:rPr>
          <w:rFonts w:hint="default" w:ascii="Times New Roman" w:hAnsi="Times New Roman" w:cs="Times New Roman"/>
          <w:lang w:val="en-US" w:eastAsia="zh-CN"/>
        </w:rPr>
        <w:t>9、</w:t>
      </w:r>
      <w:r>
        <w:rPr>
          <w:rFonts w:hint="default" w:ascii="Times New Roman" w:hAnsi="Times New Roman" w:cs="Times New Roman"/>
        </w:rPr>
        <w:t>检查电器是否完好无损，电缆线无老化、裸露，各电气绝缘保证良好；</w:t>
      </w:r>
    </w:p>
    <w:p w14:paraId="508EC6F1">
      <w:pPr>
        <w:bidi w:val="0"/>
        <w:rPr>
          <w:rFonts w:hint="default" w:ascii="Times New Roman" w:hAnsi="Times New Roman" w:cs="Times New Roman"/>
        </w:rPr>
      </w:pPr>
      <w:r>
        <w:rPr>
          <w:rFonts w:hint="default" w:ascii="Times New Roman" w:hAnsi="Times New Roman" w:cs="Times New Roman"/>
          <w:lang w:val="en-US" w:eastAsia="zh-CN"/>
        </w:rPr>
        <w:t>10、</w:t>
      </w:r>
      <w:r>
        <w:rPr>
          <w:rFonts w:hint="default" w:ascii="Times New Roman" w:hAnsi="Times New Roman" w:cs="Times New Roman"/>
        </w:rPr>
        <w:t>幅度、力矩、超重、回转、吊钩高度限位器和电铃等安全装置齐全，并保证其灵敏可靠；检查吊钩保险、大钢丝绳卷筒保险、防小钢丝绳断绳装置等保险装置是否完好；检查司机室、闸箱等是否完好，固定牢靠；</w:t>
      </w:r>
    </w:p>
    <w:p w14:paraId="0F6C6A9A">
      <w:pPr>
        <w:bidi w:val="0"/>
        <w:rPr>
          <w:rFonts w:hint="default" w:ascii="Times New Roman" w:hAnsi="Times New Roman" w:cs="Times New Roman"/>
        </w:rPr>
      </w:pPr>
      <w:r>
        <w:rPr>
          <w:rFonts w:hint="default" w:ascii="Times New Roman" w:hAnsi="Times New Roman" w:cs="Times New Roman"/>
          <w:lang w:val="en-US" w:eastAsia="zh-CN"/>
        </w:rPr>
        <w:t>11、</w:t>
      </w:r>
      <w:r>
        <w:rPr>
          <w:rFonts w:hint="default" w:ascii="Times New Roman" w:hAnsi="Times New Roman" w:cs="Times New Roman"/>
        </w:rPr>
        <w:t>检查刹车部位是否完好，刹车皮是否磨损严重；</w:t>
      </w:r>
    </w:p>
    <w:p w14:paraId="644258C5">
      <w:pPr>
        <w:bidi w:val="0"/>
        <w:rPr>
          <w:rFonts w:hint="default" w:ascii="Times New Roman" w:hAnsi="Times New Roman" w:cs="Times New Roman"/>
        </w:rPr>
      </w:pPr>
      <w:r>
        <w:rPr>
          <w:rFonts w:hint="default" w:ascii="Times New Roman" w:hAnsi="Times New Roman" w:cs="Times New Roman"/>
          <w:lang w:val="en-US" w:eastAsia="zh-CN"/>
        </w:rPr>
        <w:t>12、</w:t>
      </w:r>
      <w:r>
        <w:rPr>
          <w:rFonts w:hint="default" w:ascii="Times New Roman" w:hAnsi="Times New Roman" w:cs="Times New Roman"/>
        </w:rPr>
        <w:t>查塔机小车行走轮是否润滑良好，有无严重磨损和裂纹；检查配重、配重吊环是否牢固，完好。</w:t>
      </w:r>
    </w:p>
    <w:p w14:paraId="57826C17">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6</w:t>
      </w:r>
      <w:r>
        <w:rPr>
          <w:rFonts w:hint="default" w:ascii="Times New Roman" w:hAnsi="Times New Roman" w:cs="Times New Roman"/>
          <w:lang w:eastAsia="zh-CN"/>
        </w:rPr>
        <w:t>）</w:t>
      </w:r>
      <w:r>
        <w:rPr>
          <w:rFonts w:hint="default" w:ascii="Times New Roman" w:hAnsi="Times New Roman" w:cs="Times New Roman"/>
        </w:rPr>
        <w:t>在吊装前应作好现场气象资料的预报和收集工作，在吊装过程中应对现场气象情况进行实时监控并要提供当地气象局三天内的天气报告。</w:t>
      </w:r>
    </w:p>
    <w:p w14:paraId="7AAF85EC">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7</w:t>
      </w:r>
      <w:r>
        <w:rPr>
          <w:rFonts w:hint="default" w:ascii="Times New Roman" w:hAnsi="Times New Roman" w:cs="Times New Roman"/>
          <w:lang w:eastAsia="zh-CN"/>
        </w:rPr>
        <w:t>）</w:t>
      </w:r>
      <w:r>
        <w:rPr>
          <w:rFonts w:hint="default" w:ascii="Times New Roman" w:hAnsi="Times New Roman" w:cs="Times New Roman"/>
        </w:rPr>
        <w:t>划分安全警戒区域，指定监护人员，非工作人员不得进入警戒区。</w:t>
      </w:r>
    </w:p>
    <w:p w14:paraId="298C0A49">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8</w:t>
      </w:r>
      <w:r>
        <w:rPr>
          <w:rFonts w:hint="default" w:ascii="Times New Roman" w:hAnsi="Times New Roman" w:cs="Times New Roman"/>
          <w:lang w:eastAsia="zh-CN"/>
        </w:rPr>
        <w:t>）</w:t>
      </w:r>
      <w:r>
        <w:rPr>
          <w:rFonts w:hint="default" w:ascii="Times New Roman" w:hAnsi="Times New Roman" w:cs="Times New Roman"/>
        </w:rPr>
        <w:t>每台塔式起重机设立专用配电箱，符合临时用电《施工现场临时用电安全技术规范》（JGJ 46-2005）相关要求。施工现场每台塔机需设置一个专用三级配电箱，并距塔机中心不大于5m，需满足“一机、一箱、一闸、一漏”的要求。供电电缆选用橡皮绝缘电缆，使用单位需做好现场的电源配置工作。</w:t>
      </w:r>
    </w:p>
    <w:p w14:paraId="48CD5545">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9</w:t>
      </w:r>
      <w:r>
        <w:rPr>
          <w:rFonts w:hint="default" w:ascii="Times New Roman" w:hAnsi="Times New Roman" w:cs="Times New Roman"/>
          <w:lang w:eastAsia="zh-CN"/>
        </w:rPr>
        <w:t>）</w:t>
      </w:r>
      <w:r>
        <w:rPr>
          <w:rFonts w:hint="default" w:ascii="Times New Roman" w:hAnsi="Times New Roman" w:cs="Times New Roman"/>
        </w:rPr>
        <w:t>塔身高度高于30m的塔式起重机，应在塔顶和臂架端部设置红色信号灯；高度超过50m需安装风速仪。</w:t>
      </w:r>
    </w:p>
    <w:p w14:paraId="48E25B77">
      <w:pPr>
        <w:pStyle w:val="5"/>
        <w:rPr>
          <w:rFonts w:cs="Times New Roman"/>
          <w:color w:val="000000" w:themeColor="text1"/>
          <w14:textFill>
            <w14:solidFill>
              <w14:schemeClr w14:val="tx1"/>
            </w14:solidFill>
          </w14:textFill>
        </w:rPr>
      </w:pPr>
      <w:bookmarkStart w:id="64" w:name="_Toc16841"/>
      <w:r>
        <w:rPr>
          <w:rFonts w:cs="Times New Roman"/>
          <w:color w:val="000000" w:themeColor="text1"/>
          <w14:textFill>
            <w14:solidFill>
              <w14:schemeClr w14:val="tx1"/>
            </w14:solidFill>
          </w14:textFill>
        </w:rPr>
        <w:t>塔式起重机安装施工工序</w:t>
      </w:r>
      <w:bookmarkEnd w:id="64"/>
    </w:p>
    <w:p w14:paraId="0CBDF971">
      <w:pPr>
        <w:pStyle w:val="6"/>
        <w:rPr>
          <w:rFonts w:cs="Times New Roman"/>
          <w:color w:val="000000" w:themeColor="text1"/>
          <w:highlight w:val="none"/>
          <w14:textFill>
            <w14:solidFill>
              <w14:schemeClr w14:val="tx1"/>
            </w14:solidFill>
          </w14:textFill>
        </w:rPr>
      </w:pPr>
      <w:bookmarkStart w:id="65" w:name="_Toc45631059"/>
      <w:r>
        <w:rPr>
          <w:rFonts w:hint="eastAsia" w:cs="Times New Roman"/>
          <w:color w:val="000000" w:themeColor="text1"/>
          <w:highlight w:val="none"/>
          <w:lang w:val="en-US" w:eastAsia="zh-CN"/>
          <w14:textFill>
            <w14:solidFill>
              <w14:schemeClr w14:val="tx1"/>
            </w14:solidFill>
          </w14:textFill>
        </w:rPr>
        <w:t>安装基础节</w:t>
      </w:r>
    </w:p>
    <w:p w14:paraId="5265B695">
      <w:pPr>
        <w:ind w:firstLine="480"/>
        <w:rPr>
          <w:rFonts w:ascii="Times New Roman" w:hAnsi="Times New Roman" w:eastAsia="宋体" w:cs="Times New Roman"/>
          <w:kern w:val="0"/>
        </w:rPr>
      </w:pPr>
      <w:r>
        <w:rPr>
          <w:rFonts w:ascii="Times New Roman" w:hAnsi="Times New Roman" w:eastAsia="宋体" w:cs="Times New Roman"/>
          <w:kern w:val="0"/>
        </w:rPr>
        <w:t>安装</w:t>
      </w:r>
      <w:r>
        <w:rPr>
          <w:rFonts w:hint="eastAsia" w:ascii="Times New Roman" w:hAnsi="Times New Roman" w:eastAsia="宋体" w:cs="Times New Roman"/>
          <w:kern w:val="0"/>
          <w:lang w:val="en-US" w:eastAsia="zh-CN"/>
        </w:rPr>
        <w:t>1</w:t>
      </w:r>
      <w:r>
        <w:rPr>
          <w:rFonts w:ascii="Times New Roman" w:hAnsi="Times New Roman" w:eastAsia="宋体" w:cs="Times New Roman"/>
          <w:kern w:val="0"/>
        </w:rPr>
        <w:t>节</w:t>
      </w:r>
      <w:r>
        <w:rPr>
          <w:rFonts w:hint="eastAsia" w:ascii="Times New Roman" w:hAnsi="Times New Roman" w:eastAsia="宋体" w:cs="Times New Roman"/>
          <w:kern w:val="0"/>
          <w:lang w:val="en-US" w:eastAsia="zh-CN"/>
        </w:rPr>
        <w:t>基础</w:t>
      </w:r>
      <w:r>
        <w:rPr>
          <w:rFonts w:ascii="Times New Roman" w:hAnsi="Times New Roman" w:eastAsia="宋体" w:cs="Times New Roman"/>
          <w:kern w:val="0"/>
        </w:rPr>
        <w:t>节，</w:t>
      </w:r>
      <w:r>
        <w:rPr>
          <w:rFonts w:hint="eastAsia" w:ascii="Times New Roman" w:hAnsi="Times New Roman" w:eastAsia="宋体" w:cs="Times New Roman"/>
          <w:kern w:val="0"/>
          <w:lang w:val="en-US" w:eastAsia="zh-CN"/>
        </w:rPr>
        <w:t>基础</w:t>
      </w:r>
      <w:r>
        <w:rPr>
          <w:rFonts w:ascii="Times New Roman" w:hAnsi="Times New Roman" w:eastAsia="宋体" w:cs="Times New Roman"/>
          <w:kern w:val="0"/>
        </w:rPr>
        <w:t>节</w:t>
      </w:r>
      <w:r>
        <w:rPr>
          <w:rFonts w:hint="eastAsia" w:ascii="Times New Roman" w:hAnsi="Times New Roman" w:eastAsia="宋体" w:cs="Times New Roman"/>
          <w:kern w:val="0"/>
          <w:lang w:val="en-US" w:eastAsia="zh-CN"/>
        </w:rPr>
        <w:t>重量1.598</w:t>
      </w:r>
      <w:r>
        <w:rPr>
          <w:rFonts w:ascii="Times New Roman" w:hAnsi="Times New Roman" w:eastAsia="宋体" w:cs="Times New Roman"/>
          <w:kern w:val="0"/>
        </w:rPr>
        <w:t>t/节；</w:t>
      </w:r>
    </w:p>
    <w:p w14:paraId="2DBE692C">
      <w:pPr>
        <w:ind w:firstLine="480"/>
        <w:rPr>
          <w:rFonts w:ascii="Times New Roman" w:hAnsi="Times New Roman" w:eastAsia="宋体" w:cs="Times New Roman"/>
          <w:kern w:val="0"/>
        </w:rPr>
      </w:pPr>
      <w:r>
        <w:rPr>
          <w:rFonts w:hint="eastAsia" w:ascii="Times New Roman" w:hAnsi="Times New Roman" w:eastAsia="宋体" w:cs="Times New Roman"/>
          <w:kern w:val="0"/>
          <w:lang w:val="en-US" w:eastAsia="zh-CN"/>
        </w:rPr>
        <w:t>25</w:t>
      </w:r>
      <w:r>
        <w:rPr>
          <w:rFonts w:ascii="Times New Roman" w:hAnsi="Times New Roman" w:eastAsia="宋体" w:cs="Times New Roman"/>
          <w:kern w:val="0"/>
        </w:rPr>
        <w:t>t汽车吊主臂长3</w:t>
      </w:r>
      <w:r>
        <w:rPr>
          <w:rFonts w:hint="eastAsia" w:ascii="Times New Roman" w:hAnsi="Times New Roman" w:eastAsia="宋体" w:cs="Times New Roman"/>
          <w:kern w:val="0"/>
          <w:lang w:val="en-US" w:eastAsia="zh-CN"/>
        </w:rPr>
        <w:t>3.5</w:t>
      </w:r>
      <w:r>
        <w:rPr>
          <w:rFonts w:ascii="Times New Roman" w:hAnsi="Times New Roman" w:eastAsia="宋体" w:cs="Times New Roman"/>
          <w:kern w:val="0"/>
        </w:rPr>
        <w:t>m，吊装作业半径1</w:t>
      </w:r>
      <w:r>
        <w:rPr>
          <w:rFonts w:hint="eastAsia" w:ascii="Times New Roman" w:hAnsi="Times New Roman" w:eastAsia="宋体" w:cs="Times New Roman"/>
          <w:kern w:val="0"/>
          <w:lang w:val="en-US" w:eastAsia="zh-CN"/>
        </w:rPr>
        <w:t>0</w:t>
      </w:r>
      <w:r>
        <w:rPr>
          <w:rFonts w:ascii="Times New Roman" w:hAnsi="Times New Roman" w:eastAsia="宋体" w:cs="Times New Roman"/>
          <w:kern w:val="0"/>
        </w:rPr>
        <w:t>m，额定起重量为</w:t>
      </w:r>
      <w:r>
        <w:rPr>
          <w:rFonts w:hint="eastAsia" w:ascii="Times New Roman" w:hAnsi="Times New Roman" w:eastAsia="宋体" w:cs="Times New Roman"/>
          <w:kern w:val="0"/>
          <w:lang w:val="en-US" w:eastAsia="zh-CN"/>
        </w:rPr>
        <w:t>6.6</w:t>
      </w:r>
      <w:r>
        <w:rPr>
          <w:rFonts w:ascii="Times New Roman" w:hAnsi="Times New Roman" w:eastAsia="宋体" w:cs="Times New Roman"/>
          <w:kern w:val="0"/>
        </w:rPr>
        <w:t>t，满足安装吊装要求。</w:t>
      </w:r>
    </w:p>
    <w:p w14:paraId="09EC243E">
      <w:pPr>
        <w:ind w:firstLine="480"/>
        <w:rPr>
          <w:rFonts w:ascii="Times New Roman" w:hAnsi="Times New Roman" w:eastAsia="宋体" w:cs="Times New Roman"/>
          <w:kern w:val="0"/>
        </w:rPr>
      </w:pPr>
      <w:r>
        <w:rPr>
          <w:rFonts w:ascii="Times New Roman" w:hAnsi="Times New Roman" w:eastAsia="宋体" w:cs="Times New Roman"/>
          <w:kern w:val="0"/>
        </w:rPr>
        <w:t>1）</w:t>
      </w:r>
      <w:r>
        <w:rPr>
          <w:rFonts w:hint="eastAsia" w:ascii="Times New Roman" w:hAnsi="Times New Roman" w:eastAsia="宋体" w:cs="Times New Roman"/>
          <w:kern w:val="0"/>
          <w:lang w:val="en-US" w:eastAsia="zh-CN"/>
        </w:rPr>
        <w:t>基础</w:t>
      </w:r>
      <w:r>
        <w:rPr>
          <w:rFonts w:ascii="Times New Roman" w:hAnsi="Times New Roman" w:eastAsia="宋体" w:cs="Times New Roman"/>
          <w:kern w:val="0"/>
        </w:rPr>
        <w:t>节的安装；拆除预埋脚柱安装基准上的预埋连接框，然后安装1节高</w:t>
      </w:r>
      <w:r>
        <w:rPr>
          <w:rFonts w:hint="eastAsia" w:ascii="Times New Roman" w:hAnsi="Times New Roman" w:eastAsia="宋体" w:cs="Times New Roman"/>
          <w:kern w:val="0"/>
          <w:lang w:val="en-US" w:eastAsia="zh-CN"/>
        </w:rPr>
        <w:t>5.95</w:t>
      </w:r>
      <w:r>
        <w:rPr>
          <w:rFonts w:ascii="Times New Roman" w:hAnsi="Times New Roman" w:eastAsia="宋体" w:cs="Times New Roman"/>
          <w:kern w:val="0"/>
        </w:rPr>
        <w:t>m型号为</w:t>
      </w:r>
      <w:r>
        <w:rPr>
          <w:rFonts w:hint="eastAsia" w:ascii="Times New Roman" w:hAnsi="Times New Roman" w:eastAsia="宋体" w:cs="Times New Roman"/>
          <w:kern w:val="0"/>
          <w:lang w:val="en-US" w:eastAsia="zh-CN"/>
        </w:rPr>
        <w:t>F43J1</w:t>
      </w:r>
      <w:r>
        <w:rPr>
          <w:rFonts w:ascii="Times New Roman" w:hAnsi="Times New Roman" w:eastAsia="宋体" w:cs="Times New Roman"/>
          <w:kern w:val="0"/>
        </w:rPr>
        <w:t>B的</w:t>
      </w:r>
      <w:r>
        <w:rPr>
          <w:rFonts w:hint="eastAsia" w:ascii="Times New Roman" w:hAnsi="Times New Roman" w:eastAsia="宋体" w:cs="Times New Roman"/>
          <w:kern w:val="0"/>
          <w:lang w:val="en-US" w:eastAsia="zh-CN"/>
        </w:rPr>
        <w:t>基础</w:t>
      </w:r>
      <w:r>
        <w:rPr>
          <w:rFonts w:ascii="Times New Roman" w:hAnsi="Times New Roman" w:eastAsia="宋体" w:cs="Times New Roman"/>
          <w:kern w:val="0"/>
        </w:rPr>
        <w:t>节。</w:t>
      </w:r>
    </w:p>
    <w:p w14:paraId="55455DB5">
      <w:pPr>
        <w:ind w:firstLine="480"/>
        <w:rPr>
          <w:rFonts w:ascii="Times New Roman" w:hAnsi="Times New Roman" w:eastAsia="宋体" w:cs="Times New Roman"/>
          <w:kern w:val="0"/>
        </w:rPr>
      </w:pPr>
      <w:r>
        <w:rPr>
          <w:rFonts w:hint="eastAsia" w:ascii="Times New Roman" w:hAnsi="Times New Roman" w:eastAsia="宋体" w:cs="Times New Roman"/>
          <w:kern w:val="0"/>
        </w:rPr>
        <w:t>①</w:t>
      </w:r>
      <w:r>
        <w:rPr>
          <w:rFonts w:ascii="Times New Roman" w:hAnsi="Times New Roman" w:eastAsia="宋体" w:cs="Times New Roman"/>
          <w:kern w:val="0"/>
        </w:rPr>
        <w:t xml:space="preserve"> </w:t>
      </w:r>
      <w:r>
        <w:rPr>
          <w:rFonts w:hint="eastAsia" w:ascii="Times New Roman" w:hAnsi="Times New Roman" w:eastAsia="宋体" w:cs="Times New Roman"/>
          <w:kern w:val="0"/>
          <w:lang w:val="en-US" w:eastAsia="zh-CN"/>
        </w:rPr>
        <w:t>F43J1</w:t>
      </w:r>
      <w:r>
        <w:rPr>
          <w:rFonts w:ascii="Times New Roman" w:hAnsi="Times New Roman" w:eastAsia="宋体" w:cs="Times New Roman"/>
          <w:kern w:val="0"/>
        </w:rPr>
        <w:t>B塔身的</w:t>
      </w:r>
      <w:r>
        <w:rPr>
          <w:rFonts w:hint="eastAsia" w:ascii="Times New Roman" w:hAnsi="Times New Roman" w:eastAsia="宋体" w:cs="Times New Roman"/>
          <w:kern w:val="0"/>
          <w:lang w:val="en-US" w:eastAsia="zh-CN"/>
        </w:rPr>
        <w:t>基础</w:t>
      </w:r>
      <w:r>
        <w:rPr>
          <w:rFonts w:ascii="Times New Roman" w:hAnsi="Times New Roman" w:eastAsia="宋体" w:cs="Times New Roman"/>
          <w:kern w:val="0"/>
        </w:rPr>
        <w:t>节重量为</w:t>
      </w:r>
      <w:r>
        <w:rPr>
          <w:rFonts w:hint="eastAsia" w:ascii="Times New Roman" w:hAnsi="Times New Roman" w:eastAsia="宋体" w:cs="Times New Roman"/>
          <w:kern w:val="0"/>
          <w:lang w:val="en-US" w:eastAsia="zh-CN"/>
        </w:rPr>
        <w:t>1.598</w:t>
      </w:r>
      <w:r>
        <w:rPr>
          <w:rFonts w:ascii="Times New Roman" w:hAnsi="Times New Roman" w:eastAsia="宋体" w:cs="Times New Roman"/>
          <w:kern w:val="0"/>
        </w:rPr>
        <w:t>t。</w:t>
      </w:r>
    </w:p>
    <w:p w14:paraId="4683A950">
      <w:pPr>
        <w:ind w:firstLine="480"/>
        <w:rPr>
          <w:rFonts w:ascii="Times New Roman" w:hAnsi="Times New Roman" w:eastAsia="宋体" w:cs="Times New Roman"/>
          <w:kern w:val="0"/>
        </w:rPr>
      </w:pPr>
      <w:r>
        <w:rPr>
          <w:rFonts w:hint="eastAsia" w:ascii="Times New Roman" w:hAnsi="Times New Roman" w:eastAsia="宋体" w:cs="Times New Roman"/>
          <w:kern w:val="0"/>
        </w:rPr>
        <w:t>②</w:t>
      </w:r>
      <w:r>
        <w:rPr>
          <w:rFonts w:ascii="Times New Roman" w:hAnsi="Times New Roman" w:eastAsia="宋体" w:cs="Times New Roman"/>
          <w:kern w:val="0"/>
        </w:rPr>
        <w:t xml:space="preserve"> 塔身的</w:t>
      </w:r>
      <w:r>
        <w:rPr>
          <w:rFonts w:hint="eastAsia" w:ascii="Times New Roman" w:hAnsi="Times New Roman" w:eastAsia="宋体" w:cs="Times New Roman"/>
          <w:kern w:val="0"/>
          <w:lang w:val="en-US" w:eastAsia="zh-CN"/>
        </w:rPr>
        <w:t>基础</w:t>
      </w:r>
      <w:r>
        <w:rPr>
          <w:rFonts w:ascii="Times New Roman" w:hAnsi="Times New Roman" w:eastAsia="宋体" w:cs="Times New Roman"/>
          <w:kern w:val="0"/>
        </w:rPr>
        <w:t>节双头连接螺栓为10.9级M</w:t>
      </w:r>
      <w:r>
        <w:rPr>
          <w:rFonts w:hint="eastAsia" w:ascii="Times New Roman" w:hAnsi="Times New Roman" w:eastAsia="宋体" w:cs="Times New Roman"/>
          <w:kern w:val="0"/>
          <w:lang w:val="en-US" w:eastAsia="zh-CN"/>
        </w:rPr>
        <w:t>36</w:t>
      </w:r>
      <w:r>
        <w:rPr>
          <w:rFonts w:ascii="Times New Roman" w:hAnsi="Times New Roman" w:eastAsia="宋体" w:cs="Times New Roman"/>
          <w:kern w:val="0"/>
        </w:rPr>
        <w:t>mm，扭紧力矩为</w:t>
      </w:r>
      <w:r>
        <w:rPr>
          <w:rFonts w:hint="eastAsia" w:ascii="Times New Roman" w:hAnsi="Times New Roman" w:eastAsia="宋体" w:cs="Times New Roman"/>
          <w:kern w:val="0"/>
          <w:lang w:val="en-US" w:eastAsia="zh-CN"/>
        </w:rPr>
        <w:t>2400</w:t>
      </w:r>
      <w:r>
        <w:rPr>
          <w:rFonts w:ascii="Times New Roman" w:hAnsi="Times New Roman" w:eastAsia="宋体" w:cs="Times New Roman"/>
          <w:kern w:val="0"/>
        </w:rPr>
        <w:t>N·m。</w:t>
      </w:r>
    </w:p>
    <w:p w14:paraId="67BE8E09">
      <w:pPr>
        <w:ind w:firstLine="480"/>
        <w:rPr>
          <w:rFonts w:ascii="Times New Roman" w:hAnsi="Times New Roman" w:eastAsia="宋体" w:cs="Times New Roman"/>
          <w:kern w:val="0"/>
        </w:rPr>
      </w:pPr>
      <w:r>
        <w:rPr>
          <w:rFonts w:hint="eastAsia" w:ascii="Times New Roman" w:hAnsi="Times New Roman" w:eastAsia="宋体" w:cs="Times New Roman"/>
          <w:kern w:val="0"/>
        </w:rPr>
        <w:t>③</w:t>
      </w:r>
      <w:r>
        <w:rPr>
          <w:rFonts w:ascii="Times New Roman" w:hAnsi="Times New Roman" w:eastAsia="宋体" w:cs="Times New Roman"/>
          <w:kern w:val="0"/>
        </w:rPr>
        <w:t xml:space="preserve"> 安装时，应选择四点吊；吊索的规格为：</w:t>
      </w:r>
      <w:r>
        <w:rPr>
          <w:rFonts w:hint="eastAsia" w:ascii="Times New Roman" w:hAnsi="Times New Roman" w:eastAsia="宋体" w:cs="Times New Roman"/>
          <w:kern w:val="0"/>
          <w:lang w:eastAsia="zh-CN"/>
        </w:rPr>
        <w:t>6×19S+FC-1870-18</w:t>
      </w:r>
      <w:r>
        <w:rPr>
          <w:rFonts w:ascii="Times New Roman" w:hAnsi="Times New Roman" w:eastAsia="宋体" w:cs="Times New Roman"/>
          <w:kern w:val="0"/>
        </w:rPr>
        <w:t>。</w:t>
      </w:r>
    </w:p>
    <w:p w14:paraId="276BA159">
      <w:pPr>
        <w:ind w:firstLine="480"/>
        <w:rPr>
          <w:rFonts w:ascii="Times New Roman" w:hAnsi="Times New Roman" w:eastAsia="宋体" w:cs="Times New Roman"/>
          <w:kern w:val="0"/>
        </w:rPr>
      </w:pPr>
      <w:r>
        <w:rPr>
          <w:rFonts w:hint="eastAsia" w:ascii="Times New Roman" w:hAnsi="Times New Roman" w:eastAsia="宋体" w:cs="Times New Roman"/>
          <w:kern w:val="0"/>
        </w:rPr>
        <w:t>④</w:t>
      </w:r>
      <w:r>
        <w:rPr>
          <w:rFonts w:ascii="Times New Roman" w:hAnsi="Times New Roman" w:eastAsia="宋体" w:cs="Times New Roman"/>
          <w:kern w:val="0"/>
        </w:rPr>
        <w:t xml:space="preserve"> 吊装时，用卸扣将四点吊吊索固定在</w:t>
      </w:r>
      <w:r>
        <w:rPr>
          <w:rFonts w:hint="eastAsia" w:ascii="Times New Roman" w:hAnsi="Times New Roman" w:eastAsia="宋体" w:cs="Times New Roman"/>
          <w:kern w:val="0"/>
          <w:lang w:val="en-US" w:eastAsia="zh-CN"/>
        </w:rPr>
        <w:t>基础</w:t>
      </w:r>
      <w:r>
        <w:rPr>
          <w:rFonts w:ascii="Times New Roman" w:hAnsi="Times New Roman" w:eastAsia="宋体" w:cs="Times New Roman"/>
          <w:kern w:val="0"/>
        </w:rPr>
        <w:t>节上部专用吊装孔，缓缓吊起，徐徐降落至预埋脚柱上。</w:t>
      </w:r>
    </w:p>
    <w:p w14:paraId="5167CC82">
      <w:pPr>
        <w:ind w:firstLine="480"/>
        <w:rPr>
          <w:rFonts w:ascii="Times New Roman" w:hAnsi="Times New Roman" w:eastAsia="宋体" w:cs="Times New Roman"/>
          <w:kern w:val="0"/>
        </w:rPr>
      </w:pPr>
      <w:r>
        <w:rPr>
          <w:rFonts w:hint="eastAsia" w:ascii="Times New Roman" w:hAnsi="Times New Roman" w:eastAsia="宋体" w:cs="Times New Roman"/>
          <w:kern w:val="0"/>
          <w:lang w:val="en-US" w:eastAsia="zh-CN"/>
        </w:rPr>
        <w:t>塔式起重机安装基础节时设置警戒区，汽车吊起吊安排专人负责指挥，专人操作，严禁无关人员进入起重作业范围内。</w:t>
      </w:r>
    </w:p>
    <w:p w14:paraId="12413B3A">
      <w:pPr>
        <w:pStyle w:val="29"/>
        <w:jc w:val="center"/>
      </w:pPr>
      <w:r>
        <w:drawing>
          <wp:inline distT="0" distB="0" distL="114300" distR="114300">
            <wp:extent cx="2167255" cy="3288665"/>
            <wp:effectExtent l="0" t="0" r="4445" b="6985"/>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28"/>
                    <a:stretch>
                      <a:fillRect/>
                    </a:stretch>
                  </pic:blipFill>
                  <pic:spPr>
                    <a:xfrm>
                      <a:off x="0" y="0"/>
                      <a:ext cx="2167255" cy="3288665"/>
                    </a:xfrm>
                    <a:prstGeom prst="rect">
                      <a:avLst/>
                    </a:prstGeom>
                    <a:noFill/>
                    <a:ln>
                      <a:noFill/>
                    </a:ln>
                  </pic:spPr>
                </pic:pic>
              </a:graphicData>
            </a:graphic>
          </wp:inline>
        </w:drawing>
      </w:r>
    </w:p>
    <w:p w14:paraId="5D11F366">
      <w:pPr>
        <w:pStyle w:val="13"/>
        <w:jc w:val="center"/>
        <w:rPr>
          <w:rFonts w:hint="default" w:eastAsia="宋体"/>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-1  </w:t>
      </w:r>
      <w:r>
        <w:rPr>
          <w:rFonts w:hint="eastAsia" w:cs="Times New Roman"/>
          <w:b/>
          <w:color w:val="000000" w:themeColor="text1"/>
          <w:szCs w:val="22"/>
          <w:lang w:val="en-US" w:eastAsia="zh-CN"/>
          <w14:textFill>
            <w14:solidFill>
              <w14:schemeClr w14:val="tx1"/>
            </w14:solidFill>
          </w14:textFill>
        </w:rPr>
        <w:t>基础</w:t>
      </w:r>
      <w:r>
        <w:rPr>
          <w:rFonts w:cs="Times New Roman"/>
          <w:b/>
          <w:color w:val="000000" w:themeColor="text1"/>
          <w:szCs w:val="22"/>
          <w14:textFill>
            <w14:solidFill>
              <w14:schemeClr w14:val="tx1"/>
            </w14:solidFill>
          </w14:textFill>
        </w:rPr>
        <w:t>节</w:t>
      </w:r>
      <w:r>
        <w:rPr>
          <w:rFonts w:hint="eastAsia" w:cs="Times New Roman"/>
          <w:b/>
          <w:color w:val="000000" w:themeColor="text1"/>
          <w:szCs w:val="22"/>
          <w:lang w:val="en-US" w:eastAsia="zh-CN"/>
          <w14:textFill>
            <w14:solidFill>
              <w14:schemeClr w14:val="tx1"/>
            </w14:solidFill>
          </w14:textFill>
        </w:rPr>
        <w:t>安装立面示意图</w:t>
      </w:r>
    </w:p>
    <w:p w14:paraId="4E7B0132">
      <w:pPr>
        <w:pStyle w:val="29"/>
        <w:jc w:val="center"/>
        <w:rPr>
          <w:rFonts w:hint="eastAsia"/>
        </w:rPr>
      </w:pPr>
      <w:r>
        <w:drawing>
          <wp:inline distT="0" distB="0" distL="114300" distR="114300">
            <wp:extent cx="2604135" cy="2299335"/>
            <wp:effectExtent l="0" t="0" r="5715" b="5715"/>
            <wp:docPr id="6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7"/>
                    <pic:cNvPicPr>
                      <a:picLocks noChangeAspect="1"/>
                    </pic:cNvPicPr>
                  </pic:nvPicPr>
                  <pic:blipFill>
                    <a:blip r:embed="rId29"/>
                    <a:stretch>
                      <a:fillRect/>
                    </a:stretch>
                  </pic:blipFill>
                  <pic:spPr>
                    <a:xfrm>
                      <a:off x="0" y="0"/>
                      <a:ext cx="2604135" cy="2299335"/>
                    </a:xfrm>
                    <a:prstGeom prst="rect">
                      <a:avLst/>
                    </a:prstGeom>
                    <a:noFill/>
                    <a:ln>
                      <a:noFill/>
                    </a:ln>
                  </pic:spPr>
                </pic:pic>
              </a:graphicData>
            </a:graphic>
          </wp:inline>
        </w:drawing>
      </w:r>
    </w:p>
    <w:p w14:paraId="7BE0211F">
      <w:pPr>
        <w:pStyle w:val="29"/>
      </w:pPr>
    </w:p>
    <w:p w14:paraId="12746BC6">
      <w:pPr>
        <w:pStyle w:val="13"/>
        <w:jc w:val="center"/>
        <w:rPr>
          <w:rFonts w:hint="eastAsia" w:eastAsia="宋体"/>
          <w:sz w:val="21"/>
          <w:szCs w:val="21"/>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基础</w:t>
      </w:r>
      <w:r>
        <w:rPr>
          <w:rFonts w:cs="Times New Roman"/>
          <w:b/>
          <w:color w:val="000000" w:themeColor="text1"/>
          <w:szCs w:val="22"/>
          <w14:textFill>
            <w14:solidFill>
              <w14:schemeClr w14:val="tx1"/>
            </w14:solidFill>
          </w14:textFill>
        </w:rPr>
        <w:t>节</w:t>
      </w:r>
      <w:r>
        <w:rPr>
          <w:rFonts w:hint="eastAsia" w:cs="Times New Roman"/>
          <w:b/>
          <w:color w:val="000000" w:themeColor="text1"/>
          <w:szCs w:val="22"/>
          <w:lang w:val="en-US" w:eastAsia="zh-CN"/>
          <w14:textFill>
            <w14:solidFill>
              <w14:schemeClr w14:val="tx1"/>
            </w14:solidFill>
          </w14:textFill>
        </w:rPr>
        <w:t>安装平面示意图</w:t>
      </w:r>
    </w:p>
    <w:p w14:paraId="47A4A906">
      <w:pPr>
        <w:pStyle w:val="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安装</w:t>
      </w:r>
      <w:bookmarkEnd w:id="65"/>
      <w:r>
        <w:rPr>
          <w:rFonts w:cs="Times New Roman"/>
          <w:color w:val="000000" w:themeColor="text1"/>
          <w14:textFill>
            <w14:solidFill>
              <w14:schemeClr w14:val="tx1"/>
            </w14:solidFill>
          </w14:textFill>
        </w:rPr>
        <w:t>标准节</w:t>
      </w:r>
    </w:p>
    <w:p w14:paraId="50C5C549">
      <w:pPr>
        <w:ind w:firstLine="480"/>
      </w:pPr>
      <w:r>
        <w:rPr>
          <w:kern w:val="0"/>
        </w:rPr>
        <w:t>安装</w:t>
      </w:r>
      <w:r>
        <w:rPr>
          <w:rFonts w:hint="eastAsia"/>
          <w:kern w:val="0"/>
          <w:lang w:val="en-US" w:eastAsia="zh-CN"/>
        </w:rPr>
        <w:t>1</w:t>
      </w:r>
      <w:r>
        <w:rPr>
          <w:kern w:val="0"/>
        </w:rPr>
        <w:t>节标准节，</w:t>
      </w:r>
      <w:r>
        <w:t>标准节</w:t>
      </w:r>
      <w:r>
        <w:rPr>
          <w:rFonts w:hint="eastAsia"/>
          <w:lang w:val="en-US" w:eastAsia="zh-CN"/>
        </w:rPr>
        <w:t>重量0.838</w:t>
      </w:r>
      <w:r>
        <w:t>t/节；</w:t>
      </w:r>
    </w:p>
    <w:p w14:paraId="5153E538">
      <w:pPr>
        <w:pStyle w:val="112"/>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25</w:t>
      </w:r>
      <w:r>
        <w:rPr>
          <w:color w:val="000000" w:themeColor="text1"/>
          <w14:textFill>
            <w14:solidFill>
              <w14:schemeClr w14:val="tx1"/>
            </w14:solidFill>
          </w14:textFill>
        </w:rPr>
        <w:t>t汽车吊主臂长</w:t>
      </w:r>
      <w:r>
        <w:rPr>
          <w:rFonts w:hint="eastAsia"/>
          <w:color w:val="000000" w:themeColor="text1"/>
          <w:lang w:val="en-US" w:eastAsia="zh-CN"/>
          <w14:textFill>
            <w14:solidFill>
              <w14:schemeClr w14:val="tx1"/>
            </w14:solidFill>
          </w14:textFill>
        </w:rPr>
        <w:t>33.5</w:t>
      </w:r>
      <w:r>
        <w:rPr>
          <w:color w:val="000000" w:themeColor="text1"/>
          <w14:textFill>
            <w14:solidFill>
              <w14:schemeClr w14:val="tx1"/>
            </w14:solidFill>
          </w14:textFill>
        </w:rPr>
        <w:t>m，吊装作业半径1</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m，额定起重量为</w:t>
      </w:r>
      <w:r>
        <w:rPr>
          <w:rFonts w:hint="eastAsia"/>
          <w:color w:val="000000" w:themeColor="text1"/>
          <w:lang w:val="en-US" w:eastAsia="zh-CN"/>
          <w14:textFill>
            <w14:solidFill>
              <w14:schemeClr w14:val="tx1"/>
            </w14:solidFill>
          </w14:textFill>
        </w:rPr>
        <w:t>6.6</w:t>
      </w:r>
      <w:r>
        <w:rPr>
          <w:color w:val="000000" w:themeColor="text1"/>
          <w14:textFill>
            <w14:solidFill>
              <w14:schemeClr w14:val="tx1"/>
            </w14:solidFill>
          </w14:textFill>
        </w:rPr>
        <w:t>t，满足安装吊装要求。</w:t>
      </w:r>
    </w:p>
    <w:p w14:paraId="3668DB42">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1）标准节的安装</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安装1节高</w:t>
      </w:r>
      <w:r>
        <w:rPr>
          <w:rFonts w:hint="eastAsia"/>
          <w:color w:val="000000" w:themeColor="text1"/>
          <w:lang w:val="en-US" w:eastAsia="zh-CN"/>
          <w14:textFill>
            <w14:solidFill>
              <w14:schemeClr w14:val="tx1"/>
            </w14:solidFill>
          </w14:textFill>
        </w:rPr>
        <w:t>2.8</w:t>
      </w:r>
      <w:r>
        <w:rPr>
          <w:color w:val="000000" w:themeColor="text1"/>
          <w14:textFill>
            <w14:solidFill>
              <w14:schemeClr w14:val="tx1"/>
            </w14:solidFill>
          </w14:textFill>
        </w:rPr>
        <w:t>m型号为</w:t>
      </w:r>
      <w:r>
        <w:rPr>
          <w:rFonts w:hint="eastAsia"/>
          <w:color w:val="000000" w:themeColor="text1"/>
          <w:lang w:val="en-US" w:eastAsia="zh-CN"/>
          <w14:textFill>
            <w14:solidFill>
              <w14:schemeClr w14:val="tx1"/>
            </w14:solidFill>
          </w14:textFill>
        </w:rPr>
        <w:t>F42</w:t>
      </w:r>
      <w:r>
        <w:rPr>
          <w:color w:val="000000" w:themeColor="text1"/>
          <w14:textFill>
            <w14:solidFill>
              <w14:schemeClr w14:val="tx1"/>
            </w14:solidFill>
          </w14:textFill>
        </w:rPr>
        <w:t>B的标准节。标准节顶升踏步的位置置于设定顶升油缸的一侧。</w:t>
      </w:r>
    </w:p>
    <w:p w14:paraId="46A96A01">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F42</w:t>
      </w:r>
      <w:r>
        <w:rPr>
          <w:color w:val="000000" w:themeColor="text1"/>
          <w14:textFill>
            <w14:solidFill>
              <w14:schemeClr w14:val="tx1"/>
            </w14:solidFill>
          </w14:textFill>
        </w:rPr>
        <w:t>B塔身的标准节重量为</w:t>
      </w:r>
      <w:r>
        <w:rPr>
          <w:rFonts w:hint="eastAsia"/>
          <w:color w:val="000000" w:themeColor="text1"/>
          <w:lang w:val="en-US" w:eastAsia="zh-CN"/>
          <w14:textFill>
            <w14:solidFill>
              <w14:schemeClr w14:val="tx1"/>
            </w14:solidFill>
          </w14:textFill>
        </w:rPr>
        <w:t>0.838</w:t>
      </w:r>
      <w:r>
        <w:rPr>
          <w:color w:val="000000" w:themeColor="text1"/>
          <w14:textFill>
            <w14:solidFill>
              <w14:schemeClr w14:val="tx1"/>
            </w14:solidFill>
          </w14:textFill>
        </w:rPr>
        <w:t>t。</w:t>
      </w:r>
    </w:p>
    <w:p w14:paraId="788586DA">
      <w:pPr>
        <w:pStyle w:val="112"/>
        <w:ind w:firstLine="480"/>
        <w:rPr>
          <w:color w:val="000000" w:themeColor="text1"/>
          <w:highlight w:val="none"/>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 xml:space="preserve"> 塔身的标准节双头连接螺栓为</w:t>
      </w:r>
      <w:r>
        <w:rPr>
          <w:color w:val="000000" w:themeColor="text1"/>
          <w:highlight w:val="none"/>
          <w14:textFill>
            <w14:solidFill>
              <w14:schemeClr w14:val="tx1"/>
            </w14:solidFill>
          </w14:textFill>
        </w:rPr>
        <w:t>10.9级M</w:t>
      </w:r>
      <w:r>
        <w:rPr>
          <w:rFonts w:hint="eastAsia"/>
          <w:color w:val="000000" w:themeColor="text1"/>
          <w:highlight w:val="none"/>
          <w:lang w:val="en-US" w:eastAsia="zh-CN"/>
          <w14:textFill>
            <w14:solidFill>
              <w14:schemeClr w14:val="tx1"/>
            </w14:solidFill>
          </w14:textFill>
        </w:rPr>
        <w:t>36</w:t>
      </w:r>
      <w:r>
        <w:rPr>
          <w:color w:val="000000" w:themeColor="text1"/>
          <w:highlight w:val="none"/>
          <w14:textFill>
            <w14:solidFill>
              <w14:schemeClr w14:val="tx1"/>
            </w14:solidFill>
          </w14:textFill>
        </w:rPr>
        <w:t>mm，扭紧力矩为</w:t>
      </w:r>
      <w:r>
        <w:rPr>
          <w:rFonts w:hint="eastAsia"/>
          <w:color w:val="000000" w:themeColor="text1"/>
          <w:highlight w:val="none"/>
          <w:lang w:val="en-US" w:eastAsia="zh-CN"/>
          <w14:textFill>
            <w14:solidFill>
              <w14:schemeClr w14:val="tx1"/>
            </w14:solidFill>
          </w14:textFill>
        </w:rPr>
        <w:t>2400</w:t>
      </w:r>
      <w:r>
        <w:rPr>
          <w:color w:val="000000" w:themeColor="text1"/>
          <w:highlight w:val="none"/>
          <w14:textFill>
            <w14:solidFill>
              <w14:schemeClr w14:val="tx1"/>
            </w14:solidFill>
          </w14:textFill>
        </w:rPr>
        <w:t>N·m。</w:t>
      </w:r>
    </w:p>
    <w:p w14:paraId="40D73570">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 xml:space="preserve"> 安装时，应选择四点吊；吊索的规格为：6×</w:t>
      </w:r>
      <w:r>
        <w:rPr>
          <w:rFonts w:hint="eastAsia"/>
          <w:color w:val="000000" w:themeColor="text1"/>
          <w:lang w:val="en-US" w:eastAsia="zh-CN"/>
          <w14:textFill>
            <w14:solidFill>
              <w14:schemeClr w14:val="tx1"/>
            </w14:solidFill>
          </w14:textFill>
        </w:rPr>
        <w:t>19</w:t>
      </w:r>
      <w:r>
        <w:rPr>
          <w:color w:val="000000" w:themeColor="text1"/>
          <w14:textFill>
            <w14:solidFill>
              <w14:schemeClr w14:val="tx1"/>
            </w14:solidFill>
          </w14:textFill>
        </w:rPr>
        <w:t>S+FC-1</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70-</w:t>
      </w:r>
      <w:r>
        <w:rPr>
          <w:rFonts w:hint="eastAsia"/>
          <w:color w:val="000000" w:themeColor="text1"/>
          <w:lang w:val="en-US" w:eastAsia="zh-CN"/>
          <w14:textFill>
            <w14:solidFill>
              <w14:schemeClr w14:val="tx1"/>
            </w14:solidFill>
          </w14:textFill>
        </w:rPr>
        <w:t>18</w:t>
      </w:r>
      <w:r>
        <w:rPr>
          <w:color w:val="000000" w:themeColor="text1"/>
          <w14:textFill>
            <w14:solidFill>
              <w14:schemeClr w14:val="tx1"/>
            </w14:solidFill>
          </w14:textFill>
        </w:rPr>
        <w:t>。</w:t>
      </w:r>
    </w:p>
    <w:p w14:paraId="6EEE90F9">
      <w:pPr>
        <w:ind w:firstLine="480"/>
        <w:rPr>
          <w:rFonts w:ascii="Times New Roman" w:hAnsi="Times New Roman" w:eastAsia="宋体" w:cs="Times New Roman"/>
          <w:kern w:val="0"/>
        </w:rPr>
      </w:pPr>
      <w:r>
        <w:rPr>
          <w:rFonts w:hint="eastAsia" w:ascii="Times New Roman" w:hAnsi="Times New Roman" w:eastAsia="宋体" w:cs="Times New Roman"/>
          <w:kern w:val="0"/>
        </w:rPr>
        <w:t>④</w:t>
      </w:r>
      <w:r>
        <w:rPr>
          <w:rFonts w:ascii="Times New Roman" w:hAnsi="Times New Roman" w:eastAsia="宋体" w:cs="Times New Roman"/>
          <w:kern w:val="0"/>
        </w:rPr>
        <w:t xml:space="preserve"> 吊装时，用卸扣将四点吊吊索固定在标准节上部专用吊装孔，缓缓吊起，徐徐降落至</w:t>
      </w:r>
      <w:r>
        <w:rPr>
          <w:rFonts w:hint="eastAsia" w:ascii="Times New Roman" w:hAnsi="Times New Roman" w:eastAsia="宋体" w:cs="Times New Roman"/>
          <w:kern w:val="0"/>
          <w:lang w:val="en-US" w:eastAsia="zh-CN"/>
        </w:rPr>
        <w:t>基础节</w:t>
      </w:r>
      <w:r>
        <w:rPr>
          <w:rFonts w:ascii="Times New Roman" w:hAnsi="Times New Roman" w:eastAsia="宋体" w:cs="Times New Roman"/>
          <w:kern w:val="0"/>
        </w:rPr>
        <w:t>上。</w:t>
      </w:r>
    </w:p>
    <w:p w14:paraId="70C4E73A">
      <w:pPr>
        <w:ind w:firstLine="480"/>
        <w:rPr>
          <w:rFonts w:ascii="Times New Roman" w:hAnsi="Times New Roman" w:eastAsia="宋体" w:cs="Times New Roman"/>
          <w:kern w:val="0"/>
        </w:rPr>
      </w:pPr>
      <w:r>
        <w:rPr>
          <w:rFonts w:hint="eastAsia" w:ascii="Times New Roman" w:hAnsi="Times New Roman" w:eastAsia="宋体" w:cs="Times New Roman"/>
          <w:kern w:val="0"/>
          <w:lang w:val="en-US" w:eastAsia="zh-CN"/>
        </w:rPr>
        <w:t>塔式起重机安装标准节时设置警戒区，汽车吊起吊安排专人负责指挥，专人操作，严禁无关人员进入起重作业范围内。</w:t>
      </w:r>
    </w:p>
    <w:p w14:paraId="27F0BC7F">
      <w:pPr>
        <w:pStyle w:val="112"/>
        <w:ind w:firstLine="480"/>
        <w:jc w:val="center"/>
      </w:pPr>
      <w:bookmarkStart w:id="66" w:name="_Toc45631060"/>
      <w:r>
        <w:drawing>
          <wp:inline distT="0" distB="0" distL="114300" distR="114300">
            <wp:extent cx="1344930" cy="2398395"/>
            <wp:effectExtent l="0" t="0" r="7620" b="1905"/>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30"/>
                    <a:stretch>
                      <a:fillRect/>
                    </a:stretch>
                  </pic:blipFill>
                  <pic:spPr>
                    <a:xfrm>
                      <a:off x="0" y="0"/>
                      <a:ext cx="1344930" cy="2398395"/>
                    </a:xfrm>
                    <a:prstGeom prst="rect">
                      <a:avLst/>
                    </a:prstGeom>
                    <a:noFill/>
                    <a:ln>
                      <a:noFill/>
                    </a:ln>
                  </pic:spPr>
                </pic:pic>
              </a:graphicData>
            </a:graphic>
          </wp:inline>
        </w:drawing>
      </w:r>
    </w:p>
    <w:p w14:paraId="363297B7">
      <w:pPr>
        <w:pStyle w:val="13"/>
        <w:jc w:val="center"/>
        <w:rPr>
          <w:rFonts w:hint="default" w:eastAsia="宋体"/>
          <w:sz w:val="21"/>
          <w:szCs w:val="21"/>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标准</w:t>
      </w:r>
      <w:r>
        <w:rPr>
          <w:rFonts w:cs="Times New Roman"/>
          <w:b/>
          <w:color w:val="000000" w:themeColor="text1"/>
          <w:szCs w:val="22"/>
          <w14:textFill>
            <w14:solidFill>
              <w14:schemeClr w14:val="tx1"/>
            </w14:solidFill>
          </w14:textFill>
        </w:rPr>
        <w:t>节</w:t>
      </w:r>
      <w:r>
        <w:rPr>
          <w:rFonts w:hint="eastAsia" w:cs="Times New Roman"/>
          <w:b/>
          <w:color w:val="000000" w:themeColor="text1"/>
          <w:szCs w:val="22"/>
          <w:lang w:val="en-US" w:eastAsia="zh-CN"/>
          <w14:textFill>
            <w14:solidFill>
              <w14:schemeClr w14:val="tx1"/>
            </w14:solidFill>
          </w14:textFill>
        </w:rPr>
        <w:t>安装立面示意图</w:t>
      </w:r>
    </w:p>
    <w:p w14:paraId="0E269E85">
      <w:pPr>
        <w:pStyle w:val="112"/>
        <w:ind w:firstLine="480"/>
        <w:jc w:val="center"/>
      </w:pPr>
      <w:r>
        <w:drawing>
          <wp:inline distT="0" distB="0" distL="114300" distR="114300">
            <wp:extent cx="2033270" cy="1795780"/>
            <wp:effectExtent l="0" t="0" r="5080" b="13970"/>
            <wp:docPr id="6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6"/>
                    <pic:cNvPicPr>
                      <a:picLocks noChangeAspect="1"/>
                    </pic:cNvPicPr>
                  </pic:nvPicPr>
                  <pic:blipFill>
                    <a:blip r:embed="rId29"/>
                    <a:stretch>
                      <a:fillRect/>
                    </a:stretch>
                  </pic:blipFill>
                  <pic:spPr>
                    <a:xfrm>
                      <a:off x="0" y="0"/>
                      <a:ext cx="2033270" cy="1795780"/>
                    </a:xfrm>
                    <a:prstGeom prst="rect">
                      <a:avLst/>
                    </a:prstGeom>
                    <a:noFill/>
                    <a:ln>
                      <a:noFill/>
                    </a:ln>
                  </pic:spPr>
                </pic:pic>
              </a:graphicData>
            </a:graphic>
          </wp:inline>
        </w:drawing>
      </w:r>
    </w:p>
    <w:p w14:paraId="3A09AFFF">
      <w:pPr>
        <w:pStyle w:val="13"/>
        <w:jc w:val="center"/>
        <w:rPr>
          <w:rFonts w:hint="eastAsia"/>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标准</w:t>
      </w:r>
      <w:r>
        <w:rPr>
          <w:rFonts w:cs="Times New Roman"/>
          <w:b/>
          <w:color w:val="000000" w:themeColor="text1"/>
          <w:szCs w:val="22"/>
          <w14:textFill>
            <w14:solidFill>
              <w14:schemeClr w14:val="tx1"/>
            </w14:solidFill>
          </w14:textFill>
        </w:rPr>
        <w:t>节</w:t>
      </w:r>
      <w:r>
        <w:rPr>
          <w:rFonts w:hint="eastAsia" w:cs="Times New Roman"/>
          <w:b/>
          <w:color w:val="000000" w:themeColor="text1"/>
          <w:szCs w:val="22"/>
          <w:lang w:val="en-US" w:eastAsia="zh-CN"/>
          <w14:textFill>
            <w14:solidFill>
              <w14:schemeClr w14:val="tx1"/>
            </w14:solidFill>
          </w14:textFill>
        </w:rPr>
        <w:t>安装平面示意图</w:t>
      </w:r>
    </w:p>
    <w:p w14:paraId="030D03C0">
      <w:pPr>
        <w:pStyle w:val="6"/>
        <w:rPr>
          <w:rFonts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爬升套</w:t>
      </w:r>
      <w:r>
        <w:rPr>
          <w:rFonts w:cs="Times New Roman"/>
          <w:color w:val="000000" w:themeColor="text1"/>
          <w:highlight w:val="none"/>
          <w14:textFill>
            <w14:solidFill>
              <w14:schemeClr w14:val="tx1"/>
            </w14:solidFill>
          </w14:textFill>
        </w:rPr>
        <w:t>架安装</w:t>
      </w:r>
    </w:p>
    <w:p w14:paraId="44181EE4">
      <w:pPr>
        <w:ind w:firstLine="480"/>
      </w:pPr>
      <w:r>
        <w:rPr>
          <w:rFonts w:hint="eastAsia"/>
          <w:lang w:val="en-US" w:eastAsia="zh-CN"/>
        </w:rPr>
        <w:t>爬升套架</w:t>
      </w:r>
      <w:r>
        <w:t>安装</w:t>
      </w:r>
      <w:r>
        <w:rPr>
          <w:rFonts w:hint="eastAsia"/>
          <w:lang w:val="en-US" w:eastAsia="zh-CN"/>
        </w:rPr>
        <w:t>重量</w:t>
      </w:r>
      <w:r>
        <w:rPr>
          <w:rFonts w:hint="eastAsia"/>
        </w:rPr>
        <w:t>:</w:t>
      </w:r>
      <w:r>
        <w:rPr>
          <w:rFonts w:hint="eastAsia"/>
          <w:lang w:val="en-US" w:eastAsia="zh-CN"/>
        </w:rPr>
        <w:t>3.381</w:t>
      </w:r>
      <w:r>
        <w:t>t</w:t>
      </w:r>
    </w:p>
    <w:p w14:paraId="064A36EB">
      <w:pPr>
        <w:pStyle w:val="112"/>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25</w:t>
      </w:r>
      <w:r>
        <w:rPr>
          <w:color w:val="000000" w:themeColor="text1"/>
          <w14:textFill>
            <w14:solidFill>
              <w14:schemeClr w14:val="tx1"/>
            </w14:solidFill>
          </w14:textFill>
        </w:rPr>
        <w:t>t汽车吊主臂长</w:t>
      </w:r>
      <w:r>
        <w:rPr>
          <w:rFonts w:hint="eastAsia"/>
          <w:color w:val="000000" w:themeColor="text1"/>
          <w:lang w:val="en-US" w:eastAsia="zh-CN"/>
          <w14:textFill>
            <w14:solidFill>
              <w14:schemeClr w14:val="tx1"/>
            </w14:solidFill>
          </w14:textFill>
        </w:rPr>
        <w:t>33.5</w:t>
      </w:r>
      <w:r>
        <w:rPr>
          <w:color w:val="000000" w:themeColor="text1"/>
          <w14:textFill>
            <w14:solidFill>
              <w14:schemeClr w14:val="tx1"/>
            </w14:solidFill>
          </w14:textFill>
        </w:rPr>
        <w:t>m，吊装作业半径1</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m，额定起重量为</w:t>
      </w:r>
      <w:r>
        <w:rPr>
          <w:rFonts w:hint="eastAsia"/>
          <w:color w:val="000000" w:themeColor="text1"/>
          <w:lang w:val="en-US" w:eastAsia="zh-CN"/>
          <w14:textFill>
            <w14:solidFill>
              <w14:schemeClr w14:val="tx1"/>
            </w14:solidFill>
          </w14:textFill>
        </w:rPr>
        <w:t>6.6</w:t>
      </w:r>
      <w:r>
        <w:rPr>
          <w:color w:val="000000" w:themeColor="text1"/>
          <w14:textFill>
            <w14:solidFill>
              <w14:schemeClr w14:val="tx1"/>
            </w14:solidFill>
          </w14:textFill>
        </w:rPr>
        <w:t>t，满足安装吊装要求。</w:t>
      </w:r>
    </w:p>
    <w:p w14:paraId="61B5F5E0">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 xml:space="preserve"> 吊装时，应选择四点吊；吊索的规格为：</w:t>
      </w:r>
      <w:r>
        <w:rPr>
          <w:rFonts w:hint="eastAsia"/>
          <w:color w:val="000000" w:themeColor="text1"/>
          <w:lang w:eastAsia="zh-CN"/>
          <w14:textFill>
            <w14:solidFill>
              <w14:schemeClr w14:val="tx1"/>
            </w14:solidFill>
          </w14:textFill>
        </w:rPr>
        <w:t>6×19S+FC-1870-18</w:t>
      </w:r>
      <w:r>
        <w:rPr>
          <w:color w:val="000000" w:themeColor="text1"/>
          <w14:textFill>
            <w14:solidFill>
              <w14:schemeClr w14:val="tx1"/>
            </w14:solidFill>
          </w14:textFill>
        </w:rPr>
        <w:t xml:space="preserve">。 </w:t>
      </w:r>
    </w:p>
    <w:p w14:paraId="4F53C473">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 xml:space="preserve"> 吊装时，用卸扣将四点吊吊索固定在</w:t>
      </w:r>
      <w:r>
        <w:rPr>
          <w:rFonts w:hint="eastAsia"/>
          <w:color w:val="000000" w:themeColor="text1"/>
          <w:lang w:val="en-US" w:eastAsia="zh-CN"/>
          <w14:textFill>
            <w14:solidFill>
              <w14:schemeClr w14:val="tx1"/>
            </w14:solidFill>
          </w14:textFill>
        </w:rPr>
        <w:t>爬升</w:t>
      </w:r>
      <w:r>
        <w:rPr>
          <w:color w:val="000000" w:themeColor="text1"/>
          <w14:textFill>
            <w14:solidFill>
              <w14:schemeClr w14:val="tx1"/>
            </w14:solidFill>
          </w14:textFill>
        </w:rPr>
        <w:t>套架上部四角，缓缓吊起，徐徐降落套进</w:t>
      </w:r>
      <w:r>
        <w:rPr>
          <w:rFonts w:hint="eastAsia"/>
          <w:color w:val="000000" w:themeColor="text1"/>
          <w:lang w:val="en-US" w:eastAsia="zh-CN"/>
          <w14:textFill>
            <w14:solidFill>
              <w14:schemeClr w14:val="tx1"/>
            </w14:solidFill>
          </w14:textFill>
        </w:rPr>
        <w:t>标</w:t>
      </w:r>
      <w:r>
        <w:rPr>
          <w:color w:val="000000" w:themeColor="text1"/>
          <w14:textFill>
            <w14:solidFill>
              <w14:schemeClr w14:val="tx1"/>
            </w14:solidFill>
          </w14:textFill>
        </w:rPr>
        <w:t>准节与基础节组合的塔身节外，（顶升套架上有油缸的一侧要对准塔身有踏步的一侧）。</w:t>
      </w:r>
    </w:p>
    <w:p w14:paraId="4D1614EC">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该过程的安全风险辩识：所有的作业人员要按照规范牢固的系好安全带；作业人员应在塔身里侧站位，并保证顶升套架的开口方向；作业时指挥信号要明确，听从专人指挥。大锤及扳手等工具要做好防坠落措施，严防高空坠物。</w:t>
      </w:r>
      <w:r>
        <w:rPr>
          <w:rFonts w:hint="eastAsia"/>
          <w:color w:val="000000" w:themeColor="text1"/>
          <w:lang w:val="en-US" w:eastAsia="zh-CN"/>
          <w14:textFill>
            <w14:solidFill>
              <w14:schemeClr w14:val="tx1"/>
            </w14:solidFill>
          </w14:textFill>
        </w:rPr>
        <w:t>汽车</w:t>
      </w:r>
      <w:r>
        <w:rPr>
          <w:color w:val="000000" w:themeColor="text1"/>
          <w14:textFill>
            <w14:solidFill>
              <w14:schemeClr w14:val="tx1"/>
            </w14:solidFill>
          </w14:textFill>
        </w:rPr>
        <w:t>吊起吊时要确保吊物吊装平稳。安装区域30m范围内设置警戒线，并设专人看守，无关人员一律不得入内。</w:t>
      </w:r>
    </w:p>
    <w:p w14:paraId="7E086CE0">
      <w:pPr>
        <w:pStyle w:val="112"/>
        <w:ind w:firstLine="480"/>
        <w:rPr>
          <w:color w:val="000000" w:themeColor="text1"/>
          <w14:textFill>
            <w14:solidFill>
              <w14:schemeClr w14:val="tx1"/>
            </w14:solidFill>
          </w14:textFill>
        </w:rPr>
      </w:pPr>
    </w:p>
    <w:p w14:paraId="752D3212">
      <w:pPr>
        <w:pStyle w:val="112"/>
        <w:ind w:firstLine="480"/>
        <w:jc w:val="center"/>
      </w:pPr>
      <w:r>
        <w:drawing>
          <wp:inline distT="0" distB="0" distL="114300" distR="114300">
            <wp:extent cx="1288415" cy="2108835"/>
            <wp:effectExtent l="0" t="0" r="6985" b="5715"/>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31"/>
                    <a:stretch>
                      <a:fillRect/>
                    </a:stretch>
                  </pic:blipFill>
                  <pic:spPr>
                    <a:xfrm>
                      <a:off x="0" y="0"/>
                      <a:ext cx="1288415" cy="2108835"/>
                    </a:xfrm>
                    <a:prstGeom prst="rect">
                      <a:avLst/>
                    </a:prstGeom>
                    <a:noFill/>
                    <a:ln>
                      <a:noFill/>
                    </a:ln>
                  </pic:spPr>
                </pic:pic>
              </a:graphicData>
            </a:graphic>
          </wp:inline>
        </w:drawing>
      </w:r>
    </w:p>
    <w:p w14:paraId="6CCD892B">
      <w:pPr>
        <w:pStyle w:val="13"/>
        <w:jc w:val="center"/>
        <w:rPr>
          <w:rFonts w:hint="default" w:eastAsia="宋体"/>
          <w:sz w:val="21"/>
          <w:szCs w:val="21"/>
          <w:lang w:val="en-US" w:eastAsia="zh-CN"/>
        </w:rP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4.3</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爬升架安装立面示意图</w:t>
      </w:r>
    </w:p>
    <w:p w14:paraId="2393CB45">
      <w:pPr>
        <w:pStyle w:val="112"/>
        <w:ind w:firstLine="480"/>
        <w:jc w:val="center"/>
      </w:pPr>
      <w:r>
        <w:drawing>
          <wp:inline distT="0" distB="0" distL="114300" distR="114300">
            <wp:extent cx="2122805" cy="1873885"/>
            <wp:effectExtent l="0" t="0" r="10795" b="12065"/>
            <wp:docPr id="6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5"/>
                    <pic:cNvPicPr>
                      <a:picLocks noChangeAspect="1"/>
                    </pic:cNvPicPr>
                  </pic:nvPicPr>
                  <pic:blipFill>
                    <a:blip r:embed="rId29"/>
                    <a:stretch>
                      <a:fillRect/>
                    </a:stretch>
                  </pic:blipFill>
                  <pic:spPr>
                    <a:xfrm>
                      <a:off x="0" y="0"/>
                      <a:ext cx="2122805" cy="1873885"/>
                    </a:xfrm>
                    <a:prstGeom prst="rect">
                      <a:avLst/>
                    </a:prstGeom>
                    <a:noFill/>
                    <a:ln>
                      <a:noFill/>
                    </a:ln>
                  </pic:spPr>
                </pic:pic>
              </a:graphicData>
            </a:graphic>
          </wp:inline>
        </w:drawing>
      </w:r>
    </w:p>
    <w:p w14:paraId="1DB8A11A">
      <w:pPr>
        <w:pStyle w:val="13"/>
        <w:jc w:val="center"/>
        <w:rPr>
          <w:rFonts w:hint="default" w:eastAsia="宋体"/>
          <w:sz w:val="21"/>
          <w:szCs w:val="21"/>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.3-2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爬升架安装平面示意图</w:t>
      </w:r>
    </w:p>
    <w:p w14:paraId="00F05B3B">
      <w:pPr>
        <w:pStyle w:val="112"/>
        <w:ind w:firstLine="480"/>
      </w:pPr>
    </w:p>
    <w:p w14:paraId="3D886D25">
      <w:pPr>
        <w:pStyle w:val="112"/>
        <w:ind w:firstLine="480"/>
        <w:jc w:val="center"/>
      </w:pPr>
      <w:r>
        <w:drawing>
          <wp:inline distT="0" distB="0" distL="114300" distR="114300">
            <wp:extent cx="1631950" cy="1799590"/>
            <wp:effectExtent l="0" t="0" r="6350" b="1016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pic:cNvPicPr>
                  </pic:nvPicPr>
                  <pic:blipFill>
                    <a:blip r:embed="rId32"/>
                    <a:stretch>
                      <a:fillRect/>
                    </a:stretch>
                  </pic:blipFill>
                  <pic:spPr>
                    <a:xfrm>
                      <a:off x="0" y="0"/>
                      <a:ext cx="1631950" cy="1799590"/>
                    </a:xfrm>
                    <a:prstGeom prst="rect">
                      <a:avLst/>
                    </a:prstGeom>
                    <a:noFill/>
                    <a:ln>
                      <a:noFill/>
                    </a:ln>
                  </pic:spPr>
                </pic:pic>
              </a:graphicData>
            </a:graphic>
          </wp:inline>
        </w:drawing>
      </w:r>
    </w:p>
    <w:p w14:paraId="5F25F061">
      <w:pPr>
        <w:pStyle w:val="13"/>
        <w:jc w:val="center"/>
        <w:rPr>
          <w:rFonts w:hint="default" w:eastAsia="宋体"/>
          <w:sz w:val="21"/>
          <w:szCs w:val="21"/>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.3-3</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爬升架安装示意图</w:t>
      </w:r>
    </w:p>
    <w:p w14:paraId="56301B18">
      <w:pPr>
        <w:pStyle w:val="112"/>
        <w:ind w:firstLine="480"/>
      </w:pPr>
    </w:p>
    <w:p w14:paraId="001ADBFD">
      <w:pPr>
        <w:pStyle w:val="6"/>
        <w:rPr>
          <w:rFonts w:cs="Times New Roman"/>
          <w:b/>
          <w:bCs/>
          <w:color w:val="000000" w:themeColor="text1"/>
          <w:sz w:val="24"/>
          <w:szCs w:val="32"/>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安装特殊节</w:t>
      </w:r>
    </w:p>
    <w:p w14:paraId="1201B175">
      <w:pPr>
        <w:ind w:firstLine="480"/>
      </w:pPr>
      <w:r>
        <w:rPr>
          <w:rFonts w:hint="eastAsia"/>
          <w:lang w:val="en-US" w:eastAsia="zh-CN"/>
        </w:rPr>
        <w:t>特殊节</w:t>
      </w:r>
      <w:r>
        <w:t>安装</w:t>
      </w:r>
      <w:r>
        <w:rPr>
          <w:rFonts w:hint="eastAsia"/>
          <w:lang w:val="en-US" w:eastAsia="zh-CN"/>
        </w:rPr>
        <w:t>重量</w:t>
      </w:r>
      <w:r>
        <w:rPr>
          <w:rFonts w:hint="eastAsia"/>
        </w:rPr>
        <w:t>:</w:t>
      </w:r>
      <w:r>
        <w:rPr>
          <w:rFonts w:hint="eastAsia"/>
          <w:lang w:val="en-US" w:eastAsia="zh-CN"/>
        </w:rPr>
        <w:t>1.316</w:t>
      </w:r>
      <w:r>
        <w:t>t</w:t>
      </w:r>
    </w:p>
    <w:p w14:paraId="5D9861B9">
      <w:pPr>
        <w:pStyle w:val="112"/>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25</w:t>
      </w:r>
      <w:r>
        <w:rPr>
          <w:color w:val="000000" w:themeColor="text1"/>
          <w14:textFill>
            <w14:solidFill>
              <w14:schemeClr w14:val="tx1"/>
            </w14:solidFill>
          </w14:textFill>
        </w:rPr>
        <w:t>t汽车吊主臂长</w:t>
      </w:r>
      <w:r>
        <w:rPr>
          <w:rFonts w:hint="eastAsia"/>
          <w:color w:val="000000" w:themeColor="text1"/>
          <w:lang w:val="en-US" w:eastAsia="zh-CN"/>
          <w14:textFill>
            <w14:solidFill>
              <w14:schemeClr w14:val="tx1"/>
            </w14:solidFill>
          </w14:textFill>
        </w:rPr>
        <w:t>33.5</w:t>
      </w:r>
      <w:r>
        <w:rPr>
          <w:color w:val="000000" w:themeColor="text1"/>
          <w14:textFill>
            <w14:solidFill>
              <w14:schemeClr w14:val="tx1"/>
            </w14:solidFill>
          </w14:textFill>
        </w:rPr>
        <w:t>m，吊装作业半径1</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m，额定起重量为</w:t>
      </w:r>
      <w:r>
        <w:rPr>
          <w:rFonts w:hint="eastAsia"/>
          <w:color w:val="000000" w:themeColor="text1"/>
          <w:lang w:val="en-US" w:eastAsia="zh-CN"/>
          <w14:textFill>
            <w14:solidFill>
              <w14:schemeClr w14:val="tx1"/>
            </w14:solidFill>
          </w14:textFill>
        </w:rPr>
        <w:t>6.6</w:t>
      </w:r>
      <w:r>
        <w:rPr>
          <w:color w:val="000000" w:themeColor="text1"/>
          <w14:textFill>
            <w14:solidFill>
              <w14:schemeClr w14:val="tx1"/>
            </w14:solidFill>
          </w14:textFill>
        </w:rPr>
        <w:t>t，满足安装吊装要求。</w:t>
      </w:r>
    </w:p>
    <w:p w14:paraId="25F5B25C">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 xml:space="preserve"> 吊装时，应选择四点吊；吊索的规格为：</w:t>
      </w:r>
      <w:r>
        <w:rPr>
          <w:rFonts w:hint="eastAsia"/>
          <w:color w:val="000000" w:themeColor="text1"/>
          <w:lang w:eastAsia="zh-CN"/>
          <w14:textFill>
            <w14:solidFill>
              <w14:schemeClr w14:val="tx1"/>
            </w14:solidFill>
          </w14:textFill>
        </w:rPr>
        <w:t>6×19S+FC-1870-18</w:t>
      </w:r>
      <w:r>
        <w:rPr>
          <w:color w:val="000000" w:themeColor="text1"/>
          <w14:textFill>
            <w14:solidFill>
              <w14:schemeClr w14:val="tx1"/>
            </w14:solidFill>
          </w14:textFill>
        </w:rPr>
        <w:t xml:space="preserve">。 </w:t>
      </w:r>
    </w:p>
    <w:p w14:paraId="399F49E0">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 xml:space="preserve"> 吊装时，用卸扣将四点吊吊索固定在</w:t>
      </w:r>
      <w:r>
        <w:rPr>
          <w:rFonts w:hint="eastAsia"/>
          <w:color w:val="000000" w:themeColor="text1"/>
          <w:lang w:val="en-US" w:eastAsia="zh-CN"/>
          <w14:textFill>
            <w14:solidFill>
              <w14:schemeClr w14:val="tx1"/>
            </w14:solidFill>
          </w14:textFill>
        </w:rPr>
        <w:t>特殊节</w:t>
      </w:r>
      <w:r>
        <w:rPr>
          <w:color w:val="000000" w:themeColor="text1"/>
          <w14:textFill>
            <w14:solidFill>
              <w14:schemeClr w14:val="tx1"/>
            </w14:solidFill>
          </w14:textFill>
        </w:rPr>
        <w:t>上部四角，缓缓吊起，徐徐降落</w:t>
      </w:r>
      <w:r>
        <w:rPr>
          <w:rFonts w:hint="eastAsia"/>
          <w:color w:val="000000" w:themeColor="text1"/>
          <w:lang w:val="en-US" w:eastAsia="zh-CN"/>
          <w14:textFill>
            <w14:solidFill>
              <w14:schemeClr w14:val="tx1"/>
            </w14:solidFill>
          </w14:textFill>
        </w:rPr>
        <w:t>至塔身爬升架定位销上</w:t>
      </w:r>
      <w:r>
        <w:rPr>
          <w:color w:val="000000" w:themeColor="text1"/>
          <w14:textFill>
            <w14:solidFill>
              <w14:schemeClr w14:val="tx1"/>
            </w14:solidFill>
          </w14:textFill>
        </w:rPr>
        <w:t>。</w:t>
      </w:r>
    </w:p>
    <w:p w14:paraId="55BEE273">
      <w:pPr>
        <w:ind w:firstLine="480"/>
        <w:rPr>
          <w:rFonts w:hint="eastAsia"/>
        </w:rPr>
      </w:pPr>
      <w:r>
        <w:rPr>
          <w:rFonts w:hint="eastAsia" w:ascii="Times New Roman" w:hAnsi="Times New Roman" w:eastAsia="宋体" w:cs="Times New Roman"/>
          <w:kern w:val="0"/>
          <w:lang w:val="en-US" w:eastAsia="zh-CN"/>
        </w:rPr>
        <w:t>塔式起重机安装爬升套架时设置警戒区，汽车吊起吊安排专人负责指挥，专人操作，严禁无关人员进入起重作业范围内。</w:t>
      </w:r>
    </w:p>
    <w:p w14:paraId="3C0DEDC9">
      <w:pPr>
        <w:pStyle w:val="29"/>
        <w:jc w:val="center"/>
      </w:pPr>
      <w:r>
        <w:drawing>
          <wp:inline distT="0" distB="0" distL="114300" distR="114300">
            <wp:extent cx="1964690" cy="3467100"/>
            <wp:effectExtent l="0" t="0" r="16510" b="0"/>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33"/>
                    <a:stretch>
                      <a:fillRect/>
                    </a:stretch>
                  </pic:blipFill>
                  <pic:spPr>
                    <a:xfrm>
                      <a:off x="0" y="0"/>
                      <a:ext cx="1964690" cy="3467100"/>
                    </a:xfrm>
                    <a:prstGeom prst="rect">
                      <a:avLst/>
                    </a:prstGeom>
                    <a:noFill/>
                    <a:ln>
                      <a:noFill/>
                    </a:ln>
                  </pic:spPr>
                </pic:pic>
              </a:graphicData>
            </a:graphic>
          </wp:inline>
        </w:drawing>
      </w:r>
    </w:p>
    <w:p w14:paraId="0D7FE17E">
      <w:pPr>
        <w:pStyle w:val="13"/>
        <w:jc w:val="center"/>
        <w:rPr>
          <w:rFonts w:hint="default" w:eastAsia="宋体"/>
          <w:sz w:val="21"/>
          <w:szCs w:val="21"/>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.4-1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特殊节安装立面示意图</w:t>
      </w:r>
    </w:p>
    <w:p w14:paraId="2E881A9C">
      <w:pPr>
        <w:pStyle w:val="29"/>
        <w:jc w:val="center"/>
      </w:pPr>
      <w:r>
        <w:drawing>
          <wp:inline distT="0" distB="0" distL="114300" distR="114300">
            <wp:extent cx="2808605" cy="2479040"/>
            <wp:effectExtent l="0" t="0" r="10795" b="16510"/>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29"/>
                    <a:stretch>
                      <a:fillRect/>
                    </a:stretch>
                  </pic:blipFill>
                  <pic:spPr>
                    <a:xfrm>
                      <a:off x="0" y="0"/>
                      <a:ext cx="2808605" cy="2479040"/>
                    </a:xfrm>
                    <a:prstGeom prst="rect">
                      <a:avLst/>
                    </a:prstGeom>
                    <a:noFill/>
                    <a:ln>
                      <a:noFill/>
                    </a:ln>
                  </pic:spPr>
                </pic:pic>
              </a:graphicData>
            </a:graphic>
          </wp:inline>
        </w:drawing>
      </w:r>
    </w:p>
    <w:p w14:paraId="7D38F5FE">
      <w:pPr>
        <w:pStyle w:val="13"/>
        <w:jc w:val="cente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.4-2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特殊节安装平面示意图</w:t>
      </w:r>
    </w:p>
    <w:p w14:paraId="353BDD79">
      <w:pPr>
        <w:pStyle w:val="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安装回转总成</w:t>
      </w:r>
      <w:bookmarkEnd w:id="66"/>
    </w:p>
    <w:p w14:paraId="5A033E7F">
      <w:pPr>
        <w:rPr>
          <w:rFonts w:hint="default" w:eastAsia="宋体"/>
          <w:b/>
          <w:bCs/>
          <w:lang w:val="en-US" w:eastAsia="zh-CN"/>
        </w:rPr>
      </w:pPr>
      <w:r>
        <w:rPr>
          <w:rFonts w:hint="eastAsia" w:cs="Times New Roman"/>
          <w:color w:val="000000" w:themeColor="text1"/>
          <w:lang w:val="en-US" w:eastAsia="zh-CN"/>
          <w14:textFill>
            <w14:solidFill>
              <w14:schemeClr w14:val="tx1"/>
            </w14:solidFill>
          </w14:textFill>
        </w:rPr>
        <w:t>回转总成安装</w:t>
      </w:r>
      <w:r>
        <w:rPr>
          <w:rFonts w:hint="eastAsia"/>
          <w:lang w:val="en-US" w:eastAsia="zh-CN"/>
        </w:rPr>
        <w:t>重量:3.983t</w:t>
      </w:r>
    </w:p>
    <w:p w14:paraId="4694BBCB">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汽车吊主臂长</w:t>
      </w:r>
      <w:r>
        <w:rPr>
          <w:rFonts w:hint="eastAsia"/>
          <w:color w:val="000000" w:themeColor="text1"/>
          <w:lang w:val="en-US" w:eastAsia="zh-CN"/>
          <w14:textFill>
            <w14:solidFill>
              <w14:schemeClr w14:val="tx1"/>
            </w14:solidFill>
          </w14:textFill>
        </w:rPr>
        <w:t>33.5</w:t>
      </w:r>
      <w:r>
        <w:rPr>
          <w:color w:val="000000" w:themeColor="text1"/>
          <w14:textFill>
            <w14:solidFill>
              <w14:schemeClr w14:val="tx1"/>
            </w14:solidFill>
          </w14:textFill>
        </w:rPr>
        <w:t>m，吊装作业半径1</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m，额定起重量为</w:t>
      </w:r>
      <w:r>
        <w:rPr>
          <w:rFonts w:hint="eastAsia"/>
          <w:color w:val="000000" w:themeColor="text1"/>
          <w:lang w:val="en-US" w:eastAsia="zh-CN"/>
          <w14:textFill>
            <w14:solidFill>
              <w14:schemeClr w14:val="tx1"/>
            </w14:solidFill>
          </w14:textFill>
        </w:rPr>
        <w:t>6.6</w:t>
      </w:r>
      <w:r>
        <w:rPr>
          <w:color w:val="000000" w:themeColor="text1"/>
          <w14:textFill>
            <w14:solidFill>
              <w14:schemeClr w14:val="tx1"/>
            </w14:solidFill>
          </w14:textFill>
        </w:rPr>
        <w:t>t，满足安装吊装要求。</w:t>
      </w:r>
    </w:p>
    <w:p w14:paraId="26764B66">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吊装时；应选择四点吊；吊索的规格为：</w:t>
      </w:r>
      <w:r>
        <w:rPr>
          <w:rFonts w:hint="eastAsia"/>
          <w:color w:val="000000" w:themeColor="text1"/>
          <w:lang w:eastAsia="zh-CN"/>
          <w14:textFill>
            <w14:solidFill>
              <w14:schemeClr w14:val="tx1"/>
            </w14:solidFill>
          </w14:textFill>
        </w:rPr>
        <w:t>6×19S+FC-1870-18</w:t>
      </w:r>
      <w:r>
        <w:rPr>
          <w:color w:val="000000" w:themeColor="text1"/>
          <w14:textFill>
            <w14:solidFill>
              <w14:schemeClr w14:val="tx1"/>
            </w14:solidFill>
          </w14:textFill>
        </w:rPr>
        <w:t>。</w:t>
      </w:r>
    </w:p>
    <w:p w14:paraId="48240A51">
      <w:pPr>
        <w:pStyle w:val="112"/>
        <w:ind w:firstLine="480"/>
      </w:pPr>
      <w:r>
        <w:rPr>
          <w:color w:val="000000" w:themeColor="text1"/>
          <w14:textFill>
            <w14:solidFill>
              <w14:schemeClr w14:val="tx1"/>
            </w14:solidFill>
          </w14:textFill>
        </w:rPr>
        <w:t>吊装时，用卸扣将四点吊吊索固定在回转上支座的四个耳座上，缓缓吊起，（找好平衡后，徐徐降落至塔身</w:t>
      </w:r>
      <w:r>
        <w:rPr>
          <w:rFonts w:hint="eastAsia"/>
          <w:color w:val="000000" w:themeColor="text1"/>
          <w:lang w:val="en-US" w:eastAsia="zh-CN"/>
          <w14:textFill>
            <w14:solidFill>
              <w14:schemeClr w14:val="tx1"/>
            </w14:solidFill>
          </w14:textFill>
        </w:rPr>
        <w:t>特殊</w:t>
      </w:r>
      <w:r>
        <w:rPr>
          <w:color w:val="000000" w:themeColor="text1"/>
          <w14:textFill>
            <w14:solidFill>
              <w14:schemeClr w14:val="tx1"/>
            </w14:solidFill>
          </w14:textFill>
        </w:rPr>
        <w:t>节定位销上，用</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套高强度螺栓连接锁定</w:t>
      </w:r>
      <w:r>
        <w:rPr>
          <w:rFonts w:hint="eastAsia"/>
          <w:color w:val="000000" w:themeColor="text1"/>
          <w:lang w:eastAsia="zh-CN"/>
          <w14:textFill>
            <w14:solidFill>
              <w14:schemeClr w14:val="tx1"/>
            </w14:solidFill>
          </w14:textFill>
        </w:rPr>
        <w:t>，</w:t>
      </w:r>
      <w:r>
        <w:rPr>
          <w:rFonts w:hint="eastAsia"/>
          <w:color w:val="000000" w:themeColor="text1"/>
          <w:highlight w:val="none"/>
          <w14:textFill>
            <w14:solidFill>
              <w14:schemeClr w14:val="tx1"/>
            </w14:solidFill>
          </w14:textFill>
        </w:rPr>
        <w:t>螺栓的预紧力矩应达</w:t>
      </w:r>
      <w:r>
        <w:rPr>
          <w:rFonts w:hint="eastAsia"/>
          <w:color w:val="000000" w:themeColor="text1"/>
          <w:highlight w:val="none"/>
          <w:lang w:val="en-US" w:eastAsia="zh-CN"/>
          <w14:textFill>
            <w14:solidFill>
              <w14:schemeClr w14:val="tx1"/>
            </w14:solidFill>
          </w14:textFill>
        </w:rPr>
        <w:t>1400</w:t>
      </w:r>
      <w:r>
        <w:rPr>
          <w:rFonts w:hint="eastAsia"/>
          <w:color w:val="000000" w:themeColor="text1"/>
          <w:highlight w:val="none"/>
          <w14:textFill>
            <w14:solidFill>
              <w14:schemeClr w14:val="tx1"/>
            </w14:solidFill>
          </w14:textFill>
        </w:rPr>
        <w:t>N·m，双螺母中防松螺母的预紧力矩稍大于</w:t>
      </w:r>
      <w:r>
        <w:rPr>
          <w:rFonts w:hint="eastAsia"/>
          <w:color w:val="000000" w:themeColor="text1"/>
          <w:highlight w:val="none"/>
          <w:lang w:val="en-US" w:eastAsia="zh-CN"/>
          <w14:textFill>
            <w14:solidFill>
              <w14:schemeClr w14:val="tx1"/>
            </w14:solidFill>
          </w14:textFill>
        </w:rPr>
        <w:t>1400</w:t>
      </w:r>
      <w:r>
        <w:rPr>
          <w:rFonts w:hint="eastAsia"/>
          <w:color w:val="000000" w:themeColor="text1"/>
          <w:highlight w:val="none"/>
          <w14:textFill>
            <w14:solidFill>
              <w14:schemeClr w14:val="tx1"/>
            </w14:solidFill>
          </w14:textFill>
        </w:rPr>
        <w:t>N·m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吊装驾驶室，应选择四点吊，按要求连接好轴销和螺栓。</w:t>
      </w:r>
    </w:p>
    <w:p w14:paraId="4F22C8BD">
      <w:pPr>
        <w:pStyle w:val="112"/>
        <w:ind w:firstLine="480"/>
        <w:jc w:val="center"/>
      </w:pPr>
      <w:r>
        <w:drawing>
          <wp:inline distT="0" distB="0" distL="114300" distR="114300">
            <wp:extent cx="2017395" cy="3383915"/>
            <wp:effectExtent l="0" t="0" r="1905" b="6985"/>
            <wp:docPr id="7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9"/>
                    <pic:cNvPicPr>
                      <a:picLocks noChangeAspect="1"/>
                    </pic:cNvPicPr>
                  </pic:nvPicPr>
                  <pic:blipFill>
                    <a:blip r:embed="rId34"/>
                    <a:stretch>
                      <a:fillRect/>
                    </a:stretch>
                  </pic:blipFill>
                  <pic:spPr>
                    <a:xfrm>
                      <a:off x="0" y="0"/>
                      <a:ext cx="2017395" cy="3383915"/>
                    </a:xfrm>
                    <a:prstGeom prst="rect">
                      <a:avLst/>
                    </a:prstGeom>
                    <a:noFill/>
                    <a:ln>
                      <a:noFill/>
                    </a:ln>
                  </pic:spPr>
                </pic:pic>
              </a:graphicData>
            </a:graphic>
          </wp:inline>
        </w:drawing>
      </w:r>
    </w:p>
    <w:p w14:paraId="2424F825">
      <w:pPr>
        <w:pStyle w:val="13"/>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.5-1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回转总成安装立面示意图</w:t>
      </w:r>
    </w:p>
    <w:p w14:paraId="5DE24D11">
      <w:pPr>
        <w:pStyle w:val="112"/>
        <w:ind w:firstLine="480"/>
        <w:jc w:val="center"/>
      </w:pPr>
      <w:r>
        <w:drawing>
          <wp:inline distT="0" distB="0" distL="114300" distR="114300">
            <wp:extent cx="2277110" cy="2009775"/>
            <wp:effectExtent l="0" t="0" r="8890" b="9525"/>
            <wp:docPr id="7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4"/>
                    <pic:cNvPicPr>
                      <a:picLocks noChangeAspect="1"/>
                    </pic:cNvPicPr>
                  </pic:nvPicPr>
                  <pic:blipFill>
                    <a:blip r:embed="rId29"/>
                    <a:stretch>
                      <a:fillRect/>
                    </a:stretch>
                  </pic:blipFill>
                  <pic:spPr>
                    <a:xfrm>
                      <a:off x="0" y="0"/>
                      <a:ext cx="2277110" cy="2009775"/>
                    </a:xfrm>
                    <a:prstGeom prst="rect">
                      <a:avLst/>
                    </a:prstGeom>
                    <a:noFill/>
                    <a:ln>
                      <a:noFill/>
                    </a:ln>
                  </pic:spPr>
                </pic:pic>
              </a:graphicData>
            </a:graphic>
          </wp:inline>
        </w:drawing>
      </w:r>
    </w:p>
    <w:p w14:paraId="00A71A8B">
      <w:pPr>
        <w:pStyle w:val="13"/>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.5</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回转总成安装平面示意图</w:t>
      </w:r>
    </w:p>
    <w:p w14:paraId="0C321CE0">
      <w:pPr>
        <w:pStyle w:val="112"/>
        <w:rPr>
          <w:color w:val="000000" w:themeColor="text1"/>
          <w14:textFill>
            <w14:solidFill>
              <w14:schemeClr w14:val="tx1"/>
            </w14:solidFill>
          </w14:textFill>
        </w:rPr>
      </w:pPr>
      <w:r>
        <w:rPr>
          <w:color w:val="000000" w:themeColor="text1"/>
          <w14:textFill>
            <w14:solidFill>
              <w14:schemeClr w14:val="tx1"/>
            </w14:solidFill>
          </w14:textFill>
        </w:rPr>
        <w:t>注意：在回转机构吊装过程中，操作者应使用固定在塔身上的安全带！该过程的安全风险辩识：所有的作业人员要按照规范牢固的系好安全带；作业时指挥信号要明确，听从专人指挥，</w:t>
      </w:r>
      <w:r>
        <w:rPr>
          <w:rFonts w:hint="eastAsia"/>
          <w:color w:val="000000" w:themeColor="text1"/>
          <w:lang w:val="en-US" w:eastAsia="zh-CN"/>
          <w14:textFill>
            <w14:solidFill>
              <w14:schemeClr w14:val="tx1"/>
            </w14:solidFill>
          </w14:textFill>
        </w:rPr>
        <w:t>汽车吊</w:t>
      </w:r>
      <w:r>
        <w:rPr>
          <w:color w:val="000000" w:themeColor="text1"/>
          <w14:textFill>
            <w14:solidFill>
              <w14:schemeClr w14:val="tx1"/>
            </w14:solidFill>
          </w14:textFill>
        </w:rPr>
        <w:t>起吊时要确保吊物吊装平稳。安装区域30m范围内设置警戒线，并设专人看守，无关人员一律不得入内。</w:t>
      </w:r>
    </w:p>
    <w:p w14:paraId="2F24E879">
      <w:pPr>
        <w:pStyle w:val="6"/>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臂根节</w:t>
      </w:r>
      <w:r>
        <w:rPr>
          <w:rFonts w:cs="Times New Roman"/>
          <w:color w:val="000000" w:themeColor="text1"/>
          <w14:textFill>
            <w14:solidFill>
              <w14:schemeClr w14:val="tx1"/>
            </w14:solidFill>
          </w14:textFill>
        </w:rPr>
        <w:t>的安装</w:t>
      </w:r>
    </w:p>
    <w:p w14:paraId="2256BBFC">
      <w:pPr>
        <w:pStyle w:val="112"/>
        <w:ind w:firstLine="456"/>
        <w:rPr>
          <w:spacing w:val="-6"/>
          <w:kern w:val="0"/>
        </w:rPr>
      </w:pPr>
      <w:r>
        <w:rPr>
          <w:rFonts w:hint="eastAsia"/>
          <w:spacing w:val="-6"/>
          <w:kern w:val="0"/>
          <w:lang w:val="en-US" w:eastAsia="zh-CN"/>
        </w:rPr>
        <w:t>臂根节</w:t>
      </w:r>
      <w:r>
        <w:rPr>
          <w:rFonts w:hint="eastAsia"/>
          <w:spacing w:val="-6"/>
          <w:kern w:val="0"/>
        </w:rPr>
        <w:t>，</w:t>
      </w:r>
      <w:r>
        <w:rPr>
          <w:spacing w:val="-6"/>
          <w:kern w:val="0"/>
        </w:rPr>
        <w:t>型号</w:t>
      </w:r>
      <w:r>
        <w:rPr>
          <w:rFonts w:hint="eastAsia"/>
          <w:spacing w:val="-6"/>
          <w:kern w:val="0"/>
        </w:rPr>
        <w:t>：</w:t>
      </w:r>
      <w:r>
        <w:rPr>
          <w:rFonts w:hint="eastAsia"/>
          <w:spacing w:val="-6"/>
          <w:kern w:val="0"/>
          <w:lang w:val="en-US" w:eastAsia="zh-CN"/>
        </w:rPr>
        <w:t>T1211</w:t>
      </w:r>
      <w:r>
        <w:rPr>
          <w:spacing w:val="-6"/>
          <w:kern w:val="0"/>
        </w:rPr>
        <w:t>，重量：</w:t>
      </w:r>
      <w:r>
        <w:rPr>
          <w:rFonts w:hint="eastAsia"/>
          <w:spacing w:val="-6"/>
          <w:kern w:val="0"/>
          <w:lang w:val="en-US" w:eastAsia="zh-CN"/>
        </w:rPr>
        <w:t>2.771</w:t>
      </w:r>
      <w:r>
        <w:rPr>
          <w:spacing w:val="-6"/>
          <w:kern w:val="0"/>
        </w:rPr>
        <w:t>t</w:t>
      </w:r>
    </w:p>
    <w:p w14:paraId="0222DC6D">
      <w:pPr>
        <w:pStyle w:val="112"/>
        <w:ind w:firstLine="456"/>
        <w:rPr>
          <w:color w:val="000000" w:themeColor="text1"/>
          <w14:textFill>
            <w14:solidFill>
              <w14:schemeClr w14:val="tx1"/>
            </w14:solidFill>
          </w14:textFill>
        </w:rPr>
      </w:pPr>
      <w:r>
        <w:rPr>
          <w:rFonts w:hint="eastAsia"/>
          <w:color w:val="000000" w:themeColor="text1"/>
          <w:spacing w:val="-6"/>
          <w:kern w:val="0"/>
          <w:lang w:val="en-US" w:eastAsia="zh-CN"/>
          <w14:textFill>
            <w14:solidFill>
              <w14:schemeClr w14:val="tx1"/>
            </w14:solidFill>
          </w14:textFill>
        </w:rPr>
        <w:t>25</w:t>
      </w:r>
      <w:r>
        <w:rPr>
          <w:color w:val="000000" w:themeColor="text1"/>
          <w:spacing w:val="-6"/>
          <w:kern w:val="0"/>
          <w14:textFill>
            <w14:solidFill>
              <w14:schemeClr w14:val="tx1"/>
            </w14:solidFill>
          </w14:textFill>
        </w:rPr>
        <w:t>t汽车吊</w:t>
      </w:r>
      <w:r>
        <w:rPr>
          <w:color w:val="000000" w:themeColor="text1"/>
          <w14:textFill>
            <w14:solidFill>
              <w14:schemeClr w14:val="tx1"/>
            </w14:solidFill>
          </w14:textFill>
        </w:rPr>
        <w:t>主臂长</w:t>
      </w:r>
      <w:r>
        <w:rPr>
          <w:rFonts w:hint="eastAsia"/>
          <w:color w:val="000000" w:themeColor="text1"/>
          <w:lang w:val="en-US" w:eastAsia="zh-CN"/>
          <w14:textFill>
            <w14:solidFill>
              <w14:schemeClr w14:val="tx1"/>
            </w14:solidFill>
          </w14:textFill>
        </w:rPr>
        <w:t>33.5</w:t>
      </w:r>
      <w:r>
        <w:rPr>
          <w:color w:val="000000" w:themeColor="text1"/>
          <w14:textFill>
            <w14:solidFill>
              <w14:schemeClr w14:val="tx1"/>
            </w14:solidFill>
          </w14:textFill>
        </w:rPr>
        <w:t>m，吊装作业半径1</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m以内，额定起重量为</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6t，满足安装吊装要求。</w:t>
      </w:r>
    </w:p>
    <w:p w14:paraId="52E78C31">
      <w:pPr>
        <w:pStyle w:val="112"/>
        <w:ind w:firstLine="504"/>
        <w:rPr>
          <w:bCs/>
          <w:color w:val="000000" w:themeColor="text1"/>
          <w:spacing w:val="6"/>
          <w14:textFill>
            <w14:solidFill>
              <w14:schemeClr w14:val="tx1"/>
            </w14:solidFill>
          </w14:textFill>
        </w:rPr>
      </w:pPr>
      <w:r>
        <w:rPr>
          <w:bCs/>
          <w:color w:val="000000" w:themeColor="text1"/>
          <w:spacing w:val="6"/>
          <w14:textFill>
            <w14:solidFill>
              <w14:schemeClr w14:val="tx1"/>
            </w14:solidFill>
          </w14:textFill>
        </w:rPr>
        <w:t>吊装时，应选择两点吊；吊索的规格为：6</w:t>
      </w:r>
      <w:r>
        <w:rPr>
          <w:rFonts w:hint="eastAsia"/>
          <w:color w:val="000000" w:themeColor="text1"/>
          <w:lang w:eastAsia="zh-CN"/>
          <w14:textFill>
            <w14:solidFill>
              <w14:schemeClr w14:val="tx1"/>
            </w14:solidFill>
          </w14:textFill>
        </w:rPr>
        <w:t>×</w:t>
      </w:r>
      <w:r>
        <w:rPr>
          <w:rFonts w:hint="eastAsia"/>
          <w:bCs/>
          <w:color w:val="000000" w:themeColor="text1"/>
          <w:spacing w:val="6"/>
          <w:lang w:val="en-US" w:eastAsia="zh-CN"/>
          <w14:textFill>
            <w14:solidFill>
              <w14:schemeClr w14:val="tx1"/>
            </w14:solidFill>
          </w14:textFill>
        </w:rPr>
        <w:t>19</w:t>
      </w:r>
      <w:r>
        <w:rPr>
          <w:bCs/>
          <w:color w:val="000000" w:themeColor="text1"/>
          <w:spacing w:val="6"/>
          <w14:textFill>
            <w14:solidFill>
              <w14:schemeClr w14:val="tx1"/>
            </w14:solidFill>
          </w14:textFill>
        </w:rPr>
        <w:t>S+FC-1</w:t>
      </w:r>
      <w:r>
        <w:rPr>
          <w:rFonts w:hint="eastAsia"/>
          <w:bCs/>
          <w:color w:val="000000" w:themeColor="text1"/>
          <w:spacing w:val="6"/>
          <w:lang w:val="en-US" w:eastAsia="zh-CN"/>
          <w14:textFill>
            <w14:solidFill>
              <w14:schemeClr w14:val="tx1"/>
            </w14:solidFill>
          </w14:textFill>
        </w:rPr>
        <w:t>8</w:t>
      </w:r>
      <w:r>
        <w:rPr>
          <w:bCs/>
          <w:color w:val="000000" w:themeColor="text1"/>
          <w:spacing w:val="6"/>
          <w14:textFill>
            <w14:solidFill>
              <w14:schemeClr w14:val="tx1"/>
            </w14:solidFill>
          </w14:textFill>
        </w:rPr>
        <w:t>70-</w:t>
      </w:r>
      <w:r>
        <w:rPr>
          <w:rFonts w:hint="eastAsia"/>
          <w:bCs/>
          <w:color w:val="000000" w:themeColor="text1"/>
          <w:spacing w:val="6"/>
          <w:lang w:val="en-US" w:eastAsia="zh-CN"/>
          <w14:textFill>
            <w14:solidFill>
              <w14:schemeClr w14:val="tx1"/>
            </w14:solidFill>
          </w14:textFill>
        </w:rPr>
        <w:t>16</w:t>
      </w:r>
      <w:r>
        <w:rPr>
          <w:bCs/>
          <w:color w:val="000000" w:themeColor="text1"/>
          <w:spacing w:val="6"/>
          <w14:textFill>
            <w14:solidFill>
              <w14:schemeClr w14:val="tx1"/>
            </w14:solidFill>
          </w14:textFill>
        </w:rPr>
        <w:t>。</w:t>
      </w:r>
    </w:p>
    <w:p w14:paraId="0B3E5DD0">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 xml:space="preserve"> 在地面上将变幅小车安装到起重臂上，并用铁丝将小车固定在起重臂上；</w:t>
      </w:r>
    </w:p>
    <w:p w14:paraId="32E45E84">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 xml:space="preserve"> 在起重臂前、后各系1根50m的导向牵引绳；    </w:t>
      </w:r>
    </w:p>
    <w:p w14:paraId="28760819">
      <w:pPr>
        <w:pStyle w:val="112"/>
        <w:ind w:firstLine="480"/>
        <w:rPr>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③</w:t>
      </w:r>
      <w:r>
        <w:rPr>
          <w:color w:val="000000" w:themeColor="text1"/>
          <w:kern w:val="0"/>
          <w14:textFill>
            <w14:solidFill>
              <w14:schemeClr w14:val="tx1"/>
            </w14:solidFill>
          </w14:textFill>
        </w:rPr>
        <w:t xml:space="preserve"> 汽车吊吊索固定在</w:t>
      </w:r>
      <w:r>
        <w:rPr>
          <w:rFonts w:hint="eastAsia"/>
          <w:spacing w:val="-6"/>
          <w:kern w:val="0"/>
          <w:lang w:val="en-US" w:eastAsia="zh-CN"/>
        </w:rPr>
        <w:t>T1211</w:t>
      </w:r>
      <w:r>
        <w:rPr>
          <w:color w:val="000000" w:themeColor="text1"/>
          <w:kern w:val="0"/>
          <w14:textFill>
            <w14:solidFill>
              <w14:schemeClr w14:val="tx1"/>
            </w14:solidFill>
          </w14:textFill>
        </w:rPr>
        <w:t>起重臂上弦杆中部偏左1m且对称约左右2m的位置，将此段起重臂缓缓吊起，在离地约 1m高度时暂停，观察其水平度与稳定性正常后，再继续缓缓吊起至稍高于</w:t>
      </w:r>
      <w:r>
        <w:rPr>
          <w:rFonts w:hint="eastAsia"/>
          <w:color w:val="000000" w:themeColor="text1"/>
          <w:kern w:val="0"/>
          <w:lang w:val="en-US" w:eastAsia="zh-CN"/>
          <w14:textFill>
            <w14:solidFill>
              <w14:schemeClr w14:val="tx1"/>
            </w14:solidFill>
          </w14:textFill>
        </w:rPr>
        <w:t>回转总成</w:t>
      </w:r>
      <w:r>
        <w:rPr>
          <w:color w:val="000000" w:themeColor="text1"/>
          <w:kern w:val="0"/>
          <w14:textFill>
            <w14:solidFill>
              <w14:schemeClr w14:val="tx1"/>
            </w14:solidFill>
          </w14:textFill>
        </w:rPr>
        <w:t>的销接连接点，然后徐徐下放吊钩，使此段起重臂的跟部和</w:t>
      </w:r>
      <w:r>
        <w:rPr>
          <w:rFonts w:hint="eastAsia"/>
          <w:color w:val="000000" w:themeColor="text1"/>
          <w:kern w:val="0"/>
          <w:lang w:val="en-US" w:eastAsia="zh-CN"/>
          <w14:textFill>
            <w14:solidFill>
              <w14:schemeClr w14:val="tx1"/>
            </w14:solidFill>
          </w14:textFill>
        </w:rPr>
        <w:t>回转总成</w:t>
      </w:r>
      <w:r>
        <w:rPr>
          <w:color w:val="000000" w:themeColor="text1"/>
          <w:kern w:val="0"/>
          <w14:textFill>
            <w14:solidFill>
              <w14:schemeClr w14:val="tx1"/>
            </w14:solidFill>
          </w14:textFill>
        </w:rPr>
        <w:t>顶部销轴联结点对接，用销轴销定此段起重臂的上部，并用插销相连，最后将插销安装开口销并开口锁定。</w:t>
      </w:r>
    </w:p>
    <w:p w14:paraId="6B711B04">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 xml:space="preserve"> 继续下降汽车吊吊钩将起重臂慢慢放下，使此段起重臂的下部主弦杆销定在</w:t>
      </w:r>
      <w:r>
        <w:rPr>
          <w:rFonts w:hint="eastAsia"/>
          <w:color w:val="000000" w:themeColor="text1"/>
          <w:lang w:val="en-US" w:eastAsia="zh-CN"/>
          <w14:textFill>
            <w14:solidFill>
              <w14:schemeClr w14:val="tx1"/>
            </w14:solidFill>
          </w14:textFill>
        </w:rPr>
        <w:t>回转总成</w:t>
      </w:r>
      <w:r>
        <w:rPr>
          <w:color w:val="000000" w:themeColor="text1"/>
          <w14:textFill>
            <w14:solidFill>
              <w14:schemeClr w14:val="tx1"/>
            </w14:solidFill>
          </w14:textFill>
        </w:rPr>
        <w:t xml:space="preserve">上的定位销轴上，然后用两件高强度螺栓进行安装紧固。 </w:t>
      </w:r>
    </w:p>
    <w:p w14:paraId="78718DFD">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color w:val="000000" w:themeColor="text1"/>
          <w14:textFill>
            <w14:solidFill>
              <w14:schemeClr w14:val="tx1"/>
            </w14:solidFill>
          </w14:textFill>
        </w:rPr>
        <w:t xml:space="preserve"> 解除起重臂前、后端的导向牵引，汽车吊退出此安装工序。</w:t>
      </w:r>
    </w:p>
    <w:p w14:paraId="76ACA940">
      <w:pPr>
        <w:pStyle w:val="112"/>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该过程的安全风险辩识为：起重臂吊装要保持平稳；指挥信号要明确，安装人员在安装过程中，必须系牢安全带。大锤及扳手等工具要做好防坠落措施，所有小型工具配件装包或装箱，严防高空坠物；地面安装区域严禁站人，在塔身30m范围内设置安全警戒线。</w:t>
      </w:r>
    </w:p>
    <w:p w14:paraId="1B1DE8A8">
      <w:pPr>
        <w:pStyle w:val="112"/>
        <w:ind w:firstLine="480"/>
        <w:jc w:val="center"/>
      </w:pPr>
      <w:r>
        <w:drawing>
          <wp:inline distT="0" distB="0" distL="114300" distR="114300">
            <wp:extent cx="2216150" cy="3154680"/>
            <wp:effectExtent l="0" t="0" r="12700" b="7620"/>
            <wp:docPr id="7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1"/>
                    <pic:cNvPicPr>
                      <a:picLocks noChangeAspect="1"/>
                    </pic:cNvPicPr>
                  </pic:nvPicPr>
                  <pic:blipFill>
                    <a:blip r:embed="rId35"/>
                    <a:stretch>
                      <a:fillRect/>
                    </a:stretch>
                  </pic:blipFill>
                  <pic:spPr>
                    <a:xfrm>
                      <a:off x="0" y="0"/>
                      <a:ext cx="2216150" cy="3154680"/>
                    </a:xfrm>
                    <a:prstGeom prst="rect">
                      <a:avLst/>
                    </a:prstGeom>
                    <a:noFill/>
                    <a:ln>
                      <a:noFill/>
                    </a:ln>
                  </pic:spPr>
                </pic:pic>
              </a:graphicData>
            </a:graphic>
          </wp:inline>
        </w:drawing>
      </w:r>
    </w:p>
    <w:p w14:paraId="2584622B">
      <w:pPr>
        <w:pStyle w:val="112"/>
        <w:ind w:firstLine="480"/>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.6</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cs="Times New Roman"/>
          <w:color w:val="000000" w:themeColor="text1"/>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起重臂第一节安装立面示意图</w:t>
      </w:r>
    </w:p>
    <w:p w14:paraId="3826B154">
      <w:pPr>
        <w:pStyle w:val="112"/>
        <w:ind w:firstLine="480"/>
        <w:jc w:val="center"/>
      </w:pPr>
      <w:r>
        <w:drawing>
          <wp:inline distT="0" distB="0" distL="114300" distR="114300">
            <wp:extent cx="2144395" cy="1729740"/>
            <wp:effectExtent l="0" t="0" r="8255" b="3810"/>
            <wp:docPr id="7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2"/>
                    <pic:cNvPicPr>
                      <a:picLocks noChangeAspect="1"/>
                    </pic:cNvPicPr>
                  </pic:nvPicPr>
                  <pic:blipFill>
                    <a:blip r:embed="rId36"/>
                    <a:stretch>
                      <a:fillRect/>
                    </a:stretch>
                  </pic:blipFill>
                  <pic:spPr>
                    <a:xfrm>
                      <a:off x="0" y="0"/>
                      <a:ext cx="2144395" cy="1729740"/>
                    </a:xfrm>
                    <a:prstGeom prst="rect">
                      <a:avLst/>
                    </a:prstGeom>
                    <a:noFill/>
                    <a:ln>
                      <a:noFill/>
                    </a:ln>
                  </pic:spPr>
                </pic:pic>
              </a:graphicData>
            </a:graphic>
          </wp:inline>
        </w:drawing>
      </w:r>
    </w:p>
    <w:p w14:paraId="0ECE67F8">
      <w:pPr>
        <w:pStyle w:val="112"/>
        <w:ind w:firstLine="480"/>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.6</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 xml:space="preserve"> </w:t>
      </w:r>
      <w:r>
        <w:rPr>
          <w:rFonts w:cs="Times New Roman"/>
          <w:color w:val="000000" w:themeColor="text1"/>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起重臂第一节安装平面示意图</w:t>
      </w:r>
    </w:p>
    <w:p w14:paraId="5B85A304">
      <w:pPr>
        <w:pStyle w:val="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平衡臂的安装</w:t>
      </w:r>
      <w:r>
        <w:rPr>
          <w:rFonts w:cs="Times New Roman"/>
          <w:color w:val="000000" w:themeColor="text1"/>
          <w:kern w:val="0"/>
          <w14:textFill>
            <w14:solidFill>
              <w14:schemeClr w14:val="tx1"/>
            </w14:solidFill>
          </w14:textFill>
        </w:rPr>
        <w:t>（重量：</w:t>
      </w:r>
      <w:r>
        <w:rPr>
          <w:rFonts w:hint="eastAsia" w:cs="Times New Roman"/>
          <w:color w:val="000000" w:themeColor="text1"/>
          <w:kern w:val="0"/>
          <w:lang w:val="en-US" w:eastAsia="zh-CN"/>
          <w14:textFill>
            <w14:solidFill>
              <w14:schemeClr w14:val="tx1"/>
            </w14:solidFill>
          </w14:textFill>
        </w:rPr>
        <w:t>5.027</w:t>
      </w:r>
      <w:r>
        <w:rPr>
          <w:rFonts w:cs="Times New Roman"/>
          <w:color w:val="000000" w:themeColor="text1"/>
          <w14:textFill>
            <w14:solidFill>
              <w14:schemeClr w14:val="tx1"/>
            </w14:solidFill>
          </w14:textFill>
        </w:rPr>
        <w:t>t ）</w:t>
      </w:r>
    </w:p>
    <w:p w14:paraId="7AB34EA1">
      <w:pPr>
        <w:pStyle w:val="112"/>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25</w:t>
      </w:r>
      <w:r>
        <w:rPr>
          <w:color w:val="000000" w:themeColor="text1"/>
          <w14:textFill>
            <w14:solidFill>
              <w14:schemeClr w14:val="tx1"/>
            </w14:solidFill>
          </w14:textFill>
        </w:rPr>
        <w:t>t汽车吊主臂长</w:t>
      </w:r>
      <w:r>
        <w:rPr>
          <w:rFonts w:hint="eastAsia"/>
          <w:color w:val="000000" w:themeColor="text1"/>
          <w:lang w:val="en-US" w:eastAsia="zh-CN"/>
          <w14:textFill>
            <w14:solidFill>
              <w14:schemeClr w14:val="tx1"/>
            </w14:solidFill>
          </w14:textFill>
        </w:rPr>
        <w:t>33.5</w:t>
      </w:r>
      <w:r>
        <w:rPr>
          <w:color w:val="000000" w:themeColor="text1"/>
          <w14:textFill>
            <w14:solidFill>
              <w14:schemeClr w14:val="tx1"/>
            </w14:solidFill>
          </w14:textFill>
        </w:rPr>
        <w:t>m，吊装作业半径1</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m左右，额定起重量为</w:t>
      </w:r>
      <w:r>
        <w:rPr>
          <w:rFonts w:hint="eastAsia"/>
          <w:color w:val="000000" w:themeColor="text1"/>
          <w:lang w:val="en-US" w:eastAsia="zh-CN"/>
          <w14:textFill>
            <w14:solidFill>
              <w14:schemeClr w14:val="tx1"/>
            </w14:solidFill>
          </w14:textFill>
        </w:rPr>
        <w:t>6.6</w:t>
      </w:r>
      <w:r>
        <w:rPr>
          <w:color w:val="000000" w:themeColor="text1"/>
          <w14:textFill>
            <w14:solidFill>
              <w14:schemeClr w14:val="tx1"/>
            </w14:solidFill>
          </w14:textFill>
        </w:rPr>
        <w:t>t，满足安装吊装要求。</w:t>
      </w:r>
    </w:p>
    <w:p w14:paraId="38418E1C">
      <w:pPr>
        <w:pStyle w:val="112"/>
        <w:ind w:firstLine="480"/>
        <w:rPr>
          <w:bCs/>
          <w:color w:val="000000" w:themeColor="text1"/>
          <w:spacing w:val="6"/>
          <w14:textFill>
            <w14:solidFill>
              <w14:schemeClr w14:val="tx1"/>
            </w14:solidFill>
          </w14:textFill>
        </w:rPr>
      </w:pPr>
      <w:r>
        <w:rPr>
          <w:color w:val="000000" w:themeColor="text1"/>
          <w14:textFill>
            <w14:solidFill>
              <w14:schemeClr w14:val="tx1"/>
            </w14:solidFill>
          </w14:textFill>
        </w:rPr>
        <w:t>吊装时，应选择</w:t>
      </w:r>
      <w:r>
        <w:rPr>
          <w:rFonts w:hint="eastAsia"/>
          <w:color w:val="000000" w:themeColor="text1"/>
          <w:lang w:val="en-US" w:eastAsia="zh-CN"/>
          <w14:textFill>
            <w14:solidFill>
              <w14:schemeClr w14:val="tx1"/>
            </w14:solidFill>
          </w14:textFill>
        </w:rPr>
        <w:t>四</w:t>
      </w:r>
      <w:r>
        <w:rPr>
          <w:color w:val="000000" w:themeColor="text1"/>
          <w14:textFill>
            <w14:solidFill>
              <w14:schemeClr w14:val="tx1"/>
            </w14:solidFill>
          </w14:textFill>
        </w:rPr>
        <w:t>点吊；吊索的规格为：</w:t>
      </w:r>
      <w:r>
        <w:rPr>
          <w:rFonts w:hint="eastAsia"/>
          <w:color w:val="000000" w:themeColor="text1"/>
          <w:lang w:eastAsia="zh-CN"/>
          <w14:textFill>
            <w14:solidFill>
              <w14:schemeClr w14:val="tx1"/>
            </w14:solidFill>
          </w14:textFill>
        </w:rPr>
        <w:t>6×19S+FC-1870-18</w:t>
      </w:r>
      <w:r>
        <w:rPr>
          <w:color w:val="000000" w:themeColor="text1"/>
          <w14:textFill>
            <w14:solidFill>
              <w14:schemeClr w14:val="tx1"/>
            </w14:solidFill>
          </w14:textFill>
        </w:rPr>
        <w:t>。</w:t>
      </w:r>
      <w:r>
        <w:rPr>
          <w:bCs/>
          <w:color w:val="000000" w:themeColor="text1"/>
          <w:spacing w:val="6"/>
          <w14:textFill>
            <w14:solidFill>
              <w14:schemeClr w14:val="tx1"/>
            </w14:solidFill>
          </w14:textFill>
        </w:rPr>
        <w:t xml:space="preserve">  </w:t>
      </w:r>
    </w:p>
    <w:p w14:paraId="31895DB8">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 xml:space="preserve"> 在平衡臂前、后各系1根30m的导向牵引绳； </w:t>
      </w:r>
    </w:p>
    <w:p w14:paraId="1078BE8B">
      <w:pPr>
        <w:pStyle w:val="112"/>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② 用销轴将平衡臂前臂节下弦与平衡臂后臂节下弦通过销轴孔接头连接好，然后再将平衡臂稍微吊起，绕下弦杆销轴转动，再将长拉杆与短拉杆通过销轴连接固定。</w:t>
      </w:r>
    </w:p>
    <w:p w14:paraId="19D72B9B">
      <w:pPr>
        <w:pStyle w:val="112"/>
        <w:ind w:firstLine="480"/>
        <w:rPr>
          <w:rFonts w:hint="eastAsia" w:cs="Times New Roman"/>
        </w:rPr>
      </w:pPr>
      <w:r>
        <w:rPr>
          <w:rFonts w:hint="eastAsia" w:ascii="宋体" w:hAnsi="宋体" w:eastAsia="宋体" w:cs="宋体"/>
          <w:color w:val="000000" w:themeColor="text1"/>
          <w14:textFill>
            <w14:solidFill>
              <w14:schemeClr w14:val="tx1"/>
            </w14:solidFill>
          </w14:textFill>
        </w:rPr>
        <w:t>③最后将通过吊钩将平衡臂后臂节缓慢放下，即可完成平衡臂后臂节的吊装。</w:t>
      </w:r>
    </w:p>
    <w:p w14:paraId="78D311AC">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 xml:space="preserve"> 解除平衡臂前、后端的导向牵引，汽车吊退出此安装工序。</w:t>
      </w:r>
    </w:p>
    <w:p w14:paraId="3CE84714">
      <w:pPr>
        <w:pStyle w:val="112"/>
        <w:ind w:firstLine="480"/>
        <w:rPr>
          <w:color w:val="000000" w:themeColor="text1"/>
          <w14:textFill>
            <w14:solidFill>
              <w14:schemeClr w14:val="tx1"/>
            </w14:solidFill>
          </w14:textFill>
        </w:rPr>
      </w:pPr>
      <w:r>
        <w:rPr>
          <w:rFonts w:ascii="Times New Roman" w:eastAsia="宋体" w:cs="Times New Roman"/>
          <w:bCs/>
          <w:color w:val="000000" w:themeColor="text1"/>
          <w:kern w:val="2"/>
          <w14:textFill>
            <w14:solidFill>
              <w14:schemeClr w14:val="tx1"/>
            </w14:solidFill>
          </w14:textFill>
        </w:rPr>
        <w:t>平衡臂安装全过程的安全风险辩识：吊装的部件要保持平稳；指挥信号要明确；再次强调安装人员在安装过程中，必须系牢安全带。严禁将工具放置在平台的临边，手持工具放稳抓牢。地面安装区域严禁站人，在安装区域60m范围内设置安全警戒线。</w:t>
      </w:r>
    </w:p>
    <w:p w14:paraId="454EB740">
      <w:pPr>
        <w:pStyle w:val="112"/>
        <w:ind w:firstLine="480"/>
        <w:jc w:val="center"/>
      </w:pPr>
      <w:r>
        <w:drawing>
          <wp:inline distT="0" distB="0" distL="114300" distR="114300">
            <wp:extent cx="2145030" cy="2329815"/>
            <wp:effectExtent l="0" t="0" r="7620" b="13335"/>
            <wp:docPr id="7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5"/>
                    <pic:cNvPicPr>
                      <a:picLocks noChangeAspect="1"/>
                    </pic:cNvPicPr>
                  </pic:nvPicPr>
                  <pic:blipFill>
                    <a:blip r:embed="rId37"/>
                    <a:stretch>
                      <a:fillRect/>
                    </a:stretch>
                  </pic:blipFill>
                  <pic:spPr>
                    <a:xfrm>
                      <a:off x="0" y="0"/>
                      <a:ext cx="2145030" cy="2329815"/>
                    </a:xfrm>
                    <a:prstGeom prst="rect">
                      <a:avLst/>
                    </a:prstGeom>
                    <a:noFill/>
                    <a:ln>
                      <a:noFill/>
                    </a:ln>
                  </pic:spPr>
                </pic:pic>
              </a:graphicData>
            </a:graphic>
          </wp:inline>
        </w:drawing>
      </w:r>
    </w:p>
    <w:p w14:paraId="1364AC21">
      <w:pPr>
        <w:pStyle w:val="13"/>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.7-1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平衡臂安装立面示意图</w:t>
      </w:r>
    </w:p>
    <w:p w14:paraId="6601EF94">
      <w:pPr>
        <w:pStyle w:val="13"/>
        <w:jc w:val="center"/>
      </w:pPr>
      <w:r>
        <w:drawing>
          <wp:inline distT="0" distB="0" distL="114300" distR="114300">
            <wp:extent cx="2233930" cy="2237740"/>
            <wp:effectExtent l="0" t="0" r="13970" b="10160"/>
            <wp:docPr id="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9"/>
                    <pic:cNvPicPr>
                      <a:picLocks noChangeAspect="1"/>
                    </pic:cNvPicPr>
                  </pic:nvPicPr>
                  <pic:blipFill>
                    <a:blip r:embed="rId38"/>
                    <a:stretch>
                      <a:fillRect/>
                    </a:stretch>
                  </pic:blipFill>
                  <pic:spPr>
                    <a:xfrm>
                      <a:off x="0" y="0"/>
                      <a:ext cx="2233930" cy="2237740"/>
                    </a:xfrm>
                    <a:prstGeom prst="rect">
                      <a:avLst/>
                    </a:prstGeom>
                    <a:noFill/>
                    <a:ln>
                      <a:noFill/>
                    </a:ln>
                  </pic:spPr>
                </pic:pic>
              </a:graphicData>
            </a:graphic>
          </wp:inline>
        </w:drawing>
      </w:r>
    </w:p>
    <w:p w14:paraId="28232152">
      <w:pPr>
        <w:pStyle w:val="13"/>
        <w:jc w:val="center"/>
        <w:rPr>
          <w:rFonts w:hint="eastAsia"/>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.7</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平衡臂安装</w:t>
      </w:r>
    </w:p>
    <w:p w14:paraId="27E8BA71">
      <w:pPr>
        <w:pStyle w:val="112"/>
        <w:ind w:firstLine="480"/>
      </w:pPr>
    </w:p>
    <w:p w14:paraId="2B3D1A91">
      <w:pPr>
        <w:pStyle w:val="112"/>
        <w:ind w:firstLine="480"/>
        <w:jc w:val="center"/>
      </w:pPr>
      <w:r>
        <w:drawing>
          <wp:inline distT="0" distB="0" distL="114300" distR="114300">
            <wp:extent cx="5270500" cy="3502660"/>
            <wp:effectExtent l="0" t="0" r="6350" b="254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39"/>
                    <a:stretch>
                      <a:fillRect/>
                    </a:stretch>
                  </pic:blipFill>
                  <pic:spPr>
                    <a:xfrm>
                      <a:off x="0" y="0"/>
                      <a:ext cx="5270500" cy="3502660"/>
                    </a:xfrm>
                    <a:prstGeom prst="rect">
                      <a:avLst/>
                    </a:prstGeom>
                    <a:noFill/>
                    <a:ln>
                      <a:noFill/>
                    </a:ln>
                  </pic:spPr>
                </pic:pic>
              </a:graphicData>
            </a:graphic>
          </wp:inline>
        </w:drawing>
      </w:r>
    </w:p>
    <w:p w14:paraId="42EBE880">
      <w:pPr>
        <w:pStyle w:val="13"/>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.7</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3</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平衡臂安装示意图</w:t>
      </w:r>
    </w:p>
    <w:p w14:paraId="6CC6679B">
      <w:pPr>
        <w:pStyle w:val="6"/>
        <w:rPr>
          <w:rFonts w:cs="Times New Roman"/>
          <w:color w:val="000000" w:themeColor="text1"/>
          <w:highlight w:val="none"/>
          <w14:textFill>
            <w14:solidFill>
              <w14:schemeClr w14:val="tx1"/>
            </w14:solidFill>
          </w14:textFill>
        </w:rPr>
      </w:pPr>
      <w:r>
        <w:rPr>
          <w:rFonts w:cs="Times New Roman"/>
          <w:color w:val="000000" w:themeColor="text1"/>
          <w:kern w:val="0"/>
          <w:highlight w:val="none"/>
          <w14:textFill>
            <w14:solidFill>
              <w14:schemeClr w14:val="tx1"/>
            </w14:solidFill>
          </w14:textFill>
        </w:rPr>
        <w:t>安装</w:t>
      </w:r>
      <w:r>
        <w:rPr>
          <w:rFonts w:hint="eastAsia" w:cs="Times New Roman"/>
          <w:color w:val="000000" w:themeColor="text1"/>
          <w:kern w:val="0"/>
          <w:highlight w:val="none"/>
          <w:lang w:val="en-US" w:eastAsia="zh-CN"/>
          <w14:textFill>
            <w14:solidFill>
              <w14:schemeClr w14:val="tx1"/>
            </w14:solidFill>
          </w14:textFill>
        </w:rPr>
        <w:t>两块平衡重</w:t>
      </w:r>
    </w:p>
    <w:p w14:paraId="50E63480">
      <w:pPr>
        <w:bidi w:val="0"/>
        <w:spacing w:line="360" w:lineRule="auto"/>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lang w:val="en-US" w:eastAsia="zh-CN"/>
        </w:rPr>
        <w:t>6</w:t>
      </w:r>
      <w:r>
        <w:rPr>
          <w:rFonts w:hint="default" w:ascii="Times New Roman" w:hAnsi="Times New Roman" w:eastAsia="宋体" w:cs="Times New Roman"/>
          <w:lang w:val="en-US" w:eastAsia="zh-CN"/>
        </w:rPr>
        <w:t>0m配置：4块A型，</w:t>
      </w:r>
      <w:r>
        <w:rPr>
          <w:rFonts w:hint="eastAsia" w:ascii="Times New Roman" w:hAnsi="Times New Roman" w:eastAsia="宋体" w:cs="Times New Roman"/>
          <w:lang w:val="en-US" w:eastAsia="zh-CN"/>
        </w:rPr>
        <w:t>3.2</w:t>
      </w:r>
      <w:r>
        <w:rPr>
          <w:rFonts w:hint="default" w:ascii="Times New Roman" w:hAnsi="Times New Roman" w:eastAsia="宋体" w:cs="Times New Roman"/>
          <w:lang w:val="en-US" w:eastAsia="zh-CN"/>
        </w:rPr>
        <w:t>t/块；1块B型，</w:t>
      </w:r>
      <w:r>
        <w:rPr>
          <w:rFonts w:hint="eastAsia" w:ascii="Times New Roman" w:hAnsi="Times New Roman" w:eastAsia="宋体" w:cs="Times New Roman"/>
          <w:lang w:val="en-US" w:eastAsia="zh-CN"/>
        </w:rPr>
        <w:t>2.3</w:t>
      </w:r>
      <w:r>
        <w:rPr>
          <w:rFonts w:hint="default" w:ascii="Times New Roman" w:hAnsi="Times New Roman" w:eastAsia="宋体" w:cs="Times New Roman"/>
          <w:lang w:val="en-US" w:eastAsia="zh-CN"/>
        </w:rPr>
        <w:t>t/块</w:t>
      </w:r>
      <w:r>
        <w:rPr>
          <w:rFonts w:hint="eastAsia" w:ascii="Times New Roman" w:hAnsi="Times New Roman" w:eastAsia="宋体" w:cs="Times New Roman"/>
          <w:lang w:val="en-US" w:eastAsia="zh-CN"/>
        </w:rPr>
        <w:t>；1块C型，1t/块</w:t>
      </w:r>
    </w:p>
    <w:p w14:paraId="183145A5">
      <w:pPr>
        <w:pStyle w:val="112"/>
        <w:spacing w:line="360" w:lineRule="auto"/>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25</w:t>
      </w:r>
      <w:r>
        <w:rPr>
          <w:color w:val="000000" w:themeColor="text1"/>
          <w14:textFill>
            <w14:solidFill>
              <w14:schemeClr w14:val="tx1"/>
            </w14:solidFill>
          </w14:textFill>
        </w:rPr>
        <w:t>t汽车吊主臂长</w:t>
      </w:r>
      <w:r>
        <w:rPr>
          <w:rFonts w:hint="eastAsia"/>
          <w:color w:val="000000" w:themeColor="text1"/>
          <w:lang w:val="en-US" w:eastAsia="zh-CN"/>
          <w14:textFill>
            <w14:solidFill>
              <w14:schemeClr w14:val="tx1"/>
            </w14:solidFill>
          </w14:textFill>
        </w:rPr>
        <w:t>33.5</w:t>
      </w:r>
      <w:r>
        <w:rPr>
          <w:color w:val="000000" w:themeColor="text1"/>
          <w14:textFill>
            <w14:solidFill>
              <w14:schemeClr w14:val="tx1"/>
            </w14:solidFill>
          </w14:textFill>
        </w:rPr>
        <w:t>m，吊装作业半径1</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m左右，额定起重量为</w:t>
      </w:r>
      <w:r>
        <w:rPr>
          <w:rFonts w:hint="eastAsia"/>
          <w:color w:val="000000" w:themeColor="text1"/>
          <w:lang w:val="en-US" w:eastAsia="zh-CN"/>
          <w14:textFill>
            <w14:solidFill>
              <w14:schemeClr w14:val="tx1"/>
            </w14:solidFill>
          </w14:textFill>
        </w:rPr>
        <w:t>6.6</w:t>
      </w:r>
      <w:r>
        <w:rPr>
          <w:color w:val="000000" w:themeColor="text1"/>
          <w14:textFill>
            <w14:solidFill>
              <w14:schemeClr w14:val="tx1"/>
            </w14:solidFill>
          </w14:textFill>
        </w:rPr>
        <w:t>t，满足安装吊装要求。</w:t>
      </w:r>
    </w:p>
    <w:p w14:paraId="7BAC3815">
      <w:pPr>
        <w:spacing w:line="360" w:lineRule="auto"/>
      </w:pPr>
      <w:r>
        <w:rPr>
          <w:color w:val="000000" w:themeColor="text1"/>
          <w14:textFill>
            <w14:solidFill>
              <w14:schemeClr w14:val="tx1"/>
            </w14:solidFill>
          </w14:textFill>
        </w:rPr>
        <w:t>吊装时，应选择</w:t>
      </w:r>
      <w:r>
        <w:rPr>
          <w:rFonts w:hint="eastAsia"/>
          <w:color w:val="000000" w:themeColor="text1"/>
          <w:lang w:val="en-US" w:eastAsia="zh-CN"/>
          <w14:textFill>
            <w14:solidFill>
              <w14:schemeClr w14:val="tx1"/>
            </w14:solidFill>
          </w14:textFill>
        </w:rPr>
        <w:t>两</w:t>
      </w:r>
      <w:r>
        <w:rPr>
          <w:color w:val="000000" w:themeColor="text1"/>
          <w14:textFill>
            <w14:solidFill>
              <w14:schemeClr w14:val="tx1"/>
            </w14:solidFill>
          </w14:textFill>
        </w:rPr>
        <w:t>点吊；吊索的规格为：6</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19</w:t>
      </w:r>
      <w:r>
        <w:rPr>
          <w:color w:val="000000" w:themeColor="text1"/>
          <w14:textFill>
            <w14:solidFill>
              <w14:schemeClr w14:val="tx1"/>
            </w14:solidFill>
          </w14:textFill>
        </w:rPr>
        <w:t>S+FC-1</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70-</w:t>
      </w:r>
      <w:r>
        <w:rPr>
          <w:rFonts w:hint="eastAsia"/>
          <w:color w:val="000000" w:themeColor="text1"/>
          <w:lang w:val="en-US" w:eastAsia="zh-CN"/>
          <w14:textFill>
            <w14:solidFill>
              <w14:schemeClr w14:val="tx1"/>
            </w14:solidFill>
          </w14:textFill>
        </w:rPr>
        <w:t>16</w:t>
      </w:r>
      <w:r>
        <w:rPr>
          <w:color w:val="000000" w:themeColor="text1"/>
          <w14:textFill>
            <w14:solidFill>
              <w14:schemeClr w14:val="tx1"/>
            </w14:solidFill>
          </w14:textFill>
        </w:rPr>
        <w:t>。</w:t>
      </w:r>
    </w:p>
    <w:p w14:paraId="6D6A5C41">
      <w:pPr>
        <w:pStyle w:val="112"/>
        <w:spacing w:line="360" w:lineRule="auto"/>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 xml:space="preserve">用汽车吊和配重专用吊钩吊装配重，逐一将符合工序要求的全部配重按照起重臂往平衡臂的方向依次安装在配平衡臂上（无需空格）。 </w:t>
      </w:r>
    </w:p>
    <w:p w14:paraId="7BB4A582">
      <w:pPr>
        <w:pStyle w:val="112"/>
        <w:spacing w:line="360" w:lineRule="auto"/>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 xml:space="preserve"> 汽车吊吊索固定在配重的专用吊孔位置，将此配重缓缓吊起至配重平衡臂上规定的就位点，徐徐落下。 </w:t>
      </w:r>
    </w:p>
    <w:p w14:paraId="226042B1">
      <w:pPr>
        <w:pStyle w:val="112"/>
        <w:spacing w:line="360" w:lineRule="auto"/>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 xml:space="preserve"> 配重在配重平衡臂上就位后，应能围绕配重上的圆钢轴摆动，使之使小圆钢轴D停靠在档板C上。。</w:t>
      </w:r>
    </w:p>
    <w:p w14:paraId="4492D95F">
      <w:pPr>
        <w:pStyle w:val="112"/>
        <w:spacing w:line="360" w:lineRule="auto"/>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 xml:space="preserve"> 平衡重的安放应从平衡臂靠近塔身一侧开始。</w:t>
      </w:r>
    </w:p>
    <w:p w14:paraId="74AC083E">
      <w:pPr>
        <w:pStyle w:val="112"/>
        <w:spacing w:line="360" w:lineRule="auto"/>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color w:val="000000" w:themeColor="text1"/>
          <w14:textFill>
            <w14:solidFill>
              <w14:schemeClr w14:val="tx1"/>
            </w14:solidFill>
          </w14:textFill>
        </w:rPr>
        <w:t xml:space="preserve"> 吊起第一块A型平衡重，将其放在平衡臂靠近塔身一侧，平衡重吊装接近平衡臂时，应将二件销轴穿进平衡重的定位孔内，并搁置在专用支架上。</w:t>
      </w:r>
    </w:p>
    <w:p w14:paraId="0929E3FF">
      <w:pPr>
        <w:pStyle w:val="112"/>
        <w:spacing w:line="360" w:lineRule="auto"/>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⑥</w:t>
      </w:r>
      <w:r>
        <w:rPr>
          <w:color w:val="000000" w:themeColor="text1"/>
          <w14:textFill>
            <w14:solidFill>
              <w14:schemeClr w14:val="tx1"/>
            </w14:solidFill>
          </w14:textFill>
        </w:rPr>
        <w:t xml:space="preserve"> 重复上述吊装操作，直到安放完</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块</w:t>
      </w:r>
      <w:r>
        <w:rPr>
          <w:rFonts w:hint="eastAsia"/>
          <w:color w:val="000000" w:themeColor="text1"/>
          <w:lang w:val="en-US" w:eastAsia="zh-CN"/>
          <w14:textFill>
            <w14:solidFill>
              <w14:schemeClr w14:val="tx1"/>
            </w14:solidFill>
          </w14:textFill>
        </w:rPr>
        <w:t>A型</w:t>
      </w:r>
      <w:r>
        <w:rPr>
          <w:color w:val="000000" w:themeColor="text1"/>
          <w14:textFill>
            <w14:solidFill>
              <w14:schemeClr w14:val="tx1"/>
            </w14:solidFill>
          </w14:textFill>
        </w:rPr>
        <w:t>平衡重，并用长螺杆将所有的平衡重连接锁定紧固在一起。</w:t>
      </w:r>
    </w:p>
    <w:p w14:paraId="0731D6AB">
      <w:pPr>
        <w:pStyle w:val="112"/>
        <w:spacing w:line="360" w:lineRule="auto"/>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bCs/>
          <w:color w:val="000000" w:themeColor="text1"/>
          <w:kern w:val="2"/>
          <w:lang w:val="en-US" w:eastAsia="zh-CN"/>
          <w14:textFill>
            <w14:solidFill>
              <w14:schemeClr w14:val="tx1"/>
            </w14:solidFill>
          </w14:textFill>
        </w:rPr>
        <w:t>平衡重</w:t>
      </w:r>
      <w:r>
        <w:rPr>
          <w:rFonts w:ascii="Times New Roman" w:eastAsia="宋体" w:cs="Times New Roman"/>
          <w:bCs/>
          <w:color w:val="000000" w:themeColor="text1"/>
          <w:kern w:val="2"/>
          <w14:textFill>
            <w14:solidFill>
              <w14:schemeClr w14:val="tx1"/>
            </w14:solidFill>
          </w14:textFill>
        </w:rPr>
        <w:t>安装全过程的安全风险辩识：吊装的部件要保持平稳；指挥信号要明确；再次强调安装人员在安装过程中，必须系牢安全带。严禁将工具放置在平台的临边，手持工具放稳抓牢。地面安装区域严禁站人，在安装区域60m范围内设置安全警戒线。</w:t>
      </w:r>
    </w:p>
    <w:p w14:paraId="0FF83DF5">
      <w:pPr>
        <w:pStyle w:val="13"/>
        <w:jc w:val="center"/>
      </w:pPr>
      <w:r>
        <w:drawing>
          <wp:inline distT="0" distB="0" distL="114300" distR="114300">
            <wp:extent cx="2936875" cy="2780030"/>
            <wp:effectExtent l="0" t="0" r="15875" b="1270"/>
            <wp:docPr id="8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8"/>
                    <pic:cNvPicPr>
                      <a:picLocks noChangeAspect="1"/>
                    </pic:cNvPicPr>
                  </pic:nvPicPr>
                  <pic:blipFill>
                    <a:blip r:embed="rId40"/>
                    <a:stretch>
                      <a:fillRect/>
                    </a:stretch>
                  </pic:blipFill>
                  <pic:spPr>
                    <a:xfrm>
                      <a:off x="0" y="0"/>
                      <a:ext cx="2936875" cy="2780030"/>
                    </a:xfrm>
                    <a:prstGeom prst="rect">
                      <a:avLst/>
                    </a:prstGeom>
                    <a:noFill/>
                    <a:ln>
                      <a:noFill/>
                    </a:ln>
                  </pic:spPr>
                </pic:pic>
              </a:graphicData>
            </a:graphic>
          </wp:inline>
        </w:drawing>
      </w:r>
    </w:p>
    <w:p w14:paraId="70F83F83">
      <w:pPr>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.8-1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平衡重安装立面示意图</w:t>
      </w:r>
    </w:p>
    <w:p w14:paraId="7B6FEF6B">
      <w:pPr>
        <w:pStyle w:val="13"/>
        <w:jc w:val="center"/>
      </w:pPr>
      <w:r>
        <w:drawing>
          <wp:inline distT="0" distB="0" distL="114300" distR="114300">
            <wp:extent cx="2233930" cy="2237740"/>
            <wp:effectExtent l="0" t="0" r="13970" b="10160"/>
            <wp:docPr id="8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9"/>
                    <pic:cNvPicPr>
                      <a:picLocks noChangeAspect="1"/>
                    </pic:cNvPicPr>
                  </pic:nvPicPr>
                  <pic:blipFill>
                    <a:blip r:embed="rId38"/>
                    <a:stretch>
                      <a:fillRect/>
                    </a:stretch>
                  </pic:blipFill>
                  <pic:spPr>
                    <a:xfrm>
                      <a:off x="0" y="0"/>
                      <a:ext cx="2233930" cy="2237740"/>
                    </a:xfrm>
                    <a:prstGeom prst="rect">
                      <a:avLst/>
                    </a:prstGeom>
                    <a:noFill/>
                    <a:ln>
                      <a:noFill/>
                    </a:ln>
                  </pic:spPr>
                </pic:pic>
              </a:graphicData>
            </a:graphic>
          </wp:inline>
        </w:drawing>
      </w:r>
    </w:p>
    <w:p w14:paraId="6F97CAB8">
      <w:pPr>
        <w:jc w:val="cente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.8-2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平衡重安装平面示意图</w:t>
      </w:r>
    </w:p>
    <w:p w14:paraId="70F96BBD">
      <w:pPr>
        <w:pStyle w:val="13"/>
        <w:jc w:val="center"/>
        <w:rPr>
          <w:rFonts w:hint="default"/>
          <w:b/>
          <w:color w:val="000000" w:themeColor="text1"/>
          <w:u w:val="single"/>
          <w:lang w:val="en-US"/>
          <w14:textFill>
            <w14:solidFill>
              <w14:schemeClr w14:val="tx1"/>
            </w14:solidFill>
          </w14:textFill>
        </w:rPr>
      </w:pPr>
      <w:r>
        <w:drawing>
          <wp:inline distT="0" distB="0" distL="114300" distR="114300">
            <wp:extent cx="5271770" cy="2486025"/>
            <wp:effectExtent l="0" t="0" r="5080" b="9525"/>
            <wp:docPr id="7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7"/>
                    <pic:cNvPicPr>
                      <a:picLocks noChangeAspect="1"/>
                    </pic:cNvPicPr>
                  </pic:nvPicPr>
                  <pic:blipFill>
                    <a:blip r:embed="rId41"/>
                    <a:stretch>
                      <a:fillRect/>
                    </a:stretch>
                  </pic:blipFill>
                  <pic:spPr>
                    <a:xfrm>
                      <a:off x="0" y="0"/>
                      <a:ext cx="5271770" cy="2486025"/>
                    </a:xfrm>
                    <a:prstGeom prst="rect">
                      <a:avLst/>
                    </a:prstGeom>
                    <a:noFill/>
                    <a:ln>
                      <a:noFill/>
                    </a:ln>
                  </pic:spPr>
                </pic:pic>
              </a:graphicData>
            </a:graphic>
          </wp:inline>
        </w:drawing>
      </w: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.8</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3</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平衡重安装示意图</w:t>
      </w:r>
    </w:p>
    <w:p w14:paraId="27286379">
      <w:pPr>
        <w:pStyle w:val="6"/>
        <w:rPr>
          <w:rFonts w:cs="Times New Roman"/>
          <w:color w:val="000000" w:themeColor="text1"/>
          <w14:textFill>
            <w14:solidFill>
              <w14:schemeClr w14:val="tx1"/>
            </w14:solidFill>
          </w14:textFill>
        </w:rPr>
      </w:pPr>
      <w:bookmarkStart w:id="67" w:name="_Toc45631067"/>
      <w:r>
        <w:rPr>
          <w:rFonts w:hint="eastAsia" w:cs="Times New Roman"/>
          <w:color w:val="000000" w:themeColor="text1"/>
          <w:kern w:val="0"/>
          <w:lang w:val="en-US" w:eastAsia="zh-CN"/>
          <w14:textFill>
            <w14:solidFill>
              <w14:schemeClr w14:val="tx1"/>
            </w14:solidFill>
          </w14:textFill>
        </w:rPr>
        <w:t>起重臂</w:t>
      </w:r>
      <w:r>
        <w:rPr>
          <w:rFonts w:cs="Times New Roman"/>
          <w:color w:val="000000" w:themeColor="text1"/>
          <w:kern w:val="0"/>
          <w14:textFill>
            <w14:solidFill>
              <w14:schemeClr w14:val="tx1"/>
            </w14:solidFill>
          </w14:textFill>
        </w:rPr>
        <w:t>第二节安装（型号：</w:t>
      </w:r>
      <w:r>
        <w:rPr>
          <w:rFonts w:hint="eastAsia" w:cs="Times New Roman"/>
          <w:color w:val="000000" w:themeColor="text1"/>
          <w:kern w:val="0"/>
          <w:lang w:val="en-US" w:eastAsia="zh-CN"/>
          <w14:textFill>
            <w14:solidFill>
              <w14:schemeClr w14:val="tx1"/>
            </w14:solidFill>
          </w14:textFill>
        </w:rPr>
        <w:t>T1213</w:t>
      </w:r>
      <w:r>
        <w:rPr>
          <w:rFonts w:cs="Times New Roman"/>
          <w:color w:val="000000" w:themeColor="text1"/>
          <w:kern w:val="0"/>
          <w14:textFill>
            <w14:solidFill>
              <w14:schemeClr w14:val="tx1"/>
            </w14:solidFill>
          </w14:textFill>
        </w:rPr>
        <w:t xml:space="preserve"> ，重量</w:t>
      </w:r>
      <w:r>
        <w:rPr>
          <w:rFonts w:hint="eastAsia" w:cs="Times New Roman"/>
          <w:color w:val="000000" w:themeColor="text1"/>
          <w:lang w:val="en-US" w:eastAsia="zh-CN"/>
          <w14:textFill>
            <w14:solidFill>
              <w14:schemeClr w14:val="tx1"/>
            </w14:solidFill>
          </w14:textFill>
        </w:rPr>
        <w:t>1.567</w:t>
      </w:r>
      <w:r>
        <w:rPr>
          <w:rFonts w:cs="Times New Roman"/>
          <w:color w:val="000000" w:themeColor="text1"/>
          <w14:textFill>
            <w14:solidFill>
              <w14:schemeClr w14:val="tx1"/>
            </w14:solidFill>
          </w14:textFill>
        </w:rPr>
        <w:t>t</w:t>
      </w:r>
      <w:r>
        <w:rPr>
          <w:rFonts w:cs="Times New Roman"/>
          <w:color w:val="000000" w:themeColor="text1"/>
          <w:kern w:val="0"/>
          <w14:textFill>
            <w14:solidFill>
              <w14:schemeClr w14:val="tx1"/>
            </w14:solidFill>
          </w14:textFill>
        </w:rPr>
        <w:t>）</w:t>
      </w:r>
    </w:p>
    <w:p w14:paraId="51AAE666">
      <w:pPr>
        <w:pStyle w:val="112"/>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25</w:t>
      </w:r>
      <w:r>
        <w:rPr>
          <w:color w:val="000000" w:themeColor="text1"/>
          <w14:textFill>
            <w14:solidFill>
              <w14:schemeClr w14:val="tx1"/>
            </w14:solidFill>
          </w14:textFill>
        </w:rPr>
        <w:t>t汽车吊主臂长</w:t>
      </w:r>
      <w:r>
        <w:rPr>
          <w:rFonts w:hint="eastAsia"/>
          <w:color w:val="000000" w:themeColor="text1"/>
          <w:lang w:val="en-US" w:eastAsia="zh-CN"/>
          <w14:textFill>
            <w14:solidFill>
              <w14:schemeClr w14:val="tx1"/>
            </w14:solidFill>
          </w14:textFill>
        </w:rPr>
        <w:t>33.5</w:t>
      </w:r>
      <w:r>
        <w:rPr>
          <w:color w:val="000000" w:themeColor="text1"/>
          <w14:textFill>
            <w14:solidFill>
              <w14:schemeClr w14:val="tx1"/>
            </w14:solidFill>
          </w14:textFill>
        </w:rPr>
        <w:t>m，塔机起重臂转向汽车吊方向，吊装作业半径</w:t>
      </w:r>
      <w:r>
        <w:rPr>
          <w:rFonts w:hint="eastAsia"/>
          <w:color w:val="000000" w:themeColor="text1"/>
          <w:lang w:val="en-US" w:eastAsia="zh-CN"/>
          <w14:textFill>
            <w14:solidFill>
              <w14:schemeClr w14:val="tx1"/>
            </w14:solidFill>
          </w14:textFill>
        </w:rPr>
        <w:t>10</w:t>
      </w:r>
      <w:r>
        <w:rPr>
          <w:color w:val="000000" w:themeColor="text1"/>
          <w14:textFill>
            <w14:solidFill>
              <w14:schemeClr w14:val="tx1"/>
            </w14:solidFill>
          </w14:textFill>
        </w:rPr>
        <w:t>m，额定起重量</w:t>
      </w:r>
      <w:r>
        <w:rPr>
          <w:rFonts w:hint="eastAsia"/>
          <w:color w:val="000000" w:themeColor="text1"/>
          <w:lang w:val="en-US" w:eastAsia="zh-CN"/>
          <w14:textFill>
            <w14:solidFill>
              <w14:schemeClr w14:val="tx1"/>
            </w14:solidFill>
          </w14:textFill>
        </w:rPr>
        <w:t>6.6</w:t>
      </w:r>
      <w:r>
        <w:rPr>
          <w:color w:val="000000" w:themeColor="text1"/>
          <w14:textFill>
            <w14:solidFill>
              <w14:schemeClr w14:val="tx1"/>
            </w14:solidFill>
          </w14:textFill>
        </w:rPr>
        <w:t>t，满足安装吊装要求。</w:t>
      </w:r>
    </w:p>
    <w:p w14:paraId="7BB4589A">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吊装时，选用两点吊；吊索的规格为： 6</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19</w:t>
      </w:r>
      <w:r>
        <w:rPr>
          <w:color w:val="000000" w:themeColor="text1"/>
          <w14:textFill>
            <w14:solidFill>
              <w14:schemeClr w14:val="tx1"/>
            </w14:solidFill>
          </w14:textFill>
        </w:rPr>
        <w:t>S+FC-1</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70-</w:t>
      </w:r>
      <w:r>
        <w:rPr>
          <w:rFonts w:hint="eastAsia"/>
          <w:color w:val="000000" w:themeColor="text1"/>
          <w:lang w:val="en-US" w:eastAsia="zh-CN"/>
          <w14:textFill>
            <w14:solidFill>
              <w14:schemeClr w14:val="tx1"/>
            </w14:solidFill>
          </w14:textFill>
        </w:rPr>
        <w:t>16</w:t>
      </w:r>
      <w:r>
        <w:rPr>
          <w:color w:val="000000" w:themeColor="text1"/>
          <w14:textFill>
            <w14:solidFill>
              <w14:schemeClr w14:val="tx1"/>
            </w14:solidFill>
          </w14:textFill>
        </w:rPr>
        <w:t>。</w:t>
      </w:r>
    </w:p>
    <w:p w14:paraId="61735DB7">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 xml:space="preserve"> 在起重臂前、后各系1根30m的导向牵引绳； </w:t>
      </w:r>
    </w:p>
    <w:p w14:paraId="368E8978">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 xml:space="preserve"> 汽车吊吊索固定在起重臂上弦杆中部偏左1m且对称约左右2m的位置，将此段起重臂缓吊起，在离地约1m高度时暂停，观察其水平度与稳定性正常后，再继续缓缓吊起至稍使此段起重臂的跟部和</w:t>
      </w:r>
      <w:r>
        <w:rPr>
          <w:rFonts w:hint="eastAsia"/>
          <w:color w:val="000000" w:themeColor="text1"/>
          <w:lang w:val="en-US" w:eastAsia="zh-CN"/>
          <w14:textFill>
            <w14:solidFill>
              <w14:schemeClr w14:val="tx1"/>
            </w14:solidFill>
          </w14:textFill>
        </w:rPr>
        <w:t>T1211臂根</w:t>
      </w:r>
      <w:r>
        <w:rPr>
          <w:color w:val="000000" w:themeColor="text1"/>
          <w14:textFill>
            <w14:solidFill>
              <w14:schemeClr w14:val="tx1"/>
            </w14:solidFill>
          </w14:textFill>
        </w:rPr>
        <w:t xml:space="preserve">节上部销轴联结点对接，用销轴销定此段起重臂的上部，并用插销相连，最后将插销安装开口销并开口予以锁定。 </w:t>
      </w:r>
    </w:p>
    <w:p w14:paraId="203E67EC">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 xml:space="preserve"> 继续下降汽车吊吊钩将起重臂慢慢放下，使此段起重臂的下部主弦杆销定在</w:t>
      </w:r>
      <w:r>
        <w:rPr>
          <w:rFonts w:hint="eastAsia"/>
          <w:color w:val="000000" w:themeColor="text1"/>
          <w:lang w:val="en-US" w:eastAsia="zh-CN"/>
          <w14:textFill>
            <w14:solidFill>
              <w14:schemeClr w14:val="tx1"/>
            </w14:solidFill>
          </w14:textFill>
        </w:rPr>
        <w:t>T1211臂根</w:t>
      </w:r>
      <w:r>
        <w:rPr>
          <w:color w:val="000000" w:themeColor="text1"/>
          <w14:textFill>
            <w14:solidFill>
              <w14:schemeClr w14:val="tx1"/>
            </w14:solidFill>
          </w14:textFill>
        </w:rPr>
        <w:t>节上的定位销轴上，然后用高强度螺栓进行安装紧固。</w:t>
      </w:r>
    </w:p>
    <w:p w14:paraId="3D79D16E">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 xml:space="preserve"> 解除起重臂前、后端的导向牵引，汽车吊退出此安装工序。</w:t>
      </w:r>
    </w:p>
    <w:p w14:paraId="0BAE2493">
      <w:pPr>
        <w:pStyle w:val="112"/>
        <w:ind w:firstLine="4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剩余起重臂安装步骤同起重臂第二节安装步骤。</w:t>
      </w:r>
    </w:p>
    <w:p w14:paraId="6FFF0E06">
      <w:pPr>
        <w:pStyle w:val="112"/>
        <w:ind w:firstLine="480"/>
        <w:rPr>
          <w:color w:val="000000" w:themeColor="text1"/>
          <w14:textFill>
            <w14:solidFill>
              <w14:schemeClr w14:val="tx1"/>
            </w14:solidFill>
          </w14:textFill>
        </w:rPr>
      </w:pPr>
      <w:r>
        <w:rPr>
          <w:rFonts w:ascii="Times New Roman" w:eastAsia="宋体" w:cs="Times New Roman"/>
          <w:bCs/>
          <w:color w:val="000000" w:themeColor="text1"/>
          <w:kern w:val="2"/>
          <w14:textFill>
            <w14:solidFill>
              <w14:schemeClr w14:val="tx1"/>
            </w14:solidFill>
          </w14:textFill>
        </w:rPr>
        <w:t>起重臂安装全过程的安全风险辩识：吊装的部件要保持平稳；指挥信号要明确；再次强调安装人员在安装过程中，必须系牢安全带。严禁将工具放置在平台的临边，手持工具放稳抓牢。地面安装区域严禁站人，在安装区域60m范围内设置安全警戒线。</w:t>
      </w:r>
    </w:p>
    <w:p w14:paraId="236CDFCC">
      <w:pPr>
        <w:jc w:val="center"/>
      </w:pPr>
      <w:r>
        <w:drawing>
          <wp:inline distT="0" distB="0" distL="114300" distR="114300">
            <wp:extent cx="1856740" cy="2402205"/>
            <wp:effectExtent l="0" t="0" r="10160" b="17145"/>
            <wp:docPr id="8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6"/>
                    <pic:cNvPicPr>
                      <a:picLocks noChangeAspect="1"/>
                    </pic:cNvPicPr>
                  </pic:nvPicPr>
                  <pic:blipFill>
                    <a:blip r:embed="rId42"/>
                    <a:stretch>
                      <a:fillRect/>
                    </a:stretch>
                  </pic:blipFill>
                  <pic:spPr>
                    <a:xfrm>
                      <a:off x="0" y="0"/>
                      <a:ext cx="1856740" cy="2402205"/>
                    </a:xfrm>
                    <a:prstGeom prst="rect">
                      <a:avLst/>
                    </a:prstGeom>
                    <a:noFill/>
                    <a:ln>
                      <a:noFill/>
                    </a:ln>
                  </pic:spPr>
                </pic:pic>
              </a:graphicData>
            </a:graphic>
          </wp:inline>
        </w:drawing>
      </w:r>
    </w:p>
    <w:p w14:paraId="7DEE6A36">
      <w:pPr>
        <w:pStyle w:val="13"/>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臂节二安装立面示意图</w:t>
      </w:r>
    </w:p>
    <w:p w14:paraId="4C9FE98F">
      <w:pPr>
        <w:jc w:val="center"/>
      </w:pPr>
      <w:r>
        <w:drawing>
          <wp:inline distT="0" distB="0" distL="114300" distR="114300">
            <wp:extent cx="2759075" cy="2597150"/>
            <wp:effectExtent l="0" t="0" r="3175" b="12700"/>
            <wp:docPr id="9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7"/>
                    <pic:cNvPicPr>
                      <a:picLocks noChangeAspect="1"/>
                    </pic:cNvPicPr>
                  </pic:nvPicPr>
                  <pic:blipFill>
                    <a:blip r:embed="rId43"/>
                    <a:stretch>
                      <a:fillRect/>
                    </a:stretch>
                  </pic:blipFill>
                  <pic:spPr>
                    <a:xfrm>
                      <a:off x="0" y="0"/>
                      <a:ext cx="2759075" cy="2597150"/>
                    </a:xfrm>
                    <a:prstGeom prst="rect">
                      <a:avLst/>
                    </a:prstGeom>
                    <a:noFill/>
                    <a:ln>
                      <a:noFill/>
                    </a:ln>
                  </pic:spPr>
                </pic:pic>
              </a:graphicData>
            </a:graphic>
          </wp:inline>
        </w:drawing>
      </w:r>
    </w:p>
    <w:p w14:paraId="40812791">
      <w:pPr>
        <w:pStyle w:val="13"/>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臂节二安装平面示意图</w:t>
      </w:r>
    </w:p>
    <w:p w14:paraId="26C55828">
      <w:pPr>
        <w:pStyle w:val="112"/>
        <w:ind w:firstLine="480"/>
        <w:jc w:val="center"/>
      </w:pPr>
      <w:r>
        <w:drawing>
          <wp:inline distT="0" distB="0" distL="114300" distR="114300">
            <wp:extent cx="2614930" cy="2479040"/>
            <wp:effectExtent l="0" t="0" r="13970" b="16510"/>
            <wp:docPr id="9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8"/>
                    <pic:cNvPicPr>
                      <a:picLocks noChangeAspect="1"/>
                    </pic:cNvPicPr>
                  </pic:nvPicPr>
                  <pic:blipFill>
                    <a:blip r:embed="rId44"/>
                    <a:stretch>
                      <a:fillRect/>
                    </a:stretch>
                  </pic:blipFill>
                  <pic:spPr>
                    <a:xfrm>
                      <a:off x="0" y="0"/>
                      <a:ext cx="2614930" cy="2479040"/>
                    </a:xfrm>
                    <a:prstGeom prst="rect">
                      <a:avLst/>
                    </a:prstGeom>
                    <a:noFill/>
                    <a:ln>
                      <a:noFill/>
                    </a:ln>
                  </pic:spPr>
                </pic:pic>
              </a:graphicData>
            </a:graphic>
          </wp:inline>
        </w:drawing>
      </w:r>
    </w:p>
    <w:p w14:paraId="351A8A50">
      <w:pPr>
        <w:pStyle w:val="13"/>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3</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臂节三安装立面示意图</w:t>
      </w:r>
    </w:p>
    <w:p w14:paraId="0C038A79">
      <w:pPr>
        <w:pStyle w:val="112"/>
        <w:ind w:firstLine="480"/>
        <w:jc w:val="center"/>
      </w:pPr>
      <w:r>
        <w:drawing>
          <wp:inline distT="0" distB="0" distL="114300" distR="114300">
            <wp:extent cx="2148840" cy="2157730"/>
            <wp:effectExtent l="0" t="0" r="3810" b="13970"/>
            <wp:docPr id="9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9"/>
                    <pic:cNvPicPr>
                      <a:picLocks noChangeAspect="1"/>
                    </pic:cNvPicPr>
                  </pic:nvPicPr>
                  <pic:blipFill>
                    <a:blip r:embed="rId45"/>
                    <a:stretch>
                      <a:fillRect/>
                    </a:stretch>
                  </pic:blipFill>
                  <pic:spPr>
                    <a:xfrm>
                      <a:off x="0" y="0"/>
                      <a:ext cx="2148840" cy="2157730"/>
                    </a:xfrm>
                    <a:prstGeom prst="rect">
                      <a:avLst/>
                    </a:prstGeom>
                    <a:noFill/>
                    <a:ln>
                      <a:noFill/>
                    </a:ln>
                  </pic:spPr>
                </pic:pic>
              </a:graphicData>
            </a:graphic>
          </wp:inline>
        </w:drawing>
      </w:r>
    </w:p>
    <w:p w14:paraId="45C59925">
      <w:pPr>
        <w:pStyle w:val="13"/>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4</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臂节三安装平面示意图</w:t>
      </w:r>
    </w:p>
    <w:bookmarkEnd w:id="67"/>
    <w:p w14:paraId="070A37B6">
      <w:pPr>
        <w:jc w:val="center"/>
      </w:pPr>
      <w:r>
        <w:drawing>
          <wp:inline distT="0" distB="0" distL="114300" distR="114300">
            <wp:extent cx="2618740" cy="2448560"/>
            <wp:effectExtent l="0" t="0" r="10160" b="8890"/>
            <wp:docPr id="10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0"/>
                    <pic:cNvPicPr>
                      <a:picLocks noChangeAspect="1"/>
                    </pic:cNvPicPr>
                  </pic:nvPicPr>
                  <pic:blipFill>
                    <a:blip r:embed="rId46"/>
                    <a:stretch>
                      <a:fillRect/>
                    </a:stretch>
                  </pic:blipFill>
                  <pic:spPr>
                    <a:xfrm>
                      <a:off x="0" y="0"/>
                      <a:ext cx="2618740" cy="2448560"/>
                    </a:xfrm>
                    <a:prstGeom prst="rect">
                      <a:avLst/>
                    </a:prstGeom>
                    <a:noFill/>
                    <a:ln>
                      <a:noFill/>
                    </a:ln>
                  </pic:spPr>
                </pic:pic>
              </a:graphicData>
            </a:graphic>
          </wp:inline>
        </w:drawing>
      </w:r>
    </w:p>
    <w:p w14:paraId="2F35B09E">
      <w:pPr>
        <w:pStyle w:val="1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5</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臂节四安装立面示意图</w:t>
      </w:r>
    </w:p>
    <w:p w14:paraId="532EA781">
      <w:pPr>
        <w:jc w:val="center"/>
      </w:pPr>
      <w:r>
        <w:drawing>
          <wp:inline distT="0" distB="0" distL="114300" distR="114300">
            <wp:extent cx="2113915" cy="2457450"/>
            <wp:effectExtent l="0" t="0" r="635" b="0"/>
            <wp:docPr id="10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1"/>
                    <pic:cNvPicPr>
                      <a:picLocks noChangeAspect="1"/>
                    </pic:cNvPicPr>
                  </pic:nvPicPr>
                  <pic:blipFill>
                    <a:blip r:embed="rId47"/>
                    <a:stretch>
                      <a:fillRect/>
                    </a:stretch>
                  </pic:blipFill>
                  <pic:spPr>
                    <a:xfrm>
                      <a:off x="0" y="0"/>
                      <a:ext cx="2113915" cy="2457450"/>
                    </a:xfrm>
                    <a:prstGeom prst="rect">
                      <a:avLst/>
                    </a:prstGeom>
                    <a:noFill/>
                    <a:ln>
                      <a:noFill/>
                    </a:ln>
                  </pic:spPr>
                </pic:pic>
              </a:graphicData>
            </a:graphic>
          </wp:inline>
        </w:drawing>
      </w:r>
    </w:p>
    <w:p w14:paraId="7723300C">
      <w:pPr>
        <w:pStyle w:val="1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6</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臂节四安装平面示意图</w:t>
      </w:r>
    </w:p>
    <w:p w14:paraId="09ACBE55">
      <w:pPr>
        <w:jc w:val="center"/>
      </w:pPr>
      <w:r>
        <w:drawing>
          <wp:inline distT="0" distB="0" distL="114300" distR="114300">
            <wp:extent cx="3272790" cy="2458720"/>
            <wp:effectExtent l="0" t="0" r="3810" b="17780"/>
            <wp:docPr id="10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2"/>
                    <pic:cNvPicPr>
                      <a:picLocks noChangeAspect="1"/>
                    </pic:cNvPicPr>
                  </pic:nvPicPr>
                  <pic:blipFill>
                    <a:blip r:embed="rId48"/>
                    <a:stretch>
                      <a:fillRect/>
                    </a:stretch>
                  </pic:blipFill>
                  <pic:spPr>
                    <a:xfrm>
                      <a:off x="0" y="0"/>
                      <a:ext cx="3272790" cy="2458720"/>
                    </a:xfrm>
                    <a:prstGeom prst="rect">
                      <a:avLst/>
                    </a:prstGeom>
                    <a:noFill/>
                    <a:ln>
                      <a:noFill/>
                    </a:ln>
                  </pic:spPr>
                </pic:pic>
              </a:graphicData>
            </a:graphic>
          </wp:inline>
        </w:drawing>
      </w:r>
    </w:p>
    <w:p w14:paraId="0ED21F5D">
      <w:pPr>
        <w:pStyle w:val="1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7</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臂节五安装立面示意图</w:t>
      </w:r>
    </w:p>
    <w:p w14:paraId="15D848E3">
      <w:pPr>
        <w:jc w:val="center"/>
      </w:pPr>
      <w:r>
        <w:drawing>
          <wp:inline distT="0" distB="0" distL="114300" distR="114300">
            <wp:extent cx="1761490" cy="2059305"/>
            <wp:effectExtent l="0" t="0" r="10160" b="17145"/>
            <wp:docPr id="10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3"/>
                    <pic:cNvPicPr>
                      <a:picLocks noChangeAspect="1"/>
                    </pic:cNvPicPr>
                  </pic:nvPicPr>
                  <pic:blipFill>
                    <a:blip r:embed="rId49"/>
                    <a:stretch>
                      <a:fillRect/>
                    </a:stretch>
                  </pic:blipFill>
                  <pic:spPr>
                    <a:xfrm>
                      <a:off x="0" y="0"/>
                      <a:ext cx="1761490" cy="2059305"/>
                    </a:xfrm>
                    <a:prstGeom prst="rect">
                      <a:avLst/>
                    </a:prstGeom>
                    <a:noFill/>
                    <a:ln>
                      <a:noFill/>
                    </a:ln>
                  </pic:spPr>
                </pic:pic>
              </a:graphicData>
            </a:graphic>
          </wp:inline>
        </w:drawing>
      </w:r>
    </w:p>
    <w:p w14:paraId="659F716E">
      <w:pPr>
        <w:pStyle w:val="1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8</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臂节五安装平面示意图</w:t>
      </w:r>
    </w:p>
    <w:p w14:paraId="56BB7498">
      <w:pPr>
        <w:ind w:left="0" w:leftChars="0" w:firstLine="0" w:firstLineChars="0"/>
        <w:jc w:val="center"/>
        <w:rPr>
          <w:rFonts w:hint="eastAsia"/>
          <w:lang w:val="en-US" w:eastAsia="zh-CN"/>
        </w:rPr>
      </w:pPr>
      <w:r>
        <w:drawing>
          <wp:inline distT="0" distB="0" distL="114300" distR="114300">
            <wp:extent cx="4697730" cy="3017520"/>
            <wp:effectExtent l="0" t="0" r="7620" b="11430"/>
            <wp:docPr id="11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4"/>
                    <pic:cNvPicPr>
                      <a:picLocks noChangeAspect="1"/>
                    </pic:cNvPicPr>
                  </pic:nvPicPr>
                  <pic:blipFill>
                    <a:blip r:embed="rId50"/>
                    <a:stretch>
                      <a:fillRect/>
                    </a:stretch>
                  </pic:blipFill>
                  <pic:spPr>
                    <a:xfrm>
                      <a:off x="0" y="0"/>
                      <a:ext cx="4697730" cy="3017520"/>
                    </a:xfrm>
                    <a:prstGeom prst="rect">
                      <a:avLst/>
                    </a:prstGeom>
                    <a:noFill/>
                    <a:ln>
                      <a:noFill/>
                    </a:ln>
                  </pic:spPr>
                </pic:pic>
              </a:graphicData>
            </a:graphic>
          </wp:inline>
        </w:drawing>
      </w:r>
    </w:p>
    <w:p w14:paraId="2AE9600F">
      <w:pPr>
        <w:pStyle w:val="1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臂节六安装立面示意图</w:t>
      </w:r>
    </w:p>
    <w:p w14:paraId="2FCCC01E">
      <w:pPr>
        <w:ind w:left="0" w:leftChars="0" w:firstLine="0" w:firstLineChars="0"/>
        <w:jc w:val="center"/>
      </w:pPr>
      <w:r>
        <w:drawing>
          <wp:inline distT="0" distB="0" distL="114300" distR="114300">
            <wp:extent cx="2507615" cy="3083560"/>
            <wp:effectExtent l="0" t="0" r="6985" b="2540"/>
            <wp:docPr id="11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5"/>
                    <pic:cNvPicPr>
                      <a:picLocks noChangeAspect="1"/>
                    </pic:cNvPicPr>
                  </pic:nvPicPr>
                  <pic:blipFill>
                    <a:blip r:embed="rId51"/>
                    <a:stretch>
                      <a:fillRect/>
                    </a:stretch>
                  </pic:blipFill>
                  <pic:spPr>
                    <a:xfrm>
                      <a:off x="0" y="0"/>
                      <a:ext cx="2507615" cy="3083560"/>
                    </a:xfrm>
                    <a:prstGeom prst="rect">
                      <a:avLst/>
                    </a:prstGeom>
                    <a:noFill/>
                    <a:ln>
                      <a:noFill/>
                    </a:ln>
                  </pic:spPr>
                </pic:pic>
              </a:graphicData>
            </a:graphic>
          </wp:inline>
        </w:drawing>
      </w:r>
    </w:p>
    <w:p w14:paraId="2DDE0B55">
      <w:pPr>
        <w:pStyle w:val="1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10</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臂节六安装平面示意图</w:t>
      </w:r>
    </w:p>
    <w:p w14:paraId="72209140">
      <w:pPr>
        <w:ind w:left="0" w:leftChars="0" w:firstLine="0" w:firstLineChars="0"/>
        <w:jc w:val="center"/>
      </w:pPr>
      <w:r>
        <w:drawing>
          <wp:inline distT="0" distB="0" distL="114300" distR="114300">
            <wp:extent cx="5024120" cy="2817495"/>
            <wp:effectExtent l="0" t="0" r="5080" b="1905"/>
            <wp:docPr id="12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7"/>
                    <pic:cNvPicPr>
                      <a:picLocks noChangeAspect="1"/>
                    </pic:cNvPicPr>
                  </pic:nvPicPr>
                  <pic:blipFill>
                    <a:blip r:embed="rId52"/>
                    <a:stretch>
                      <a:fillRect/>
                    </a:stretch>
                  </pic:blipFill>
                  <pic:spPr>
                    <a:xfrm>
                      <a:off x="0" y="0"/>
                      <a:ext cx="5024120" cy="2817495"/>
                    </a:xfrm>
                    <a:prstGeom prst="rect">
                      <a:avLst/>
                    </a:prstGeom>
                    <a:noFill/>
                    <a:ln>
                      <a:noFill/>
                    </a:ln>
                  </pic:spPr>
                </pic:pic>
              </a:graphicData>
            </a:graphic>
          </wp:inline>
        </w:drawing>
      </w:r>
    </w:p>
    <w:p w14:paraId="5486C450">
      <w:pPr>
        <w:pStyle w:val="1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臂节七安装立面示意图</w:t>
      </w:r>
    </w:p>
    <w:p w14:paraId="7931EB1C">
      <w:pPr>
        <w:ind w:left="0" w:leftChars="0" w:firstLine="0" w:firstLineChars="0"/>
        <w:jc w:val="center"/>
      </w:pPr>
      <w:r>
        <w:drawing>
          <wp:inline distT="0" distB="0" distL="114300" distR="114300">
            <wp:extent cx="3668395" cy="2791460"/>
            <wp:effectExtent l="0" t="0" r="8255" b="8890"/>
            <wp:docPr id="12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6"/>
                    <pic:cNvPicPr>
                      <a:picLocks noChangeAspect="1"/>
                    </pic:cNvPicPr>
                  </pic:nvPicPr>
                  <pic:blipFill>
                    <a:blip r:embed="rId53"/>
                    <a:stretch>
                      <a:fillRect/>
                    </a:stretch>
                  </pic:blipFill>
                  <pic:spPr>
                    <a:xfrm>
                      <a:off x="0" y="0"/>
                      <a:ext cx="3668395" cy="2791460"/>
                    </a:xfrm>
                    <a:prstGeom prst="rect">
                      <a:avLst/>
                    </a:prstGeom>
                    <a:noFill/>
                    <a:ln>
                      <a:noFill/>
                    </a:ln>
                  </pic:spPr>
                </pic:pic>
              </a:graphicData>
            </a:graphic>
          </wp:inline>
        </w:drawing>
      </w:r>
    </w:p>
    <w:p w14:paraId="7F6EC06E">
      <w:pPr>
        <w:pStyle w:val="1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臂节七安装平面示意图</w:t>
      </w:r>
    </w:p>
    <w:p w14:paraId="3B7A1BFB">
      <w:pPr>
        <w:ind w:left="0" w:leftChars="0" w:firstLine="0" w:firstLineChars="0"/>
        <w:jc w:val="center"/>
      </w:pPr>
      <w:r>
        <w:drawing>
          <wp:inline distT="0" distB="0" distL="114300" distR="114300">
            <wp:extent cx="3679825" cy="2341880"/>
            <wp:effectExtent l="0" t="0" r="15875" b="1270"/>
            <wp:docPr id="13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0"/>
                    <pic:cNvPicPr>
                      <a:picLocks noChangeAspect="1"/>
                    </pic:cNvPicPr>
                  </pic:nvPicPr>
                  <pic:blipFill>
                    <a:blip r:embed="rId54"/>
                    <a:stretch>
                      <a:fillRect/>
                    </a:stretch>
                  </pic:blipFill>
                  <pic:spPr>
                    <a:xfrm>
                      <a:off x="0" y="0"/>
                      <a:ext cx="3679825" cy="2341880"/>
                    </a:xfrm>
                    <a:prstGeom prst="rect">
                      <a:avLst/>
                    </a:prstGeom>
                    <a:noFill/>
                    <a:ln>
                      <a:noFill/>
                    </a:ln>
                  </pic:spPr>
                </pic:pic>
              </a:graphicData>
            </a:graphic>
          </wp:inline>
        </w:drawing>
      </w:r>
    </w:p>
    <w:p w14:paraId="35C18862">
      <w:pPr>
        <w:pStyle w:val="1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13</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臂节八安装立面示意图</w:t>
      </w:r>
    </w:p>
    <w:p w14:paraId="122AD5B6">
      <w:pPr>
        <w:ind w:left="0" w:leftChars="0" w:firstLine="0" w:firstLineChars="0"/>
        <w:jc w:val="center"/>
      </w:pPr>
      <w:r>
        <w:drawing>
          <wp:inline distT="0" distB="0" distL="114300" distR="114300">
            <wp:extent cx="2574290" cy="2510790"/>
            <wp:effectExtent l="0" t="0" r="16510" b="3810"/>
            <wp:docPr id="13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9"/>
                    <pic:cNvPicPr>
                      <a:picLocks noChangeAspect="1"/>
                    </pic:cNvPicPr>
                  </pic:nvPicPr>
                  <pic:blipFill>
                    <a:blip r:embed="rId55"/>
                    <a:stretch>
                      <a:fillRect/>
                    </a:stretch>
                  </pic:blipFill>
                  <pic:spPr>
                    <a:xfrm>
                      <a:off x="0" y="0"/>
                      <a:ext cx="2574290" cy="2510790"/>
                    </a:xfrm>
                    <a:prstGeom prst="rect">
                      <a:avLst/>
                    </a:prstGeom>
                    <a:noFill/>
                    <a:ln>
                      <a:noFill/>
                    </a:ln>
                  </pic:spPr>
                </pic:pic>
              </a:graphicData>
            </a:graphic>
          </wp:inline>
        </w:drawing>
      </w:r>
    </w:p>
    <w:p w14:paraId="2E826602">
      <w:pPr>
        <w:pStyle w:val="13"/>
        <w:jc w:val="cente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14</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臂节八安装平面示意图</w:t>
      </w:r>
    </w:p>
    <w:p w14:paraId="1A96A628">
      <w:pPr>
        <w:pStyle w:val="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 </w:t>
      </w:r>
      <w:r>
        <w:rPr>
          <w:rFonts w:hint="eastAsia" w:cs="Times New Roman"/>
          <w:color w:val="000000" w:themeColor="text1"/>
          <w:lang w:val="en-US" w:eastAsia="zh-CN"/>
          <w14:textFill>
            <w14:solidFill>
              <w14:schemeClr w14:val="tx1"/>
            </w14:solidFill>
          </w14:textFill>
        </w:rPr>
        <w:t>剩余</w:t>
      </w:r>
      <w:r>
        <w:rPr>
          <w:rFonts w:cs="Times New Roman"/>
          <w:color w:val="000000" w:themeColor="text1"/>
          <w14:textFill>
            <w14:solidFill>
              <w14:schemeClr w14:val="tx1"/>
            </w14:solidFill>
          </w14:textFill>
        </w:rPr>
        <w:t>平衡重的安装</w:t>
      </w:r>
    </w:p>
    <w:p w14:paraId="2E200538">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w:t>
      </w:r>
      <w:r>
        <w:rPr>
          <w:rFonts w:hint="default" w:ascii="Times New Roman" w:hAnsi="Times New Roman" w:eastAsia="宋体" w:cs="Times New Roman"/>
          <w:lang w:val="en-US" w:eastAsia="zh-CN"/>
        </w:rPr>
        <w:t>0m配置：4块A型，</w:t>
      </w:r>
      <w:r>
        <w:rPr>
          <w:rFonts w:hint="eastAsia" w:ascii="Times New Roman" w:hAnsi="Times New Roman" w:eastAsia="宋体" w:cs="Times New Roman"/>
          <w:lang w:val="en-US" w:eastAsia="zh-CN"/>
        </w:rPr>
        <w:t>3.2</w:t>
      </w:r>
      <w:r>
        <w:rPr>
          <w:rFonts w:hint="default" w:ascii="Times New Roman" w:hAnsi="Times New Roman" w:eastAsia="宋体" w:cs="Times New Roman"/>
          <w:lang w:val="en-US" w:eastAsia="zh-CN"/>
        </w:rPr>
        <w:t>t/块；1块B型，</w:t>
      </w:r>
      <w:r>
        <w:rPr>
          <w:rFonts w:hint="eastAsia" w:ascii="Times New Roman" w:hAnsi="Times New Roman" w:eastAsia="宋体" w:cs="Times New Roman"/>
          <w:lang w:val="en-US" w:eastAsia="zh-CN"/>
        </w:rPr>
        <w:t>2.3</w:t>
      </w:r>
      <w:r>
        <w:rPr>
          <w:rFonts w:hint="default" w:ascii="Times New Roman" w:hAnsi="Times New Roman" w:eastAsia="宋体" w:cs="Times New Roman"/>
          <w:lang w:val="en-US" w:eastAsia="zh-CN"/>
        </w:rPr>
        <w:t>t/块</w:t>
      </w:r>
      <w:r>
        <w:rPr>
          <w:rFonts w:hint="eastAsia" w:ascii="Times New Roman" w:hAnsi="Times New Roman" w:eastAsia="宋体" w:cs="Times New Roman"/>
          <w:lang w:val="en-US" w:eastAsia="zh-CN"/>
        </w:rPr>
        <w:t>；1块C型，1t/块</w:t>
      </w:r>
    </w:p>
    <w:p w14:paraId="5C0122CA">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注意：在起重臂、平衡臂安装结束后，应按60m长度组合的起重臂配重配置要求，安装平衡重。</w:t>
      </w:r>
    </w:p>
    <w:p w14:paraId="2AD726F2">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25</w:t>
      </w:r>
      <w:r>
        <w:rPr>
          <w:rFonts w:hint="default" w:ascii="Times New Roman" w:hAnsi="Times New Roman" w:eastAsia="宋体" w:cs="Times New Roman"/>
          <w:lang w:val="en-US" w:eastAsia="zh-CN"/>
        </w:rPr>
        <w:t>t汽车吊主臂长</w:t>
      </w:r>
      <w:r>
        <w:rPr>
          <w:rFonts w:hint="eastAsia" w:ascii="Times New Roman" w:hAnsi="Times New Roman" w:eastAsia="宋体" w:cs="Times New Roman"/>
          <w:lang w:val="en-US" w:eastAsia="zh-CN"/>
        </w:rPr>
        <w:t>33.5</w:t>
      </w:r>
      <w:r>
        <w:rPr>
          <w:rFonts w:hint="default" w:ascii="Times New Roman" w:hAnsi="Times New Roman" w:eastAsia="宋体" w:cs="Times New Roman"/>
          <w:lang w:val="en-US" w:eastAsia="zh-CN"/>
        </w:rPr>
        <w:t>m，塔机平衡臂转向汽车吊方向，吊装作业半径1</w:t>
      </w:r>
      <w:r>
        <w:rPr>
          <w:rFonts w:hint="eastAsia" w:ascii="Times New Roman" w:hAnsi="Times New Roman" w:eastAsia="宋体" w:cs="Times New Roman"/>
          <w:lang w:val="en-US" w:eastAsia="zh-CN"/>
        </w:rPr>
        <w:t>0</w:t>
      </w:r>
      <w:r>
        <w:rPr>
          <w:rFonts w:hint="default" w:ascii="Times New Roman" w:hAnsi="Times New Roman" w:eastAsia="宋体" w:cs="Times New Roman"/>
          <w:lang w:val="en-US" w:eastAsia="zh-CN"/>
        </w:rPr>
        <w:t>m，额定起重量</w:t>
      </w:r>
      <w:r>
        <w:rPr>
          <w:rFonts w:hint="eastAsia" w:ascii="Times New Roman" w:hAnsi="Times New Roman" w:eastAsia="宋体" w:cs="Times New Roman"/>
          <w:lang w:val="en-US" w:eastAsia="zh-CN"/>
        </w:rPr>
        <w:t>6.6</w:t>
      </w:r>
      <w:r>
        <w:rPr>
          <w:rFonts w:hint="default" w:ascii="Times New Roman" w:hAnsi="Times New Roman" w:eastAsia="宋体" w:cs="Times New Roman"/>
          <w:lang w:val="en-US" w:eastAsia="zh-CN"/>
        </w:rPr>
        <w:t>t，满足安装吊装要求。</w:t>
      </w:r>
    </w:p>
    <w:p w14:paraId="5E9A7CEB">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吊装时，应选择</w:t>
      </w:r>
      <w:r>
        <w:rPr>
          <w:rFonts w:hint="eastAsia" w:ascii="Times New Roman" w:hAnsi="Times New Roman" w:eastAsia="宋体" w:cs="Times New Roman"/>
          <w:highlight w:val="none"/>
          <w:lang w:val="en-US" w:eastAsia="zh-CN"/>
        </w:rPr>
        <w:t>两</w:t>
      </w:r>
      <w:r>
        <w:rPr>
          <w:rFonts w:hint="default" w:ascii="Times New Roman" w:hAnsi="Times New Roman" w:eastAsia="宋体" w:cs="Times New Roman"/>
          <w:highlight w:val="none"/>
          <w:lang w:val="en-US" w:eastAsia="zh-CN"/>
        </w:rPr>
        <w:t>点吊</w:t>
      </w:r>
      <w:r>
        <w:rPr>
          <w:rFonts w:hint="default" w:ascii="Times New Roman" w:hAnsi="Times New Roman" w:eastAsia="宋体" w:cs="Times New Roman"/>
          <w:lang w:val="en-US" w:eastAsia="zh-CN"/>
        </w:rPr>
        <w:t>；吊索的规格为：6</w:t>
      </w:r>
      <w:r>
        <w:rPr>
          <w:rFonts w:hint="eastAsia" w:cs="Times New Roman"/>
          <w:lang w:val="en-US" w:eastAsia="zh-CN"/>
        </w:rPr>
        <w:t>×</w:t>
      </w:r>
      <w:r>
        <w:rPr>
          <w:rFonts w:hint="eastAsia" w:ascii="Times New Roman" w:hAnsi="Times New Roman" w:eastAsia="宋体" w:cs="Times New Roman"/>
          <w:lang w:val="en-US" w:eastAsia="zh-CN"/>
        </w:rPr>
        <w:t>19</w:t>
      </w:r>
      <w:r>
        <w:rPr>
          <w:rFonts w:hint="default" w:ascii="Times New Roman" w:hAnsi="Times New Roman" w:eastAsia="宋体" w:cs="Times New Roman"/>
          <w:lang w:val="en-US" w:eastAsia="zh-CN"/>
        </w:rPr>
        <w:t>S+FC-1</w:t>
      </w:r>
      <w:r>
        <w:rPr>
          <w:rFonts w:hint="eastAsia" w:ascii="Times New Roman" w:hAnsi="Times New Roman" w:eastAsia="宋体" w:cs="Times New Roman"/>
          <w:lang w:val="en-US" w:eastAsia="zh-CN"/>
        </w:rPr>
        <w:t>8</w:t>
      </w:r>
      <w:r>
        <w:rPr>
          <w:rFonts w:hint="default" w:ascii="Times New Roman" w:hAnsi="Times New Roman" w:eastAsia="宋体" w:cs="Times New Roman"/>
          <w:lang w:val="en-US" w:eastAsia="zh-CN"/>
        </w:rPr>
        <w:t>70-</w:t>
      </w:r>
      <w:r>
        <w:rPr>
          <w:rFonts w:hint="eastAsia" w:ascii="Times New Roman" w:hAnsi="Times New Roman" w:eastAsia="宋体" w:cs="Times New Roman"/>
          <w:lang w:val="en-US" w:eastAsia="zh-CN"/>
        </w:rPr>
        <w:t>16</w:t>
      </w:r>
      <w:r>
        <w:rPr>
          <w:rFonts w:hint="default" w:ascii="Times New Roman" w:hAnsi="Times New Roman" w:eastAsia="宋体" w:cs="Times New Roman"/>
          <w:lang w:val="en-US" w:eastAsia="zh-CN"/>
        </w:rPr>
        <w:t>。</w:t>
      </w:r>
    </w:p>
    <w:p w14:paraId="76A45059">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①用汽车吊和配重专用吊钩吊装配重，逐一将符合工序要求的全部配重按照起重臂往平衡臂的方向依次安装在配平衡臂上（无需空格）。 </w:t>
      </w:r>
    </w:p>
    <w:p w14:paraId="50F10092">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② 汽车吊吊索固定在配重的专用吊孔位置，将此配重缓缓吊起至配重平衡臂上规定的就位点，徐徐落下。 </w:t>
      </w:r>
    </w:p>
    <w:p w14:paraId="75904C34">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③ 配重在配重平衡臂上就位后，应能围绕配重上的圆钢轴摆动，使之使小圆钢轴D停靠在档板C上。。</w:t>
      </w:r>
    </w:p>
    <w:p w14:paraId="28C2B443">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④ 平衡重的安放应从平衡臂靠近塔身一侧开始。</w:t>
      </w:r>
    </w:p>
    <w:p w14:paraId="528DC253">
      <w:pPr>
        <w:bidi w:val="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⑤ 吊起第</w:t>
      </w:r>
      <w:r>
        <w:rPr>
          <w:rFonts w:hint="eastAsia" w:cs="Times New Roman"/>
          <w:highlight w:val="none"/>
          <w:lang w:val="en-US" w:eastAsia="zh-CN"/>
        </w:rPr>
        <w:t>三</w:t>
      </w:r>
      <w:r>
        <w:rPr>
          <w:rFonts w:hint="eastAsia" w:ascii="Times New Roman" w:hAnsi="Times New Roman" w:eastAsia="宋体" w:cs="Times New Roman"/>
          <w:highlight w:val="none"/>
          <w:lang w:val="en-US" w:eastAsia="zh-CN"/>
        </w:rPr>
        <w:t>块A型平衡重，将其放在平衡臂靠近塔身一侧，平衡重吊装接近平衡臂时，应将二件销轴穿进平衡重的定位孔内，并搁置在专用支架上。</w:t>
      </w:r>
    </w:p>
    <w:p w14:paraId="1A76CD1A">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⑥ 重复上述吊装操作，直到安放完剩余4块平衡重，并用长螺杆将所有的平衡重连接锁定紧固在一起。</w:t>
      </w:r>
    </w:p>
    <w:p w14:paraId="6DD97FC4">
      <w:pPr>
        <w:bidi w:val="0"/>
        <w:rPr>
          <w:rFonts w:hint="eastAsia" w:ascii="Times New Roman" w:hAnsi="Times New Roman" w:eastAsia="宋体" w:cs="Times New Roman"/>
          <w:lang w:val="en-US" w:eastAsia="zh-CN"/>
        </w:rPr>
      </w:pPr>
      <w:r>
        <w:rPr>
          <w:rFonts w:hint="eastAsia" w:cs="Times New Roman"/>
          <w:lang w:val="en-US" w:eastAsia="zh-CN"/>
        </w:rPr>
        <w:t>剩余平衡重</w:t>
      </w:r>
      <w:r>
        <w:rPr>
          <w:rFonts w:hint="eastAsia" w:ascii="Times New Roman" w:hAnsi="Times New Roman" w:eastAsia="宋体" w:cs="Times New Roman"/>
          <w:lang w:val="en-US" w:eastAsia="zh-CN"/>
        </w:rPr>
        <w:t>安装全过程的安全风险辩识：吊装的部件要保持平稳；指挥信号要明确；再次强调安装人员在安装过程中，必须系牢安全带。严禁将工具放置在平台的临边，手持工具放稳抓牢。地面安装区域严禁站人，在安装区域60m范围内设置安全警戒线。</w:t>
      </w:r>
    </w:p>
    <w:p w14:paraId="719EAB1B">
      <w:pPr>
        <w:pStyle w:val="29"/>
        <w:ind w:left="0" w:leftChars="0" w:firstLine="0" w:firstLineChars="0"/>
        <w:jc w:val="center"/>
      </w:pPr>
      <w:r>
        <w:drawing>
          <wp:inline distT="0" distB="0" distL="114300" distR="114300">
            <wp:extent cx="3853815" cy="1837690"/>
            <wp:effectExtent l="0" t="0" r="13335" b="10160"/>
            <wp:docPr id="13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63"/>
                    <pic:cNvPicPr>
                      <a:picLocks noChangeAspect="1"/>
                    </pic:cNvPicPr>
                  </pic:nvPicPr>
                  <pic:blipFill>
                    <a:blip r:embed="rId56"/>
                    <a:stretch>
                      <a:fillRect/>
                    </a:stretch>
                  </pic:blipFill>
                  <pic:spPr>
                    <a:xfrm>
                      <a:off x="0" y="0"/>
                      <a:ext cx="3853815" cy="1837690"/>
                    </a:xfrm>
                    <a:prstGeom prst="rect">
                      <a:avLst/>
                    </a:prstGeom>
                    <a:noFill/>
                    <a:ln>
                      <a:noFill/>
                    </a:ln>
                  </pic:spPr>
                </pic:pic>
              </a:graphicData>
            </a:graphic>
          </wp:inline>
        </w:drawing>
      </w:r>
    </w:p>
    <w:p w14:paraId="7398BD48">
      <w:pPr>
        <w:pStyle w:val="13"/>
        <w:jc w:val="cente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.10</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剩余平衡重安装立面示意图</w:t>
      </w:r>
      <w:r>
        <w:drawing>
          <wp:inline distT="0" distB="0" distL="114300" distR="114300">
            <wp:extent cx="2531110" cy="2470150"/>
            <wp:effectExtent l="0" t="0" r="2540" b="6350"/>
            <wp:docPr id="13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4"/>
                    <pic:cNvPicPr>
                      <a:picLocks noChangeAspect="1"/>
                    </pic:cNvPicPr>
                  </pic:nvPicPr>
                  <pic:blipFill>
                    <a:blip r:embed="rId57"/>
                    <a:stretch>
                      <a:fillRect/>
                    </a:stretch>
                  </pic:blipFill>
                  <pic:spPr>
                    <a:xfrm>
                      <a:off x="0" y="0"/>
                      <a:ext cx="2531110" cy="2470150"/>
                    </a:xfrm>
                    <a:prstGeom prst="rect">
                      <a:avLst/>
                    </a:prstGeom>
                    <a:noFill/>
                    <a:ln>
                      <a:noFill/>
                    </a:ln>
                  </pic:spPr>
                </pic:pic>
              </a:graphicData>
            </a:graphic>
          </wp:inline>
        </w:drawing>
      </w:r>
    </w:p>
    <w:p w14:paraId="0CDE739E">
      <w:pPr>
        <w:pStyle w:val="1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.10</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剩余平衡重安装平面示意图</w:t>
      </w:r>
    </w:p>
    <w:p w14:paraId="6FC09483">
      <w:pPr>
        <w:pStyle w:val="6"/>
        <w:rPr>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穿绕</w:t>
      </w:r>
      <w:r>
        <w:rPr>
          <w:rFonts w:hint="eastAsia" w:cs="Times New Roman"/>
          <w:color w:val="000000" w:themeColor="text1"/>
          <w:highlight w:val="none"/>
          <w:lang w:val="en-US" w:eastAsia="zh-CN"/>
          <w14:textFill>
            <w14:solidFill>
              <w14:schemeClr w14:val="tx1"/>
            </w14:solidFill>
          </w14:textFill>
        </w:rPr>
        <w:t>变幅</w:t>
      </w:r>
      <w:r>
        <w:rPr>
          <w:rFonts w:cs="Times New Roman"/>
          <w:color w:val="000000" w:themeColor="text1"/>
          <w:highlight w:val="none"/>
          <w14:textFill>
            <w14:solidFill>
              <w14:schemeClr w14:val="tx1"/>
            </w14:solidFill>
          </w14:textFill>
        </w:rPr>
        <w:t>钢丝绳</w:t>
      </w:r>
    </w:p>
    <w:p w14:paraId="6067307F">
      <w:pPr>
        <w:pStyle w:val="7"/>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穿绕</w:t>
      </w:r>
      <w:r>
        <w:rPr>
          <w:rFonts w:cs="Times New Roman"/>
          <w:color w:val="000000" w:themeColor="text1"/>
          <w14:textFill>
            <w14:solidFill>
              <w14:schemeClr w14:val="tx1"/>
            </w14:solidFill>
          </w14:textFill>
        </w:rPr>
        <w:t>后</w:t>
      </w:r>
      <w:r>
        <w:rPr>
          <w:rFonts w:hint="eastAsia" w:cs="Times New Roman"/>
          <w:color w:val="000000" w:themeColor="text1"/>
          <w:lang w:val="en-US" w:eastAsia="zh-CN"/>
          <w14:textFill>
            <w14:solidFill>
              <w14:schemeClr w14:val="tx1"/>
            </w14:solidFill>
          </w14:textFill>
        </w:rPr>
        <w:t>变幅</w:t>
      </w:r>
      <w:r>
        <w:rPr>
          <w:rFonts w:cs="Times New Roman"/>
          <w:color w:val="000000" w:themeColor="text1"/>
          <w14:textFill>
            <w14:solidFill>
              <w14:schemeClr w14:val="tx1"/>
            </w14:solidFill>
          </w14:textFill>
        </w:rPr>
        <w:t>钢丝绳</w:t>
      </w:r>
    </w:p>
    <w:p w14:paraId="20AF809A">
      <w:pPr>
        <w:pStyle w:val="112"/>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根据实际使用的起重臂长度确定所需的变幅钢丝绳长度。穿绕变幅钢丝绳之前检查变幅小车是否锁定。</w:t>
      </w:r>
    </w:p>
    <w:p w14:paraId="745B0417">
      <w:pPr>
        <w:pStyle w:val="112"/>
        <w:numPr>
          <w:ilvl w:val="0"/>
          <w:numId w:val="10"/>
        </w:num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钢丝绳从变幅卷筒(1)出发，穿过起重臂根部滑轮(2)</w:t>
      </w:r>
    </w:p>
    <w:p w14:paraId="30B3A4BD">
      <w:pPr>
        <w:pStyle w:val="112"/>
        <w:numPr>
          <w:ilvl w:val="0"/>
          <w:numId w:val="10"/>
        </w:num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使用销轴(3)和开口销(4)将楔形接头(5)固定在小车上。</w:t>
      </w:r>
    </w:p>
    <w:p w14:paraId="3E978A18">
      <w:pPr>
        <w:pStyle w:val="112"/>
        <w:ind w:firstLine="480"/>
      </w:pPr>
      <w:r>
        <w:drawing>
          <wp:inline distT="0" distB="0" distL="114300" distR="114300">
            <wp:extent cx="4514215" cy="2312670"/>
            <wp:effectExtent l="0" t="0" r="635" b="11430"/>
            <wp:docPr id="13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65"/>
                    <pic:cNvPicPr>
                      <a:picLocks noChangeAspect="1"/>
                    </pic:cNvPicPr>
                  </pic:nvPicPr>
                  <pic:blipFill>
                    <a:blip r:embed="rId58"/>
                    <a:stretch>
                      <a:fillRect/>
                    </a:stretch>
                  </pic:blipFill>
                  <pic:spPr>
                    <a:xfrm>
                      <a:off x="0" y="0"/>
                      <a:ext cx="4514215" cy="2312670"/>
                    </a:xfrm>
                    <a:prstGeom prst="rect">
                      <a:avLst/>
                    </a:prstGeom>
                    <a:noFill/>
                    <a:ln>
                      <a:noFill/>
                    </a:ln>
                  </pic:spPr>
                </pic:pic>
              </a:graphicData>
            </a:graphic>
          </wp:inline>
        </w:drawing>
      </w:r>
    </w:p>
    <w:p w14:paraId="5889238B">
      <w:pPr>
        <w:pStyle w:val="13"/>
        <w:jc w:val="center"/>
        <w:rPr>
          <w:rFonts w:hint="eastAsia"/>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.11.1</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后变幅钢丝绳的穿绕</w:t>
      </w:r>
    </w:p>
    <w:p w14:paraId="66C01EC3">
      <w:pPr>
        <w:pStyle w:val="7"/>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穿绕前变幅</w:t>
      </w:r>
      <w:r>
        <w:rPr>
          <w:rFonts w:cs="Times New Roman"/>
          <w:color w:val="000000" w:themeColor="text1"/>
          <w14:textFill>
            <w14:solidFill>
              <w14:schemeClr w14:val="tx1"/>
            </w14:solidFill>
          </w14:textFill>
        </w:rPr>
        <w:t>钢丝绳</w:t>
      </w:r>
    </w:p>
    <w:p w14:paraId="036EDADD">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从卷轴上退下钢丝绳。</w:t>
      </w:r>
    </w:p>
    <w:p w14:paraId="71291849">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钢丝绳一端穿过起重臂端部滑轮。从卷筒下方缠绕钢丝绳，确保至少3圈留在卷筒。</w:t>
      </w:r>
    </w:p>
    <w:p w14:paraId="79EDD0D6">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用螺栓(3)和压板(4)将钢丝绳固定至变幅卷筒侧面。</w:t>
      </w:r>
    </w:p>
    <w:p w14:paraId="7078CB55">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钢丝绳一端(1)穿过防断绳装置(2)的导环。从下向上缠绕钢丝绳至张紧卷筒(4)，并且确保3圈留在卷筒。钢丝绳穿过张紧卷筒的孔(5)，并用楔块(6)和楔套(7)固定钢丝绳。用手柄(8)张紧钢丝绳。</w:t>
      </w:r>
    </w:p>
    <w:p w14:paraId="3E9E9D7D">
      <w:pPr>
        <w:pStyle w:val="112"/>
        <w:ind w:firstLine="480"/>
      </w:pPr>
      <w:r>
        <w:drawing>
          <wp:inline distT="0" distB="0" distL="114300" distR="114300">
            <wp:extent cx="2365375" cy="1158875"/>
            <wp:effectExtent l="0" t="0" r="15875" b="3175"/>
            <wp:docPr id="13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6"/>
                    <pic:cNvPicPr>
                      <a:picLocks noChangeAspect="1"/>
                    </pic:cNvPicPr>
                  </pic:nvPicPr>
                  <pic:blipFill>
                    <a:blip r:embed="rId59"/>
                    <a:stretch>
                      <a:fillRect/>
                    </a:stretch>
                  </pic:blipFill>
                  <pic:spPr>
                    <a:xfrm>
                      <a:off x="0" y="0"/>
                      <a:ext cx="2365375" cy="1158875"/>
                    </a:xfrm>
                    <a:prstGeom prst="rect">
                      <a:avLst/>
                    </a:prstGeom>
                    <a:noFill/>
                    <a:ln>
                      <a:noFill/>
                    </a:ln>
                  </pic:spPr>
                </pic:pic>
              </a:graphicData>
            </a:graphic>
          </wp:inline>
        </w:drawing>
      </w:r>
      <w:r>
        <w:drawing>
          <wp:inline distT="0" distB="0" distL="114300" distR="114300">
            <wp:extent cx="2369185" cy="920750"/>
            <wp:effectExtent l="0" t="0" r="12065" b="12700"/>
            <wp:docPr id="13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67"/>
                    <pic:cNvPicPr>
                      <a:picLocks noChangeAspect="1"/>
                    </pic:cNvPicPr>
                  </pic:nvPicPr>
                  <pic:blipFill>
                    <a:blip r:embed="rId60"/>
                    <a:stretch>
                      <a:fillRect/>
                    </a:stretch>
                  </pic:blipFill>
                  <pic:spPr>
                    <a:xfrm>
                      <a:off x="0" y="0"/>
                      <a:ext cx="2369185" cy="920750"/>
                    </a:xfrm>
                    <a:prstGeom prst="rect">
                      <a:avLst/>
                    </a:prstGeom>
                    <a:noFill/>
                    <a:ln>
                      <a:noFill/>
                    </a:ln>
                  </pic:spPr>
                </pic:pic>
              </a:graphicData>
            </a:graphic>
          </wp:inline>
        </w:drawing>
      </w:r>
      <w:r>
        <w:drawing>
          <wp:inline distT="0" distB="0" distL="114300" distR="114300">
            <wp:extent cx="2409825" cy="1496060"/>
            <wp:effectExtent l="0" t="0" r="9525" b="8890"/>
            <wp:docPr id="13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8"/>
                    <pic:cNvPicPr>
                      <a:picLocks noChangeAspect="1"/>
                    </pic:cNvPicPr>
                  </pic:nvPicPr>
                  <pic:blipFill>
                    <a:blip r:embed="rId61"/>
                    <a:stretch>
                      <a:fillRect/>
                    </a:stretch>
                  </pic:blipFill>
                  <pic:spPr>
                    <a:xfrm>
                      <a:off x="0" y="0"/>
                      <a:ext cx="2409825" cy="1496060"/>
                    </a:xfrm>
                    <a:prstGeom prst="rect">
                      <a:avLst/>
                    </a:prstGeom>
                    <a:noFill/>
                    <a:ln>
                      <a:noFill/>
                    </a:ln>
                  </pic:spPr>
                </pic:pic>
              </a:graphicData>
            </a:graphic>
          </wp:inline>
        </w:drawing>
      </w:r>
      <w:r>
        <w:drawing>
          <wp:inline distT="0" distB="0" distL="114300" distR="114300">
            <wp:extent cx="2471420" cy="2019935"/>
            <wp:effectExtent l="0" t="0" r="5080" b="18415"/>
            <wp:docPr id="14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69"/>
                    <pic:cNvPicPr>
                      <a:picLocks noChangeAspect="1"/>
                    </pic:cNvPicPr>
                  </pic:nvPicPr>
                  <pic:blipFill>
                    <a:blip r:embed="rId62"/>
                    <a:stretch>
                      <a:fillRect/>
                    </a:stretch>
                  </pic:blipFill>
                  <pic:spPr>
                    <a:xfrm>
                      <a:off x="0" y="0"/>
                      <a:ext cx="2471420" cy="2019935"/>
                    </a:xfrm>
                    <a:prstGeom prst="rect">
                      <a:avLst/>
                    </a:prstGeom>
                    <a:noFill/>
                    <a:ln>
                      <a:noFill/>
                    </a:ln>
                  </pic:spPr>
                </pic:pic>
              </a:graphicData>
            </a:graphic>
          </wp:inline>
        </w:drawing>
      </w:r>
    </w:p>
    <w:p w14:paraId="5C68E1A1">
      <w:pPr>
        <w:pStyle w:val="13"/>
        <w:jc w:val="cente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.11.2</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前变幅钢丝绳的穿绕</w:t>
      </w:r>
    </w:p>
    <w:p w14:paraId="5D7D5A35">
      <w:pPr>
        <w:pStyle w:val="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穿绕起升钢丝绳</w:t>
      </w:r>
    </w:p>
    <w:p w14:paraId="51325165">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钢丝绳从起升机构(1)卷筒上端出绳，穿过平衡臂臂根节上托绳轮(2)，再穿过臂根节上起重量限制器滑轮(3)，再穿过起重臂臂根部滑轮(4)，然后钢丝绳伸出连接小车。</w:t>
      </w:r>
    </w:p>
    <w:p w14:paraId="5C052A95">
      <w:pPr>
        <w:pStyle w:val="112"/>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穿绕变幅小车上起升钢丝绳。由于本小车和吊钩为自动变倍率方式，变倍率时通过吊钩上上下滑轮组自动断开方式实现，因此起升钢丝绳的绕绳方式不变。</w:t>
      </w:r>
    </w:p>
    <w:p w14:paraId="7CB35759">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起升钢丝绳从小车绕出之后进入起重臂臂头防扭装置。用楔块(3)锁住钢丝绳(1)至楔套(2)，并在钢丝绳末端装上一个绳夹(4)。用销轴(6)和开口销(7)安装楔套(2)至钢丝绳防扭器(5)。安装完毕后检查防扭器是否旋转自如。</w:t>
      </w:r>
    </w:p>
    <w:p w14:paraId="765DD0CA">
      <w:pPr>
        <w:pStyle w:val="112"/>
        <w:ind w:firstLine="480"/>
      </w:pPr>
      <w:r>
        <w:drawing>
          <wp:inline distT="0" distB="0" distL="114300" distR="114300">
            <wp:extent cx="2685415" cy="1457325"/>
            <wp:effectExtent l="0" t="0" r="635" b="9525"/>
            <wp:docPr id="14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70"/>
                    <pic:cNvPicPr>
                      <a:picLocks noChangeAspect="1"/>
                    </pic:cNvPicPr>
                  </pic:nvPicPr>
                  <pic:blipFill>
                    <a:blip r:embed="rId63"/>
                    <a:stretch>
                      <a:fillRect/>
                    </a:stretch>
                  </pic:blipFill>
                  <pic:spPr>
                    <a:xfrm>
                      <a:off x="0" y="0"/>
                      <a:ext cx="2685415" cy="1457325"/>
                    </a:xfrm>
                    <a:prstGeom prst="rect">
                      <a:avLst/>
                    </a:prstGeom>
                    <a:noFill/>
                    <a:ln>
                      <a:noFill/>
                    </a:ln>
                  </pic:spPr>
                </pic:pic>
              </a:graphicData>
            </a:graphic>
          </wp:inline>
        </w:drawing>
      </w:r>
      <w:r>
        <w:drawing>
          <wp:inline distT="0" distB="0" distL="114300" distR="114300">
            <wp:extent cx="2101215" cy="1118235"/>
            <wp:effectExtent l="0" t="0" r="13335" b="5715"/>
            <wp:docPr id="14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71"/>
                    <pic:cNvPicPr>
                      <a:picLocks noChangeAspect="1"/>
                    </pic:cNvPicPr>
                  </pic:nvPicPr>
                  <pic:blipFill>
                    <a:blip r:embed="rId64"/>
                    <a:stretch>
                      <a:fillRect/>
                    </a:stretch>
                  </pic:blipFill>
                  <pic:spPr>
                    <a:xfrm>
                      <a:off x="0" y="0"/>
                      <a:ext cx="2101215" cy="1118235"/>
                    </a:xfrm>
                    <a:prstGeom prst="rect">
                      <a:avLst/>
                    </a:prstGeom>
                    <a:noFill/>
                    <a:ln>
                      <a:noFill/>
                    </a:ln>
                  </pic:spPr>
                </pic:pic>
              </a:graphicData>
            </a:graphic>
          </wp:inline>
        </w:drawing>
      </w:r>
    </w:p>
    <w:p w14:paraId="037B3DA0">
      <w:pPr>
        <w:pStyle w:val="112"/>
        <w:ind w:firstLine="480"/>
      </w:pPr>
      <w:r>
        <w:drawing>
          <wp:inline distT="0" distB="0" distL="114300" distR="114300">
            <wp:extent cx="3634740" cy="1551940"/>
            <wp:effectExtent l="0" t="0" r="3810" b="10160"/>
            <wp:docPr id="14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2"/>
                    <pic:cNvPicPr>
                      <a:picLocks noChangeAspect="1"/>
                    </pic:cNvPicPr>
                  </pic:nvPicPr>
                  <pic:blipFill>
                    <a:blip r:embed="rId65"/>
                    <a:stretch>
                      <a:fillRect/>
                    </a:stretch>
                  </pic:blipFill>
                  <pic:spPr>
                    <a:xfrm>
                      <a:off x="0" y="0"/>
                      <a:ext cx="3634740" cy="1551940"/>
                    </a:xfrm>
                    <a:prstGeom prst="rect">
                      <a:avLst/>
                    </a:prstGeom>
                    <a:noFill/>
                    <a:ln>
                      <a:noFill/>
                    </a:ln>
                  </pic:spPr>
                </pic:pic>
              </a:graphicData>
            </a:graphic>
          </wp:inline>
        </w:drawing>
      </w:r>
    </w:p>
    <w:p w14:paraId="3F9F1333">
      <w:pPr>
        <w:pStyle w:val="13"/>
        <w:jc w:val="cente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.12</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起升钢丝绳的穿绕</w:t>
      </w:r>
    </w:p>
    <w:p w14:paraId="2A95610A">
      <w:pPr>
        <w:pStyle w:val="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立塔后检查</w:t>
      </w:r>
    </w:p>
    <w:p w14:paraId="516804CD">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为检查立塔工作的正确性，保证塔机安全运行，需按下表4.4</w:t>
      </w:r>
      <w:r>
        <w:rPr>
          <w:rFonts w:hint="eastAsia"/>
          <w:color w:val="000000" w:themeColor="text1"/>
          <w:lang w:val="en-US" w:eastAsia="zh-CN"/>
          <w14:textFill>
            <w14:solidFill>
              <w14:schemeClr w14:val="tx1"/>
            </w14:solidFill>
          </w14:textFill>
        </w:rPr>
        <w:t>.13</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项目进行一系列试运转和检查工作。</w:t>
      </w:r>
    </w:p>
    <w:p w14:paraId="26410AB0">
      <w:pPr>
        <w:pStyle w:val="46"/>
        <w:rPr>
          <w:color w:val="000000" w:themeColor="text1"/>
          <w14:textFill>
            <w14:solidFill>
              <w14:schemeClr w14:val="tx1"/>
            </w14:solidFill>
          </w14:textFill>
        </w:rPr>
      </w:pPr>
      <w:r>
        <w:rPr>
          <w:color w:val="000000" w:themeColor="text1"/>
          <w:highlight w:val="none"/>
          <w14:textFill>
            <w14:solidFill>
              <w14:schemeClr w14:val="tx1"/>
            </w14:solidFill>
          </w14:textFill>
        </w:rPr>
        <w:t>表4.4</w:t>
      </w:r>
      <w:r>
        <w:rPr>
          <w:rFonts w:hint="eastAsia"/>
          <w:color w:val="000000" w:themeColor="text1"/>
          <w:highlight w:val="none"/>
          <w:lang w:val="en-US" w:eastAsia="zh-CN"/>
          <w14:textFill>
            <w14:solidFill>
              <w14:schemeClr w14:val="tx1"/>
            </w14:solidFill>
          </w14:textFill>
        </w:rPr>
        <w:t>.13</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color w:val="000000" w:themeColor="text1"/>
          <w14:textFill>
            <w14:solidFill>
              <w14:schemeClr w14:val="tx1"/>
            </w14:solidFill>
          </w14:textFill>
        </w:rPr>
        <w:t>立塔检查工作内容一览表</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633"/>
        <w:gridCol w:w="6217"/>
      </w:tblGrid>
      <w:tr w14:paraId="67BE25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trPr>
        <w:tc>
          <w:tcPr>
            <w:tcW w:w="394" w:type="pct"/>
            <w:vAlign w:val="center"/>
          </w:tcPr>
          <w:p w14:paraId="69BD08BB">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序号</w:t>
            </w:r>
          </w:p>
        </w:tc>
        <w:tc>
          <w:tcPr>
            <w:tcW w:w="958" w:type="pct"/>
            <w:vAlign w:val="center"/>
          </w:tcPr>
          <w:p w14:paraId="5BED42E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部件</w:t>
            </w:r>
          </w:p>
        </w:tc>
        <w:tc>
          <w:tcPr>
            <w:tcW w:w="3647" w:type="pct"/>
            <w:vAlign w:val="center"/>
          </w:tcPr>
          <w:p w14:paraId="48DD237C">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检查工作</w:t>
            </w:r>
          </w:p>
        </w:tc>
      </w:tr>
      <w:tr w14:paraId="756FA8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394" w:type="pct"/>
            <w:vAlign w:val="center"/>
          </w:tcPr>
          <w:p w14:paraId="5444CBD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958" w:type="pct"/>
            <w:vAlign w:val="center"/>
          </w:tcPr>
          <w:p w14:paraId="36187BB0">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通道</w:t>
            </w:r>
          </w:p>
        </w:tc>
        <w:tc>
          <w:tcPr>
            <w:tcW w:w="3647" w:type="pct"/>
            <w:vAlign w:val="center"/>
          </w:tcPr>
          <w:p w14:paraId="7D323A2A">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检查扶梯和背圈的紧固情况更换损坏部件，特别是锁定楔</w:t>
            </w:r>
          </w:p>
        </w:tc>
      </w:tr>
      <w:tr w14:paraId="754C08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394" w:type="pct"/>
            <w:vAlign w:val="center"/>
          </w:tcPr>
          <w:p w14:paraId="373F31C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958" w:type="pct"/>
            <w:vAlign w:val="center"/>
          </w:tcPr>
          <w:p w14:paraId="4882BD31">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塔身</w:t>
            </w:r>
          </w:p>
        </w:tc>
        <w:tc>
          <w:tcPr>
            <w:tcW w:w="3647" w:type="pct"/>
            <w:vAlign w:val="center"/>
          </w:tcPr>
          <w:p w14:paraId="469E27A5">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检查塔身连接螺栓是否紧固；检查电缆是否在电缆挂钩上挂好</w:t>
            </w:r>
          </w:p>
        </w:tc>
      </w:tr>
      <w:tr w14:paraId="03355D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394" w:type="pct"/>
            <w:vAlign w:val="center"/>
          </w:tcPr>
          <w:p w14:paraId="2D829CEA">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958" w:type="pct"/>
            <w:vAlign w:val="center"/>
          </w:tcPr>
          <w:p w14:paraId="7BA972BF">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导轨</w:t>
            </w:r>
          </w:p>
        </w:tc>
        <w:tc>
          <w:tcPr>
            <w:tcW w:w="3647" w:type="pct"/>
            <w:vAlign w:val="center"/>
          </w:tcPr>
          <w:p w14:paraId="32998A01">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沿塔身放下导轨</w:t>
            </w:r>
          </w:p>
        </w:tc>
      </w:tr>
      <w:tr w14:paraId="7842FB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394" w:type="pct"/>
            <w:vAlign w:val="center"/>
          </w:tcPr>
          <w:p w14:paraId="7A07D3E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p>
        </w:tc>
        <w:tc>
          <w:tcPr>
            <w:tcW w:w="958" w:type="pct"/>
            <w:vAlign w:val="center"/>
          </w:tcPr>
          <w:p w14:paraId="1D569CF1">
            <w:pPr>
              <w:pStyle w:val="85"/>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爬升架</w:t>
            </w:r>
          </w:p>
        </w:tc>
        <w:tc>
          <w:tcPr>
            <w:tcW w:w="3647" w:type="pct"/>
            <w:vAlign w:val="center"/>
          </w:tcPr>
          <w:p w14:paraId="4D8266FE">
            <w:pPr>
              <w:pStyle w:val="85"/>
              <w:jc w:val="left"/>
              <w:rPr>
                <w:rFonts w:hint="eastAsia" w:eastAsia="宋体" w:cs="Times New Roman"/>
                <w:color w:val="000000" w:themeColor="text1"/>
                <w:lang w:eastAsia="zh-CN"/>
                <w14:textFill>
                  <w14:solidFill>
                    <w14:schemeClr w14:val="tx1"/>
                  </w14:solidFill>
                </w14:textFill>
              </w:rPr>
            </w:pPr>
            <w:r>
              <w:rPr>
                <w:rFonts w:cs="Times New Roman"/>
                <w:color w:val="000000" w:themeColor="text1"/>
                <w14:textFill>
                  <w14:solidFill>
                    <w14:schemeClr w14:val="tx1"/>
                  </w14:solidFill>
                </w14:textFill>
              </w:rPr>
              <w:t>放下</w:t>
            </w:r>
            <w:r>
              <w:rPr>
                <w:rFonts w:hint="eastAsia" w:cs="Times New Roman"/>
                <w:color w:val="000000" w:themeColor="text1"/>
                <w:lang w:val="en-US" w:eastAsia="zh-CN"/>
                <w14:textFill>
                  <w14:solidFill>
                    <w14:schemeClr w14:val="tx1"/>
                  </w14:solidFill>
                </w14:textFill>
              </w:rPr>
              <w:t>爬升架</w:t>
            </w:r>
          </w:p>
        </w:tc>
      </w:tr>
      <w:tr w14:paraId="0BFD48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394" w:type="pct"/>
            <w:vAlign w:val="center"/>
          </w:tcPr>
          <w:p w14:paraId="45B50A14">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958" w:type="pct"/>
            <w:vAlign w:val="center"/>
          </w:tcPr>
          <w:p w14:paraId="64D31EB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驾驶室</w:t>
            </w:r>
          </w:p>
        </w:tc>
        <w:tc>
          <w:tcPr>
            <w:tcW w:w="3647" w:type="pct"/>
            <w:vAlign w:val="center"/>
          </w:tcPr>
          <w:p w14:paraId="3AD93B1F">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1.检查驾驶室是否锁紧在工作位置；</w:t>
            </w:r>
          </w:p>
          <w:p w14:paraId="779BC408">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2.检查”驾驶员须知”铭牌是否在驾驶室内钉好；</w:t>
            </w:r>
          </w:p>
          <w:p w14:paraId="6176AFEA">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3.保证通往第一节臂平台的扶梯安装到位</w:t>
            </w:r>
          </w:p>
        </w:tc>
      </w:tr>
      <w:tr w14:paraId="2730D9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394" w:type="pct"/>
            <w:vAlign w:val="center"/>
          </w:tcPr>
          <w:p w14:paraId="752CC8A1">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w:t>
            </w:r>
          </w:p>
        </w:tc>
        <w:tc>
          <w:tcPr>
            <w:tcW w:w="958" w:type="pct"/>
            <w:vAlign w:val="center"/>
          </w:tcPr>
          <w:p w14:paraId="57E23759">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起重臂-平衡臂</w:t>
            </w:r>
          </w:p>
        </w:tc>
        <w:tc>
          <w:tcPr>
            <w:tcW w:w="3647" w:type="pct"/>
            <w:vAlign w:val="center"/>
          </w:tcPr>
          <w:p w14:paraId="167647DE">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1.检查小车检修平台是否安装就位；</w:t>
            </w:r>
          </w:p>
          <w:p w14:paraId="7F6DC521">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2.检查起重臂安全绳的安装情况；</w:t>
            </w:r>
          </w:p>
          <w:p w14:paraId="04C9688C">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3.穿绕电缆，使之投入使用；</w:t>
            </w:r>
          </w:p>
          <w:p w14:paraId="6C2ACD93">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4.检查平衡臂上护栏的固定情况；</w:t>
            </w:r>
          </w:p>
          <w:p w14:paraId="3FCB7276">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5.检查起升和变幅钢丝绳穿绕是否正确；</w:t>
            </w:r>
          </w:p>
          <w:p w14:paraId="192F8709">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6.检查平衡臂配重的固定情况；</w:t>
            </w:r>
          </w:p>
          <w:p w14:paraId="01091C1C">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7.检查平衡臂走道上有无杂物，防止塔机运转时下坠伤人</w:t>
            </w:r>
          </w:p>
        </w:tc>
      </w:tr>
      <w:tr w14:paraId="0C292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394" w:type="pct"/>
            <w:vAlign w:val="center"/>
          </w:tcPr>
          <w:p w14:paraId="361B75CF">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w:t>
            </w:r>
          </w:p>
        </w:tc>
        <w:tc>
          <w:tcPr>
            <w:tcW w:w="958" w:type="pct"/>
            <w:vAlign w:val="center"/>
          </w:tcPr>
          <w:p w14:paraId="6A711CF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润滑</w:t>
            </w:r>
          </w:p>
        </w:tc>
        <w:tc>
          <w:tcPr>
            <w:tcW w:w="3647" w:type="pct"/>
            <w:vAlign w:val="center"/>
          </w:tcPr>
          <w:p w14:paraId="618C2B1C">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检查润滑油位及润滑点</w:t>
            </w:r>
          </w:p>
        </w:tc>
      </w:tr>
    </w:tbl>
    <w:p w14:paraId="68C0D196">
      <w:pPr>
        <w:pStyle w:val="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塔机顶升</w:t>
      </w:r>
    </w:p>
    <w:p w14:paraId="606A66AA">
      <w:pPr>
        <w:pStyle w:val="7"/>
        <w:bidi w:val="0"/>
      </w:pPr>
      <w:r>
        <w:t>塔机的安全装置调试</w:t>
      </w:r>
    </w:p>
    <w:p w14:paraId="6496DDAF">
      <w:pPr>
        <w:pStyle w:val="9"/>
        <w:numPr>
          <w:ilvl w:val="0"/>
          <w:numId w:val="11"/>
        </w:numPr>
        <w:bidi w:val="0"/>
        <w:ind w:left="425" w:leftChars="0" w:hanging="425" w:firstLineChars="0"/>
      </w:pPr>
      <w:r>
        <w:t>电气系统的安装</w:t>
      </w:r>
    </w:p>
    <w:p w14:paraId="22D7F6E6">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塔机电气系统的接线安装应严格按塔机电气接线图接线，保证主回路及控制回路接线正确，确保各控制开关动作时，相应主回路按要求通断。</w:t>
      </w:r>
    </w:p>
    <w:p w14:paraId="0CC86CF8">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各线路接线完毕后，应用扎带将各电缆固定绑扎整齐，保证电缆保护层不因外力遭受损伤。</w:t>
      </w:r>
    </w:p>
    <w:p w14:paraId="006FFDC0">
      <w:pPr>
        <w:pStyle w:val="9"/>
        <w:numPr>
          <w:ilvl w:val="0"/>
          <w:numId w:val="11"/>
        </w:numPr>
        <w:bidi w:val="0"/>
        <w:ind w:left="425" w:leftChars="0" w:hanging="425" w:firstLineChars="0"/>
      </w:pPr>
      <w:r>
        <w:t>安全保护装置的调试</w:t>
      </w:r>
    </w:p>
    <w:p w14:paraId="02AFDB85">
      <w:pPr>
        <w:numPr>
          <w:ilvl w:val="0"/>
          <w:numId w:val="12"/>
        </w:numPr>
        <w:ind w:left="425" w:leftChars="0" w:hanging="425" w:firstLineChars="0"/>
        <w:rPr>
          <w:color w:val="000000" w:themeColor="text1"/>
          <w14:textFill>
            <w14:solidFill>
              <w14:schemeClr w14:val="tx1"/>
            </w14:solidFill>
          </w14:textFill>
        </w:rPr>
      </w:pPr>
      <w:r>
        <w:rPr>
          <w:color w:val="000000" w:themeColor="text1"/>
          <w14:textFill>
            <w14:solidFill>
              <w14:schemeClr w14:val="tx1"/>
            </w14:solidFill>
          </w14:textFill>
        </w:rPr>
        <w:t>起重量限制器的调试</w:t>
      </w:r>
    </w:p>
    <w:p w14:paraId="61589220">
      <w:pPr>
        <w:pStyle w:val="46"/>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622040" cy="1862455"/>
            <wp:effectExtent l="0" t="0" r="16510" b="4445"/>
            <wp:docPr id="7"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622040" cy="1862455"/>
                    </a:xfrm>
                    <a:prstGeom prst="rect">
                      <a:avLst/>
                    </a:prstGeom>
                    <a:noFill/>
                    <a:ln>
                      <a:noFill/>
                    </a:ln>
                    <a:effectLst/>
                  </pic:spPr>
                </pic:pic>
              </a:graphicData>
            </a:graphic>
          </wp:inline>
        </w:drawing>
      </w:r>
    </w:p>
    <w:p w14:paraId="14689F8D">
      <w:pPr>
        <w:pStyle w:val="46"/>
        <w:rPr>
          <w:color w:val="000000" w:themeColor="text1"/>
          <w14:textFill>
            <w14:solidFill>
              <w14:schemeClr w14:val="tx1"/>
            </w14:solidFill>
          </w14:textFill>
        </w:rPr>
      </w:pPr>
      <w:r>
        <w:rPr>
          <w:color w:val="000000" w:themeColor="text1"/>
          <w14:textFill>
            <w14:solidFill>
              <w14:schemeClr w14:val="tx1"/>
            </w14:solidFill>
          </w14:textFill>
        </w:rPr>
        <w:t>图4.4</w:t>
      </w:r>
      <w:r>
        <w:rPr>
          <w:rFonts w:hint="eastAsia"/>
          <w:color w:val="000000" w:themeColor="text1"/>
          <w:lang w:val="en-US" w:eastAsia="zh-CN"/>
          <w14:textFill>
            <w14:solidFill>
              <w14:schemeClr w14:val="tx1"/>
            </w14:solidFill>
          </w14:textFill>
        </w:rPr>
        <w:t>.14.1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 xml:space="preserve">  起重量限制器调试示意图</w:t>
      </w:r>
    </w:p>
    <w:p w14:paraId="276B7B9B">
      <w:pPr>
        <w:pStyle w:val="112"/>
        <w:numPr>
          <w:ilvl w:val="0"/>
          <w:numId w:val="13"/>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最大起重量校核</w:t>
      </w:r>
    </w:p>
    <w:p w14:paraId="1AC2BC03">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按图4.4</w:t>
      </w:r>
      <w:r>
        <w:rPr>
          <w:rFonts w:hint="eastAsia"/>
          <w:color w:val="000000" w:themeColor="text1"/>
          <w:lang w:val="en-US" w:eastAsia="zh-CN"/>
          <w14:textFill>
            <w14:solidFill>
              <w14:schemeClr w14:val="tx1"/>
            </w14:solidFill>
          </w14:textFill>
        </w:rPr>
        <w:t>.14.1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所示</w:t>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以低速起升最大额定Q，起重量限制器不动作，运行起升。此时，旋转调节螺丝1直至该螺钉压迫微动开关1触头。放下重物，按图4.4</w:t>
      </w:r>
      <w:r>
        <w:rPr>
          <w:rFonts w:hint="eastAsia"/>
          <w:color w:val="000000" w:themeColor="text1"/>
          <w:lang w:val="en-US" w:eastAsia="zh-CN"/>
          <w14:textFill>
            <w14:solidFill>
              <w14:schemeClr w14:val="tx1"/>
            </w14:solidFill>
          </w14:textFill>
        </w:rPr>
        <w:t>.14.1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所示</w:t>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将载荷增加至1.1Q，再以低速起升，起重量限制器动作，不能起升。按图4.4</w:t>
      </w:r>
      <w:r>
        <w:rPr>
          <w:rFonts w:hint="eastAsia"/>
          <w:color w:val="000000" w:themeColor="text1"/>
          <w:lang w:val="en-US" w:eastAsia="zh-CN"/>
          <w14:textFill>
            <w14:solidFill>
              <w14:schemeClr w14:val="tx1"/>
            </w14:solidFill>
          </w14:textFill>
        </w:rPr>
        <w:t>.14.1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所示</w:t>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动作再重复二次，应无变化。</w:t>
      </w:r>
    </w:p>
    <w:p w14:paraId="7C752D64">
      <w:pPr>
        <w:pStyle w:val="112"/>
        <w:numPr>
          <w:ilvl w:val="0"/>
          <w:numId w:val="13"/>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输的限制器试验</w:t>
      </w:r>
    </w:p>
    <w:p w14:paraId="42ADA998">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按图4.4</w:t>
      </w:r>
      <w:r>
        <w:rPr>
          <w:rFonts w:hint="eastAsia"/>
          <w:color w:val="000000" w:themeColor="text1"/>
          <w:lang w:val="en-US" w:eastAsia="zh-CN"/>
          <w14:textFill>
            <w14:solidFill>
              <w14:schemeClr w14:val="tx1"/>
            </w14:solidFill>
          </w14:textFill>
        </w:rPr>
        <w:t>.14.1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所示</w:t>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以高速起升荷载0.5Q，起重量限制器不动作，均允许以高、中、低三档速度起升，此时，旋转调节螺丝2直至该螺钉压迫微动开关2触头。放下重物，按图4.4</w:t>
      </w:r>
      <w:r>
        <w:rPr>
          <w:rFonts w:hint="eastAsia"/>
          <w:color w:val="000000" w:themeColor="text1"/>
          <w:lang w:val="en-US" w:eastAsia="zh-CN"/>
          <w14:textFill>
            <w14:solidFill>
              <w14:schemeClr w14:val="tx1"/>
            </w14:solidFill>
          </w14:textFill>
        </w:rPr>
        <w:t>.14.1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所示</w:t>
      </w: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将载荷增加至0.55Q，再以高速起升，起重量限制器动作，不能起升，但中、低二档速度允许起升。按图4.4</w:t>
      </w:r>
      <w:r>
        <w:rPr>
          <w:rFonts w:hint="eastAsia"/>
          <w:color w:val="000000" w:themeColor="text1"/>
          <w:lang w:val="en-US" w:eastAsia="zh-CN"/>
          <w14:textFill>
            <w14:solidFill>
              <w14:schemeClr w14:val="tx1"/>
            </w14:solidFill>
          </w14:textFill>
        </w:rPr>
        <w:t>.14.1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所示</w:t>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动作再重复二次，应无变化。</w:t>
      </w:r>
    </w:p>
    <w:p w14:paraId="4571A006">
      <w:pPr>
        <w:numPr>
          <w:ilvl w:val="0"/>
          <w:numId w:val="12"/>
        </w:numPr>
        <w:ind w:left="425" w:leftChars="0" w:hanging="425" w:firstLineChars="0"/>
        <w:rPr>
          <w:color w:val="000000" w:themeColor="text1"/>
          <w14:textFill>
            <w14:solidFill>
              <w14:schemeClr w14:val="tx1"/>
            </w14:solidFill>
          </w14:textFill>
        </w:rPr>
      </w:pPr>
      <w:r>
        <w:rPr>
          <w:color w:val="000000" w:themeColor="text1"/>
          <w14:textFill>
            <w14:solidFill>
              <w14:schemeClr w14:val="tx1"/>
            </w14:solidFill>
          </w14:textFill>
        </w:rPr>
        <w:t>起重力矩限制器</w:t>
      </w:r>
    </w:p>
    <w:p w14:paraId="2AB1CC4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2973070" cy="1860550"/>
            <wp:effectExtent l="0" t="0" r="17780" b="6350"/>
            <wp:docPr id="8"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8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984193" cy="1867485"/>
                    </a:xfrm>
                    <a:prstGeom prst="rect">
                      <a:avLst/>
                    </a:prstGeom>
                    <a:noFill/>
                    <a:ln>
                      <a:noFill/>
                    </a:ln>
                    <a:effectLst/>
                  </pic:spPr>
                </pic:pic>
              </a:graphicData>
            </a:graphic>
          </wp:inline>
        </w:drawing>
      </w:r>
    </w:p>
    <w:p w14:paraId="2D2B8C35">
      <w:pPr>
        <w:pStyle w:val="46"/>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图4.4</w:t>
      </w:r>
      <w:r>
        <w:rPr>
          <w:rFonts w:hint="eastAsia" w:ascii="Times New Roman" w:hAnsi="Times New Roman" w:eastAsia="宋体" w:cs="Times New Roman"/>
          <w:color w:val="000000" w:themeColor="text1"/>
          <w:lang w:val="en-US" w:eastAsia="zh-CN"/>
          <w14:textFill>
            <w14:solidFill>
              <w14:schemeClr w14:val="tx1"/>
            </w14:solidFill>
          </w14:textFill>
        </w:rPr>
        <w:t>.14.1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 xml:space="preserve">  起重力矩限制器结构图示意图</w:t>
      </w:r>
    </w:p>
    <w:p w14:paraId="3E82E1A8">
      <w:pPr>
        <w:pStyle w:val="112"/>
        <w:numPr>
          <w:ilvl w:val="0"/>
          <w:numId w:val="14"/>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定幅变码调试：</w:t>
      </w:r>
    </w:p>
    <w:p w14:paraId="41305611">
      <w:pPr>
        <w:pStyle w:val="46"/>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703320" cy="2569845"/>
            <wp:effectExtent l="0" t="0" r="11430" b="1905"/>
            <wp:docPr id="9"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703320" cy="2569845"/>
                    </a:xfrm>
                    <a:prstGeom prst="rect">
                      <a:avLst/>
                    </a:prstGeom>
                    <a:noFill/>
                    <a:ln>
                      <a:noFill/>
                    </a:ln>
                  </pic:spPr>
                </pic:pic>
              </a:graphicData>
            </a:graphic>
          </wp:inline>
        </w:drawing>
      </w:r>
    </w:p>
    <w:p w14:paraId="1F571A8E">
      <w:pPr>
        <w:pStyle w:val="46"/>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图4.4</w:t>
      </w:r>
      <w:r>
        <w:rPr>
          <w:rFonts w:hint="eastAsia" w:ascii="Times New Roman" w:hAnsi="Times New Roman" w:eastAsia="宋体" w:cs="Times New Roman"/>
          <w:color w:val="000000" w:themeColor="text1"/>
          <w:lang w:val="en-US" w:eastAsia="zh-CN"/>
          <w14:textFill>
            <w14:solidFill>
              <w14:schemeClr w14:val="tx1"/>
            </w14:solidFill>
          </w14:textFill>
        </w:rPr>
        <w:t>.14.1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 xml:space="preserve">  起重力矩限制器定幅变码调试示意图</w:t>
      </w:r>
    </w:p>
    <w:p w14:paraId="4EF9D4DC">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在最大工作幅度</w:t>
      </w:r>
      <w:r>
        <w:rPr>
          <w:i/>
          <w:color w:val="000000" w:themeColor="text1"/>
          <w14:textFill>
            <w14:solidFill>
              <w14:schemeClr w14:val="tx1"/>
            </w14:solidFill>
          </w14:textFill>
        </w:rPr>
        <w:t>R</w:t>
      </w:r>
      <w:r>
        <w:rPr>
          <w:color w:val="000000" w:themeColor="text1"/>
          <w:vertAlign w:val="subscript"/>
          <w14:textFill>
            <w14:solidFill>
              <w14:schemeClr w14:val="tx1"/>
            </w14:solidFill>
          </w14:textFill>
        </w:rPr>
        <w:t>max</w:t>
      </w:r>
      <w:r>
        <w:rPr>
          <w:color w:val="000000" w:themeColor="text1"/>
          <w14:textFill>
            <w14:solidFill>
              <w14:schemeClr w14:val="tx1"/>
            </w14:solidFill>
          </w14:textFill>
        </w:rPr>
        <w:t>处以正常工作速度起升相应幅度的起重量</w:t>
      </w:r>
      <w:r>
        <w:rPr>
          <w:i/>
          <w:color w:val="000000" w:themeColor="text1"/>
          <w14:textFill>
            <w14:solidFill>
              <w14:schemeClr w14:val="tx1"/>
            </w14:solidFill>
          </w14:textFill>
        </w:rPr>
        <w:t>X</w:t>
      </w:r>
      <w:r>
        <w:rPr>
          <w:color w:val="000000" w:themeColor="text1"/>
          <w14:textFill>
            <w14:solidFill>
              <w14:schemeClr w14:val="tx1"/>
            </w14:solidFill>
          </w14:textFill>
        </w:rPr>
        <w:t>，力矩限制器不应动作，允许正常起升，此时旋转与行程开关C对应调节螺栓直至该螺栓压迫行程开关C触头，并用螺母锁紧。下放载荷落地，增加载荷至1.1</w:t>
      </w:r>
      <w:r>
        <w:rPr>
          <w:i/>
          <w:color w:val="000000" w:themeColor="text1"/>
          <w14:textFill>
            <w14:solidFill>
              <w14:schemeClr w14:val="tx1"/>
            </w14:solidFill>
          </w14:textFill>
        </w:rPr>
        <w:t>X</w:t>
      </w:r>
      <w:r>
        <w:rPr>
          <w:color w:val="000000" w:themeColor="text1"/>
          <w14:textFill>
            <w14:solidFill>
              <w14:schemeClr w14:val="tx1"/>
            </w14:solidFill>
          </w14:textFill>
        </w:rPr>
        <w:t>后以最慢速度上升，力矩限制器应动作，切断起升机构向上起升电源。</w:t>
      </w:r>
    </w:p>
    <w:p w14:paraId="76828639">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重复</w:t>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动作，取0.7</w:t>
      </w:r>
      <w:r>
        <w:rPr>
          <w:i/>
          <w:color w:val="000000" w:themeColor="text1"/>
          <w14:textFill>
            <w14:solidFill>
              <w14:schemeClr w14:val="tx1"/>
            </w14:solidFill>
          </w14:textFill>
        </w:rPr>
        <w:t>Q</w:t>
      </w:r>
      <w:r>
        <w:rPr>
          <w:color w:val="000000" w:themeColor="text1"/>
          <w14:textFill>
            <w14:solidFill>
              <w14:schemeClr w14:val="tx1"/>
            </w14:solidFill>
          </w14:textFill>
        </w:rPr>
        <w:t>额定，在相应载荷允许的最大工作幅度</w:t>
      </w:r>
      <w:r>
        <w:rPr>
          <w:i/>
          <w:color w:val="000000" w:themeColor="text1"/>
          <w14:textFill>
            <w14:solidFill>
              <w14:schemeClr w14:val="tx1"/>
            </w14:solidFill>
          </w14:textFill>
        </w:rPr>
        <w:t>R</w:t>
      </w:r>
      <w:r>
        <w:rPr>
          <w:color w:val="000000" w:themeColor="text1"/>
          <w14:textFill>
            <w14:solidFill>
              <w14:schemeClr w14:val="tx1"/>
            </w14:solidFill>
          </w14:textFill>
        </w:rPr>
        <w:t>0.7，作荷载试验校核，力矩限制器不应动作，允许正常起升。下放载荷落地，增加载荷至0.77</w:t>
      </w:r>
      <w:r>
        <w:rPr>
          <w:i/>
          <w:color w:val="000000" w:themeColor="text1"/>
          <w14:textFill>
            <w14:solidFill>
              <w14:schemeClr w14:val="tx1"/>
            </w14:solidFill>
          </w14:textFill>
        </w:rPr>
        <w:t>Q</w:t>
      </w:r>
      <w:r>
        <w:rPr>
          <w:color w:val="000000" w:themeColor="text1"/>
          <w14:textFill>
            <w14:solidFill>
              <w14:schemeClr w14:val="tx1"/>
            </w14:solidFill>
          </w14:textFill>
        </w:rPr>
        <w:t>额定后以最慢速度起升，力矩限制器应动作，切断起升机构向上起升电源。</w:t>
      </w:r>
    </w:p>
    <w:p w14:paraId="3E60EF48">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调试完毕后，重复</w:t>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动作二次，应无变化。</w:t>
      </w:r>
    </w:p>
    <w:p w14:paraId="40D83B75">
      <w:pPr>
        <w:pStyle w:val="112"/>
        <w:numPr>
          <w:ilvl w:val="0"/>
          <w:numId w:val="14"/>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定码变幅调试</w:t>
      </w:r>
    </w:p>
    <w:p w14:paraId="1673AEF4">
      <w:pPr>
        <w:pStyle w:val="46"/>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548380" cy="2974340"/>
            <wp:effectExtent l="0" t="0" r="13970" b="16510"/>
            <wp:docPr id="11"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548380" cy="2974340"/>
                    </a:xfrm>
                    <a:prstGeom prst="rect">
                      <a:avLst/>
                    </a:prstGeom>
                    <a:noFill/>
                    <a:ln>
                      <a:noFill/>
                    </a:ln>
                  </pic:spPr>
                </pic:pic>
              </a:graphicData>
            </a:graphic>
          </wp:inline>
        </w:drawing>
      </w:r>
    </w:p>
    <w:p w14:paraId="72A52636">
      <w:pPr>
        <w:pStyle w:val="46"/>
        <w:rPr>
          <w:color w:val="000000" w:themeColor="text1"/>
          <w14:textFill>
            <w14:solidFill>
              <w14:schemeClr w14:val="tx1"/>
            </w14:solidFill>
          </w14:textFill>
        </w:rPr>
      </w:pPr>
      <w:r>
        <w:rPr>
          <w:color w:val="000000" w:themeColor="text1"/>
          <w14:textFill>
            <w14:solidFill>
              <w14:schemeClr w14:val="tx1"/>
            </w14:solidFill>
          </w14:textFill>
        </w:rPr>
        <w:t>图4.4</w:t>
      </w:r>
      <w:r>
        <w:rPr>
          <w:rFonts w:hint="eastAsia"/>
          <w:color w:val="000000" w:themeColor="text1"/>
          <w:lang w:val="en-US" w:eastAsia="zh-CN"/>
          <w14:textFill>
            <w14:solidFill>
              <w14:schemeClr w14:val="tx1"/>
            </w14:solidFill>
          </w14:textFill>
        </w:rPr>
        <w:t>.14.1</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 xml:space="preserve">  起重力矩限制器定码变幅调试示意图</w:t>
      </w:r>
    </w:p>
    <w:p w14:paraId="48B08970">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空载时测定最大额定起重量Q额的最大工作幅度R额、0.8R额、1.1R额，在地面做好标记。在R额幅度处以最慢速度起升最大额定起重量Q额离地1m左右，力矩限制器不动作，允许载重小车低速外行，此时旋转与限位开关B对应调节螺栓压迫限位开关B触头，并用螺母锁紧。返回载重小车在最小幅度处，重新启动载重小车低速外行，变幅至R额、1.1R额之间时，力矩限制器应动作，切断载重小车外行，并报警。</w:t>
      </w:r>
    </w:p>
    <w:p w14:paraId="4A481FBB">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在0.8R额幅度处以最慢速度起升最大额定起重量Q额离地面1m左右，力矩限制器臂动作，此时旋转与限位开关A对应调节螺栓直至该螺栓压迫限位开关A触头，并用螺母锁紧，返回载重小车在最小幅度处，重新启动载重小车高速外行，当变幅超过0.</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R额时，力矩限制器应动作，载重小车由高速切换至低速外行，并报警。</w:t>
      </w:r>
    </w:p>
    <w:p w14:paraId="29196319">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按</w:t>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所述，取0.5Q额对应的最大工作幅度R0.5和1.1R0.5，做定码变幅调试校核。此时启动载重小车低速外行，变幅至R0.5和1.1R0.5之间时，力矩限制器应动作，切断载重小车外行，并报警。</w:t>
      </w:r>
    </w:p>
    <w:p w14:paraId="1DE93218">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按</w:t>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所述，取0.5Q额对应的最大工作幅度0.8R0.5，做80%起升力矩预警校核。此时启动载重小车高速外行，当幅度超过0.8R0.5时，力矩限制器应动作，载重小车由高速切换至低速外行，并报警。</w:t>
      </w:r>
    </w:p>
    <w:p w14:paraId="142A4456">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调试完毕后将</w:t>
      </w:r>
      <w:r>
        <w:rPr>
          <w:rFonts w:hint="eastAsia" w:ascii="宋体" w:hAnsi="宋体" w:cs="宋体"/>
          <w:color w:val="000000" w:themeColor="text1"/>
          <w14:textFill>
            <w14:solidFill>
              <w14:schemeClr w14:val="tx1"/>
            </w14:solidFill>
          </w14:textFill>
        </w:rPr>
        <w:t>①②③④</w:t>
      </w:r>
      <w:r>
        <w:rPr>
          <w:color w:val="000000" w:themeColor="text1"/>
          <w14:textFill>
            <w14:solidFill>
              <w14:schemeClr w14:val="tx1"/>
            </w14:solidFill>
          </w14:textFill>
        </w:rPr>
        <w:t>动作再重复二次，应无变化。</w:t>
      </w:r>
    </w:p>
    <w:p w14:paraId="18CD11B1">
      <w:pPr>
        <w:pStyle w:val="112"/>
        <w:numPr>
          <w:ilvl w:val="0"/>
          <w:numId w:val="12"/>
        </w:numPr>
        <w:ind w:left="425" w:leftChars="0" w:hanging="425" w:firstLineChars="0"/>
        <w:rPr>
          <w:color w:val="000000" w:themeColor="text1"/>
          <w14:textFill>
            <w14:solidFill>
              <w14:schemeClr w14:val="tx1"/>
            </w14:solidFill>
          </w14:textFill>
        </w:rPr>
      </w:pPr>
      <w:r>
        <w:rPr>
          <w:color w:val="000000" w:themeColor="text1"/>
          <w14:textFill>
            <w14:solidFill>
              <w14:schemeClr w14:val="tx1"/>
            </w14:solidFill>
          </w14:textFill>
        </w:rPr>
        <w:t>高度限位器</w:t>
      </w:r>
    </w:p>
    <w:p w14:paraId="3F6216AA">
      <w:pPr>
        <w:pStyle w:val="112"/>
        <w:numPr>
          <w:ilvl w:val="0"/>
          <w:numId w:val="15"/>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高度限位器的功能要求</w:t>
      </w:r>
    </w:p>
    <w:p w14:paraId="7D36F263">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为塔机起升安全，防止吊钩装置向上运动冲击小车架，导致起升钢丝绳拉断，吊钩坠落，伤害地面人员，要求设置高度限位器，确保吊钩装置自动停车时，吊钩装置顶部距小车架下端距离不小于1.0m处（四倍率时为0.7m）。</w:t>
      </w:r>
    </w:p>
    <w:p w14:paraId="1B82C7F7">
      <w:pPr>
        <w:pStyle w:val="112"/>
        <w:numPr>
          <w:ilvl w:val="0"/>
          <w:numId w:val="15"/>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高度限位器的调试</w:t>
      </w:r>
    </w:p>
    <w:p w14:paraId="423BC056">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取吊起升卷筒侧面的高度限位器上罩盖，松开凸轮锁紧螺母，将吊钩起升至吊钩装置顶部距小车架下端1.0m处（四倍率时为0.7m），调整对应的调整轴，使记忆凸轮压下微动开关触点，使其触发行程开关动作，切断吊钩向上动作；</w:t>
      </w:r>
    </w:p>
    <w:p w14:paraId="427E0D0C">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将吊钩下降至吊钩距离地面1.0m处，调整对应的调整轴，使记忆凸轮压下微动开关触点，使其触发行程开关动作，切断吊钩向下动作。</w:t>
      </w:r>
    </w:p>
    <w:p w14:paraId="5DDEDCC5">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将吊钩起升至吊钩装置顶部距小车架下端5.0m处，调整对应的调整轴，使记忆凸轮压下微动开关触点，使其触发行程开关动作，吊钩由高速切换至低速上行；</w:t>
      </w:r>
    </w:p>
    <w:p w14:paraId="79EE7AE1">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将吊钩下降至吊钩距离地面5.0m处，调整对应的调整轴，使记忆凸轮压下微动开关触点，使其触发行程开关动作，吊钩由高速切换至低速下行。</w:t>
      </w:r>
    </w:p>
    <w:p w14:paraId="0E5FF9C4">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锁紧凸轮锁紧螺母，将吊钩高速分别做向上及向下运动，采用高度限位器停车，检查高度限位器设置是否符合要求，如不符合要求，应重新调整；如符合要求，固定高度限位器上罩盖，调试完毕。</w:t>
      </w:r>
    </w:p>
    <w:p w14:paraId="35D04E0D">
      <w:pPr>
        <w:pStyle w:val="112"/>
        <w:numPr>
          <w:ilvl w:val="0"/>
          <w:numId w:val="12"/>
        </w:numPr>
        <w:ind w:left="425" w:leftChars="0" w:hanging="425" w:firstLineChars="0"/>
        <w:rPr>
          <w:color w:val="000000" w:themeColor="text1"/>
          <w14:textFill>
            <w14:solidFill>
              <w14:schemeClr w14:val="tx1"/>
            </w14:solidFill>
          </w14:textFill>
        </w:rPr>
      </w:pPr>
      <w:r>
        <w:rPr>
          <w:color w:val="000000" w:themeColor="text1"/>
          <w14:textFill>
            <w14:solidFill>
              <w14:schemeClr w14:val="tx1"/>
            </w14:solidFill>
          </w14:textFill>
        </w:rPr>
        <w:t>幅度限位器</w:t>
      </w:r>
    </w:p>
    <w:p w14:paraId="60369AE3">
      <w:pPr>
        <w:pStyle w:val="112"/>
        <w:numPr>
          <w:ilvl w:val="0"/>
          <w:numId w:val="16"/>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幅度限位器的功能要求</w:t>
      </w:r>
    </w:p>
    <w:p w14:paraId="10C437F2">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为了保证小车运行时的安全，确保小车运行至起重臂端部或根部自动停车时，距离起重臂前、后端缓冲装置不小于200mm，应设置变幅小车幅度限位器。</w:t>
      </w:r>
    </w:p>
    <w:p w14:paraId="157E60B8">
      <w:pPr>
        <w:pStyle w:val="112"/>
        <w:numPr>
          <w:ilvl w:val="0"/>
          <w:numId w:val="16"/>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幅度限位器的调整</w:t>
      </w:r>
    </w:p>
    <w:p w14:paraId="14A14168">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取吊变幅机构卷筒侧面的幅度限位器上罩盖，松开凸轮锁紧螺母，将变幅小车开至距离起重臂前端缓冲装置200mm处停车，调整对应的调整轴，使记忆凸轮压下微动开关触点，使其触发行程开关动作，切断小车向前动作。</w:t>
      </w:r>
    </w:p>
    <w:p w14:paraId="2A503FA1">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将变幅小车开至距离起重臂前端缓冲装置1.5m处停车，调整对应的调整轴，使记忆凸轮压下微动开关触点，使其触发行程开关动作，使小车向前动作速度自动由高速档切换至低速档。</w:t>
      </w:r>
    </w:p>
    <w:p w14:paraId="0FA8BA3B">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将变幅小车开至距离起重臂根部缓冲装置200mm处停车，调整对应的调整轴，使记忆凸轮压下微动开关触点，使其触发行程开关动作，切断小车向后动作。</w:t>
      </w:r>
    </w:p>
    <w:p w14:paraId="09CD5B34">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将变幅小车开至距离起重臂根部缓冲装置1.5m处停车，调整对应的调整轴，使记忆凸轮压下微动开关触点，使其触发行程开关动作，使小车向后动作速度自动由高速档切换至低速档。</w:t>
      </w:r>
    </w:p>
    <w:p w14:paraId="04B2F14C">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锁紧凸轮锁紧螺母，将变幅小车分别做向前及向后运动，采用幅度限位器停车，检查幅度限位器设置是否符合要求，如不符合要求，应重新调整；如符合要求，固定幅度限位器上罩盖，调试完毕。</w:t>
      </w:r>
    </w:p>
    <w:p w14:paraId="595978FB">
      <w:pPr>
        <w:pStyle w:val="112"/>
        <w:numPr>
          <w:ilvl w:val="0"/>
          <w:numId w:val="12"/>
        </w:numPr>
        <w:ind w:left="425" w:leftChars="0" w:hanging="425" w:firstLineChars="0"/>
        <w:rPr>
          <w:color w:val="000000" w:themeColor="text1"/>
          <w14:textFill>
            <w14:solidFill>
              <w14:schemeClr w14:val="tx1"/>
            </w14:solidFill>
          </w14:textFill>
        </w:rPr>
      </w:pPr>
      <w:r>
        <w:rPr>
          <w:color w:val="000000" w:themeColor="text1"/>
          <w14:textFill>
            <w14:solidFill>
              <w14:schemeClr w14:val="tx1"/>
            </w14:solidFill>
          </w14:textFill>
        </w:rPr>
        <w:t>回转限位器</w:t>
      </w:r>
    </w:p>
    <w:p w14:paraId="25E83C94">
      <w:pPr>
        <w:pStyle w:val="112"/>
        <w:numPr>
          <w:ilvl w:val="0"/>
          <w:numId w:val="17"/>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回转限位器的功能要求</w:t>
      </w:r>
    </w:p>
    <w:p w14:paraId="1B65ACC0">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对不设置中央集电环的塔机，为防止塔机回转时，主电缆过渡扭转，或塔机回转时与周围障碍物发生干涉，应设置回转限位器。</w:t>
      </w:r>
    </w:p>
    <w:p w14:paraId="4996F46B">
      <w:pPr>
        <w:pStyle w:val="112"/>
        <w:numPr>
          <w:ilvl w:val="0"/>
          <w:numId w:val="17"/>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回转限位器的调试</w:t>
      </w:r>
    </w:p>
    <w:p w14:paraId="7BD7BF48">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将塔机回转至主电缆自由垂落状态，拆除回转限位器罩盖，松开凸轮锁紧螺母，分别将起重臂左右回转540º，调整对应的凸轮调整轴，将凸轮动作至微动开关动作，停止起重臂回转动作。锁紧凸轮锁紧螺母，将起重臂左右回转，用回转限位器使起重臂停止，此时检查起重臂回转角度是否满足要求。如不符合要求，应重新调整；如符合要求，固定回转限位器罩盖，调试完毕。</w:t>
      </w:r>
    </w:p>
    <w:p w14:paraId="0AD220F4">
      <w:pPr>
        <w:pStyle w:val="7"/>
        <w:bidi w:val="0"/>
      </w:pPr>
      <w:r>
        <w:t>顶升的安全规则</w:t>
      </w:r>
    </w:p>
    <w:p w14:paraId="310841D4">
      <w:pPr>
        <w:pStyle w:val="112"/>
        <w:keepNext w:val="0"/>
        <w:keepLines w:val="0"/>
        <w:pageBreakBefore w:val="0"/>
        <w:widowControl w:val="0"/>
        <w:numPr>
          <w:ilvl w:val="0"/>
          <w:numId w:val="18"/>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当顶升系统已被顶起、正在顶起或引入标准节时，塔机上部回转部分必须完成配平。</w:t>
      </w:r>
    </w:p>
    <w:p w14:paraId="5C78F7FA">
      <w:pPr>
        <w:pStyle w:val="112"/>
        <w:keepNext w:val="0"/>
        <w:keepLines w:val="0"/>
        <w:pageBreakBefore w:val="0"/>
        <w:widowControl w:val="0"/>
        <w:numPr>
          <w:ilvl w:val="0"/>
          <w:numId w:val="18"/>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风速不得超过12 m/s。</w:t>
      </w:r>
    </w:p>
    <w:p w14:paraId="0E670F7E">
      <w:pPr>
        <w:pStyle w:val="112"/>
        <w:keepNext w:val="0"/>
        <w:keepLines w:val="0"/>
        <w:pageBreakBefore w:val="0"/>
        <w:widowControl w:val="0"/>
        <w:numPr>
          <w:ilvl w:val="0"/>
          <w:numId w:val="18"/>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顶升前一定要检查电缆悬挂位置，使其能在电缆扣中滑动，防止顶升过程中损坏电缆。 </w:t>
      </w:r>
    </w:p>
    <w:p w14:paraId="2C0856D2">
      <w:pPr>
        <w:pStyle w:val="112"/>
        <w:keepNext w:val="0"/>
        <w:keepLines w:val="0"/>
        <w:pageBreakBefore w:val="0"/>
        <w:widowControl w:val="0"/>
        <w:numPr>
          <w:ilvl w:val="0"/>
          <w:numId w:val="18"/>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无论顶升或下降，必须保证顶升横梁上的顶升爬爪与标准节的顶升踏步靠紧，以免顶升爬爪脱落造成危险。</w:t>
      </w:r>
    </w:p>
    <w:p w14:paraId="36ED107D">
      <w:pPr>
        <w:pStyle w:val="112"/>
        <w:keepNext w:val="0"/>
        <w:keepLines w:val="0"/>
        <w:pageBreakBefore w:val="0"/>
        <w:widowControl w:val="0"/>
        <w:numPr>
          <w:ilvl w:val="0"/>
          <w:numId w:val="18"/>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禁止：</w:t>
      </w:r>
    </w:p>
    <w:p w14:paraId="50EDBB8F">
      <w:pPr>
        <w:pStyle w:val="112"/>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回转起重臂。</w:t>
      </w:r>
    </w:p>
    <w:p w14:paraId="5C01486B">
      <w:pPr>
        <w:pStyle w:val="112"/>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当顶升系统已被顶起或正在顶起时进行吊重（上升或下降）。</w:t>
      </w:r>
    </w:p>
    <w:p w14:paraId="0E36EC7D">
      <w:pPr>
        <w:pStyle w:val="112"/>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在顶升系统已被顶起或正在顶起时进行变幅移动。</w:t>
      </w:r>
    </w:p>
    <w:p w14:paraId="2B29D658">
      <w:pPr>
        <w:pStyle w:val="112"/>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将顶升系统支撑在油缸上。</w:t>
      </w:r>
    </w:p>
    <w:p w14:paraId="6B87170A">
      <w:pPr>
        <w:pStyle w:val="112"/>
        <w:keepNext w:val="0"/>
        <w:keepLines w:val="0"/>
        <w:pageBreakBefore w:val="0"/>
        <w:widowControl w:val="0"/>
        <w:numPr>
          <w:ilvl w:val="0"/>
          <w:numId w:val="18"/>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顶升前检查 </w:t>
      </w:r>
    </w:p>
    <w:p w14:paraId="27DE6B4D">
      <w:pPr>
        <w:pStyle w:val="112"/>
        <w:keepNext w:val="0"/>
        <w:keepLines w:val="0"/>
        <w:pageBreakBefore w:val="0"/>
        <w:widowControl w:val="0"/>
        <w:numPr>
          <w:ilvl w:val="0"/>
          <w:numId w:val="20"/>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检查顶升辅助装置的安装并使液压机构处于使用状态。   </w:t>
      </w:r>
    </w:p>
    <w:p w14:paraId="0BF1050A">
      <w:pPr>
        <w:pStyle w:val="112"/>
        <w:keepNext w:val="0"/>
        <w:keepLines w:val="0"/>
        <w:pageBreakBefore w:val="0"/>
        <w:widowControl w:val="0"/>
        <w:numPr>
          <w:ilvl w:val="0"/>
          <w:numId w:val="20"/>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检查顶升套架是否与下支座连接好。 </w:t>
      </w:r>
    </w:p>
    <w:p w14:paraId="6ECA1D05">
      <w:pPr>
        <w:pStyle w:val="112"/>
        <w:keepNext w:val="0"/>
        <w:keepLines w:val="0"/>
        <w:pageBreakBefore w:val="0"/>
        <w:widowControl w:val="0"/>
        <w:numPr>
          <w:ilvl w:val="0"/>
          <w:numId w:val="20"/>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检查引进梁是否安装好。 </w:t>
      </w:r>
    </w:p>
    <w:p w14:paraId="5DCD2A79">
      <w:pPr>
        <w:pStyle w:val="112"/>
        <w:keepNext w:val="0"/>
        <w:keepLines w:val="0"/>
        <w:pageBreakBefore w:val="0"/>
        <w:widowControl w:val="0"/>
        <w:numPr>
          <w:ilvl w:val="0"/>
          <w:numId w:val="20"/>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检查顶升横梁是否与油缸用销轴连好，并检查顶升挂块是否吊在顶升耳座上。</w:t>
      </w:r>
    </w:p>
    <w:p w14:paraId="5B63F09D">
      <w:pPr>
        <w:pStyle w:val="112"/>
        <w:keepNext w:val="0"/>
        <w:keepLines w:val="0"/>
        <w:pageBreakBefore w:val="0"/>
        <w:widowControl w:val="0"/>
        <w:numPr>
          <w:ilvl w:val="0"/>
          <w:numId w:val="18"/>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顶升结束后：</w:t>
      </w:r>
    </w:p>
    <w:p w14:paraId="0FCD5A58">
      <w:pPr>
        <w:pStyle w:val="112"/>
        <w:keepNext w:val="0"/>
        <w:keepLines w:val="0"/>
        <w:pageBreakBefore w:val="0"/>
        <w:widowControl w:val="0"/>
        <w:numPr>
          <w:ilvl w:val="0"/>
          <w:numId w:val="21"/>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最后一个标准节用双头螺栓销定在塔身最后一个标准节上。</w:t>
      </w:r>
    </w:p>
    <w:p w14:paraId="6830C823">
      <w:pPr>
        <w:pStyle w:val="112"/>
        <w:keepNext w:val="0"/>
        <w:keepLines w:val="0"/>
        <w:pageBreakBefore w:val="0"/>
        <w:widowControl w:val="0"/>
        <w:numPr>
          <w:ilvl w:val="0"/>
          <w:numId w:val="21"/>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引进梁应无标准节。引进小车应固定可靠。</w:t>
      </w:r>
    </w:p>
    <w:p w14:paraId="05243DD9">
      <w:pPr>
        <w:pStyle w:val="112"/>
        <w:keepNext w:val="0"/>
        <w:keepLines w:val="0"/>
        <w:pageBreakBefore w:val="0"/>
        <w:widowControl w:val="0"/>
        <w:numPr>
          <w:ilvl w:val="0"/>
          <w:numId w:val="21"/>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当套架位于塔身顶部时，应遵守有关规则。</w:t>
      </w:r>
    </w:p>
    <w:p w14:paraId="7610E7D4">
      <w:pPr>
        <w:pStyle w:val="7"/>
        <w:bidi w:val="0"/>
      </w:pPr>
      <w:r>
        <w:t>顶升时的配平特殊规则</w:t>
      </w:r>
    </w:p>
    <w:p w14:paraId="2E5E3443">
      <w:pPr>
        <w:keepNext w:val="0"/>
        <w:keepLines w:val="0"/>
        <w:pageBreakBefore w:val="0"/>
        <w:widowControl w:val="0"/>
        <w:numPr>
          <w:ilvl w:val="0"/>
          <w:numId w:val="22"/>
        </w:numPr>
        <w:kinsoku/>
        <w:wordWrap/>
        <w:overflowPunct/>
        <w:topLinePunct w:val="0"/>
        <w:autoSpaceDE/>
        <w:autoSpaceDN/>
        <w:bidi w:val="0"/>
        <w:adjustRightInd/>
        <w:snapToGrid/>
        <w:ind w:left="0" w:leftChars="0" w:firstLine="480" w:firstLineChars="200"/>
        <w:textAlignment w:val="auto"/>
      </w:pPr>
      <w:r>
        <w:t>顶升系统的良好工作要求是将顶升部分的重心位于油缸中心上。</w:t>
      </w:r>
    </w:p>
    <w:p w14:paraId="2BA8502E">
      <w:pPr>
        <w:keepNext w:val="0"/>
        <w:keepLines w:val="0"/>
        <w:pageBreakBefore w:val="0"/>
        <w:widowControl w:val="0"/>
        <w:numPr>
          <w:ilvl w:val="0"/>
          <w:numId w:val="22"/>
        </w:numPr>
        <w:kinsoku/>
        <w:wordWrap/>
        <w:overflowPunct/>
        <w:topLinePunct w:val="0"/>
        <w:autoSpaceDE/>
        <w:autoSpaceDN/>
        <w:bidi w:val="0"/>
        <w:adjustRightInd/>
        <w:snapToGrid/>
        <w:ind w:left="0" w:leftChars="0" w:firstLine="480" w:firstLineChars="200"/>
        <w:textAlignment w:val="auto"/>
      </w:pPr>
      <w:r>
        <w:t>顶升套架锁定在支座或连接节上。</w:t>
      </w:r>
    </w:p>
    <w:p w14:paraId="7EBA5A68">
      <w:pPr>
        <w:keepNext w:val="0"/>
        <w:keepLines w:val="0"/>
        <w:pageBreakBefore w:val="0"/>
        <w:widowControl w:val="0"/>
        <w:numPr>
          <w:ilvl w:val="0"/>
          <w:numId w:val="22"/>
        </w:numPr>
        <w:kinsoku/>
        <w:wordWrap/>
        <w:overflowPunct/>
        <w:topLinePunct w:val="0"/>
        <w:autoSpaceDE/>
        <w:autoSpaceDN/>
        <w:bidi w:val="0"/>
        <w:adjustRightInd/>
        <w:snapToGrid/>
        <w:ind w:left="0" w:leftChars="0" w:firstLine="480" w:firstLineChars="200"/>
        <w:textAlignment w:val="auto"/>
      </w:pPr>
      <w:r>
        <w:t>当不同长度的起重臂时，应将小车悬挂相应的吊重运行至离回转中心一定距离进行配平。根据</w:t>
      </w:r>
      <w:r>
        <w:rPr>
          <w:rFonts w:hint="eastAsia"/>
          <w:lang w:val="en-US" w:eastAsia="zh-CN"/>
        </w:rPr>
        <w:t>60</w:t>
      </w:r>
      <w:r>
        <w:t>m起重臂的配平要求，吊钩悬挂一节标准节，</w:t>
      </w:r>
      <w:r>
        <w:rPr>
          <w:kern w:val="0"/>
        </w:rPr>
        <w:t>将变幅小车开至约</w:t>
      </w:r>
      <w:r>
        <w:rPr>
          <w:rFonts w:hint="eastAsia"/>
          <w:kern w:val="0"/>
          <w:lang w:val="en-US" w:eastAsia="zh-CN"/>
        </w:rPr>
        <w:t>26.4</w:t>
      </w:r>
      <w:r>
        <w:rPr>
          <w:kern w:val="0"/>
        </w:rPr>
        <w:t>m左右。</w:t>
      </w:r>
    </w:p>
    <w:p w14:paraId="086A4A20">
      <w:pPr>
        <w:ind w:firstLine="480"/>
      </w:pPr>
      <w:r>
        <w:t>注意：上述为平衡理论依据。具体按实际配平的要求，运行小车作相应平衡调整。</w:t>
      </w:r>
    </w:p>
    <w:p w14:paraId="090DC399">
      <w:pPr>
        <w:keepNext w:val="0"/>
        <w:keepLines w:val="0"/>
        <w:pageBreakBefore w:val="0"/>
        <w:widowControl w:val="0"/>
        <w:numPr>
          <w:ilvl w:val="0"/>
          <w:numId w:val="22"/>
        </w:numPr>
        <w:kinsoku/>
        <w:wordWrap/>
        <w:overflowPunct/>
        <w:topLinePunct w:val="0"/>
        <w:autoSpaceDE/>
        <w:autoSpaceDN/>
        <w:bidi w:val="0"/>
        <w:adjustRightInd/>
        <w:snapToGrid/>
        <w:ind w:left="0" w:leftChars="0" w:firstLine="480" w:firstLineChars="200"/>
        <w:textAlignment w:val="auto"/>
      </w:pPr>
      <w:r>
        <w:t>将标准节与之相连的支座或连接节上的1</w:t>
      </w:r>
      <w:r>
        <w:rPr>
          <w:rFonts w:hint="eastAsia"/>
          <w:lang w:val="en-US" w:eastAsia="zh-CN"/>
        </w:rPr>
        <w:t>2</w:t>
      </w:r>
      <w:r>
        <w:t>个高强度螺栓拆出。</w:t>
      </w:r>
    </w:p>
    <w:p w14:paraId="55CBED84">
      <w:pPr>
        <w:keepNext w:val="0"/>
        <w:keepLines w:val="0"/>
        <w:pageBreakBefore w:val="0"/>
        <w:widowControl w:val="0"/>
        <w:numPr>
          <w:ilvl w:val="0"/>
          <w:numId w:val="22"/>
        </w:numPr>
        <w:kinsoku/>
        <w:wordWrap/>
        <w:overflowPunct/>
        <w:topLinePunct w:val="0"/>
        <w:autoSpaceDE/>
        <w:autoSpaceDN/>
        <w:bidi w:val="0"/>
        <w:adjustRightInd/>
        <w:snapToGrid/>
        <w:ind w:left="0" w:leftChars="0" w:firstLine="480" w:firstLineChars="200"/>
        <w:textAlignment w:val="auto"/>
      </w:pPr>
      <w:r>
        <w:t>配平</w:t>
      </w:r>
      <w:r>
        <w:rPr>
          <w:rFonts w:hint="eastAsia"/>
        </w:rPr>
        <w:t>。</w:t>
      </w:r>
    </w:p>
    <w:p w14:paraId="11F7A2AF">
      <w:pPr>
        <w:pStyle w:val="112"/>
        <w:keepNext w:val="0"/>
        <w:keepLines w:val="0"/>
        <w:pageBreakBefore w:val="0"/>
        <w:widowControl w:val="0"/>
        <w:numPr>
          <w:ilvl w:val="0"/>
          <w:numId w:val="23"/>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按“上升”方向操纵液压站的手柄进行顶升，直到回转支承的支腿稍脱离下部连接的标准节主弦杆为止。</w:t>
      </w:r>
    </w:p>
    <w:p w14:paraId="19D13640">
      <w:pPr>
        <w:pStyle w:val="112"/>
        <w:keepNext w:val="0"/>
        <w:keepLines w:val="0"/>
        <w:pageBreakBefore w:val="0"/>
        <w:widowControl w:val="0"/>
        <w:numPr>
          <w:ilvl w:val="0"/>
          <w:numId w:val="23"/>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检查塔机的平衡程度，可通过变幅起重臂达到完全平衡。</w:t>
      </w:r>
      <w:r>
        <w:rPr>
          <w:rFonts w:hint="eastAsia"/>
          <w:color w:val="000000" w:themeColor="text1"/>
          <w14:textFill>
            <w14:solidFill>
              <w14:schemeClr w14:val="tx1"/>
            </w14:solidFill>
          </w14:textFill>
        </w:rPr>
        <w:t xml:space="preserve"> </w:t>
      </w:r>
    </w:p>
    <w:p w14:paraId="50683FD8">
      <w:pPr>
        <w:pStyle w:val="112"/>
        <w:keepNext w:val="0"/>
        <w:keepLines w:val="0"/>
        <w:pageBreakBefore w:val="0"/>
        <w:widowControl w:val="0"/>
        <w:numPr>
          <w:ilvl w:val="0"/>
          <w:numId w:val="23"/>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可通过检验回转支承支腿与下部连接的标准节是否在一条垂线上，或查看液压站压力表上指出的最小顶升压力，检查配平的最佳位置。</w:t>
      </w:r>
    </w:p>
    <w:p w14:paraId="6B422A3A">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注意：配平后禁止：回转起重臂、移动小车、进行起升（上升或下降）</w:t>
      </w:r>
    </w:p>
    <w:p w14:paraId="2BE86DB9">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不进行顶升时，不得让油缸继续承受顶升部件；风力超过12m/s不得进行顶升；每次顶升结束后，应检查塔机垂直度，使垂直度在</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/1000范围之内。</w:t>
      </w:r>
    </w:p>
    <w:p w14:paraId="7BA20C36">
      <w:pPr>
        <w:pStyle w:val="85"/>
        <w:rPr>
          <w:b/>
          <w:color w:val="000000" w:themeColor="text1"/>
          <w:szCs w:val="22"/>
          <w14:textFill>
            <w14:solidFill>
              <w14:schemeClr w14:val="tx1"/>
            </w14:solidFill>
          </w14:textFill>
        </w:rPr>
      </w:pPr>
    </w:p>
    <w:p w14:paraId="4955A1F2">
      <w:pPr>
        <w:pStyle w:val="7"/>
        <w:rPr>
          <w:rFonts w:cs="Times New Roman"/>
          <w:color w:val="000000" w:themeColor="text1"/>
          <w14:textFill>
            <w14:solidFill>
              <w14:schemeClr w14:val="tx1"/>
            </w14:solidFill>
          </w14:textFill>
        </w:rPr>
      </w:pPr>
      <w:r>
        <w:rPr>
          <w:rFonts w:cs="Times New Roman"/>
          <w:bCs/>
          <w:color w:val="000000" w:themeColor="text1"/>
          <w14:textFill>
            <w14:solidFill>
              <w14:schemeClr w14:val="tx1"/>
            </w14:solidFill>
          </w14:textFill>
        </w:rPr>
        <w:t>顶升程序</w:t>
      </w:r>
    </w:p>
    <w:p w14:paraId="70F4801C">
      <w:pPr>
        <w:ind w:firstLine="480"/>
        <w:rPr>
          <w:b/>
        </w:rPr>
      </w:pPr>
      <w:r>
        <w:t>在顶升加节前，顶升套架上的双滑轮组1和单滑轮组2应与标准节主弦杆4之间保持5mm的间隙。</w:t>
      </w:r>
    </w:p>
    <w:p w14:paraId="2F5415D6">
      <w:pPr>
        <w:pStyle w:val="85"/>
        <w:rPr>
          <w:b/>
          <w:color w:val="000000" w:themeColor="text1"/>
          <w:szCs w:val="22"/>
          <w14:textFill>
            <w14:solidFill>
              <w14:schemeClr w14:val="tx1"/>
            </w14:solidFill>
          </w14:textFill>
        </w:rPr>
      </w:pPr>
      <w:r>
        <w:rPr>
          <w:color w:val="000000" w:themeColor="text1"/>
          <w14:textFill>
            <w14:solidFill>
              <w14:schemeClr w14:val="tx1"/>
            </w14:solidFill>
          </w14:textFill>
        </w:rPr>
        <w:drawing>
          <wp:inline distT="0" distB="0" distL="0" distR="0">
            <wp:extent cx="2540000" cy="1028065"/>
            <wp:effectExtent l="0" t="0" r="12700" b="635"/>
            <wp:docPr id="1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pic:cNvPicPr>
                      <a:picLocks noChangeAspect="1"/>
                    </pic:cNvPicPr>
                  </pic:nvPicPr>
                  <pic:blipFill>
                    <a:blip r:embed="rId70">
                      <a:lum bright="-23999" contrast="42000"/>
                      <a:extLst>
                        <a:ext uri="{28A0092B-C50C-407E-A947-70E740481C1C}">
                          <a14:useLocalDpi xmlns:a14="http://schemas.microsoft.com/office/drawing/2010/main" val="0"/>
                        </a:ext>
                      </a:extLst>
                    </a:blip>
                    <a:stretch>
                      <a:fillRect/>
                    </a:stretch>
                  </pic:blipFill>
                  <pic:spPr>
                    <a:xfrm>
                      <a:off x="0" y="0"/>
                      <a:ext cx="2548978" cy="1031930"/>
                    </a:xfrm>
                    <a:prstGeom prst="rect">
                      <a:avLst/>
                    </a:prstGeom>
                    <a:noFill/>
                    <a:ln>
                      <a:noFill/>
                    </a:ln>
                  </pic:spPr>
                </pic:pic>
              </a:graphicData>
            </a:graphic>
          </wp:inline>
        </w:drawing>
      </w:r>
      <w:r>
        <w:rPr>
          <w:rFonts w:hint="eastAsia"/>
          <w:b/>
          <w:color w:val="000000" w:themeColor="text1"/>
          <w:szCs w:val="22"/>
          <w14:textFill>
            <w14:solidFill>
              <w14:schemeClr w14:val="tx1"/>
            </w14:solidFill>
          </w14:textFill>
        </w:rPr>
        <w:t xml:space="preserve"> </w:t>
      </w:r>
      <w:r>
        <w:rPr>
          <w:b/>
          <w:color w:val="000000" w:themeColor="text1"/>
          <w:szCs w:val="22"/>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2577465" cy="946150"/>
            <wp:effectExtent l="0" t="0" r="13335" b="6350"/>
            <wp:docPr id="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5"/>
                    <pic:cNvPicPr>
                      <a:picLocks noChangeAspect="1"/>
                    </pic:cNvPicPr>
                  </pic:nvPicPr>
                  <pic:blipFill>
                    <a:blip r:embed="rId71">
                      <a:lum bright="-23999" contrast="40000"/>
                      <a:extLst>
                        <a:ext uri="{28A0092B-C50C-407E-A947-70E740481C1C}">
                          <a14:useLocalDpi xmlns:a14="http://schemas.microsoft.com/office/drawing/2010/main" val="0"/>
                        </a:ext>
                      </a:extLst>
                    </a:blip>
                    <a:stretch>
                      <a:fillRect/>
                    </a:stretch>
                  </pic:blipFill>
                  <pic:spPr>
                    <a:xfrm>
                      <a:off x="0" y="0"/>
                      <a:ext cx="2581758" cy="947694"/>
                    </a:xfrm>
                    <a:prstGeom prst="rect">
                      <a:avLst/>
                    </a:prstGeom>
                    <a:noFill/>
                    <a:ln>
                      <a:noFill/>
                    </a:ln>
                  </pic:spPr>
                </pic:pic>
              </a:graphicData>
            </a:graphic>
          </wp:inline>
        </w:drawing>
      </w:r>
    </w:p>
    <w:p w14:paraId="3445CD58">
      <w:pPr>
        <w:pStyle w:val="85"/>
      </w:pPr>
      <w:r>
        <w:rPr>
          <w:b/>
          <w:color w:val="000000" w:themeColor="text1"/>
          <w:szCs w:val="22"/>
          <w14:textFill>
            <w14:solidFill>
              <w14:schemeClr w14:val="tx1"/>
            </w14:solidFill>
          </w14:textFill>
        </w:rPr>
        <w:t>图4.4</w:t>
      </w:r>
      <w:r>
        <w:rPr>
          <w:rFonts w:hint="eastAsia"/>
          <w:b/>
          <w:color w:val="000000" w:themeColor="text1"/>
          <w:szCs w:val="22"/>
          <w:lang w:val="en-US" w:eastAsia="zh-CN"/>
          <w14:textFill>
            <w14:solidFill>
              <w14:schemeClr w14:val="tx1"/>
            </w14:solidFill>
          </w14:textFill>
        </w:rPr>
        <w:t>.14.4</w:t>
      </w:r>
      <w:r>
        <w:rPr>
          <w:rFonts w:hint="eastAsia"/>
          <w:b/>
          <w:color w:val="000000" w:themeColor="text1"/>
          <w:szCs w:val="22"/>
          <w14:textFill>
            <w14:solidFill>
              <w14:schemeClr w14:val="tx1"/>
            </w14:solidFill>
          </w14:textFill>
        </w:rPr>
        <w:t>-</w:t>
      </w:r>
      <w:r>
        <w:rPr>
          <w:rFonts w:hint="eastAsia"/>
          <w:b/>
          <w:color w:val="000000" w:themeColor="text1"/>
          <w:szCs w:val="22"/>
          <w:lang w:val="en-US" w:eastAsia="zh-CN"/>
          <w14:textFill>
            <w14:solidFill>
              <w14:schemeClr w14:val="tx1"/>
            </w14:solidFill>
          </w14:textFill>
        </w:rPr>
        <w:t>1</w:t>
      </w:r>
      <w:r>
        <w:rPr>
          <w:b/>
          <w:color w:val="000000" w:themeColor="text1"/>
          <w:szCs w:val="22"/>
          <w14:textFill>
            <w14:solidFill>
              <w14:schemeClr w14:val="tx1"/>
            </w14:solidFill>
          </w14:textFill>
        </w:rPr>
        <w:t xml:space="preserve">  滑轮组1/2的保持间隙             图4.4</w:t>
      </w:r>
      <w:r>
        <w:rPr>
          <w:rFonts w:hint="eastAsia"/>
          <w:b/>
          <w:color w:val="000000" w:themeColor="text1"/>
          <w:szCs w:val="22"/>
          <w:lang w:val="en-US" w:eastAsia="zh-CN"/>
          <w14:textFill>
            <w14:solidFill>
              <w14:schemeClr w14:val="tx1"/>
            </w14:solidFill>
          </w14:textFill>
        </w:rPr>
        <w:t>.14.4</w:t>
      </w:r>
      <w:r>
        <w:rPr>
          <w:rFonts w:hint="eastAsia"/>
          <w:b/>
          <w:color w:val="000000" w:themeColor="text1"/>
          <w:szCs w:val="22"/>
          <w14:textFill>
            <w14:solidFill>
              <w14:schemeClr w14:val="tx1"/>
            </w14:solidFill>
          </w14:textFill>
        </w:rPr>
        <w:t>-</w:t>
      </w:r>
      <w:r>
        <w:rPr>
          <w:rFonts w:hint="eastAsia"/>
          <w:b/>
          <w:color w:val="000000" w:themeColor="text1"/>
          <w:szCs w:val="22"/>
          <w:lang w:val="en-US" w:eastAsia="zh-CN"/>
          <w14:textFill>
            <w14:solidFill>
              <w14:schemeClr w14:val="tx1"/>
            </w14:solidFill>
          </w14:textFill>
        </w:rPr>
        <w:t>2</w:t>
      </w:r>
      <w:r>
        <w:rPr>
          <w:b/>
          <w:color w:val="000000" w:themeColor="text1"/>
          <w:szCs w:val="22"/>
          <w14:textFill>
            <w14:solidFill>
              <w14:schemeClr w14:val="tx1"/>
            </w14:solidFill>
          </w14:textFill>
        </w:rPr>
        <w:t xml:space="preserve">  滑轮组1/2的调整无间隙</w:t>
      </w:r>
    </w:p>
    <w:p w14:paraId="7F7FF341">
      <w:pPr>
        <w:pStyle w:val="112"/>
        <w:keepNext w:val="0"/>
        <w:keepLines w:val="0"/>
        <w:pageBreakBefore w:val="0"/>
        <w:widowControl w:val="0"/>
        <w:numPr>
          <w:ilvl w:val="0"/>
          <w:numId w:val="24"/>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调整螺栓3，使双滑轮组1和单滑轮组2贴紧标准节主弦杆4。</w:t>
      </w:r>
    </w:p>
    <w:p w14:paraId="00C0FCA3">
      <w:pPr>
        <w:pStyle w:val="112"/>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831465" cy="1492250"/>
            <wp:effectExtent l="0" t="0" r="6985" b="0"/>
            <wp:docPr id="11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7"/>
                    <pic:cNvPicPr>
                      <a:picLocks noChangeAspect="1"/>
                    </pic:cNvPicPr>
                  </pic:nvPicPr>
                  <pic:blipFill>
                    <a:blip r:embed="rId72">
                      <a:lum bright="-29999" contrast="48000"/>
                      <a:extLst>
                        <a:ext uri="{28A0092B-C50C-407E-A947-70E740481C1C}">
                          <a14:useLocalDpi xmlns:a14="http://schemas.microsoft.com/office/drawing/2010/main" val="0"/>
                        </a:ext>
                      </a:extLst>
                    </a:blip>
                    <a:stretch>
                      <a:fillRect/>
                    </a:stretch>
                  </pic:blipFill>
                  <pic:spPr>
                    <a:xfrm>
                      <a:off x="0" y="0"/>
                      <a:ext cx="2831465" cy="1492250"/>
                    </a:xfrm>
                    <a:prstGeom prst="rect">
                      <a:avLst/>
                    </a:prstGeom>
                    <a:noFill/>
                    <a:ln>
                      <a:noFill/>
                    </a:ln>
                  </pic:spPr>
                </pic:pic>
              </a:graphicData>
            </a:graphic>
          </wp:inline>
        </w:drawing>
      </w:r>
    </w:p>
    <w:p w14:paraId="43150574">
      <w:pPr>
        <w:pStyle w:val="85"/>
        <w:rPr>
          <w:b/>
          <w:color w:val="000000" w:themeColor="text1"/>
          <w:szCs w:val="22"/>
          <w14:textFill>
            <w14:solidFill>
              <w14:schemeClr w14:val="tx1"/>
            </w14:solidFill>
          </w14:textFill>
        </w:rPr>
      </w:pPr>
      <w:r>
        <w:rPr>
          <w:b/>
          <w:color w:val="000000" w:themeColor="text1"/>
          <w:szCs w:val="22"/>
          <w14:textFill>
            <w14:solidFill>
              <w14:schemeClr w14:val="tx1"/>
            </w14:solidFill>
          </w14:textFill>
        </w:rPr>
        <w:t>图4.4</w:t>
      </w:r>
      <w:r>
        <w:rPr>
          <w:rFonts w:hint="eastAsia"/>
          <w:b/>
          <w:color w:val="000000" w:themeColor="text1"/>
          <w:szCs w:val="22"/>
          <w:lang w:val="en-US" w:eastAsia="zh-CN"/>
          <w14:textFill>
            <w14:solidFill>
              <w14:schemeClr w14:val="tx1"/>
            </w14:solidFill>
          </w14:textFill>
        </w:rPr>
        <w:t>.14.4</w:t>
      </w:r>
      <w:r>
        <w:rPr>
          <w:rFonts w:hint="eastAsia"/>
          <w:b/>
          <w:color w:val="000000" w:themeColor="text1"/>
          <w:szCs w:val="22"/>
          <w14:textFill>
            <w14:solidFill>
              <w14:schemeClr w14:val="tx1"/>
            </w14:solidFill>
          </w14:textFill>
        </w:rPr>
        <w:t>-</w:t>
      </w:r>
      <w:r>
        <w:rPr>
          <w:rFonts w:hint="eastAsia"/>
          <w:b/>
          <w:color w:val="000000" w:themeColor="text1"/>
          <w:szCs w:val="22"/>
          <w:lang w:val="en-US" w:eastAsia="zh-CN"/>
          <w14:textFill>
            <w14:solidFill>
              <w14:schemeClr w14:val="tx1"/>
            </w14:solidFill>
          </w14:textFill>
        </w:rPr>
        <w:t>3</w:t>
      </w:r>
      <w:r>
        <w:rPr>
          <w:b/>
          <w:color w:val="000000" w:themeColor="text1"/>
          <w:szCs w:val="22"/>
          <w14:textFill>
            <w14:solidFill>
              <w14:schemeClr w14:val="tx1"/>
            </w14:solidFill>
          </w14:textFill>
        </w:rPr>
        <w:t xml:space="preserve">  限制杆/限位块的调整</w:t>
      </w:r>
    </w:p>
    <w:p w14:paraId="10761D0E">
      <w:pPr>
        <w:pStyle w:val="112"/>
        <w:ind w:firstLine="480"/>
        <w:rPr>
          <w:color w:val="000000" w:themeColor="text1"/>
          <w14:textFill>
            <w14:solidFill>
              <w14:schemeClr w14:val="tx1"/>
            </w14:solidFill>
          </w14:textFill>
        </w:rPr>
      </w:pPr>
      <w:r>
        <w:rPr>
          <w:szCs w:val="21"/>
        </w:rPr>
        <w:t>注意：在顶升套架拆除或再次安装时，应重新调整螺栓3，使双滑轮组1和单滑轮组2保持5mm间隙。</w:t>
      </w:r>
    </w:p>
    <w:p w14:paraId="51087A83">
      <w:pPr>
        <w:pStyle w:val="112"/>
        <w:keepNext w:val="0"/>
        <w:keepLines w:val="0"/>
        <w:pageBreakBefore w:val="0"/>
        <w:widowControl w:val="0"/>
        <w:numPr>
          <w:ilvl w:val="0"/>
          <w:numId w:val="24"/>
        </w:numPr>
        <w:kinsoku/>
        <w:wordWrap/>
        <w:overflowPunct/>
        <w:topLinePunct w:val="0"/>
        <w:autoSpaceDE/>
        <w:autoSpaceDN/>
        <w:bidi w:val="0"/>
        <w:adjustRightInd w:val="0"/>
        <w:snapToGrid w:val="0"/>
        <w:ind w:left="0" w:leftChars="0"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将顶升横梁上的限制杆1调整到54mm的位置，并用开口销锁定；将限位块3调整到80mm的位置，并用轴销4和弹簧销5锁定，使之贴紧标准节主弦杆6。（见图4.4</w:t>
      </w:r>
      <w:r>
        <w:rPr>
          <w:rFonts w:hint="eastAsia" w:ascii="宋体" w:hAnsi="宋体" w:eastAsia="宋体" w:cs="宋体"/>
          <w:color w:val="000000" w:themeColor="text1"/>
          <w:lang w:val="en-US" w:eastAsia="zh-CN"/>
          <w14:textFill>
            <w14:solidFill>
              <w14:schemeClr w14:val="tx1"/>
            </w14:solidFill>
          </w14:textFill>
        </w:rPr>
        <w:t>.14.4</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w:t>
      </w:r>
    </w:p>
    <w:p w14:paraId="40E86F57">
      <w:pPr>
        <w:pStyle w:val="112"/>
        <w:keepNext w:val="0"/>
        <w:keepLines w:val="0"/>
        <w:pageBreakBefore w:val="0"/>
        <w:widowControl w:val="0"/>
        <w:numPr>
          <w:ilvl w:val="0"/>
          <w:numId w:val="24"/>
        </w:numPr>
        <w:kinsoku/>
        <w:wordWrap/>
        <w:overflowPunct/>
        <w:topLinePunct w:val="0"/>
        <w:autoSpaceDE/>
        <w:autoSpaceDN/>
        <w:bidi w:val="0"/>
        <w:adjustRightInd w:val="0"/>
        <w:snapToGrid w:val="0"/>
        <w:ind w:left="0" w:leftChars="0" w:firstLine="480" w:firstLineChars="200"/>
        <w:textAlignment w:val="auto"/>
        <w:rPr>
          <w:color w:val="000000" w:themeColor="text1"/>
          <w:spacing w:val="-4"/>
          <w14:textFill>
            <w14:solidFill>
              <w14:schemeClr w14:val="tx1"/>
            </w14:solidFill>
          </w14:textFill>
        </w:rPr>
      </w:pPr>
      <w:r>
        <w:rPr>
          <w:color w:val="000000" w:themeColor="text1"/>
          <w14:textFill>
            <w14:solidFill>
              <w14:schemeClr w14:val="tx1"/>
            </w14:solidFill>
          </w14:textFill>
        </w:rPr>
        <w:t>提起被安装的标准节1，将其安置在引进梁上的引进小车上2。</w:t>
      </w:r>
    </w:p>
    <w:p w14:paraId="476E2350">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注意：被安装的标准节顶升踏步朝向应在塔身一面。    </w:t>
      </w:r>
    </w:p>
    <w:p w14:paraId="58733449">
      <w:pPr>
        <w:pStyle w:val="112"/>
        <w:keepNext w:val="0"/>
        <w:keepLines w:val="0"/>
        <w:pageBreakBefore w:val="0"/>
        <w:widowControl w:val="0"/>
        <w:numPr>
          <w:ilvl w:val="0"/>
          <w:numId w:val="24"/>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将被安装标准节的水平腹杆搁置在引进小车2的转轴5上。</w:t>
      </w:r>
    </w:p>
    <w:p w14:paraId="4F0D7D95">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注意：引进小车2上的四根转轴5可以旋转。加节时，必须将被安装标准节的水平腹杆搁置在四根转轴5上。</w:t>
      </w:r>
    </w:p>
    <w:p w14:paraId="7701E2FB">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注意：安放被安装的标准节时，必须把支承梁4安装在引进小车2上。直至被安装的标准节与前一节标准节联接后方能解除支承梁4。  </w:t>
      </w:r>
    </w:p>
    <w:p w14:paraId="53EB6BC8">
      <w:pPr>
        <w:pStyle w:val="112"/>
        <w:keepNext w:val="0"/>
        <w:keepLines w:val="0"/>
        <w:pageBreakBefore w:val="0"/>
        <w:widowControl w:val="0"/>
        <w:numPr>
          <w:ilvl w:val="0"/>
          <w:numId w:val="24"/>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再次检查塔机上部的平衡状态确认平衡正常后，方可进行顶升加节。</w:t>
      </w:r>
    </w:p>
    <w:p w14:paraId="70DE7E64">
      <w:pPr>
        <w:pStyle w:val="112"/>
        <w:keepNext w:val="0"/>
        <w:keepLines w:val="0"/>
        <w:pageBreakBefore w:val="0"/>
        <w:widowControl w:val="0"/>
        <w:numPr>
          <w:ilvl w:val="0"/>
          <w:numId w:val="24"/>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拆卸下回转支座与标准节连接的</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 xml:space="preserve">件高强度螺栓，用力推顶升横梁，使其顶爬爪挂在标准节的顶升踏步上。 </w:t>
      </w:r>
    </w:p>
    <w:p w14:paraId="200F1369">
      <w:pPr>
        <w:pStyle w:val="112"/>
        <w:keepNext w:val="0"/>
        <w:keepLines w:val="0"/>
        <w:pageBreakBefore w:val="0"/>
        <w:widowControl w:val="0"/>
        <w:numPr>
          <w:ilvl w:val="0"/>
          <w:numId w:val="24"/>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启动油缸控制手柄，顶升油缸将顶升上部结构稍稍顶起，使下回转支座的主弦杆与标准节的主弦杆上端面微微离开5~10mm， 可观察塔机下回转支座主弦杆是否与下面连接的标准节的主弦杆在同一直线上，以此校验塔机的平衡位置是否正确。反之，则操纵小车变幅机构进行调整，直至塔机上部平衡为止。</w:t>
      </w:r>
    </w:p>
    <w:p w14:paraId="57D1C0BC">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注意：此时塔机不得回转、起升和行走等动作。</w:t>
      </w:r>
    </w:p>
    <w:p w14:paraId="5E4AB551">
      <w:pPr>
        <w:pStyle w:val="112"/>
        <w:keepNext w:val="0"/>
        <w:keepLines w:val="0"/>
        <w:pageBreakBefore w:val="0"/>
        <w:widowControl w:val="0"/>
        <w:numPr>
          <w:ilvl w:val="0"/>
          <w:numId w:val="24"/>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平衡后继续顶升，顶升一个行程后，用顶升套架上的顶升爬爪7将顶起的部分固定在塔身标准节的顶升踏步上</w:t>
      </w:r>
      <w:r>
        <w:rPr>
          <w:color w:val="000000" w:themeColor="text1"/>
          <w:spacing w:val="-4"/>
          <w14:textFill>
            <w14:solidFill>
              <w14:schemeClr w14:val="tx1"/>
            </w14:solidFill>
          </w14:textFill>
        </w:rPr>
        <w:t>（见图</w:t>
      </w:r>
      <w:r>
        <w:rPr>
          <w:color w:val="000000" w:themeColor="text1"/>
          <w14:textFill>
            <w14:solidFill>
              <w14:schemeClr w14:val="tx1"/>
            </w14:solidFill>
          </w14:textFill>
        </w:rPr>
        <w:t>4.4</w:t>
      </w:r>
      <w:r>
        <w:rPr>
          <w:rFonts w:hint="eastAsia"/>
          <w:color w:val="000000" w:themeColor="text1"/>
          <w:lang w:val="en-US" w:eastAsia="zh-CN"/>
          <w14:textFill>
            <w14:solidFill>
              <w14:schemeClr w14:val="tx1"/>
            </w14:solidFill>
          </w14:textFill>
        </w:rPr>
        <w:t>.14.4</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w:t>
      </w:r>
      <w:r>
        <w:rPr>
          <w:color w:val="000000" w:themeColor="text1"/>
          <w:spacing w:val="-4"/>
          <w14:textFill>
            <w14:solidFill>
              <w14:schemeClr w14:val="tx1"/>
            </w14:solidFill>
          </w14:textFill>
        </w:rPr>
        <w:t>）</w:t>
      </w:r>
      <w:r>
        <w:rPr>
          <w:color w:val="000000" w:themeColor="text1"/>
          <w14:textFill>
            <w14:solidFill>
              <w14:schemeClr w14:val="tx1"/>
            </w14:solidFill>
          </w14:textFill>
        </w:rPr>
        <w:t>。</w:t>
      </w:r>
      <w:r>
        <w:rPr>
          <w:color w:val="000000" w:themeColor="text1"/>
          <w:spacing w:val="-4"/>
          <w14:textFill>
            <w14:solidFill>
              <w14:schemeClr w14:val="tx1"/>
            </w14:solidFill>
          </w14:textFill>
        </w:rPr>
        <w:t xml:space="preserve"> </w:t>
      </w:r>
    </w:p>
    <w:p w14:paraId="3118CB8F">
      <w:pPr>
        <w:pStyle w:val="112"/>
        <w:keepNext w:val="0"/>
        <w:keepLines w:val="0"/>
        <w:pageBreakBefore w:val="0"/>
        <w:widowControl w:val="0"/>
        <w:numPr>
          <w:ilvl w:val="0"/>
          <w:numId w:val="24"/>
        </w:numPr>
        <w:kinsoku/>
        <w:wordWrap/>
        <w:overflowPunct/>
        <w:topLinePunct w:val="0"/>
        <w:autoSpaceDE/>
        <w:autoSpaceDN/>
        <w:bidi w:val="0"/>
        <w:adjustRightInd w:val="0"/>
        <w:snapToGrid w:val="0"/>
        <w:ind w:left="0" w:leftChars="0" w:firstLine="472" w:firstLineChars="200"/>
        <w:textAlignment w:val="auto"/>
        <w:rPr>
          <w:color w:val="000000" w:themeColor="text1"/>
          <w:spacing w:val="-2"/>
          <w14:textFill>
            <w14:solidFill>
              <w14:schemeClr w14:val="tx1"/>
            </w14:solidFill>
          </w14:textFill>
        </w:rPr>
      </w:pPr>
      <w:r>
        <w:rPr>
          <w:color w:val="000000" w:themeColor="text1"/>
          <w:spacing w:val="-2"/>
          <w14:textFill>
            <w14:solidFill>
              <w14:schemeClr w14:val="tx1"/>
            </w14:solidFill>
          </w14:textFill>
        </w:rPr>
        <w:t>重新稍稍提起顶升油缸，同时用力推顶升横梁，使顶升横梁1和顶升爬爪14脱离标准节的顶升踏步，然后缓慢起升一个行程，将顶升横梁和顶升爬爪设置在上一个标准节的顶升踏步上</w:t>
      </w:r>
      <w:r>
        <w:rPr>
          <w:color w:val="000000" w:themeColor="text1"/>
          <w:spacing w:val="-4"/>
          <w14:textFill>
            <w14:solidFill>
              <w14:schemeClr w14:val="tx1"/>
            </w14:solidFill>
          </w14:textFill>
        </w:rPr>
        <w:t>（见图</w:t>
      </w:r>
      <w:r>
        <w:rPr>
          <w:color w:val="000000" w:themeColor="text1"/>
          <w14:textFill>
            <w14:solidFill>
              <w14:schemeClr w14:val="tx1"/>
            </w14:solidFill>
          </w14:textFill>
        </w:rPr>
        <w:t>4.4</w:t>
      </w:r>
      <w:r>
        <w:rPr>
          <w:rFonts w:hint="eastAsia"/>
          <w:color w:val="000000" w:themeColor="text1"/>
          <w:lang w:val="en-US" w:eastAsia="zh-CN"/>
          <w14:textFill>
            <w14:solidFill>
              <w14:schemeClr w14:val="tx1"/>
            </w14:solidFill>
          </w14:textFill>
        </w:rPr>
        <w:t>.14.4</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w:t>
      </w:r>
      <w:r>
        <w:rPr>
          <w:color w:val="000000" w:themeColor="text1"/>
          <w:spacing w:val="-4"/>
          <w14:textFill>
            <w14:solidFill>
              <w14:schemeClr w14:val="tx1"/>
            </w14:solidFill>
          </w14:textFill>
        </w:rPr>
        <w:t>）</w:t>
      </w:r>
      <w:r>
        <w:rPr>
          <w:color w:val="000000" w:themeColor="text1"/>
          <w:spacing w:val="-2"/>
          <w14:textFill>
            <w14:solidFill>
              <w14:schemeClr w14:val="tx1"/>
            </w14:solidFill>
          </w14:textFill>
        </w:rPr>
        <w:t>。</w:t>
      </w:r>
    </w:p>
    <w:p w14:paraId="2B09CD16">
      <w:pPr>
        <w:pStyle w:val="112"/>
        <w:ind w:firstLine="480"/>
        <w:jc w:val="center"/>
        <w:rPr>
          <w:color w:val="000000" w:themeColor="text1"/>
          <w:spacing w:val="-4"/>
          <w14:textFill>
            <w14:solidFill>
              <w14:schemeClr w14:val="tx1"/>
            </w14:solidFill>
          </w14:textFill>
        </w:rPr>
      </w:pPr>
      <w:r>
        <w:rPr>
          <w:color w:val="000000" w:themeColor="text1"/>
          <w14:textFill>
            <w14:solidFill>
              <w14:schemeClr w14:val="tx1"/>
            </w14:solidFill>
          </w14:textFill>
        </w:rPr>
        <w:drawing>
          <wp:inline distT="0" distB="0" distL="0" distR="0">
            <wp:extent cx="2129790" cy="2222500"/>
            <wp:effectExtent l="0" t="0" r="3810" b="6350"/>
            <wp:docPr id="1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8"/>
                    <pic:cNvPicPr>
                      <a:picLocks noChangeAspect="1"/>
                    </pic:cNvPicPr>
                  </pic:nvPicPr>
                  <pic:blipFill>
                    <a:blip r:embed="rId73">
                      <a:lum bright="-35999" contrast="54000"/>
                      <a:extLst>
                        <a:ext uri="{28A0092B-C50C-407E-A947-70E740481C1C}">
                          <a14:useLocalDpi xmlns:a14="http://schemas.microsoft.com/office/drawing/2010/main" val="0"/>
                        </a:ext>
                      </a:extLst>
                    </a:blip>
                    <a:stretch>
                      <a:fillRect/>
                    </a:stretch>
                  </pic:blipFill>
                  <pic:spPr>
                    <a:xfrm>
                      <a:off x="0" y="0"/>
                      <a:ext cx="2129790" cy="2222500"/>
                    </a:xfrm>
                    <a:prstGeom prst="rect">
                      <a:avLst/>
                    </a:prstGeom>
                    <a:noFill/>
                    <a:ln>
                      <a:noFill/>
                    </a:ln>
                  </pic:spPr>
                </pic:pic>
              </a:graphicData>
            </a:graphic>
          </wp:inline>
        </w:drawing>
      </w:r>
    </w:p>
    <w:p w14:paraId="66F0D5B4">
      <w:pPr>
        <w:pStyle w:val="112"/>
        <w:ind w:firstLine="422"/>
        <w:jc w:val="center"/>
        <w:rPr>
          <w:color w:val="000000" w:themeColor="text1"/>
          <w:spacing w:val="-4"/>
          <w14:textFill>
            <w14:solidFill>
              <w14:schemeClr w14:val="tx1"/>
            </w14:solidFill>
          </w14:textFill>
        </w:rPr>
      </w:pPr>
      <w:r>
        <w:rPr>
          <w:b/>
          <w:color w:val="000000" w:themeColor="text1"/>
          <w:sz w:val="21"/>
          <w:szCs w:val="22"/>
          <w14:textFill>
            <w14:solidFill>
              <w14:schemeClr w14:val="tx1"/>
            </w14:solidFill>
          </w14:textFill>
        </w:rPr>
        <w:t>图4.4</w:t>
      </w:r>
      <w:r>
        <w:rPr>
          <w:rFonts w:hint="eastAsia"/>
          <w:b/>
          <w:color w:val="000000" w:themeColor="text1"/>
          <w:sz w:val="21"/>
          <w:szCs w:val="22"/>
          <w:lang w:val="en-US" w:eastAsia="zh-CN"/>
          <w14:textFill>
            <w14:solidFill>
              <w14:schemeClr w14:val="tx1"/>
            </w14:solidFill>
          </w14:textFill>
        </w:rPr>
        <w:t>.14.4</w:t>
      </w:r>
      <w:r>
        <w:rPr>
          <w:rFonts w:hint="eastAsia"/>
          <w:b/>
          <w:color w:val="000000" w:themeColor="text1"/>
          <w:sz w:val="21"/>
          <w:szCs w:val="22"/>
          <w14:textFill>
            <w14:solidFill>
              <w14:schemeClr w14:val="tx1"/>
            </w14:solidFill>
          </w14:textFill>
        </w:rPr>
        <w:t>-</w:t>
      </w:r>
      <w:r>
        <w:rPr>
          <w:rFonts w:hint="eastAsia"/>
          <w:b/>
          <w:color w:val="000000" w:themeColor="text1"/>
          <w:sz w:val="21"/>
          <w:szCs w:val="22"/>
          <w:lang w:val="en-US" w:eastAsia="zh-CN"/>
          <w14:textFill>
            <w14:solidFill>
              <w14:schemeClr w14:val="tx1"/>
            </w14:solidFill>
          </w14:textFill>
        </w:rPr>
        <w:t>4</w:t>
      </w:r>
      <w:r>
        <w:rPr>
          <w:b/>
          <w:color w:val="000000" w:themeColor="text1"/>
          <w:sz w:val="21"/>
          <w:szCs w:val="22"/>
          <w14:textFill>
            <w14:solidFill>
              <w14:schemeClr w14:val="tx1"/>
            </w14:solidFill>
          </w14:textFill>
        </w:rPr>
        <w:t xml:space="preserve"> </w:t>
      </w:r>
      <w:r>
        <w:rPr>
          <w:color w:val="000000" w:themeColor="text1"/>
          <w:spacing w:val="-4"/>
          <w14:textFill>
            <w14:solidFill>
              <w14:schemeClr w14:val="tx1"/>
            </w14:solidFill>
          </w14:textFill>
        </w:rPr>
        <w:t xml:space="preserve"> </w:t>
      </w:r>
      <w:r>
        <w:rPr>
          <w:b/>
          <w:color w:val="000000" w:themeColor="text1"/>
          <w:sz w:val="21"/>
          <w:szCs w:val="22"/>
          <w14:textFill>
            <w14:solidFill>
              <w14:schemeClr w14:val="tx1"/>
            </w14:solidFill>
          </w14:textFill>
        </w:rPr>
        <w:t>顶升程序Ⅰ</w:t>
      </w:r>
    </w:p>
    <w:p w14:paraId="5A6BDD96">
      <w:pPr>
        <w:pStyle w:val="112"/>
        <w:keepNext w:val="0"/>
        <w:keepLines w:val="0"/>
        <w:pageBreakBefore w:val="0"/>
        <w:widowControl w:val="0"/>
        <w:numPr>
          <w:ilvl w:val="0"/>
          <w:numId w:val="24"/>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稍稍提起顶升油缸，将顶升套架上的顶升爬爪7及顶起的部分微微脱离塔身标准节的顶升踏步。继续下一个顶升行程，（为了使标准节能顺利推进顶升套架，此次顶升操作需要重复五次）直致顶升的距离能引进一个标准节为止</w:t>
      </w:r>
      <w:r>
        <w:rPr>
          <w:color w:val="000000" w:themeColor="text1"/>
          <w:spacing w:val="-4"/>
          <w14:textFill>
            <w14:solidFill>
              <w14:schemeClr w14:val="tx1"/>
            </w14:solidFill>
          </w14:textFill>
        </w:rPr>
        <w:t>（</w:t>
      </w:r>
      <w:r>
        <w:rPr>
          <w:color w:val="000000" w:themeColor="text1"/>
          <w14:textFill>
            <w14:solidFill>
              <w14:schemeClr w14:val="tx1"/>
            </w14:solidFill>
          </w14:textFill>
        </w:rPr>
        <w:t>见图4.4</w:t>
      </w:r>
      <w:r>
        <w:rPr>
          <w:rFonts w:hint="eastAsia"/>
          <w:color w:val="000000" w:themeColor="text1"/>
          <w:lang w:val="en-US" w:eastAsia="zh-CN"/>
          <w14:textFill>
            <w14:solidFill>
              <w14:schemeClr w14:val="tx1"/>
            </w14:solidFill>
          </w14:textFill>
        </w:rPr>
        <w:t>.14.4</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w:t>
      </w:r>
      <w:r>
        <w:rPr>
          <w:color w:val="000000" w:themeColor="text1"/>
          <w:spacing w:val="-4"/>
          <w14:textFill>
            <w14:solidFill>
              <w14:schemeClr w14:val="tx1"/>
            </w14:solidFill>
          </w14:textFill>
        </w:rPr>
        <w:t>）</w:t>
      </w:r>
      <w:r>
        <w:rPr>
          <w:color w:val="000000" w:themeColor="text1"/>
          <w14:textFill>
            <w14:solidFill>
              <w14:schemeClr w14:val="tx1"/>
            </w14:solidFill>
          </w14:textFill>
        </w:rPr>
        <w:t>。</w:t>
      </w:r>
    </w:p>
    <w:p w14:paraId="25E719EA">
      <w:pPr>
        <w:pStyle w:val="112"/>
        <w:ind w:firstLine="480"/>
        <w:jc w:val="center"/>
        <w:rPr>
          <w:color w:val="000000" w:themeColor="text1"/>
          <w:spacing w:val="-4"/>
          <w14:textFill>
            <w14:solidFill>
              <w14:schemeClr w14:val="tx1"/>
            </w14:solidFill>
          </w14:textFill>
        </w:rPr>
      </w:pPr>
      <w:r>
        <w:rPr>
          <w:color w:val="000000" w:themeColor="text1"/>
          <w14:textFill>
            <w14:solidFill>
              <w14:schemeClr w14:val="tx1"/>
            </w14:solidFill>
          </w14:textFill>
        </w:rPr>
        <w:drawing>
          <wp:inline distT="0" distB="0" distL="0" distR="0">
            <wp:extent cx="2167255" cy="1788795"/>
            <wp:effectExtent l="0" t="0" r="4445" b="1905"/>
            <wp:docPr id="11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9"/>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2167255" cy="1788795"/>
                    </a:xfrm>
                    <a:prstGeom prst="rect">
                      <a:avLst/>
                    </a:prstGeom>
                    <a:noFill/>
                    <a:ln>
                      <a:noFill/>
                    </a:ln>
                  </pic:spPr>
                </pic:pic>
              </a:graphicData>
            </a:graphic>
          </wp:inline>
        </w:drawing>
      </w:r>
    </w:p>
    <w:p w14:paraId="71572C98">
      <w:pPr>
        <w:pStyle w:val="112"/>
        <w:ind w:firstLine="422"/>
        <w:jc w:val="center"/>
        <w:rPr>
          <w:color w:val="000000" w:themeColor="text1"/>
          <w:spacing w:val="-4"/>
          <w14:textFill>
            <w14:solidFill>
              <w14:schemeClr w14:val="tx1"/>
            </w14:solidFill>
          </w14:textFill>
        </w:rPr>
      </w:pPr>
      <w:r>
        <w:rPr>
          <w:b/>
          <w:color w:val="000000" w:themeColor="text1"/>
          <w:sz w:val="21"/>
          <w:szCs w:val="22"/>
          <w14:textFill>
            <w14:solidFill>
              <w14:schemeClr w14:val="tx1"/>
            </w14:solidFill>
          </w14:textFill>
        </w:rPr>
        <w:t>图4.4</w:t>
      </w:r>
      <w:r>
        <w:rPr>
          <w:rFonts w:hint="eastAsia"/>
          <w:b/>
          <w:color w:val="000000" w:themeColor="text1"/>
          <w:sz w:val="21"/>
          <w:szCs w:val="22"/>
          <w:lang w:val="en-US" w:eastAsia="zh-CN"/>
          <w14:textFill>
            <w14:solidFill>
              <w14:schemeClr w14:val="tx1"/>
            </w14:solidFill>
          </w14:textFill>
        </w:rPr>
        <w:t>.14.4</w:t>
      </w:r>
      <w:r>
        <w:rPr>
          <w:rFonts w:hint="eastAsia"/>
          <w:b/>
          <w:color w:val="000000" w:themeColor="text1"/>
          <w:sz w:val="21"/>
          <w:szCs w:val="22"/>
          <w14:textFill>
            <w14:solidFill>
              <w14:schemeClr w14:val="tx1"/>
            </w14:solidFill>
          </w14:textFill>
        </w:rPr>
        <w:t>-</w:t>
      </w:r>
      <w:r>
        <w:rPr>
          <w:rFonts w:hint="eastAsia"/>
          <w:b/>
          <w:color w:val="000000" w:themeColor="text1"/>
          <w:sz w:val="21"/>
          <w:szCs w:val="22"/>
          <w:lang w:val="en-US" w:eastAsia="zh-CN"/>
          <w14:textFill>
            <w14:solidFill>
              <w14:schemeClr w14:val="tx1"/>
            </w14:solidFill>
          </w14:textFill>
        </w:rPr>
        <w:t>5</w:t>
      </w:r>
      <w:r>
        <w:rPr>
          <w:b/>
          <w:color w:val="000000" w:themeColor="text1"/>
          <w:sz w:val="21"/>
          <w:szCs w:val="22"/>
          <w14:textFill>
            <w14:solidFill>
              <w14:schemeClr w14:val="tx1"/>
            </w14:solidFill>
          </w14:textFill>
        </w:rPr>
        <w:t xml:space="preserve"> </w:t>
      </w:r>
      <w:r>
        <w:rPr>
          <w:color w:val="000000" w:themeColor="text1"/>
          <w:spacing w:val="-4"/>
          <w14:textFill>
            <w14:solidFill>
              <w14:schemeClr w14:val="tx1"/>
            </w14:solidFill>
          </w14:textFill>
        </w:rPr>
        <w:t xml:space="preserve"> </w:t>
      </w:r>
      <w:r>
        <w:rPr>
          <w:b/>
          <w:color w:val="000000" w:themeColor="text1"/>
          <w:sz w:val="21"/>
          <w:szCs w:val="22"/>
          <w14:textFill>
            <w14:solidFill>
              <w14:schemeClr w14:val="tx1"/>
            </w14:solidFill>
          </w14:textFill>
        </w:rPr>
        <w:t>顶升程序Ⅰ</w:t>
      </w:r>
      <w:r>
        <w:rPr>
          <w:rFonts w:hint="eastAsia"/>
          <w:b/>
          <w:color w:val="000000" w:themeColor="text1"/>
          <w:sz w:val="21"/>
          <w:szCs w:val="22"/>
          <w14:textFill>
            <w14:solidFill>
              <w14:schemeClr w14:val="tx1"/>
            </w14:solidFill>
          </w14:textFill>
        </w:rPr>
        <w:t>I</w:t>
      </w:r>
    </w:p>
    <w:p w14:paraId="64B87C80">
      <w:pPr>
        <w:pStyle w:val="112"/>
        <w:keepNext w:val="0"/>
        <w:keepLines w:val="0"/>
        <w:pageBreakBefore w:val="0"/>
        <w:widowControl w:val="0"/>
        <w:numPr>
          <w:ilvl w:val="0"/>
          <w:numId w:val="24"/>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引进标准节，用</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套高强度螺栓和垫板将标准节与下部标准节相连。</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p>
    <w:p w14:paraId="1BAAF724">
      <w:pPr>
        <w:pStyle w:val="112"/>
        <w:numPr>
          <w:numId w:val="0"/>
        </w:numPr>
        <w:ind w:leftChars="0"/>
        <w:rPr>
          <w:color w:val="000000" w:themeColor="text1"/>
          <w14:textFill>
            <w14:solidFill>
              <w14:schemeClr w14:val="tx1"/>
            </w14:solidFill>
          </w14:textFill>
        </w:rPr>
      </w:pPr>
      <w:r>
        <w:rPr>
          <w:bCs/>
          <w:color w:val="000000" w:themeColor="text1"/>
          <w14:textFill>
            <w14:solidFill>
              <w14:schemeClr w14:val="tx1"/>
            </w14:solidFill>
          </w14:textFill>
        </w:rPr>
        <w:t>标准节的引入/安装</w:t>
      </w:r>
    </w:p>
    <w:p w14:paraId="2559880F">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当被顶升的总成坐落在标准节的上部顶升踏步上，通过顶升套架爬爪的锁定，此时顶升套架已与下部标准节组合成一整体。</w:t>
      </w:r>
    </w:p>
    <w:p w14:paraId="2DC7E172">
      <w:pPr>
        <w:pStyle w:val="112"/>
        <w:ind w:firstLine="480"/>
        <w:rPr>
          <w:bCs/>
          <w:color w:val="000000" w:themeColor="text1"/>
          <w14:textFill>
            <w14:solidFill>
              <w14:schemeClr w14:val="tx1"/>
            </w14:solidFill>
          </w14:textFill>
        </w:rPr>
      </w:pPr>
      <w:r>
        <w:rPr>
          <w:bCs/>
          <w:color w:val="000000" w:themeColor="text1"/>
          <w14:textFill>
            <w14:solidFill>
              <w14:schemeClr w14:val="tx1"/>
            </w14:solidFill>
          </w14:textFill>
        </w:rPr>
        <w:t xml:space="preserve">注意：此时油缸已几乎全部伸出，伸出的全部行程决不能使顶升套架上部的导向轮脱离塔身的固定部分。 </w:t>
      </w:r>
    </w:p>
    <w:p w14:paraId="6D70ECA7">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将标准节引进顶升套架； </w:t>
      </w:r>
    </w:p>
    <w:p w14:paraId="09B0ACB0">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缓慢操纵液压站“向上顶升”的手柄，使顶升套架的爬爪脱离标准节的顶升踏步，并借助操作杆将爬爪离开塔身。  </w:t>
      </w:r>
    </w:p>
    <w:p w14:paraId="6116AF9E">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缓慢操纵液压站“向下降落”的手柄，使引进的标准节正确地对接原标准节（或基节）的联接位置，并用</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 xml:space="preserve">套高强度螺栓连接固定。 </w:t>
      </w:r>
    </w:p>
    <w:p w14:paraId="29F13061">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继续下降运行，使下回转支座（或顶升连接节）正确地对接引进的标准节的联接位置，并用</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 xml:space="preserve">套高强度螺栓连接固定。 </w:t>
      </w:r>
    </w:p>
    <w:p w14:paraId="0406B945">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将引进小车与引进的标准节分离，然后将其在引进梁上向外拉出。</w:t>
      </w:r>
    </w:p>
    <w:p w14:paraId="3787FAE8">
      <w:pPr>
        <w:pStyle w:val="7"/>
        <w:rPr>
          <w:rFonts w:cs="Times New Roman"/>
          <w:color w:val="000000" w:themeColor="text1"/>
          <w14:textFill>
            <w14:solidFill>
              <w14:schemeClr w14:val="tx1"/>
            </w14:solidFill>
          </w14:textFill>
        </w:rPr>
      </w:pPr>
      <w:r>
        <w:rPr>
          <w:rFonts w:cs="Times New Roman"/>
          <w:bCs/>
          <w:color w:val="000000" w:themeColor="text1"/>
          <w14:textFill>
            <w14:solidFill>
              <w14:schemeClr w14:val="tx1"/>
            </w14:solidFill>
          </w14:textFill>
        </w:rPr>
        <w:t>在引进小车上放置第二个标准节</w:t>
      </w:r>
    </w:p>
    <w:p w14:paraId="0F58EDF9">
      <w:pPr>
        <w:pStyle w:val="112"/>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当被顶起的总成固定在下支座时，才能将需安装的标准节放在引进小车上。</w:t>
      </w:r>
    </w:p>
    <w:p w14:paraId="34E5DD43">
      <w:pPr>
        <w:pStyle w:val="112"/>
        <w:keepNext w:val="0"/>
        <w:keepLines w:val="0"/>
        <w:pageBreakBefore w:val="0"/>
        <w:widowControl w:val="0"/>
        <w:numPr>
          <w:ilvl w:val="0"/>
          <w:numId w:val="26"/>
        </w:numPr>
        <w:kinsoku/>
        <w:wordWrap/>
        <w:overflowPunct/>
        <w:topLinePunct w:val="0"/>
        <w:autoSpaceDE/>
        <w:autoSpaceDN/>
        <w:bidi w:val="0"/>
        <w:adjustRightInd w:val="0"/>
        <w:snapToGrid w:val="0"/>
        <w:ind w:left="425" w:lef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此时，下回转支座（或顶升连接节）应对接并固定在已引进的标准节中，且用相应的高强度螺栓连接固定。</w:t>
      </w:r>
    </w:p>
    <w:p w14:paraId="6787927F">
      <w:pPr>
        <w:pStyle w:val="112"/>
        <w:keepNext w:val="0"/>
        <w:keepLines w:val="0"/>
        <w:pageBreakBefore w:val="0"/>
        <w:widowControl w:val="0"/>
        <w:numPr>
          <w:ilvl w:val="0"/>
          <w:numId w:val="26"/>
        </w:numPr>
        <w:kinsoku/>
        <w:wordWrap/>
        <w:overflowPunct/>
        <w:topLinePunct w:val="0"/>
        <w:autoSpaceDE/>
        <w:autoSpaceDN/>
        <w:bidi w:val="0"/>
        <w:adjustRightInd w:val="0"/>
        <w:snapToGrid w:val="0"/>
        <w:ind w:left="425" w:lef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放下平衡配重载荷，将再次需安装的标准节吊运至引进小车上，并推进引进梁处待命；</w:t>
      </w:r>
    </w:p>
    <w:p w14:paraId="556B998A">
      <w:pPr>
        <w:pStyle w:val="112"/>
        <w:keepNext w:val="0"/>
        <w:keepLines w:val="0"/>
        <w:pageBreakBefore w:val="0"/>
        <w:widowControl w:val="0"/>
        <w:numPr>
          <w:ilvl w:val="0"/>
          <w:numId w:val="26"/>
        </w:numPr>
        <w:kinsoku/>
        <w:wordWrap/>
        <w:overflowPunct/>
        <w:topLinePunct w:val="0"/>
        <w:autoSpaceDE/>
        <w:autoSpaceDN/>
        <w:bidi w:val="0"/>
        <w:adjustRightInd w:val="0"/>
        <w:snapToGrid w:val="0"/>
        <w:ind w:left="425" w:lef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重新吊起平衡配重载荷； </w:t>
      </w:r>
    </w:p>
    <w:p w14:paraId="55CD36A9">
      <w:pPr>
        <w:pStyle w:val="112"/>
        <w:keepNext w:val="0"/>
        <w:keepLines w:val="0"/>
        <w:pageBreakBefore w:val="0"/>
        <w:widowControl w:val="0"/>
        <w:numPr>
          <w:ilvl w:val="0"/>
          <w:numId w:val="26"/>
        </w:numPr>
        <w:kinsoku/>
        <w:wordWrap/>
        <w:overflowPunct/>
        <w:topLinePunct w:val="0"/>
        <w:autoSpaceDE/>
        <w:autoSpaceDN/>
        <w:bidi w:val="0"/>
        <w:adjustRightInd w:val="0"/>
        <w:snapToGrid w:val="0"/>
        <w:ind w:left="425" w:lef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拆除下回转支座（或顶升连接节）与引进标准节对接并固定的高强度螺栓再次进行顶升。</w:t>
      </w:r>
    </w:p>
    <w:p w14:paraId="76459514">
      <w:pPr>
        <w:pStyle w:val="11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重复上述顶升程序，达到塔机最终独立安装高度要求。</w:t>
      </w:r>
    </w:p>
    <w:p w14:paraId="6E8F8F3D">
      <w:pPr>
        <w:pStyle w:val="11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注意：在顶升最后一个标准节后，该标准节应与塔身和下回转支座用</w:t>
      </w:r>
      <w:r>
        <w:rPr>
          <w:rFonts w:hint="eastAsia" w:ascii="宋体" w:hAnsi="宋体" w:eastAsia="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14:textFill>
            <w14:solidFill>
              <w14:schemeClr w14:val="tx1"/>
            </w14:solidFill>
          </w14:textFill>
        </w:rPr>
        <w:t>套的高强度螺栓锁定。</w:t>
      </w:r>
    </w:p>
    <w:p w14:paraId="40393E0A">
      <w:pPr>
        <w:pStyle w:val="112"/>
        <w:keepNext w:val="0"/>
        <w:keepLines w:val="0"/>
        <w:pageBreakBefore w:val="0"/>
        <w:widowControl w:val="0"/>
        <w:numPr>
          <w:ilvl w:val="0"/>
          <w:numId w:val="26"/>
        </w:numPr>
        <w:kinsoku/>
        <w:wordWrap/>
        <w:overflowPunct/>
        <w:topLinePunct w:val="0"/>
        <w:autoSpaceDE/>
        <w:autoSpaceDN/>
        <w:bidi w:val="0"/>
        <w:adjustRightInd w:val="0"/>
        <w:snapToGrid w:val="0"/>
        <w:ind w:left="425" w:lef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用经纬仪检查塔机的垂直度，其垂直度不超过塔身总高度的</w:t>
      </w: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/1000。</w:t>
      </w:r>
    </w:p>
    <w:p w14:paraId="229EC4B2">
      <w:pPr>
        <w:pStyle w:val="5"/>
        <w:bidi w:val="0"/>
        <w:rPr>
          <w:rFonts w:hint="default"/>
        </w:rPr>
      </w:pPr>
      <w:bookmarkStart w:id="68" w:name="_Toc15173"/>
      <w:r>
        <w:rPr>
          <w:rFonts w:hint="default"/>
        </w:rPr>
        <w:t>塔机调试检查投入使用</w:t>
      </w:r>
      <w:bookmarkEnd w:id="68"/>
    </w:p>
    <w:p w14:paraId="71EE4385">
      <w:pPr>
        <w:pStyle w:val="6"/>
        <w:bidi w:val="0"/>
        <w:rPr>
          <w:rFonts w:hint="eastAsia"/>
          <w:lang w:val="en-US" w:eastAsia="zh-CN"/>
        </w:rPr>
      </w:pPr>
      <w:r>
        <w:rPr>
          <w:rFonts w:hint="eastAsia"/>
          <w:lang w:val="en-US" w:eastAsia="zh-CN"/>
        </w:rPr>
        <w:t>塔机检查</w:t>
      </w:r>
    </w:p>
    <w:p w14:paraId="49094C31">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（1）保证运行机构电气连接完好，安装检查安全装置，主要包括行程限位器和载荷限位器。</w:t>
      </w:r>
    </w:p>
    <w:p w14:paraId="6B632346">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（2）检查底盘下的电力是否顺畅，以防损坏。</w:t>
      </w:r>
    </w:p>
    <w:p w14:paraId="7AA25CCF">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（3）检查塔身连接销轴是否固定到位，安全销是否开口。</w:t>
      </w:r>
    </w:p>
    <w:p w14:paraId="4735BCCC">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（4）检查基础节扶梯延伸部分的安装情况。</w:t>
      </w:r>
    </w:p>
    <w:p w14:paraId="73BF4040">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（5）检查小车检修平台是否安装就位。</w:t>
      </w:r>
    </w:p>
    <w:p w14:paraId="276D1D84">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（6）检查平衡臂上走道与护栏的固定情况。</w:t>
      </w:r>
    </w:p>
    <w:p w14:paraId="25FA5B75">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（7）检查起升和变幅钢丝绳穿绕是否正确。</w:t>
      </w:r>
    </w:p>
    <w:p w14:paraId="5F150E5E">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（8）检查平衡臂配重的固定情况。</w:t>
      </w:r>
    </w:p>
    <w:p w14:paraId="792F1722">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（9）检查平衡臂走道上有无杂物，防止塔机运转时坠下。</w:t>
      </w:r>
    </w:p>
    <w:p w14:paraId="7281B4B3">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（10）检查项目表：</w:t>
      </w:r>
    </w:p>
    <w:p w14:paraId="092AE670">
      <w:pPr>
        <w:spacing w:line="440" w:lineRule="exact"/>
        <w:ind w:firstLine="480"/>
        <w:jc w:val="center"/>
        <w:rPr>
          <w:rFonts w:hint="default" w:ascii="Times New Roman" w:hAnsi="Times New Roman" w:cs="Times New Roman"/>
          <w:b/>
          <w:sz w:val="21"/>
          <w:szCs w:val="22"/>
          <w:lang w:val="en-US" w:eastAsia="zh-CN"/>
        </w:rPr>
      </w:pPr>
      <w:r>
        <w:rPr>
          <w:rFonts w:hint="default" w:ascii="Times New Roman" w:hAnsi="Times New Roman" w:cs="Times New Roman"/>
          <w:b/>
          <w:sz w:val="21"/>
          <w:szCs w:val="22"/>
          <w:lang w:eastAsia="zh-CN"/>
        </w:rPr>
        <w:t>表4.5.</w:t>
      </w:r>
      <w:r>
        <w:rPr>
          <w:rFonts w:hint="eastAsia" w:ascii="Times New Roman" w:hAnsi="Times New Roman" w:cs="Times New Roman"/>
          <w:b/>
          <w:sz w:val="21"/>
          <w:szCs w:val="22"/>
          <w:lang w:val="en-US" w:eastAsia="zh-CN"/>
        </w:rPr>
        <w:t>1</w:t>
      </w:r>
      <w:r>
        <w:rPr>
          <w:rFonts w:hint="default" w:ascii="Times New Roman" w:hAnsi="Times New Roman" w:cs="Times New Roman"/>
          <w:b/>
          <w:sz w:val="21"/>
          <w:szCs w:val="22"/>
        </w:rPr>
        <w:t>-</w:t>
      </w:r>
      <w:r>
        <w:rPr>
          <w:rFonts w:hint="default" w:ascii="Times New Roman" w:hAnsi="Times New Roman" w:cs="Times New Roman"/>
          <w:b/>
          <w:sz w:val="21"/>
          <w:szCs w:val="22"/>
          <w:lang w:val="en-US" w:eastAsia="zh-CN"/>
        </w:rPr>
        <w:t>1</w:t>
      </w:r>
      <w:r>
        <w:rPr>
          <w:rFonts w:hint="eastAsia" w:ascii="Times New Roman" w:hAnsi="Times New Roman" w:cs="Times New Roman"/>
          <w:b/>
          <w:sz w:val="21"/>
          <w:szCs w:val="22"/>
          <w:lang w:val="en-US" w:eastAsia="zh-CN"/>
        </w:rPr>
        <w:t xml:space="preserve"> </w:t>
      </w:r>
      <w:r>
        <w:rPr>
          <w:rFonts w:hint="default" w:ascii="Times New Roman" w:hAnsi="Times New Roman" w:cs="Times New Roman"/>
          <w:b/>
          <w:sz w:val="21"/>
          <w:szCs w:val="22"/>
        </w:rPr>
        <w:t>塔机</w:t>
      </w:r>
      <w:r>
        <w:rPr>
          <w:rFonts w:hint="default" w:ascii="Times New Roman" w:hAnsi="Times New Roman" w:cs="Times New Roman"/>
          <w:b/>
          <w:sz w:val="21"/>
          <w:szCs w:val="22"/>
          <w:lang w:val="en-US" w:eastAsia="zh-CN"/>
        </w:rPr>
        <w:t>调试检查表</w:t>
      </w:r>
    </w:p>
    <w:tbl>
      <w:tblPr>
        <w:tblStyle w:val="30"/>
        <w:tblW w:w="4999" w:type="pct"/>
        <w:jc w:val="center"/>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autofit"/>
        <w:tblCellMar>
          <w:top w:w="0" w:type="dxa"/>
          <w:left w:w="0" w:type="dxa"/>
          <w:bottom w:w="0" w:type="dxa"/>
          <w:right w:w="0" w:type="dxa"/>
        </w:tblCellMar>
      </w:tblPr>
      <w:tblGrid>
        <w:gridCol w:w="1050"/>
        <w:gridCol w:w="7284"/>
      </w:tblGrid>
      <w:tr w14:paraId="35F9CCD1">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tblHeader/>
          <w:jc w:val="center"/>
        </w:trPr>
        <w:tc>
          <w:tcPr>
            <w:tcW w:w="630" w:type="pct"/>
            <w:vAlign w:val="center"/>
          </w:tcPr>
          <w:p w14:paraId="19E52245">
            <w:pPr>
              <w:pStyle w:val="52"/>
              <w:spacing w:line="240" w:lineRule="atLeast"/>
              <w:rPr>
                <w:rFonts w:hint="default" w:ascii="Times New Roman" w:hAnsi="Times New Roman" w:cs="Times New Roman"/>
                <w:b/>
                <w:color w:val="auto"/>
                <w:szCs w:val="21"/>
              </w:rPr>
            </w:pPr>
            <w:r>
              <w:rPr>
                <w:rFonts w:hint="default" w:ascii="Times New Roman" w:hAnsi="Times New Roman" w:cs="Times New Roman"/>
                <w:b/>
                <w:color w:val="auto"/>
                <w:szCs w:val="21"/>
              </w:rPr>
              <w:t>检查项目</w:t>
            </w:r>
          </w:p>
        </w:tc>
        <w:tc>
          <w:tcPr>
            <w:tcW w:w="4369" w:type="pct"/>
          </w:tcPr>
          <w:p w14:paraId="6F4BC315">
            <w:pPr>
              <w:pStyle w:val="52"/>
              <w:spacing w:line="240" w:lineRule="atLeast"/>
              <w:rPr>
                <w:rFonts w:hint="default" w:ascii="Times New Roman" w:hAnsi="Times New Roman" w:cs="Times New Roman"/>
                <w:b/>
                <w:color w:val="auto"/>
                <w:szCs w:val="21"/>
              </w:rPr>
            </w:pPr>
            <w:r>
              <w:rPr>
                <w:rFonts w:hint="default" w:ascii="Times New Roman" w:hAnsi="Times New Roman" w:cs="Times New Roman"/>
                <w:b/>
                <w:color w:val="auto"/>
                <w:szCs w:val="21"/>
              </w:rPr>
              <w:t>检查内容</w:t>
            </w:r>
          </w:p>
        </w:tc>
      </w:tr>
      <w:tr w14:paraId="683B243D">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4C7CE8D8">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基础</w:t>
            </w:r>
          </w:p>
        </w:tc>
        <w:tc>
          <w:tcPr>
            <w:tcW w:w="4369" w:type="pct"/>
          </w:tcPr>
          <w:p w14:paraId="0D819943">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1.检查地脚销轴情况，基础是否锈蚀。</w:t>
            </w:r>
          </w:p>
          <w:p w14:paraId="508EC09C">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2.检查输电线距塔机最大旋转部分的安全距离并检查电缆通过情况，以防损坏；</w:t>
            </w:r>
          </w:p>
        </w:tc>
      </w:tr>
      <w:tr w14:paraId="231B714F">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0B4A524D">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塔身</w:t>
            </w:r>
          </w:p>
        </w:tc>
        <w:tc>
          <w:tcPr>
            <w:tcW w:w="4369" w:type="pct"/>
          </w:tcPr>
          <w:p w14:paraId="62FA2C0E">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检查塔身节连接销轴的紧固情况</w:t>
            </w:r>
          </w:p>
        </w:tc>
      </w:tr>
      <w:tr w14:paraId="0E7E8394">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3B2C53BC">
            <w:pPr>
              <w:pStyle w:val="52"/>
              <w:spacing w:line="240" w:lineRule="atLeast"/>
              <w:rPr>
                <w:rFonts w:hint="default" w:ascii="Times New Roman" w:hAnsi="Times New Roman" w:cs="Times New Roman"/>
                <w:color w:val="auto"/>
                <w:szCs w:val="21"/>
              </w:rPr>
            </w:pPr>
          </w:p>
          <w:p w14:paraId="1E65E3E4">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爬升架</w:t>
            </w:r>
          </w:p>
        </w:tc>
        <w:tc>
          <w:tcPr>
            <w:tcW w:w="4369" w:type="pct"/>
          </w:tcPr>
          <w:p w14:paraId="52BD3149">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1.检查与下支座的连接情况</w:t>
            </w:r>
          </w:p>
          <w:p w14:paraId="674A9602">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2.检查各滚轮、活动爬爪、销轴连接各部件的转动或摆动是否灵活</w:t>
            </w:r>
          </w:p>
          <w:p w14:paraId="5E09E8C0">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3.检查走道，栏杆的紧固情况</w:t>
            </w:r>
          </w:p>
        </w:tc>
      </w:tr>
      <w:tr w14:paraId="10836773">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1616E25A">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上、下</w:t>
            </w:r>
          </w:p>
          <w:p w14:paraId="00ED78C6">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支座</w:t>
            </w:r>
          </w:p>
          <w:p w14:paraId="1F9B3086">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司机室</w:t>
            </w:r>
          </w:p>
        </w:tc>
        <w:tc>
          <w:tcPr>
            <w:tcW w:w="4369" w:type="pct"/>
          </w:tcPr>
          <w:p w14:paraId="44AA6EF2">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1.检查回转支承连接的螺栓紧固情况</w:t>
            </w:r>
          </w:p>
          <w:p w14:paraId="2C240947">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2.检查电缆的通行状况</w:t>
            </w:r>
          </w:p>
          <w:p w14:paraId="19B05BB1">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3.检查平台、栏杆的紧固情况</w:t>
            </w:r>
          </w:p>
          <w:p w14:paraId="033371FB">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4.检查与司机室的连接情况</w:t>
            </w:r>
          </w:p>
          <w:p w14:paraId="4E40B2B1">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5.司机室内严禁存放润滑油、油棉纱及其它易燃物品.</w:t>
            </w:r>
          </w:p>
        </w:tc>
      </w:tr>
      <w:tr w14:paraId="40F5A72A">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72C6BBE0">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起重臂</w:t>
            </w:r>
          </w:p>
        </w:tc>
        <w:tc>
          <w:tcPr>
            <w:tcW w:w="4369" w:type="pct"/>
          </w:tcPr>
          <w:p w14:paraId="694EEBCA">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1.检查各处连接销轴、垫圈、开口销安装的正确性</w:t>
            </w:r>
          </w:p>
          <w:p w14:paraId="780EA765">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2.检查载重小车安装运行情况，载人吊篮的紧固情况</w:t>
            </w:r>
          </w:p>
          <w:p w14:paraId="28999444">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3.检查起升、变幅钢丝绳的缠绕及紧固情况</w:t>
            </w:r>
          </w:p>
        </w:tc>
      </w:tr>
      <w:tr w14:paraId="455CF001">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21711DCC">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平衡臂</w:t>
            </w:r>
          </w:p>
        </w:tc>
        <w:tc>
          <w:tcPr>
            <w:tcW w:w="4369" w:type="pct"/>
          </w:tcPr>
          <w:p w14:paraId="1C36AFD5">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1.检查平衡臂的固定情况</w:t>
            </w:r>
          </w:p>
          <w:p w14:paraId="0DA89155">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2.检查平衡臂栏杆及走道的安装情况，保证走道无杂物</w:t>
            </w:r>
          </w:p>
        </w:tc>
      </w:tr>
      <w:tr w14:paraId="0294412F">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4B195066">
            <w:pPr>
              <w:pStyle w:val="52"/>
              <w:spacing w:line="240" w:lineRule="atLeast"/>
              <w:rPr>
                <w:rFonts w:hint="default" w:ascii="Times New Roman" w:hAnsi="Times New Roman" w:cs="Times New Roman"/>
                <w:color w:val="auto"/>
                <w:szCs w:val="21"/>
              </w:rPr>
            </w:pPr>
          </w:p>
          <w:p w14:paraId="13A71AE2">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吊具</w:t>
            </w:r>
          </w:p>
        </w:tc>
        <w:tc>
          <w:tcPr>
            <w:tcW w:w="4369" w:type="pct"/>
          </w:tcPr>
          <w:p w14:paraId="17BF1B18">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1.检查换倍率装置，吊钩的防脱绳装置是否安全、可靠</w:t>
            </w:r>
          </w:p>
          <w:p w14:paraId="0366DFF8">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2.检查吊钩有无影响使用的缺陷</w:t>
            </w:r>
          </w:p>
          <w:p w14:paraId="52C9E327">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3.检查起升、变幅钢丝绳的规格、型号应符合要求</w:t>
            </w:r>
          </w:p>
          <w:p w14:paraId="621F3328">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4.检查钢丝绳的磨损情况及绳端固定情况</w:t>
            </w:r>
          </w:p>
        </w:tc>
      </w:tr>
      <w:tr w14:paraId="76048026">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4D8EC9C1">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机构</w:t>
            </w:r>
          </w:p>
        </w:tc>
        <w:tc>
          <w:tcPr>
            <w:tcW w:w="4369" w:type="pct"/>
          </w:tcPr>
          <w:p w14:paraId="0FB975E0">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1.检查各机构的安装、运行情况</w:t>
            </w:r>
          </w:p>
          <w:p w14:paraId="141E25A3">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2.各机构的制动器间隙调整合适</w:t>
            </w:r>
          </w:p>
          <w:p w14:paraId="61EA0E4D">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3.检查牵引机构，当小车分别运行到最小和最大幅度处，卷筒上钢丝绳至少应有 3 圈。</w:t>
            </w:r>
          </w:p>
          <w:p w14:paraId="754A2613">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4.检查各钢丝绳绳头的压紧有无松动</w:t>
            </w:r>
          </w:p>
        </w:tc>
      </w:tr>
      <w:tr w14:paraId="47B754F4">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0CAA0016">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安全</w:t>
            </w:r>
          </w:p>
          <w:p w14:paraId="04979A98">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装置</w:t>
            </w:r>
          </w:p>
        </w:tc>
        <w:tc>
          <w:tcPr>
            <w:tcW w:w="4369" w:type="pct"/>
          </w:tcPr>
          <w:p w14:paraId="0D4DBACB">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1.检查各安全保护装置是否按本说明书的要求调整合格</w:t>
            </w:r>
          </w:p>
          <w:p w14:paraId="6BFEDBD5">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2.检查塔机上所有扶梯、栏杆、休息平台的安装紧固情况</w:t>
            </w:r>
          </w:p>
        </w:tc>
      </w:tr>
      <w:tr w14:paraId="5013317C">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763F449F">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润滑</w:t>
            </w:r>
          </w:p>
        </w:tc>
        <w:tc>
          <w:tcPr>
            <w:tcW w:w="4369" w:type="pct"/>
            <w:vAlign w:val="center"/>
          </w:tcPr>
          <w:p w14:paraId="17C5868E">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根据使用说明书检查润滑情况</w:t>
            </w:r>
          </w:p>
        </w:tc>
      </w:tr>
    </w:tbl>
    <w:p w14:paraId="217D08E3">
      <w:pPr>
        <w:pStyle w:val="6"/>
        <w:bidi w:val="0"/>
        <w:rPr>
          <w:rFonts w:hint="eastAsia"/>
          <w:lang w:val="en-US" w:eastAsia="zh-CN"/>
        </w:rPr>
      </w:pPr>
      <w:r>
        <w:rPr>
          <w:rFonts w:hint="eastAsia"/>
          <w:lang w:val="en-US" w:eastAsia="zh-CN"/>
        </w:rPr>
        <w:t>塔机调试</w:t>
      </w:r>
    </w:p>
    <w:p w14:paraId="5DD40AB0">
      <w:pPr>
        <w:rPr>
          <w:rFonts w:hint="eastAsia"/>
          <w:lang w:val="en-US" w:eastAsia="zh-CN"/>
        </w:rPr>
      </w:pPr>
      <w:r>
        <w:rPr>
          <w:rFonts w:hint="eastAsia"/>
          <w:lang w:val="en-US" w:eastAsia="zh-CN"/>
        </w:rPr>
        <w:t>塔机安全保护装置主要包括：行程限位器和载荷限制器。行程限位器有：起升高度限位器，回转限位器、幅度限位器和防止臂架反弹后倾装置；载荷限制器有：起重力矩限制器，起重量限制器，此外还包括风速仪。</w:t>
      </w:r>
    </w:p>
    <w:p w14:paraId="0417A22D">
      <w:pPr>
        <w:rPr>
          <w:rFonts w:hint="eastAsia"/>
          <w:lang w:val="en-US" w:eastAsia="zh-CN"/>
        </w:rPr>
      </w:pPr>
      <w:r>
        <w:rPr>
          <w:rFonts w:hint="eastAsia"/>
          <w:lang w:val="en-US" w:eastAsia="zh-CN"/>
        </w:rPr>
        <w:t>调试由我公司技术、维修人员组成验收小组，严格按说明书要求进行。</w:t>
      </w:r>
    </w:p>
    <w:p w14:paraId="6A494A01">
      <w:pPr>
        <w:rPr>
          <w:rFonts w:hint="eastAsia"/>
          <w:lang w:val="en-US" w:eastAsia="zh-CN"/>
        </w:rPr>
      </w:pPr>
      <w:r>
        <w:rPr>
          <w:rFonts w:hint="eastAsia"/>
          <w:lang w:val="en-US" w:eastAsia="zh-CN"/>
        </w:rPr>
        <w:t>内部验收由项目经理部、塔吊机长和我公司验收小组共同完成，验收合格后方可投入使用。</w:t>
      </w:r>
    </w:p>
    <w:p w14:paraId="699D1078">
      <w:pPr>
        <w:pStyle w:val="6"/>
        <w:bidi w:val="0"/>
        <w:rPr>
          <w:rFonts w:hint="default"/>
          <w:lang w:val="en-US" w:eastAsia="zh-CN"/>
        </w:rPr>
      </w:pPr>
      <w:r>
        <w:rPr>
          <w:rFonts w:hint="eastAsia"/>
          <w:lang w:val="en-US" w:eastAsia="zh-CN"/>
        </w:rPr>
        <w:t>塔机负荷试验</w:t>
      </w:r>
    </w:p>
    <w:p w14:paraId="38933C03">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塔机组装好后，应依次进行下列试验。</w:t>
      </w:r>
    </w:p>
    <w:p w14:paraId="3EB2AABD">
      <w:pPr>
        <w:widowControl/>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bookmarkStart w:id="69" w:name="_Toc13980_WPSOffice_Level2"/>
      <w:bookmarkStart w:id="70" w:name="_Toc17840_WPSOffice_Level2"/>
      <w:bookmarkStart w:id="71" w:name="_Toc23099_WPSOffice_Level2"/>
      <w:r>
        <w:rPr>
          <w:rFonts w:hint="default" w:ascii="Times New Roman" w:hAnsi="Times New Roman" w:eastAsia="宋体" w:cs="Times New Roman"/>
          <w:color w:val="auto"/>
          <w:kern w:val="0"/>
          <w:sz w:val="24"/>
          <w:szCs w:val="24"/>
          <w:lang w:val="en-US" w:eastAsia="zh-CN" w:bidi="ar-SA"/>
        </w:rPr>
        <w:t>（1）空载试验</w:t>
      </w:r>
      <w:bookmarkEnd w:id="69"/>
      <w:bookmarkEnd w:id="70"/>
      <w:bookmarkEnd w:id="71"/>
    </w:p>
    <w:p w14:paraId="4B0FD888">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各机构应分别进行数次运行，然后再做三次综合动作运行，运行过程中各机构不得发生任何异常现象，各机构制动器、操作系统、控制系统、联锁装置及各限位器、限制器应动作准确、可靠，否则应及时排除故障。</w:t>
      </w:r>
    </w:p>
    <w:p w14:paraId="6CF28D8A">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bookmarkStart w:id="72" w:name="_Toc27855_WPSOffice_Level2"/>
      <w:bookmarkStart w:id="73" w:name="_Toc31599_WPSOffice_Level2"/>
      <w:bookmarkStart w:id="74" w:name="_Toc5811_WPSOffice_Level2"/>
      <w:r>
        <w:rPr>
          <w:rFonts w:hint="default" w:ascii="Times New Roman" w:hAnsi="Times New Roman" w:eastAsia="宋体" w:cs="Times New Roman"/>
          <w:color w:val="auto"/>
          <w:kern w:val="0"/>
          <w:sz w:val="24"/>
          <w:szCs w:val="24"/>
          <w:lang w:val="en-US" w:eastAsia="zh-CN" w:bidi="ar-SA"/>
        </w:rPr>
        <w:t>（2）负荷试验</w:t>
      </w:r>
      <w:bookmarkEnd w:id="72"/>
      <w:bookmarkEnd w:id="73"/>
      <w:bookmarkEnd w:id="74"/>
    </w:p>
    <w:p w14:paraId="63634FA2">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在最大幅度处分别吊对应额定起重量的 25％， 50％， 75％， 100％，按空载试验要求进行试验。运行过程中不得发生任何异常现象，各机构制动器、操作系统、控制系统、联锁装置及各限位器、限制器应动作准确、可靠。</w:t>
      </w:r>
    </w:p>
    <w:p w14:paraId="7DE7F196">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bookmarkStart w:id="75" w:name="_Toc4116_WPSOffice_Level2"/>
      <w:bookmarkStart w:id="76" w:name="_Toc28000_WPSOffice_Level2"/>
      <w:bookmarkStart w:id="77" w:name="_Toc9834_WPSOffice_Level2"/>
      <w:r>
        <w:rPr>
          <w:rFonts w:hint="default" w:ascii="Times New Roman" w:hAnsi="Times New Roman" w:eastAsia="宋体" w:cs="Times New Roman"/>
          <w:color w:val="auto"/>
          <w:kern w:val="0"/>
          <w:sz w:val="24"/>
          <w:szCs w:val="24"/>
          <w:lang w:val="en-US" w:eastAsia="zh-CN" w:bidi="ar-SA"/>
        </w:rPr>
        <w:t>（3） 超载25%静态实验（四倍率）</w:t>
      </w:r>
      <w:bookmarkEnd w:id="75"/>
      <w:bookmarkEnd w:id="76"/>
      <w:bookmarkEnd w:id="77"/>
    </w:p>
    <w:p w14:paraId="6A6FB9FF">
      <w:pPr>
        <w:widowControl/>
        <w:adjustRightInd w:val="0"/>
        <w:snapToGrid w:val="0"/>
        <w:spacing w:line="360" w:lineRule="auto"/>
        <w:ind w:firstLine="480" w:firstLineChars="200"/>
        <w:jc w:val="left"/>
        <w:rPr>
          <w:rFonts w:hint="default"/>
          <w:lang w:val="en-US" w:eastAsia="zh-CN"/>
        </w:rPr>
      </w:pPr>
      <w:r>
        <w:rPr>
          <w:rFonts w:hint="default" w:ascii="Times New Roman" w:hAnsi="Times New Roman" w:eastAsia="宋体" w:cs="Times New Roman"/>
          <w:color w:val="auto"/>
          <w:kern w:val="0"/>
          <w:sz w:val="24"/>
          <w:szCs w:val="24"/>
          <w:lang w:val="en-US" w:eastAsia="zh-CN" w:bidi="ar-SA"/>
        </w:rPr>
        <w:t>空载试验、负荷试验合格后，进行静态超载实验。根据不同起重臂长，静态超载实验载荷如表下表所示。</w:t>
      </w:r>
    </w:p>
    <w:p w14:paraId="46537786">
      <w:pPr>
        <w:spacing w:line="440" w:lineRule="exact"/>
        <w:ind w:firstLine="480"/>
        <w:jc w:val="center"/>
        <w:rPr>
          <w:rFonts w:hint="default" w:ascii="Times New Roman" w:hAnsi="Times New Roman" w:cs="Times New Roman"/>
          <w:b/>
          <w:sz w:val="21"/>
          <w:szCs w:val="22"/>
          <w:lang w:val="en-US" w:eastAsia="zh-CN"/>
        </w:rPr>
      </w:pPr>
      <w:r>
        <w:rPr>
          <w:rFonts w:hint="default" w:ascii="Times New Roman" w:hAnsi="Times New Roman" w:cs="Times New Roman"/>
          <w:b/>
          <w:sz w:val="21"/>
          <w:szCs w:val="22"/>
          <w:lang w:val="en-US" w:eastAsia="zh-CN"/>
        </w:rPr>
        <w:t>表4.5.</w:t>
      </w:r>
      <w:r>
        <w:rPr>
          <w:rFonts w:hint="eastAsia" w:ascii="Times New Roman" w:hAnsi="Times New Roman" w:cs="Times New Roman"/>
          <w:b/>
          <w:sz w:val="21"/>
          <w:szCs w:val="22"/>
          <w:lang w:val="en-US" w:eastAsia="zh-CN"/>
        </w:rPr>
        <w:t>3</w:t>
      </w:r>
      <w:r>
        <w:rPr>
          <w:rFonts w:hint="default" w:ascii="Times New Roman" w:hAnsi="Times New Roman" w:cs="Times New Roman"/>
          <w:b/>
          <w:sz w:val="21"/>
          <w:szCs w:val="22"/>
          <w:lang w:val="en-US" w:eastAsia="zh-CN"/>
        </w:rPr>
        <w:t>-</w:t>
      </w:r>
      <w:r>
        <w:rPr>
          <w:rFonts w:hint="eastAsia" w:ascii="Times New Roman" w:hAnsi="Times New Roman" w:cs="Times New Roman"/>
          <w:b/>
          <w:sz w:val="21"/>
          <w:szCs w:val="22"/>
          <w:lang w:val="en-US" w:eastAsia="zh-CN"/>
        </w:rPr>
        <w:t xml:space="preserve">1 </w:t>
      </w:r>
      <w:r>
        <w:rPr>
          <w:rFonts w:hint="default" w:ascii="Times New Roman" w:hAnsi="Times New Roman" w:cs="Times New Roman"/>
          <w:b/>
          <w:sz w:val="21"/>
          <w:szCs w:val="22"/>
          <w:lang w:val="en-US" w:eastAsia="zh-CN"/>
        </w:rPr>
        <w:t>静态超载实验载荷表</w:t>
      </w:r>
    </w:p>
    <w:tbl>
      <w:tblPr>
        <w:tblStyle w:val="30"/>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6"/>
        <w:gridCol w:w="1706"/>
        <w:gridCol w:w="1706"/>
      </w:tblGrid>
      <w:tr w14:paraId="442989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5" w:type="dxa"/>
            <w:tcBorders>
              <w:top w:val="single" w:color="auto" w:sz="12" w:space="0"/>
              <w:left w:val="single" w:color="auto" w:sz="12" w:space="0"/>
              <w:bottom w:val="single" w:color="auto" w:sz="4" w:space="0"/>
              <w:tl2br w:val="single" w:color="auto" w:sz="4" w:space="0"/>
            </w:tcBorders>
            <w:vAlign w:val="center"/>
          </w:tcPr>
          <w:p w14:paraId="6774EEB1">
            <w:pPr>
              <w:widowControl w:val="0"/>
              <w:spacing w:line="240" w:lineRule="atLeast"/>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 xml:space="preserve">  臂长</w:t>
            </w:r>
          </w:p>
          <w:p w14:paraId="06E0E8FF">
            <w:pPr>
              <w:widowControl w:val="0"/>
              <w:spacing w:line="240" w:lineRule="atLeast"/>
              <w:jc w:val="both"/>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项目</w:t>
            </w:r>
          </w:p>
        </w:tc>
        <w:tc>
          <w:tcPr>
            <w:tcW w:w="1705" w:type="dxa"/>
            <w:tcBorders>
              <w:top w:val="single" w:color="auto" w:sz="12" w:space="0"/>
              <w:bottom w:val="single" w:color="auto" w:sz="4" w:space="0"/>
            </w:tcBorders>
            <w:vAlign w:val="center"/>
          </w:tcPr>
          <w:p w14:paraId="086F20AF">
            <w:pPr>
              <w:widowControl w:val="0"/>
              <w:spacing w:line="240" w:lineRule="atLeast"/>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幅度Ⅰ</w:t>
            </w:r>
          </w:p>
        </w:tc>
        <w:tc>
          <w:tcPr>
            <w:tcW w:w="1706" w:type="dxa"/>
            <w:tcBorders>
              <w:top w:val="single" w:color="auto" w:sz="12" w:space="0"/>
              <w:bottom w:val="single" w:color="auto" w:sz="4" w:space="0"/>
            </w:tcBorders>
            <w:vAlign w:val="center"/>
          </w:tcPr>
          <w:p w14:paraId="2754036C">
            <w:pPr>
              <w:widowControl w:val="0"/>
              <w:spacing w:line="240" w:lineRule="atLeast"/>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吊重Ⅰ</w:t>
            </w:r>
          </w:p>
        </w:tc>
        <w:tc>
          <w:tcPr>
            <w:tcW w:w="1706" w:type="dxa"/>
            <w:tcBorders>
              <w:top w:val="single" w:color="auto" w:sz="12" w:space="0"/>
              <w:bottom w:val="single" w:color="auto" w:sz="4" w:space="0"/>
            </w:tcBorders>
            <w:vAlign w:val="center"/>
          </w:tcPr>
          <w:p w14:paraId="1D0A55BE">
            <w:pPr>
              <w:widowControl w:val="0"/>
              <w:spacing w:line="240" w:lineRule="atLeast"/>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幅度Ⅱ</w:t>
            </w:r>
          </w:p>
        </w:tc>
        <w:tc>
          <w:tcPr>
            <w:tcW w:w="1706" w:type="dxa"/>
            <w:tcBorders>
              <w:top w:val="single" w:color="auto" w:sz="12" w:space="0"/>
              <w:bottom w:val="single" w:color="auto" w:sz="4" w:space="0"/>
              <w:right w:val="single" w:color="auto" w:sz="12" w:space="0"/>
            </w:tcBorders>
            <w:vAlign w:val="center"/>
          </w:tcPr>
          <w:p w14:paraId="2E22BA88">
            <w:pPr>
              <w:widowControl w:val="0"/>
              <w:spacing w:line="240" w:lineRule="atLeast"/>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吊重Ⅱ</w:t>
            </w:r>
          </w:p>
        </w:tc>
      </w:tr>
      <w:tr w14:paraId="7A8421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5" w:type="dxa"/>
            <w:tcBorders>
              <w:top w:val="single" w:color="auto" w:sz="4" w:space="0"/>
              <w:left w:val="single" w:color="auto" w:sz="12" w:space="0"/>
              <w:bottom w:val="single" w:color="auto" w:sz="12" w:space="0"/>
            </w:tcBorders>
            <w:vAlign w:val="center"/>
          </w:tcPr>
          <w:p w14:paraId="5EA0764C">
            <w:pPr>
              <w:widowControl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w:t>
            </w:r>
            <w:r>
              <w:rPr>
                <w:rFonts w:hint="default" w:ascii="Times New Roman" w:hAnsi="Times New Roman" w:eastAsia="宋体" w:cs="Times New Roman"/>
                <w:color w:val="auto"/>
                <w:kern w:val="2"/>
                <w:sz w:val="21"/>
                <w:szCs w:val="21"/>
                <w:lang w:val="en-US" w:eastAsia="zh-CN" w:bidi="ar-SA"/>
              </w:rPr>
              <w:t>0m</w:t>
            </w:r>
          </w:p>
        </w:tc>
        <w:tc>
          <w:tcPr>
            <w:tcW w:w="1705" w:type="dxa"/>
            <w:tcBorders>
              <w:top w:val="single" w:color="auto" w:sz="4" w:space="0"/>
              <w:bottom w:val="single" w:color="auto" w:sz="12" w:space="0"/>
            </w:tcBorders>
            <w:vAlign w:val="center"/>
          </w:tcPr>
          <w:p w14:paraId="05BAF8A8">
            <w:pPr>
              <w:widowControl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r>
              <w:rPr>
                <w:rFonts w:hint="default" w:ascii="Times New Roman" w:hAnsi="Times New Roman" w:eastAsia="宋体" w:cs="Times New Roman"/>
                <w:color w:val="auto"/>
                <w:kern w:val="2"/>
                <w:sz w:val="21"/>
                <w:szCs w:val="21"/>
                <w:lang w:val="en-US" w:eastAsia="zh-CN" w:bidi="ar-SA"/>
              </w:rPr>
              <w:t>m</w:t>
            </w:r>
          </w:p>
        </w:tc>
        <w:tc>
          <w:tcPr>
            <w:tcW w:w="1706" w:type="dxa"/>
            <w:tcBorders>
              <w:top w:val="single" w:color="auto" w:sz="4" w:space="0"/>
              <w:bottom w:val="single" w:color="auto" w:sz="12" w:space="0"/>
            </w:tcBorders>
            <w:vAlign w:val="center"/>
          </w:tcPr>
          <w:p w14:paraId="35D4D3CE">
            <w:pPr>
              <w:widowControl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r>
              <w:rPr>
                <w:rFonts w:hint="default" w:ascii="Times New Roman" w:hAnsi="Times New Roman" w:eastAsia="宋体" w:cs="Times New Roman"/>
                <w:color w:val="auto"/>
                <w:kern w:val="2"/>
                <w:sz w:val="21"/>
                <w:szCs w:val="21"/>
                <w:lang w:val="en-US" w:eastAsia="zh-CN" w:bidi="ar-SA"/>
              </w:rPr>
              <w:t>t</w:t>
            </w:r>
          </w:p>
        </w:tc>
        <w:tc>
          <w:tcPr>
            <w:tcW w:w="1706" w:type="dxa"/>
            <w:tcBorders>
              <w:top w:val="single" w:color="auto" w:sz="4" w:space="0"/>
              <w:bottom w:val="single" w:color="auto" w:sz="12" w:space="0"/>
            </w:tcBorders>
            <w:vAlign w:val="center"/>
          </w:tcPr>
          <w:p w14:paraId="62BD2C2F">
            <w:pPr>
              <w:widowControl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60</w:t>
            </w:r>
            <w:r>
              <w:rPr>
                <w:rFonts w:hint="default" w:ascii="Times New Roman" w:hAnsi="Times New Roman" w:eastAsia="宋体" w:cs="Times New Roman"/>
                <w:color w:val="auto"/>
                <w:kern w:val="2"/>
                <w:sz w:val="21"/>
                <w:szCs w:val="21"/>
                <w:lang w:val="en-US" w:eastAsia="zh-CN" w:bidi="ar-SA"/>
              </w:rPr>
              <w:t>m</w:t>
            </w:r>
          </w:p>
        </w:tc>
        <w:tc>
          <w:tcPr>
            <w:tcW w:w="1706" w:type="dxa"/>
            <w:tcBorders>
              <w:top w:val="single" w:color="auto" w:sz="4" w:space="0"/>
              <w:bottom w:val="single" w:color="auto" w:sz="12" w:space="0"/>
              <w:right w:val="single" w:color="auto" w:sz="12" w:space="0"/>
            </w:tcBorders>
            <w:vAlign w:val="center"/>
          </w:tcPr>
          <w:p w14:paraId="0E510AA9">
            <w:pPr>
              <w:widowControl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1.775</w:t>
            </w:r>
            <w:r>
              <w:rPr>
                <w:rFonts w:hint="default" w:ascii="Times New Roman" w:hAnsi="Times New Roman" w:eastAsia="宋体" w:cs="Times New Roman"/>
                <w:color w:val="auto"/>
                <w:kern w:val="2"/>
                <w:sz w:val="21"/>
                <w:szCs w:val="21"/>
                <w:lang w:val="en-US" w:eastAsia="zh-CN" w:bidi="ar-SA"/>
              </w:rPr>
              <w:t>t</w:t>
            </w:r>
          </w:p>
        </w:tc>
      </w:tr>
    </w:tbl>
    <w:p w14:paraId="65D838EC">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在以上幅度Ⅰ、幅度Ⅱ处以最低安全速度将对应的吊重吊离地面 100～200mm处，并在吊钩上逐次增加重量至 1.25 倍，停留 10min，卸载后检查金属结构及焊缝是否出现可见裂纹，永久变形、连接松动。（注意：静态超载实验不允许进行变幅及回转）</w:t>
      </w:r>
    </w:p>
    <w:p w14:paraId="201B75FB">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bookmarkStart w:id="78" w:name="_Toc9421_WPSOffice_Level2"/>
      <w:bookmarkStart w:id="79" w:name="_Toc31009_WPSOffice_Level2"/>
      <w:bookmarkStart w:id="80" w:name="_Toc3708_WPSOffice_Level2"/>
      <w:r>
        <w:rPr>
          <w:rFonts w:hint="default" w:ascii="Times New Roman" w:hAnsi="Times New Roman" w:eastAsia="宋体" w:cs="Times New Roman"/>
          <w:color w:val="auto"/>
          <w:kern w:val="0"/>
          <w:sz w:val="24"/>
          <w:szCs w:val="24"/>
          <w:lang w:val="en-US" w:eastAsia="zh-CN" w:bidi="ar-SA"/>
        </w:rPr>
        <w:t>（4）超载 10%动态实验（四倍率）</w:t>
      </w:r>
      <w:bookmarkEnd w:id="78"/>
      <w:bookmarkEnd w:id="79"/>
      <w:bookmarkEnd w:id="80"/>
    </w:p>
    <w:p w14:paraId="4D9D4574">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60</w:t>
      </w:r>
      <w:r>
        <w:rPr>
          <w:rFonts w:hint="default" w:ascii="Times New Roman" w:hAnsi="Times New Roman" w:eastAsia="宋体" w:cs="Times New Roman"/>
          <w:color w:val="auto"/>
          <w:kern w:val="0"/>
          <w:sz w:val="24"/>
          <w:szCs w:val="24"/>
          <w:lang w:val="en-US" w:eastAsia="zh-CN" w:bidi="ar-SA"/>
        </w:rPr>
        <w:t>m臂在最大幅度</w:t>
      </w:r>
      <w:r>
        <w:rPr>
          <w:rFonts w:hint="eastAsia" w:cs="Times New Roman"/>
          <w:color w:val="auto"/>
          <w:kern w:val="0"/>
          <w:sz w:val="24"/>
          <w:szCs w:val="24"/>
          <w:lang w:val="en-US" w:eastAsia="zh-CN" w:bidi="ar-SA"/>
        </w:rPr>
        <w:t>6</w:t>
      </w:r>
      <w:r>
        <w:rPr>
          <w:rFonts w:hint="default" w:ascii="Times New Roman" w:hAnsi="Times New Roman" w:eastAsia="宋体" w:cs="Times New Roman"/>
          <w:color w:val="auto"/>
          <w:kern w:val="0"/>
          <w:sz w:val="24"/>
          <w:szCs w:val="24"/>
          <w:lang w:val="en-US" w:eastAsia="zh-CN" w:bidi="ar-SA"/>
        </w:rPr>
        <w:t>0m处，吊重</w:t>
      </w:r>
      <w:r>
        <w:rPr>
          <w:rFonts w:hint="eastAsia" w:cs="Times New Roman"/>
          <w:color w:val="auto"/>
          <w:kern w:val="0"/>
          <w:sz w:val="24"/>
          <w:szCs w:val="24"/>
          <w:lang w:val="en-US" w:eastAsia="zh-CN" w:bidi="ar-SA"/>
        </w:rPr>
        <w:t>1.562</w:t>
      </w:r>
      <w:r>
        <w:rPr>
          <w:rFonts w:hint="default" w:ascii="Times New Roman" w:hAnsi="Times New Roman" w:eastAsia="宋体" w:cs="Times New Roman"/>
          <w:color w:val="auto"/>
          <w:kern w:val="0"/>
          <w:sz w:val="24"/>
          <w:szCs w:val="24"/>
          <w:lang w:val="en-US" w:eastAsia="zh-CN" w:bidi="ar-SA"/>
        </w:rPr>
        <w:t>t，对各机构对应的全程范围内进行 3 次动作，各机构应动作灵活，制动器动作可靠。机构及结构各部件无异常现象，连接无松动和破坏。</w:t>
      </w:r>
    </w:p>
    <w:p w14:paraId="1F9E2EE1">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试验合格并取得当地特检所颁发的检测报告和使用登记证后方可正式投入使用。</w:t>
      </w:r>
    </w:p>
    <w:p w14:paraId="596CAC1D">
      <w:pPr>
        <w:pStyle w:val="5"/>
        <w:bidi w:val="0"/>
        <w:rPr>
          <w:rFonts w:hint="default" w:ascii="Times New Roman" w:hAnsi="Times New Roman" w:cs="Times New Roman"/>
          <w:lang w:val="en-US" w:eastAsia="zh-CN"/>
        </w:rPr>
      </w:pPr>
      <w:bookmarkStart w:id="81" w:name="_Toc15433"/>
      <w:bookmarkStart w:id="82" w:name="_Toc16024"/>
      <w:bookmarkStart w:id="83" w:name="_Toc40778442"/>
      <w:r>
        <w:rPr>
          <w:rFonts w:hint="default" w:ascii="Times New Roman" w:hAnsi="Times New Roman" w:cs="Times New Roman"/>
          <w:lang w:val="en-US" w:eastAsia="zh-CN"/>
        </w:rPr>
        <w:t>检查要求</w:t>
      </w:r>
      <w:bookmarkEnd w:id="81"/>
      <w:bookmarkEnd w:id="82"/>
    </w:p>
    <w:p w14:paraId="74CECA1F">
      <w:pPr>
        <w:pStyle w:val="6"/>
        <w:bidi w:val="0"/>
        <w:rPr>
          <w:rFonts w:hint="default" w:ascii="Times New Roman" w:hAnsi="Times New Roman" w:cs="Times New Roman"/>
        </w:rPr>
      </w:pPr>
      <w:r>
        <w:rPr>
          <w:rFonts w:hint="default" w:ascii="Times New Roman" w:hAnsi="Times New Roman" w:cs="Times New Roman"/>
        </w:rPr>
        <w:t>塔式起重机结构安全</w:t>
      </w:r>
    </w:p>
    <w:p w14:paraId="6394EC3C">
      <w:pPr>
        <w:rPr>
          <w:rFonts w:hint="default" w:ascii="Times New Roman" w:hAnsi="Times New Roman" w:cs="Times New Roman"/>
        </w:rPr>
      </w:pPr>
      <w:r>
        <w:rPr>
          <w:rFonts w:hint="default" w:ascii="Times New Roman" w:hAnsi="Times New Roman" w:cs="Times New Roman"/>
        </w:rPr>
        <w:t>（1）塔吊垂直度允许偏差范围</w:t>
      </w:r>
    </w:p>
    <w:p w14:paraId="26E3CE58">
      <w:pPr>
        <w:rPr>
          <w:rFonts w:hint="default" w:ascii="Times New Roman" w:hAnsi="Times New Roman" w:cs="Times New Roman"/>
        </w:rPr>
      </w:pPr>
      <w:r>
        <w:rPr>
          <w:rFonts w:hint="default" w:ascii="Times New Roman" w:hAnsi="Times New Roman" w:cs="Times New Roman"/>
        </w:rPr>
        <w:t>JGJ196-2010《建筑施工塔式起重机安装、使用、拆卸安全技术规程》第30页对塔吊垂直度要求规定如下：独立状态或附墙状态下最高附墙点以上塔身轴线对支承面垂直度不得大于4/1000，最高附墙点下塔身轴线对支承面垂直度不得大于相应高度的2/1000。</w:t>
      </w:r>
    </w:p>
    <w:p w14:paraId="517E11C4">
      <w:pPr>
        <w:rPr>
          <w:rFonts w:hint="default" w:ascii="Times New Roman" w:hAnsi="Times New Roman" w:cs="Times New Roman"/>
        </w:rPr>
      </w:pPr>
      <w:r>
        <w:rPr>
          <w:rFonts w:hint="default" w:ascii="Times New Roman" w:hAnsi="Times New Roman" w:cs="Times New Roman"/>
        </w:rPr>
        <w:t>（2）塔吊垂直度计算</w:t>
      </w:r>
    </w:p>
    <w:p w14:paraId="2806E250">
      <w:pPr>
        <w:rPr>
          <w:rFonts w:hint="default" w:ascii="Times New Roman" w:hAnsi="Times New Roman" w:cs="Times New Roman"/>
        </w:rPr>
      </w:pPr>
      <w:r>
        <w:rPr>
          <w:rFonts w:hint="default" w:ascii="Times New Roman" w:hAnsi="Times New Roman" w:cs="Times New Roman"/>
        </w:rPr>
        <w:t>塔吊垂直度&lt;4/1000，安装附墙装置后，附墙以下&lt;2/1000，附墙以上&lt;4/1000。</w:t>
      </w:r>
    </w:p>
    <w:p w14:paraId="46521545">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电气要求</w:t>
      </w:r>
    </w:p>
    <w:p w14:paraId="68F317B7">
      <w:pPr>
        <w:rPr>
          <w:rFonts w:hint="default" w:ascii="Times New Roman" w:hAnsi="Times New Roman" w:cs="Times New Roman"/>
          <w:lang w:val="en-US" w:eastAsia="zh-CN"/>
        </w:rPr>
      </w:pPr>
      <w:r>
        <w:rPr>
          <w:rFonts w:hint="default" w:ascii="Times New Roman" w:hAnsi="Times New Roman" w:cs="Times New Roman"/>
          <w:lang w:val="en-US" w:eastAsia="zh-CN"/>
        </w:rPr>
        <w:t>（1）电气部分</w:t>
      </w:r>
    </w:p>
    <w:p w14:paraId="11603A21">
      <w:pPr>
        <w:rPr>
          <w:rFonts w:hint="default" w:ascii="Times New Roman" w:hAnsi="Times New Roman" w:cs="Times New Roman"/>
          <w:lang w:val="en-US" w:eastAsia="zh-CN"/>
        </w:rPr>
      </w:pPr>
      <w:r>
        <w:rPr>
          <w:rFonts w:hint="default" w:ascii="Times New Roman" w:hAnsi="Times New Roman" w:cs="Times New Roman"/>
          <w:lang w:val="en-US" w:eastAsia="zh-CN"/>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4E25DADE">
      <w:pPr>
        <w:rPr>
          <w:rFonts w:hint="default" w:ascii="Times New Roman" w:hAnsi="Times New Roman" w:cs="Times New Roman"/>
          <w:lang w:val="en-US" w:eastAsia="zh-CN"/>
        </w:rPr>
      </w:pPr>
      <w:r>
        <w:rPr>
          <w:rFonts w:hint="default" w:ascii="Times New Roman" w:hAnsi="Times New Roman" w:cs="Times New Roman"/>
          <w:lang w:val="en-US" w:eastAsia="zh-CN"/>
        </w:rPr>
        <w:t>（2）供电</w:t>
      </w:r>
    </w:p>
    <w:p w14:paraId="62DB1C5A">
      <w:pPr>
        <w:rPr>
          <w:rFonts w:hint="default" w:ascii="Times New Roman" w:hAnsi="Times New Roman" w:cs="Times New Roman"/>
          <w:lang w:val="en-US" w:eastAsia="zh-CN"/>
        </w:rPr>
      </w:pPr>
      <w:r>
        <w:rPr>
          <w:rFonts w:hint="default" w:ascii="Times New Roman" w:hAnsi="Times New Roman" w:cs="Times New Roman"/>
          <w:lang w:val="en-US" w:eastAsia="zh-CN"/>
        </w:rPr>
        <w:t>起重机供电电源为三相交流电源,电压380V±10%,频率50HZ。</w:t>
      </w:r>
    </w:p>
    <w:p w14:paraId="6F9F989E">
      <w:pPr>
        <w:rPr>
          <w:rFonts w:hint="default" w:ascii="Times New Roman" w:hAnsi="Times New Roman" w:cs="Times New Roman"/>
          <w:lang w:val="en-US" w:eastAsia="zh-CN"/>
        </w:rPr>
      </w:pPr>
      <w:r>
        <w:rPr>
          <w:rFonts w:hint="default" w:ascii="Times New Roman" w:hAnsi="Times New Roman" w:cs="Times New Roman"/>
          <w:lang w:val="en-US" w:eastAsia="zh-CN"/>
        </w:rPr>
        <w:t>（3）电气保护</w:t>
      </w:r>
    </w:p>
    <w:p w14:paraId="56509A1C">
      <w:pPr>
        <w:rPr>
          <w:rFonts w:hint="default" w:ascii="Times New Roman" w:hAnsi="Times New Roman" w:cs="Times New Roman"/>
          <w:lang w:val="en-US" w:eastAsia="zh-CN"/>
        </w:rPr>
      </w:pPr>
      <w:r>
        <w:rPr>
          <w:rFonts w:hint="default" w:ascii="Times New Roman" w:hAnsi="Times New Roman" w:cs="Times New Roman"/>
          <w:lang w:val="en-US" w:eastAsia="zh-CN"/>
        </w:rPr>
        <w:t>1、短路及过载保护:</w:t>
      </w:r>
    </w:p>
    <w:p w14:paraId="75838749">
      <w:pPr>
        <w:rPr>
          <w:rFonts w:hint="default" w:ascii="Times New Roman" w:hAnsi="Times New Roman" w:cs="Times New Roman"/>
          <w:lang w:val="en-US" w:eastAsia="zh-CN"/>
        </w:rPr>
      </w:pPr>
      <w:r>
        <w:rPr>
          <w:rFonts w:hint="default" w:ascii="Times New Roman" w:hAnsi="Times New Roman" w:cs="Times New Roman"/>
          <w:lang w:val="en-US" w:eastAsia="zh-CN"/>
        </w:rPr>
        <w:t>起重机总受电屏、控制屏进出电源设置断路器、控制回路设置小容量断路器，使各机构在短路，过载等事故状态下，迅速与电源脱离,以达到保护设备及人机安全的目的。</w:t>
      </w:r>
    </w:p>
    <w:p w14:paraId="0A470AD4">
      <w:pPr>
        <w:rPr>
          <w:rFonts w:hint="default" w:ascii="Times New Roman" w:hAnsi="Times New Roman" w:cs="Times New Roman"/>
          <w:lang w:val="en-US" w:eastAsia="zh-CN"/>
        </w:rPr>
      </w:pPr>
      <w:r>
        <w:rPr>
          <w:rFonts w:hint="default" w:ascii="Times New Roman" w:hAnsi="Times New Roman" w:cs="Times New Roman"/>
          <w:lang w:val="en-US" w:eastAsia="zh-CN"/>
        </w:rPr>
        <w:t>2、失压保护:</w:t>
      </w:r>
    </w:p>
    <w:p w14:paraId="5792C0A5">
      <w:pPr>
        <w:rPr>
          <w:rFonts w:hint="default" w:ascii="Times New Roman" w:hAnsi="Times New Roman" w:cs="Times New Roman"/>
          <w:lang w:val="en-US" w:eastAsia="zh-CN"/>
        </w:rPr>
      </w:pPr>
      <w:r>
        <w:rPr>
          <w:rFonts w:hint="default" w:ascii="Times New Roman" w:hAnsi="Times New Roman" w:cs="Times New Roman"/>
          <w:lang w:val="en-US" w:eastAsia="zh-CN"/>
        </w:rPr>
        <w:t>在总受电屏及机构控制屏中，用线路接触器作为失压保护装置，当供电电源中断时,能够自动断开电源。</w:t>
      </w:r>
    </w:p>
    <w:p w14:paraId="2E40B584">
      <w:pPr>
        <w:rPr>
          <w:rFonts w:hint="default" w:ascii="Times New Roman" w:hAnsi="Times New Roman" w:cs="Times New Roman"/>
          <w:lang w:val="en-US" w:eastAsia="zh-CN"/>
        </w:rPr>
      </w:pPr>
      <w:r>
        <w:rPr>
          <w:rFonts w:hint="default" w:ascii="Times New Roman" w:hAnsi="Times New Roman" w:cs="Times New Roman"/>
          <w:lang w:val="en-US" w:eastAsia="zh-CN"/>
        </w:rPr>
        <w:t>3、零位保护:</w:t>
      </w:r>
    </w:p>
    <w:p w14:paraId="36B61079">
      <w:pPr>
        <w:rPr>
          <w:rFonts w:hint="default" w:ascii="Times New Roman" w:hAnsi="Times New Roman" w:cs="Times New Roman"/>
          <w:lang w:val="en-US" w:eastAsia="zh-CN"/>
        </w:rPr>
      </w:pPr>
      <w:r>
        <w:rPr>
          <w:rFonts w:hint="default" w:ascii="Times New Roman" w:hAnsi="Times New Roman" w:cs="Times New Roman"/>
          <w:lang w:val="en-US" w:eastAsia="zh-CN"/>
        </w:rPr>
        <w:t>司机室的联动台凸轮控制器手柄上设有零位连锁，达到零位的目的。即当起重机开始运转前和失压恢复供电时，必须将控制器的手柄置于零位，各机构的电动机才能启动工作。</w:t>
      </w:r>
    </w:p>
    <w:p w14:paraId="7B7AC1AD">
      <w:pPr>
        <w:rPr>
          <w:rFonts w:hint="default" w:ascii="Times New Roman" w:hAnsi="Times New Roman" w:cs="Times New Roman"/>
          <w:lang w:val="en-US" w:eastAsia="zh-CN"/>
        </w:rPr>
      </w:pPr>
      <w:r>
        <w:rPr>
          <w:rFonts w:hint="default" w:ascii="Times New Roman" w:hAnsi="Times New Roman" w:cs="Times New Roman"/>
          <w:lang w:val="en-US" w:eastAsia="zh-CN"/>
        </w:rPr>
        <w:t>4、紧急断电保护:</w:t>
      </w:r>
    </w:p>
    <w:p w14:paraId="56526315">
      <w:pPr>
        <w:rPr>
          <w:rFonts w:hint="default" w:ascii="Times New Roman" w:hAnsi="Times New Roman" w:cs="Times New Roman"/>
          <w:lang w:val="en-US" w:eastAsia="zh-CN"/>
        </w:rPr>
      </w:pPr>
      <w:r>
        <w:rPr>
          <w:rFonts w:hint="default" w:ascii="Times New Roman" w:hAnsi="Times New Roman" w:cs="Times New Roman"/>
          <w:lang w:val="en-US" w:eastAsia="zh-CN"/>
        </w:rPr>
        <w:t>司机室内设有紧急断电按钮，当起重机发生紧急情况时，随时方便地切</w:t>
      </w:r>
    </w:p>
    <w:p w14:paraId="610556D4">
      <w:pPr>
        <w:rPr>
          <w:rFonts w:hint="default" w:ascii="Times New Roman" w:hAnsi="Times New Roman" w:cs="Times New Roman"/>
          <w:lang w:val="en-US" w:eastAsia="zh-CN"/>
        </w:rPr>
      </w:pPr>
      <w:r>
        <w:rPr>
          <w:rFonts w:hint="default" w:ascii="Times New Roman" w:hAnsi="Times New Roman" w:cs="Times New Roman"/>
          <w:lang w:val="en-US" w:eastAsia="zh-CN"/>
        </w:rPr>
        <w:t>断控制回路电源，从而使主回路断电，确保起重机的安全运行。</w:t>
      </w:r>
    </w:p>
    <w:p w14:paraId="168FC4FF">
      <w:pPr>
        <w:rPr>
          <w:rFonts w:hint="default" w:ascii="Times New Roman" w:hAnsi="Times New Roman" w:cs="Times New Roman"/>
          <w:lang w:val="en-US" w:eastAsia="zh-CN"/>
        </w:rPr>
      </w:pPr>
      <w:r>
        <w:rPr>
          <w:rFonts w:hint="default" w:ascii="Times New Roman" w:hAnsi="Times New Roman" w:cs="Times New Roman"/>
          <w:lang w:val="en-US" w:eastAsia="zh-CN"/>
        </w:rPr>
        <w:t>5、上升高度及下降深度限位保护:</w:t>
      </w:r>
    </w:p>
    <w:p w14:paraId="1C52A282">
      <w:pPr>
        <w:rPr>
          <w:rFonts w:hint="default" w:ascii="Times New Roman" w:hAnsi="Times New Roman" w:cs="Times New Roman"/>
          <w:lang w:val="en-US" w:eastAsia="zh-CN"/>
        </w:rPr>
      </w:pPr>
      <w:r>
        <w:rPr>
          <w:rFonts w:hint="default" w:ascii="Times New Roman" w:hAnsi="Times New Roman" w:cs="Times New Roman"/>
          <w:lang w:val="en-US" w:eastAsia="zh-CN"/>
        </w:rPr>
        <w:t>起升启动加软启动，起升机构设有双限位开关，可保证吊钩上升到极限位置时切断电源，从而达到减速和停车的目的，确保起重机的安全运行。</w:t>
      </w:r>
    </w:p>
    <w:p w14:paraId="6B073E85">
      <w:pPr>
        <w:rPr>
          <w:rFonts w:hint="default" w:ascii="Times New Roman" w:hAnsi="Times New Roman" w:cs="Times New Roman"/>
          <w:lang w:val="en-US" w:eastAsia="zh-CN"/>
        </w:rPr>
      </w:pPr>
      <w:r>
        <w:rPr>
          <w:rFonts w:hint="default" w:ascii="Times New Roman" w:hAnsi="Times New Roman" w:cs="Times New Roman"/>
          <w:lang w:val="en-US" w:eastAsia="zh-CN"/>
        </w:rPr>
        <w:t>6、运行形成限位保护</w:t>
      </w:r>
    </w:p>
    <w:p w14:paraId="26769518">
      <w:pPr>
        <w:rPr>
          <w:rFonts w:hint="default" w:ascii="Times New Roman" w:hAnsi="Times New Roman" w:cs="Times New Roman"/>
          <w:lang w:val="en-US" w:eastAsia="zh-CN"/>
        </w:rPr>
      </w:pPr>
      <w:r>
        <w:rPr>
          <w:rFonts w:hint="default" w:ascii="Times New Roman" w:hAnsi="Times New Roman" w:cs="Times New Roman"/>
          <w:lang w:val="en-US" w:eastAsia="zh-CN"/>
        </w:rPr>
        <w:t>起重臂设有小车形成限位器，可保证小车行走到到极限位置时切断电源，使主回路断电，从而达到减速和停车的目的，确保起重机的安全运行。</w:t>
      </w:r>
    </w:p>
    <w:p w14:paraId="65E75B13">
      <w:pPr>
        <w:rPr>
          <w:rFonts w:hint="default" w:ascii="Times New Roman" w:hAnsi="Times New Roman" w:cs="Times New Roman"/>
          <w:lang w:val="en-US" w:eastAsia="zh-CN"/>
        </w:rPr>
      </w:pPr>
      <w:r>
        <w:rPr>
          <w:rFonts w:hint="default" w:ascii="Times New Roman" w:hAnsi="Times New Roman" w:cs="Times New Roman"/>
          <w:lang w:val="en-US" w:eastAsia="zh-CN"/>
        </w:rPr>
        <w:t>7、起重力矩限制保护</w:t>
      </w:r>
    </w:p>
    <w:p w14:paraId="2FF41A5D">
      <w:pPr>
        <w:rPr>
          <w:rFonts w:hint="default" w:ascii="Times New Roman" w:hAnsi="Times New Roman" w:cs="Times New Roman"/>
          <w:lang w:val="en-US" w:eastAsia="zh-CN"/>
        </w:rPr>
      </w:pPr>
      <w:r>
        <w:rPr>
          <w:rFonts w:hint="default" w:ascii="Times New Roman" w:hAnsi="Times New Roman" w:cs="Times New Roman"/>
          <w:lang w:val="en-US" w:eastAsia="zh-CN"/>
        </w:rPr>
        <w:t>起升机构配置起重力矩限制器，具有报警功能，当载荷达到额定起重力矩的90％时，能发出提示性报警信号，当起重量超过额定起重力矩时，能自动切断起升动力源，并发出禁止性报警信号。</w:t>
      </w:r>
    </w:p>
    <w:p w14:paraId="14C97DF4">
      <w:pPr>
        <w:rPr>
          <w:rFonts w:hint="default" w:ascii="Times New Roman" w:hAnsi="Times New Roman" w:cs="Times New Roman"/>
          <w:lang w:val="en-US" w:eastAsia="zh-CN"/>
        </w:rPr>
      </w:pPr>
      <w:r>
        <w:rPr>
          <w:rFonts w:hint="default" w:ascii="Times New Roman" w:hAnsi="Times New Roman" w:cs="Times New Roman"/>
          <w:lang w:val="en-US" w:eastAsia="zh-CN"/>
        </w:rPr>
        <w:t>8、回转限位保护</w:t>
      </w:r>
    </w:p>
    <w:p w14:paraId="7F16EAA6">
      <w:pPr>
        <w:rPr>
          <w:rFonts w:hint="default" w:ascii="Times New Roman" w:hAnsi="Times New Roman" w:cs="Times New Roman"/>
          <w:lang w:val="en-US" w:eastAsia="zh-CN"/>
        </w:rPr>
      </w:pPr>
      <w:r>
        <w:rPr>
          <w:rFonts w:hint="default" w:ascii="Times New Roman" w:hAnsi="Times New Roman" w:cs="Times New Roman"/>
          <w:lang w:val="en-US" w:eastAsia="zh-CN"/>
        </w:rPr>
        <w:t>回转齿轮处设有回转限位保护器，当回转机构旋转到极限角度时切断电源，使主回路断电，从而达到减速和停车的目的，确保起重机的安全运行。</w:t>
      </w:r>
    </w:p>
    <w:p w14:paraId="018D1C83">
      <w:pPr>
        <w:rPr>
          <w:rFonts w:hint="default" w:ascii="Times New Roman" w:hAnsi="Times New Roman" w:cs="Times New Roman"/>
          <w:lang w:val="en-US" w:eastAsia="zh-CN"/>
        </w:rPr>
      </w:pPr>
      <w:r>
        <w:rPr>
          <w:rFonts w:hint="default" w:ascii="Times New Roman" w:hAnsi="Times New Roman" w:cs="Times New Roman"/>
          <w:lang w:val="en-US" w:eastAsia="zh-CN"/>
        </w:rPr>
        <w:t>9、门开关保护:</w:t>
      </w:r>
    </w:p>
    <w:p w14:paraId="5AF7A4D8">
      <w:pPr>
        <w:rPr>
          <w:rFonts w:hint="default" w:ascii="Times New Roman" w:hAnsi="Times New Roman" w:cs="Times New Roman"/>
          <w:lang w:val="en-US" w:eastAsia="zh-CN"/>
        </w:rPr>
      </w:pPr>
      <w:r>
        <w:rPr>
          <w:rFonts w:hint="default" w:ascii="Times New Roman" w:hAnsi="Times New Roman" w:cs="Times New Roman"/>
          <w:lang w:val="en-US" w:eastAsia="zh-CN"/>
        </w:rPr>
        <w:t>进入起重机的门和桥架斜梯门上均设有安全开关。当其中任意一个安全开关断开时，总接触器即自动断开，可避免误入大车走台造成事故。大车上车门设联系按钮。</w:t>
      </w:r>
    </w:p>
    <w:p w14:paraId="1E9A9DF2">
      <w:pPr>
        <w:rPr>
          <w:rFonts w:hint="default" w:ascii="Times New Roman" w:hAnsi="Times New Roman" w:cs="Times New Roman"/>
          <w:lang w:val="en-US" w:eastAsia="zh-CN"/>
        </w:rPr>
      </w:pPr>
      <w:r>
        <w:rPr>
          <w:rFonts w:hint="default" w:ascii="Times New Roman" w:hAnsi="Times New Roman" w:cs="Times New Roman"/>
          <w:lang w:val="en-US" w:eastAsia="zh-CN"/>
        </w:rPr>
        <w:t>10、控制柜,端子箱防护等级IP55，端子箱采用下部或侧部进线上部做防雨，</w:t>
      </w:r>
    </w:p>
    <w:p w14:paraId="24B9B6AA">
      <w:pPr>
        <w:rPr>
          <w:rFonts w:hint="default" w:ascii="Times New Roman" w:hAnsi="Times New Roman" w:cs="Times New Roman"/>
          <w:lang w:val="en-US" w:eastAsia="zh-CN"/>
        </w:rPr>
      </w:pPr>
      <w:r>
        <w:rPr>
          <w:rFonts w:hint="default" w:ascii="Times New Roman" w:hAnsi="Times New Roman" w:cs="Times New Roman"/>
          <w:lang w:val="en-US" w:eastAsia="zh-CN"/>
        </w:rPr>
        <w:t>槽盖加防脱落装置。</w:t>
      </w:r>
    </w:p>
    <w:p w14:paraId="6CE3F838">
      <w:pPr>
        <w:rPr>
          <w:rFonts w:hint="default" w:ascii="Times New Roman" w:hAnsi="Times New Roman" w:cs="Times New Roman"/>
          <w:lang w:val="en-US" w:eastAsia="zh-CN"/>
        </w:rPr>
      </w:pPr>
      <w:r>
        <w:rPr>
          <w:rFonts w:hint="default" w:ascii="Times New Roman" w:hAnsi="Times New Roman" w:cs="Times New Roman"/>
          <w:lang w:val="en-US" w:eastAsia="zh-CN"/>
        </w:rPr>
        <w:t>（3）操纵方式:</w:t>
      </w:r>
    </w:p>
    <w:p w14:paraId="49114F40">
      <w:pPr>
        <w:rPr>
          <w:rFonts w:hint="default" w:ascii="Times New Roman" w:hAnsi="Times New Roman" w:cs="Times New Roman"/>
          <w:lang w:val="en-US" w:eastAsia="zh-CN"/>
        </w:rPr>
      </w:pPr>
      <w:r>
        <w:rPr>
          <w:rFonts w:hint="default" w:ascii="Times New Roman" w:hAnsi="Times New Roman" w:cs="Times New Roman"/>
          <w:lang w:val="en-US" w:eastAsia="zh-CN"/>
        </w:rPr>
        <w:t>1、司机室设有总电源和控制电源开关状态信号指示灯。</w:t>
      </w:r>
    </w:p>
    <w:p w14:paraId="4953762F">
      <w:pPr>
        <w:rPr>
          <w:rFonts w:hint="default" w:ascii="Times New Roman" w:hAnsi="Times New Roman" w:cs="Times New Roman"/>
          <w:lang w:val="en-US" w:eastAsia="zh-CN"/>
        </w:rPr>
      </w:pPr>
      <w:r>
        <w:rPr>
          <w:rFonts w:hint="default" w:ascii="Times New Roman" w:hAnsi="Times New Roman" w:cs="Times New Roman"/>
          <w:lang w:val="en-US" w:eastAsia="zh-CN"/>
        </w:rPr>
        <w:t>2、司机室设置交流220V电源插座及三相380V电源，备接其它电气设备。</w:t>
      </w:r>
    </w:p>
    <w:p w14:paraId="21FFC855">
      <w:pPr>
        <w:rPr>
          <w:rFonts w:hint="default" w:ascii="Times New Roman" w:hAnsi="Times New Roman" w:cs="Times New Roman"/>
          <w:lang w:val="en-US" w:eastAsia="zh-CN"/>
        </w:rPr>
      </w:pPr>
      <w:r>
        <w:rPr>
          <w:rFonts w:hint="default" w:ascii="Times New Roman" w:hAnsi="Times New Roman" w:cs="Times New Roman"/>
          <w:lang w:val="en-US" w:eastAsia="zh-CN"/>
        </w:rPr>
        <w:t>3、司机室设有36V插座，以便于检修作业。</w:t>
      </w:r>
    </w:p>
    <w:p w14:paraId="5BC5A766">
      <w:pPr>
        <w:rPr>
          <w:rFonts w:hint="default" w:ascii="Times New Roman" w:hAnsi="Times New Roman" w:cs="Times New Roman"/>
          <w:lang w:val="en-US" w:eastAsia="zh-CN"/>
        </w:rPr>
      </w:pPr>
      <w:r>
        <w:rPr>
          <w:rFonts w:hint="default" w:ascii="Times New Roman" w:hAnsi="Times New Roman" w:cs="Times New Roman"/>
          <w:lang w:val="en-US" w:eastAsia="zh-CN"/>
        </w:rPr>
        <w:t>4、司机室用交流220V/40W荧光灯具照明，以满足照度不低于200L×的要求。</w:t>
      </w:r>
    </w:p>
    <w:p w14:paraId="02BA8625">
      <w:pPr>
        <w:rPr>
          <w:rFonts w:hint="default" w:ascii="Times New Roman" w:hAnsi="Times New Roman" w:cs="Times New Roman"/>
          <w:lang w:val="en-US" w:eastAsia="zh-CN"/>
        </w:rPr>
      </w:pPr>
      <w:r>
        <w:rPr>
          <w:rFonts w:hint="default" w:ascii="Times New Roman" w:hAnsi="Times New Roman" w:cs="Times New Roman"/>
          <w:lang w:val="en-US" w:eastAsia="zh-CN"/>
        </w:rPr>
        <w:t>（4）照明信号:</w:t>
      </w:r>
    </w:p>
    <w:p w14:paraId="4C4944C0">
      <w:pPr>
        <w:rPr>
          <w:rFonts w:hint="default" w:ascii="Times New Roman" w:hAnsi="Times New Roman" w:cs="Times New Roman"/>
          <w:lang w:val="en-US" w:eastAsia="zh-CN"/>
        </w:rPr>
      </w:pPr>
      <w:r>
        <w:rPr>
          <w:rFonts w:hint="default" w:ascii="Times New Roman" w:hAnsi="Times New Roman" w:cs="Times New Roman"/>
          <w:lang w:val="en-US" w:eastAsia="zh-CN"/>
        </w:rPr>
        <w:t>1、照明及信号部分设有专用的隔离变压器。原边进线电压为交流380V，副</w:t>
      </w:r>
    </w:p>
    <w:p w14:paraId="5071B062">
      <w:pPr>
        <w:rPr>
          <w:rFonts w:hint="default" w:ascii="Times New Roman" w:hAnsi="Times New Roman" w:cs="Times New Roman"/>
          <w:lang w:val="en-US" w:eastAsia="zh-CN"/>
        </w:rPr>
      </w:pPr>
      <w:r>
        <w:rPr>
          <w:rFonts w:hint="default" w:ascii="Times New Roman" w:hAnsi="Times New Roman" w:cs="Times New Roman"/>
          <w:lang w:val="en-US" w:eastAsia="zh-CN"/>
        </w:rPr>
        <w:t>边出线电压为交流220V，交流36V。交流220V为起重机照明电源；交流36V为起重机安全信号和检修电源。照明变压器从主接触器上端引线，以保证主接触器断电时，照明回路不断电。</w:t>
      </w:r>
    </w:p>
    <w:p w14:paraId="0F94CE2F">
      <w:pPr>
        <w:rPr>
          <w:rFonts w:hint="default" w:ascii="Times New Roman" w:hAnsi="Times New Roman" w:cs="Times New Roman"/>
          <w:lang w:val="en-US" w:eastAsia="zh-CN"/>
        </w:rPr>
      </w:pPr>
      <w:r>
        <w:rPr>
          <w:rFonts w:hint="default" w:ascii="Times New Roman" w:hAnsi="Times New Roman" w:cs="Times New Roman"/>
          <w:lang w:val="en-US" w:eastAsia="zh-CN"/>
        </w:rPr>
        <w:t>2、设有报警装置,开车时起提示作用，在司机室通过脚踏开关控制。</w:t>
      </w:r>
    </w:p>
    <w:p w14:paraId="035E1460">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焊缝要求</w:t>
      </w:r>
    </w:p>
    <w:p w14:paraId="1B944272">
      <w:pPr>
        <w:rPr>
          <w:rFonts w:hint="default" w:ascii="Times New Roman" w:hAnsi="Times New Roman" w:cs="Times New Roman"/>
          <w:lang w:val="en-US" w:eastAsia="zh-CN"/>
        </w:rPr>
      </w:pPr>
      <w:r>
        <w:rPr>
          <w:rFonts w:hint="default" w:ascii="Times New Roman" w:hAnsi="Times New Roman" w:cs="Times New Roman"/>
          <w:lang w:val="en-US" w:eastAsia="zh-CN"/>
        </w:rPr>
        <w:t>（1）焊缝外部检查不得有目测可见的裂纹、气孔、固体夹杂、未熔合、未焊透等明显缺陷。</w:t>
      </w:r>
    </w:p>
    <w:p w14:paraId="7E30142B">
      <w:pPr>
        <w:bidi w:val="0"/>
        <w:rPr>
          <w:rFonts w:hint="default" w:ascii="Times New Roman" w:hAnsi="Times New Roman" w:cs="Times New Roman"/>
          <w:lang w:val="en-US" w:eastAsia="zh-CN"/>
        </w:rPr>
      </w:pPr>
      <w:r>
        <w:rPr>
          <w:rFonts w:hint="default" w:ascii="Times New Roman" w:hAnsi="Times New Roman" w:cs="Times New Roman"/>
          <w:lang w:val="en-US" w:eastAsia="zh-CN"/>
        </w:rPr>
        <w:t>（2）制造过程中焊接质量要求：焊缝表面质量应达到《钢的弧焊接头 缺陷质量分析指南》（GB/T19418-2003）中的“B”级，焊缝内部质量应进行无损探伤，射线探伤时应不低于《金属融化焊接接头射线照相》（GB3323-2005）中规定的Ⅱ级，超声波探伤时应不低于《钢结构超声波探伤及质量分级法》（JG/T203-2007）中规定的I级。</w:t>
      </w:r>
    </w:p>
    <w:p w14:paraId="16321444">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螺栓连接要求</w:t>
      </w:r>
    </w:p>
    <w:p w14:paraId="34EA1D3A">
      <w:pPr>
        <w:bidi w:val="0"/>
        <w:rPr>
          <w:rFonts w:hint="default" w:ascii="Times New Roman" w:hAnsi="Times New Roman" w:cs="Times New Roman"/>
          <w:lang w:val="en-US" w:eastAsia="zh-CN"/>
        </w:rPr>
      </w:pPr>
      <w:r>
        <w:rPr>
          <w:rFonts w:hint="default" w:ascii="Times New Roman" w:hAnsi="Times New Roman" w:cs="Times New Roman"/>
          <w:lang w:val="en-US" w:eastAsia="zh-CN"/>
        </w:rPr>
        <w:t>（1）钢结构采用高强度螺栓完成构件的连接时，其连接接头应符合JGJ82的规定。</w:t>
      </w:r>
    </w:p>
    <w:p w14:paraId="284E6546">
      <w:pPr>
        <w:bidi w:val="0"/>
        <w:rPr>
          <w:rFonts w:hint="default" w:ascii="Times New Roman" w:hAnsi="Times New Roman" w:cs="Times New Roman"/>
          <w:lang w:val="en-US" w:eastAsia="zh-CN"/>
        </w:rPr>
      </w:pPr>
      <w:r>
        <w:rPr>
          <w:rFonts w:hint="default" w:ascii="Times New Roman" w:hAnsi="Times New Roman" w:cs="Times New Roman"/>
          <w:lang w:val="en-US" w:eastAsia="zh-CN"/>
        </w:rPr>
        <w:t>（2）大六角头高强度螺栓接头所用螺栓、螺母、垫圈及其技术要求应分别符合GB/T1228-2006、GB/T1229-2006、GB/T1230-2006、GB/T1231-2006的规定。</w:t>
      </w:r>
    </w:p>
    <w:p w14:paraId="32D928B9">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防雷接地要求</w:t>
      </w:r>
    </w:p>
    <w:p w14:paraId="01C3DEA1">
      <w:pPr>
        <w:rPr>
          <w:rFonts w:hint="default" w:ascii="Times New Roman" w:hAnsi="Times New Roman" w:cs="Times New Roman"/>
          <w:lang w:val="en-US" w:eastAsia="zh-CN"/>
        </w:rPr>
      </w:pPr>
      <w:r>
        <w:rPr>
          <w:rFonts w:hint="default" w:ascii="Times New Roman" w:hAnsi="Times New Roman" w:cs="Times New Roman"/>
          <w:lang w:val="en-US" w:eastAsia="zh-CN"/>
        </w:rPr>
        <w:t>（1）起重机的接地</w:t>
      </w:r>
    </w:p>
    <w:p w14:paraId="1FB51460">
      <w:pPr>
        <w:rPr>
          <w:rFonts w:hint="default" w:ascii="Times New Roman" w:hAnsi="Times New Roman" w:cs="Times New Roman"/>
          <w:lang w:val="en-US" w:eastAsia="zh-CN"/>
        </w:rPr>
      </w:pPr>
      <w:r>
        <w:rPr>
          <w:rFonts w:hint="default" w:ascii="Times New Roman" w:hAnsi="Times New Roman" w:cs="Times New Roman"/>
          <w:lang w:val="en-US" w:eastAsia="zh-CN"/>
        </w:rPr>
        <w:t>1、起重机的金属结构及所有电气设备的金属外壳，电缆金属外皮和变压器的低压侧均有可靠的接地。</w:t>
      </w:r>
    </w:p>
    <w:p w14:paraId="3D0248FD">
      <w:pPr>
        <w:rPr>
          <w:rFonts w:hint="default" w:ascii="Times New Roman" w:hAnsi="Times New Roman" w:cs="Times New Roman"/>
          <w:lang w:val="en-US" w:eastAsia="zh-CN"/>
        </w:rPr>
      </w:pPr>
      <w:r>
        <w:rPr>
          <w:rFonts w:hint="default" w:ascii="Times New Roman" w:hAnsi="Times New Roman" w:cs="Times New Roman"/>
          <w:lang w:val="en-US" w:eastAsia="zh-CN"/>
        </w:rPr>
        <w:t>2、接地线连接用不小于150mm2扁钢或10mm2的铜线，用焊接法连接。</w:t>
      </w:r>
    </w:p>
    <w:p w14:paraId="44E25B99">
      <w:pPr>
        <w:rPr>
          <w:rFonts w:hint="default" w:ascii="Times New Roman" w:hAnsi="Times New Roman" w:cs="Times New Roman"/>
          <w:lang w:val="en-US" w:eastAsia="zh-CN"/>
        </w:rPr>
      </w:pPr>
      <w:r>
        <w:rPr>
          <w:rFonts w:hint="default" w:ascii="Times New Roman" w:hAnsi="Times New Roman" w:cs="Times New Roman"/>
          <w:lang w:val="en-US" w:eastAsia="zh-CN"/>
        </w:rPr>
        <w:t>（2）接地方式</w:t>
      </w:r>
    </w:p>
    <w:p w14:paraId="178A0CD8">
      <w:pPr>
        <w:rPr>
          <w:rFonts w:hint="default" w:ascii="Times New Roman" w:hAnsi="Times New Roman" w:cs="Times New Roman"/>
          <w:lang w:val="en-US" w:eastAsia="zh-CN"/>
        </w:rPr>
      </w:pPr>
      <w:r>
        <w:rPr>
          <w:rFonts w:hint="default" w:ascii="Times New Roman" w:hAnsi="Times New Roman" w:cs="Times New Roman"/>
          <w:lang w:val="en-US" w:eastAsia="zh-CN"/>
        </w:rPr>
        <w:t>采用长2.3m截面积为150 mm2的钢管埋入地下2.5m处，再用50×5 mm2镀锌扁钢充分焊接引出地表作接地母线，最后采用10 mm2多股铜导线连接加强标准节底部与接地母线。</w:t>
      </w:r>
    </w:p>
    <w:p w14:paraId="7C0BD1AF">
      <w:pPr>
        <w:rPr>
          <w:rFonts w:hint="default" w:ascii="Times New Roman" w:hAnsi="Times New Roman" w:cs="Times New Roman"/>
          <w:lang w:val="en-US" w:eastAsia="zh-CN"/>
        </w:rPr>
      </w:pPr>
      <w:r>
        <w:rPr>
          <w:rFonts w:hint="default" w:ascii="Times New Roman" w:hAnsi="Times New Roman" w:cs="Times New Roman"/>
          <w:lang w:val="en-US" w:eastAsia="zh-CN"/>
        </w:rPr>
        <w:t>（3）防雷接地具体内容</w:t>
      </w:r>
    </w:p>
    <w:p w14:paraId="0C0DE18C">
      <w:pPr>
        <w:rPr>
          <w:rFonts w:hint="default" w:ascii="Times New Roman" w:hAnsi="Times New Roman" w:cs="Times New Roman"/>
          <w:lang w:val="en-US" w:eastAsia="zh-CN"/>
        </w:rPr>
      </w:pPr>
      <w:r>
        <w:rPr>
          <w:rFonts w:hint="default" w:ascii="Times New Roman" w:hAnsi="Times New Roman" w:cs="Times New Roman"/>
          <w:lang w:val="en-US" w:eastAsia="zh-CN"/>
        </w:rPr>
        <w:t>1、防雷接地装置由接闪器、引下线、接地装置组成。</w:t>
      </w:r>
    </w:p>
    <w:p w14:paraId="7A95D60B">
      <w:pPr>
        <w:rPr>
          <w:rFonts w:hint="default" w:ascii="Times New Roman" w:hAnsi="Times New Roman" w:cs="Times New Roman"/>
          <w:lang w:val="en-US" w:eastAsia="zh-CN"/>
        </w:rPr>
      </w:pPr>
      <w:r>
        <w:rPr>
          <w:rFonts w:hint="default" w:ascii="Times New Roman" w:hAnsi="Times New Roman" w:cs="Times New Roman"/>
          <w:lang w:val="en-US" w:eastAsia="zh-CN"/>
        </w:rPr>
        <w:t>2、建筑物内的设备、管道构架等主要金属物和防侧击雷的门窗、栏杆以及屋面的金属物体必须接地焊接。</w:t>
      </w:r>
    </w:p>
    <w:p w14:paraId="7B2E9855">
      <w:pPr>
        <w:rPr>
          <w:rFonts w:hint="default" w:ascii="Times New Roman" w:hAnsi="Times New Roman" w:cs="Times New Roman"/>
          <w:lang w:val="en-US" w:eastAsia="zh-CN"/>
        </w:rPr>
      </w:pPr>
      <w:r>
        <w:rPr>
          <w:rFonts w:hint="default" w:ascii="Times New Roman" w:hAnsi="Times New Roman" w:cs="Times New Roman"/>
          <w:lang w:val="en-US" w:eastAsia="zh-CN"/>
        </w:rPr>
        <w:t>（4）防雷接地体应采取焊接方法：</w:t>
      </w:r>
    </w:p>
    <w:p w14:paraId="5A384012">
      <w:pPr>
        <w:rPr>
          <w:rFonts w:hint="default" w:ascii="Times New Roman" w:hAnsi="Times New Roman" w:cs="Times New Roman"/>
          <w:lang w:val="en-US" w:eastAsia="zh-CN"/>
        </w:rPr>
      </w:pPr>
      <w:r>
        <w:rPr>
          <w:rFonts w:hint="default" w:ascii="Times New Roman" w:hAnsi="Times New Roman" w:cs="Times New Roman"/>
          <w:lang w:val="en-US" w:eastAsia="zh-CN"/>
        </w:rPr>
        <w:t>1、使用金属管作接地体时应在其串接部位焊接角形金属跨接线；</w:t>
      </w:r>
    </w:p>
    <w:p w14:paraId="65C55DA4">
      <w:pPr>
        <w:rPr>
          <w:rFonts w:hint="default" w:ascii="Times New Roman" w:hAnsi="Times New Roman" w:cs="Times New Roman"/>
          <w:lang w:val="en-US" w:eastAsia="zh-CN"/>
        </w:rPr>
      </w:pPr>
      <w:r>
        <w:rPr>
          <w:rFonts w:hint="default" w:ascii="Times New Roman" w:hAnsi="Times New Roman" w:cs="Times New Roman"/>
          <w:lang w:val="en-US" w:eastAsia="zh-CN"/>
        </w:rPr>
        <w:t>2、钢筋与钢筋交叉要用一条短圆钢进行跨接焊接，焊接长度不小于圆钢直径的6倍，圆钢同扁钢的焊接必须进行三面焊接；</w:t>
      </w:r>
    </w:p>
    <w:p w14:paraId="34A9B30A">
      <w:pPr>
        <w:rPr>
          <w:rFonts w:hint="default" w:ascii="Times New Roman" w:hAnsi="Times New Roman" w:cs="Times New Roman"/>
          <w:lang w:val="en-US" w:eastAsia="zh-CN"/>
        </w:rPr>
      </w:pPr>
      <w:r>
        <w:rPr>
          <w:rFonts w:hint="default" w:ascii="Times New Roman" w:hAnsi="Times New Roman" w:cs="Times New Roman"/>
          <w:lang w:val="en-US" w:eastAsia="zh-CN"/>
        </w:rPr>
        <w:t>3、焊接处焊缝应饱满，要有足够的机械强度，不得有灰渣，咬肉裂纹虚焊</w:t>
      </w:r>
    </w:p>
    <w:p w14:paraId="621EEC7C">
      <w:pPr>
        <w:rPr>
          <w:rFonts w:hint="default" w:ascii="Times New Roman" w:hAnsi="Times New Roman" w:cs="Times New Roman"/>
          <w:lang w:val="en-US" w:eastAsia="zh-CN"/>
        </w:rPr>
      </w:pPr>
      <w:r>
        <w:rPr>
          <w:rFonts w:hint="default" w:ascii="Times New Roman" w:hAnsi="Times New Roman" w:cs="Times New Roman"/>
          <w:lang w:val="en-US" w:eastAsia="zh-CN"/>
        </w:rPr>
        <w:t>4、气孔等缺陷，焊接处的药皮应敲净。接地体采取搭焊接时。其搭接长度必须符合以下要求：①扁钢为其宽的2倍以上；（三个棱边焊接）②圆钢为其直径的6倍以上；（双面焊接）③圆钢和扁钢连接，其长度为圆钢直径的6倍。（三面焊接）。</w:t>
      </w:r>
    </w:p>
    <w:p w14:paraId="3FB3836C">
      <w:pPr>
        <w:rPr>
          <w:rFonts w:hint="default" w:ascii="Times New Roman" w:hAnsi="Times New Roman" w:cs="Times New Roman"/>
          <w:lang w:val="en-US" w:eastAsia="zh-CN"/>
        </w:rPr>
      </w:pPr>
      <w:r>
        <w:rPr>
          <w:rFonts w:hint="default" w:ascii="Times New Roman" w:hAnsi="Times New Roman" w:cs="Times New Roman"/>
          <w:lang w:val="en-US" w:eastAsia="zh-CN"/>
        </w:rPr>
        <w:t>5、人工接地体应采用圆钢、扁钢、角钢、钢管等金属材料，必须符合以下要求：①圆钢直径不小于10mm；②扁钢截面不小于100mm2，厚度不小于4mm；③角钢厚度不小于4mm；④钢管壁厚不小于3.5mm。</w:t>
      </w:r>
    </w:p>
    <w:p w14:paraId="40E44C7D">
      <w:pPr>
        <w:pStyle w:val="29"/>
      </w:pPr>
    </w:p>
    <w:p w14:paraId="3940B14F">
      <w:pPr>
        <w:ind w:firstLine="480"/>
        <w:rPr>
          <w:color w:val="000000" w:themeColor="text1"/>
          <w14:textFill>
            <w14:solidFill>
              <w14:schemeClr w14:val="tx1"/>
            </w14:solidFill>
          </w14:textFill>
        </w:rPr>
      </w:pPr>
      <w:r>
        <w:rPr>
          <w:color w:val="000000" w:themeColor="text1"/>
          <w14:textFill>
            <w14:solidFill>
              <w14:schemeClr w14:val="tx1"/>
            </w14:solidFill>
          </w14:textFill>
        </w:rPr>
        <w:br w:type="page"/>
      </w:r>
      <w:bookmarkStart w:id="84" w:name="_Toc24330"/>
    </w:p>
    <w:p w14:paraId="2102452F">
      <w:pPr>
        <w:pStyle w:val="4"/>
        <w:rPr>
          <w:color w:val="000000" w:themeColor="text1"/>
          <w14:textFill>
            <w14:solidFill>
              <w14:schemeClr w14:val="tx1"/>
            </w14:solidFill>
          </w14:textFill>
        </w:rPr>
      </w:pPr>
      <w:bookmarkStart w:id="85" w:name="_Toc7060"/>
      <w:bookmarkStart w:id="86" w:name="_Toc636"/>
      <w:r>
        <w:rPr>
          <w:color w:val="000000" w:themeColor="text1"/>
          <w14:textFill>
            <w14:solidFill>
              <w14:schemeClr w14:val="tx1"/>
            </w14:solidFill>
          </w14:textFill>
        </w:rPr>
        <w:t>质量管理措施</w:t>
      </w:r>
      <w:bookmarkEnd w:id="85"/>
      <w:bookmarkEnd w:id="86"/>
    </w:p>
    <w:p w14:paraId="1306FEE3">
      <w:pPr>
        <w:pStyle w:val="5"/>
        <w:rPr>
          <w:rFonts w:cs="Times New Roman"/>
          <w:color w:val="000000" w:themeColor="text1"/>
          <w14:textFill>
            <w14:solidFill>
              <w14:schemeClr w14:val="tx1"/>
            </w14:solidFill>
          </w14:textFill>
        </w:rPr>
      </w:pPr>
      <w:bookmarkStart w:id="87" w:name="_Toc10656"/>
      <w:bookmarkStart w:id="88" w:name="_Toc13731"/>
      <w:r>
        <w:rPr>
          <w:rFonts w:cs="Times New Roman"/>
          <w:color w:val="000000" w:themeColor="text1"/>
          <w14:textFill>
            <w14:solidFill>
              <w14:schemeClr w14:val="tx1"/>
            </w14:solidFill>
          </w14:textFill>
        </w:rPr>
        <w:t>质量管理组织机构</w:t>
      </w:r>
      <w:bookmarkEnd w:id="87"/>
      <w:bookmarkEnd w:id="88"/>
    </w:p>
    <w:p w14:paraId="40C74B6E">
      <w:pPr>
        <w:ind w:firstLine="480"/>
        <w:rPr>
          <w:color w:val="000000" w:themeColor="text1"/>
          <w14:textFill>
            <w14:solidFill>
              <w14:schemeClr w14:val="tx1"/>
            </w14:solidFill>
          </w14:textFill>
        </w:rPr>
      </w:pPr>
      <w:r>
        <w:rPr>
          <w:color w:val="000000" w:themeColor="text1"/>
          <w14:textFill>
            <w14:solidFill>
              <w14:schemeClr w14:val="tx1"/>
            </w14:solidFill>
          </w14:textFill>
        </w:rPr>
        <w:t>为保证塔式起重机拆除拆卸过程中的施工质量、安全及文明生产等符合管理要求，特成立以施工质量、安全为一体的塔式起重机</w:t>
      </w:r>
      <w:r>
        <w:rPr>
          <w:rFonts w:hint="eastAsia"/>
          <w:color w:val="000000" w:themeColor="text1"/>
          <w:lang w:eastAsia="zh-CN"/>
          <w14:textFill>
            <w14:solidFill>
              <w14:schemeClr w14:val="tx1"/>
            </w14:solidFill>
          </w14:textFill>
        </w:rPr>
        <w:t>安装</w:t>
      </w:r>
      <w:r>
        <w:rPr>
          <w:color w:val="000000" w:themeColor="text1"/>
          <w14:textFill>
            <w14:solidFill>
              <w14:schemeClr w14:val="tx1"/>
            </w14:solidFill>
          </w14:textFill>
        </w:rPr>
        <w:t>施工组织机构，详见图5.1-1所示。</w:t>
      </w:r>
    </w:p>
    <w:p w14:paraId="6A0BA159">
      <w:pPr>
        <w:ind w:firstLine="0" w:firstLineChars="0"/>
        <w:jc w:val="center"/>
        <w:rPr>
          <w:color w:val="000000" w:themeColor="text1"/>
          <w14:textFill>
            <w14:solidFill>
              <w14:schemeClr w14:val="tx1"/>
            </w14:solidFill>
          </w14:textFill>
        </w:rPr>
      </w:pPr>
      <w:r>
        <w:rPr>
          <w:rFonts w:hint="default" w:ascii="Times New Roman" w:hAnsi="Times New Roman" w:eastAsia="宋体" w:cs="Times New Roman"/>
          <w:b/>
          <w:kern w:val="2"/>
          <w:sz w:val="21"/>
          <w:szCs w:val="21"/>
          <w:lang w:val="en-US" w:eastAsia="zh-CN" w:bidi="ar-SA"/>
        </w:rPr>
        <w:object>
          <v:shape id="_x0000_i1026" o:spt="75" type="#_x0000_t75" style="height:223.3pt;width:277.7pt;" o:ole="t" filled="f" o:preferrelative="t" stroked="f" coordsize="21600,21600">
            <v:path/>
            <v:fill on="f" focussize="0,0"/>
            <v:stroke on="f" joinstyle="miter"/>
            <v:imagedata r:id="rId76" o:title=""/>
            <o:lock v:ext="edit" aspectratio="t"/>
            <w10:wrap type="none"/>
            <w10:anchorlock/>
          </v:shape>
          <o:OLEObject Type="Embed" ProgID="Visio.Drawing.15" ShapeID="_x0000_i1026" DrawAspect="Content" ObjectID="_1468075725" r:id="rId75">
            <o:LockedField>false</o:LockedField>
          </o:OLEObject>
        </w:object>
      </w:r>
    </w:p>
    <w:p w14:paraId="1990D469">
      <w:pPr>
        <w:pStyle w:val="46"/>
        <w:rPr>
          <w:color w:val="000000" w:themeColor="text1"/>
          <w14:textFill>
            <w14:solidFill>
              <w14:schemeClr w14:val="tx1"/>
            </w14:solidFill>
          </w14:textFill>
        </w:rPr>
      </w:pPr>
      <w:r>
        <w:rPr>
          <w:color w:val="000000" w:themeColor="text1"/>
          <w14:textFill>
            <w14:solidFill>
              <w14:schemeClr w14:val="tx1"/>
            </w14:solidFill>
          </w14:textFill>
        </w:rPr>
        <w:t>图5.1-1 项目部组织机构图</w:t>
      </w:r>
    </w:p>
    <w:p w14:paraId="2D822E2B">
      <w:pPr>
        <w:pStyle w:val="5"/>
        <w:rPr>
          <w:rFonts w:cs="Times New Roman"/>
          <w:color w:val="000000" w:themeColor="text1"/>
          <w14:textFill>
            <w14:solidFill>
              <w14:schemeClr w14:val="tx1"/>
            </w14:solidFill>
          </w14:textFill>
        </w:rPr>
      </w:pPr>
      <w:bookmarkStart w:id="89" w:name="_Toc18721"/>
      <w:bookmarkStart w:id="90" w:name="_Toc9834"/>
      <w:r>
        <w:rPr>
          <w:rFonts w:cs="Times New Roman"/>
          <w:color w:val="000000" w:themeColor="text1"/>
          <w14:textFill>
            <w14:solidFill>
              <w14:schemeClr w14:val="tx1"/>
            </w14:solidFill>
          </w14:textFill>
        </w:rPr>
        <w:t>质量保证体系</w:t>
      </w:r>
      <w:bookmarkEnd w:id="89"/>
      <w:bookmarkEnd w:id="90"/>
    </w:p>
    <w:p w14:paraId="31796947">
      <w:pPr>
        <w:pStyle w:val="46"/>
        <w:rPr>
          <w:color w:val="000000" w:themeColor="text1"/>
          <w14:textFill>
            <w14:solidFill>
              <w14:schemeClr w14:val="tx1"/>
            </w14:solidFill>
          </w14:textFill>
        </w:rPr>
      </w:pPr>
      <w:r>
        <w:rPr>
          <w:color w:val="000000" w:themeColor="text1"/>
          <w14:textFill>
            <w14:solidFill>
              <w14:schemeClr w14:val="tx1"/>
            </w14:solidFill>
          </w14:textFill>
        </w:rPr>
        <w:t>5.2-1 塔机拆除质量通病预防措施</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74" w:type="dxa"/>
          <w:bottom w:w="0" w:type="dxa"/>
          <w:right w:w="74" w:type="dxa"/>
        </w:tblCellMar>
      </w:tblPr>
      <w:tblGrid>
        <w:gridCol w:w="708"/>
        <w:gridCol w:w="1449"/>
        <w:gridCol w:w="6297"/>
      </w:tblGrid>
      <w:tr w14:paraId="3E1CF0B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PrEx>
        <w:trPr>
          <w:jc w:val="center"/>
        </w:trPr>
        <w:tc>
          <w:tcPr>
            <w:tcW w:w="419" w:type="pct"/>
            <w:shd w:val="clear" w:color="auto" w:fill="auto"/>
            <w:vAlign w:val="center"/>
          </w:tcPr>
          <w:p w14:paraId="700B6B72">
            <w:pPr>
              <w:pStyle w:val="15"/>
              <w:rPr>
                <w:b/>
                <w:color w:val="000000" w:themeColor="text1"/>
                <w14:textFill>
                  <w14:solidFill>
                    <w14:schemeClr w14:val="tx1"/>
                  </w14:solidFill>
                </w14:textFill>
              </w:rPr>
            </w:pPr>
            <w:r>
              <w:rPr>
                <w:b/>
                <w:color w:val="000000" w:themeColor="text1"/>
                <w14:textFill>
                  <w14:solidFill>
                    <w14:schemeClr w14:val="tx1"/>
                  </w14:solidFill>
                </w14:textFill>
              </w:rPr>
              <w:t>项次</w:t>
            </w:r>
          </w:p>
        </w:tc>
        <w:tc>
          <w:tcPr>
            <w:tcW w:w="857" w:type="pct"/>
            <w:shd w:val="clear" w:color="auto" w:fill="auto"/>
            <w:vAlign w:val="center"/>
          </w:tcPr>
          <w:p w14:paraId="1B03F46C">
            <w:pPr>
              <w:pStyle w:val="15"/>
              <w:rPr>
                <w:b/>
                <w:color w:val="000000" w:themeColor="text1"/>
                <w14:textFill>
                  <w14:solidFill>
                    <w14:schemeClr w14:val="tx1"/>
                  </w14:solidFill>
                </w14:textFill>
              </w:rPr>
            </w:pPr>
            <w:r>
              <w:rPr>
                <w:b/>
                <w:color w:val="000000" w:themeColor="text1"/>
                <w14:textFill>
                  <w14:solidFill>
                    <w14:schemeClr w14:val="tx1"/>
                  </w14:solidFill>
                </w14:textFill>
              </w:rPr>
              <w:t>质量通病</w:t>
            </w:r>
          </w:p>
        </w:tc>
        <w:tc>
          <w:tcPr>
            <w:tcW w:w="3724" w:type="pct"/>
            <w:shd w:val="clear" w:color="auto" w:fill="auto"/>
            <w:vAlign w:val="center"/>
          </w:tcPr>
          <w:p w14:paraId="5BE3B98E">
            <w:pPr>
              <w:pStyle w:val="15"/>
              <w:rPr>
                <w:b/>
                <w:color w:val="000000" w:themeColor="text1"/>
                <w14:textFill>
                  <w14:solidFill>
                    <w14:schemeClr w14:val="tx1"/>
                  </w14:solidFill>
                </w14:textFill>
              </w:rPr>
            </w:pPr>
            <w:r>
              <w:rPr>
                <w:b/>
                <w:color w:val="000000" w:themeColor="text1"/>
                <w14:textFill>
                  <w14:solidFill>
                    <w14:schemeClr w14:val="tx1"/>
                  </w14:solidFill>
                </w14:textFill>
              </w:rPr>
              <w:t>预防措施</w:t>
            </w:r>
          </w:p>
        </w:tc>
      </w:tr>
      <w:tr w14:paraId="75AE3C0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74" w:type="dxa"/>
            <w:bottom w:w="0" w:type="dxa"/>
            <w:right w:w="74" w:type="dxa"/>
          </w:tblCellMar>
        </w:tblPrEx>
        <w:trPr>
          <w:jc w:val="center"/>
        </w:trPr>
        <w:tc>
          <w:tcPr>
            <w:tcW w:w="419" w:type="pct"/>
            <w:shd w:val="clear" w:color="auto" w:fill="auto"/>
            <w:vAlign w:val="center"/>
          </w:tcPr>
          <w:p w14:paraId="51588738">
            <w:pPr>
              <w:pStyle w:val="15"/>
              <w:rPr>
                <w:b w:val="0"/>
                <w:bCs/>
                <w:color w:val="000000" w:themeColor="text1"/>
                <w14:textFill>
                  <w14:solidFill>
                    <w14:schemeClr w14:val="tx1"/>
                  </w14:solidFill>
                </w14:textFill>
              </w:rPr>
            </w:pPr>
            <w:r>
              <w:rPr>
                <w:b w:val="0"/>
                <w:bCs/>
                <w:color w:val="000000" w:themeColor="text1"/>
                <w14:textFill>
                  <w14:solidFill>
                    <w14:schemeClr w14:val="tx1"/>
                  </w14:solidFill>
                </w14:textFill>
              </w:rPr>
              <w:t>1</w:t>
            </w:r>
          </w:p>
        </w:tc>
        <w:tc>
          <w:tcPr>
            <w:tcW w:w="857" w:type="pct"/>
            <w:shd w:val="clear" w:color="auto" w:fill="auto"/>
            <w:vAlign w:val="center"/>
          </w:tcPr>
          <w:p w14:paraId="3A32481B">
            <w:pPr>
              <w:pStyle w:val="15"/>
              <w:rPr>
                <w:b w:val="0"/>
                <w:bCs/>
                <w:color w:val="000000" w:themeColor="text1"/>
                <w14:textFill>
                  <w14:solidFill>
                    <w14:schemeClr w14:val="tx1"/>
                  </w14:solidFill>
                </w14:textFill>
              </w:rPr>
            </w:pPr>
            <w:r>
              <w:rPr>
                <w:rFonts w:hint="eastAsia"/>
                <w:b w:val="0"/>
                <w:bCs/>
                <w:color w:val="000000" w:themeColor="text1"/>
                <w:lang w:eastAsia="zh-CN"/>
                <w14:textFill>
                  <w14:solidFill>
                    <w14:schemeClr w14:val="tx1"/>
                  </w14:solidFill>
                </w14:textFill>
              </w:rPr>
              <w:t>安装</w:t>
            </w:r>
            <w:r>
              <w:rPr>
                <w:b w:val="0"/>
                <w:bCs/>
                <w:color w:val="000000" w:themeColor="text1"/>
                <w14:textFill>
                  <w14:solidFill>
                    <w14:schemeClr w14:val="tx1"/>
                  </w14:solidFill>
                </w14:textFill>
              </w:rPr>
              <w:t>作业前未对设备进行全面检查</w:t>
            </w:r>
          </w:p>
        </w:tc>
        <w:tc>
          <w:tcPr>
            <w:tcW w:w="3724" w:type="pct"/>
            <w:shd w:val="clear" w:color="auto" w:fill="auto"/>
            <w:vAlign w:val="center"/>
          </w:tcPr>
          <w:p w14:paraId="1DA90580">
            <w:pPr>
              <w:pStyle w:val="15"/>
              <w:rPr>
                <w:b w:val="0"/>
                <w:bCs/>
                <w:color w:val="000000" w:themeColor="text1"/>
                <w14:textFill>
                  <w14:solidFill>
                    <w14:schemeClr w14:val="tx1"/>
                  </w14:solidFill>
                </w14:textFill>
              </w:rPr>
            </w:pPr>
            <w:r>
              <w:rPr>
                <w:b w:val="0"/>
                <w:bCs/>
                <w:color w:val="000000" w:themeColor="text1"/>
                <w14:textFill>
                  <w14:solidFill>
                    <w14:schemeClr w14:val="tx1"/>
                  </w14:solidFill>
                </w14:textFill>
              </w:rPr>
              <w:t>在进行</w:t>
            </w:r>
            <w:r>
              <w:rPr>
                <w:rFonts w:hint="eastAsia"/>
                <w:b w:val="0"/>
                <w:bCs/>
                <w:color w:val="000000" w:themeColor="text1"/>
                <w:lang w:eastAsia="zh-CN"/>
                <w14:textFill>
                  <w14:solidFill>
                    <w14:schemeClr w14:val="tx1"/>
                  </w14:solidFill>
                </w14:textFill>
              </w:rPr>
              <w:t>安装</w:t>
            </w:r>
            <w:r>
              <w:rPr>
                <w:b w:val="0"/>
                <w:bCs/>
                <w:color w:val="000000" w:themeColor="text1"/>
                <w14:textFill>
                  <w14:solidFill>
                    <w14:schemeClr w14:val="tx1"/>
                  </w14:solidFill>
                </w14:textFill>
              </w:rPr>
              <w:t>作业前，</w:t>
            </w:r>
            <w:r>
              <w:rPr>
                <w:rFonts w:hint="eastAsia"/>
                <w:b w:val="0"/>
                <w:bCs/>
                <w:color w:val="000000" w:themeColor="text1"/>
                <w:lang w:eastAsia="zh-CN"/>
                <w14:textFill>
                  <w14:solidFill>
                    <w14:schemeClr w14:val="tx1"/>
                  </w14:solidFill>
                </w14:textFill>
              </w:rPr>
              <w:t>安装</w:t>
            </w:r>
            <w:r>
              <w:rPr>
                <w:b w:val="0"/>
                <w:bCs/>
                <w:color w:val="000000" w:themeColor="text1"/>
                <w14:textFill>
                  <w14:solidFill>
                    <w14:schemeClr w14:val="tx1"/>
                  </w14:solidFill>
                </w14:textFill>
              </w:rPr>
              <w:t>人员尤其是</w:t>
            </w:r>
            <w:r>
              <w:rPr>
                <w:rFonts w:hint="eastAsia"/>
                <w:b w:val="0"/>
                <w:bCs/>
                <w:color w:val="000000" w:themeColor="text1"/>
                <w:lang w:eastAsia="zh-CN"/>
                <w14:textFill>
                  <w14:solidFill>
                    <w14:schemeClr w14:val="tx1"/>
                  </w14:solidFill>
                </w14:textFill>
              </w:rPr>
              <w:t>安装</w:t>
            </w:r>
            <w:r>
              <w:rPr>
                <w:b w:val="0"/>
                <w:bCs/>
                <w:color w:val="000000" w:themeColor="text1"/>
                <w14:textFill>
                  <w14:solidFill>
                    <w14:schemeClr w14:val="tx1"/>
                  </w14:solidFill>
                </w14:textFill>
              </w:rPr>
              <w:t>队的负责人应对塔机各部件进行全面的检查，确保钢结构无裂纹、焊缝无开裂、螺栓无松动现象，吊点位置完好牢固，如发现问题应及时的采取措施，以免在塔机</w:t>
            </w:r>
            <w:r>
              <w:rPr>
                <w:rFonts w:hint="eastAsia"/>
                <w:b w:val="0"/>
                <w:bCs/>
                <w:color w:val="000000" w:themeColor="text1"/>
                <w:lang w:eastAsia="zh-CN"/>
                <w14:textFill>
                  <w14:solidFill>
                    <w14:schemeClr w14:val="tx1"/>
                  </w14:solidFill>
                </w14:textFill>
              </w:rPr>
              <w:t>安装</w:t>
            </w:r>
            <w:r>
              <w:rPr>
                <w:b w:val="0"/>
                <w:bCs/>
                <w:color w:val="000000" w:themeColor="text1"/>
                <w14:textFill>
                  <w14:solidFill>
                    <w14:schemeClr w14:val="tx1"/>
                  </w14:solidFill>
                </w14:textFill>
              </w:rPr>
              <w:t>过程中发生事故。</w:t>
            </w:r>
          </w:p>
        </w:tc>
      </w:tr>
      <w:tr w14:paraId="41F9A2D6">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74" w:type="dxa"/>
            <w:bottom w:w="0" w:type="dxa"/>
            <w:right w:w="74" w:type="dxa"/>
          </w:tblCellMar>
        </w:tblPrEx>
        <w:trPr>
          <w:jc w:val="center"/>
        </w:trPr>
        <w:tc>
          <w:tcPr>
            <w:tcW w:w="419" w:type="pct"/>
            <w:shd w:val="clear" w:color="auto" w:fill="auto"/>
            <w:vAlign w:val="center"/>
          </w:tcPr>
          <w:p w14:paraId="50A3C5C8">
            <w:pPr>
              <w:pStyle w:val="15"/>
              <w:rPr>
                <w:b w:val="0"/>
                <w:bCs/>
                <w:color w:val="000000" w:themeColor="text1"/>
                <w14:textFill>
                  <w14:solidFill>
                    <w14:schemeClr w14:val="tx1"/>
                  </w14:solidFill>
                </w14:textFill>
              </w:rPr>
            </w:pPr>
            <w:r>
              <w:rPr>
                <w:b w:val="0"/>
                <w:bCs/>
                <w:color w:val="000000" w:themeColor="text1"/>
                <w14:textFill>
                  <w14:solidFill>
                    <w14:schemeClr w14:val="tx1"/>
                  </w14:solidFill>
                </w14:textFill>
              </w:rPr>
              <w:t>2</w:t>
            </w:r>
          </w:p>
        </w:tc>
        <w:tc>
          <w:tcPr>
            <w:tcW w:w="857" w:type="pct"/>
            <w:shd w:val="clear" w:color="auto" w:fill="auto"/>
            <w:vAlign w:val="center"/>
          </w:tcPr>
          <w:p w14:paraId="4265EA3A">
            <w:pPr>
              <w:pStyle w:val="15"/>
              <w:rPr>
                <w:b w:val="0"/>
                <w:bCs/>
                <w:color w:val="000000" w:themeColor="text1"/>
                <w14:textFill>
                  <w14:solidFill>
                    <w14:schemeClr w14:val="tx1"/>
                  </w14:solidFill>
                </w14:textFill>
              </w:rPr>
            </w:pPr>
            <w:r>
              <w:rPr>
                <w:rFonts w:hint="eastAsia"/>
                <w:b w:val="0"/>
                <w:bCs/>
                <w:color w:val="000000" w:themeColor="text1"/>
                <w:lang w:eastAsia="zh-CN"/>
                <w14:textFill>
                  <w14:solidFill>
                    <w14:schemeClr w14:val="tx1"/>
                  </w14:solidFill>
                </w14:textFill>
              </w:rPr>
              <w:t>安装</w:t>
            </w:r>
            <w:r>
              <w:rPr>
                <w:b w:val="0"/>
                <w:bCs/>
                <w:color w:val="000000" w:themeColor="text1"/>
                <w14:textFill>
                  <w14:solidFill>
                    <w14:schemeClr w14:val="tx1"/>
                  </w14:solidFill>
                </w14:textFill>
              </w:rPr>
              <w:t>作业前未对吊索具进行全面检查</w:t>
            </w:r>
          </w:p>
        </w:tc>
        <w:tc>
          <w:tcPr>
            <w:tcW w:w="3724" w:type="pct"/>
            <w:shd w:val="clear" w:color="auto" w:fill="auto"/>
            <w:vAlign w:val="center"/>
          </w:tcPr>
          <w:p w14:paraId="03A135B3">
            <w:pPr>
              <w:pStyle w:val="15"/>
              <w:rPr>
                <w:b w:val="0"/>
                <w:bCs/>
                <w:color w:val="000000" w:themeColor="text1"/>
                <w14:textFill>
                  <w14:solidFill>
                    <w14:schemeClr w14:val="tx1"/>
                  </w14:solidFill>
                </w14:textFill>
              </w:rPr>
            </w:pPr>
            <w:r>
              <w:rPr>
                <w:b w:val="0"/>
                <w:bCs/>
                <w:color w:val="000000" w:themeColor="text1"/>
                <w14:textFill>
                  <w14:solidFill>
                    <w14:schemeClr w14:val="tx1"/>
                  </w14:solidFill>
                </w14:textFill>
              </w:rPr>
              <w:t>在进行</w:t>
            </w:r>
            <w:r>
              <w:rPr>
                <w:rFonts w:hint="eastAsia"/>
                <w:b w:val="0"/>
                <w:bCs/>
                <w:color w:val="000000" w:themeColor="text1"/>
                <w:lang w:eastAsia="zh-CN"/>
                <w14:textFill>
                  <w14:solidFill>
                    <w14:schemeClr w14:val="tx1"/>
                  </w14:solidFill>
                </w14:textFill>
              </w:rPr>
              <w:t>安装</w:t>
            </w:r>
            <w:r>
              <w:rPr>
                <w:b w:val="0"/>
                <w:bCs/>
                <w:color w:val="000000" w:themeColor="text1"/>
                <w14:textFill>
                  <w14:solidFill>
                    <w14:schemeClr w14:val="tx1"/>
                  </w14:solidFill>
                </w14:textFill>
              </w:rPr>
              <w:t>作业前，起重指挥人员及司索工应对吊装使用吊索具进行全面检查，确保吊索具符合吊装要求，如发现问题应及时的采取措施，以免在塔机</w:t>
            </w:r>
            <w:r>
              <w:rPr>
                <w:rFonts w:hint="eastAsia"/>
                <w:b w:val="0"/>
                <w:bCs/>
                <w:color w:val="000000" w:themeColor="text1"/>
                <w:lang w:eastAsia="zh-CN"/>
                <w14:textFill>
                  <w14:solidFill>
                    <w14:schemeClr w14:val="tx1"/>
                  </w14:solidFill>
                </w14:textFill>
              </w:rPr>
              <w:t>安装</w:t>
            </w:r>
            <w:r>
              <w:rPr>
                <w:b w:val="0"/>
                <w:bCs/>
                <w:color w:val="000000" w:themeColor="text1"/>
                <w14:textFill>
                  <w14:solidFill>
                    <w14:schemeClr w14:val="tx1"/>
                  </w14:solidFill>
                </w14:textFill>
              </w:rPr>
              <w:t>过程中发生事故。</w:t>
            </w:r>
          </w:p>
        </w:tc>
      </w:tr>
      <w:tr w14:paraId="3E586AA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74" w:type="dxa"/>
            <w:bottom w:w="0" w:type="dxa"/>
            <w:right w:w="74" w:type="dxa"/>
          </w:tblCellMar>
        </w:tblPrEx>
        <w:trPr>
          <w:jc w:val="center"/>
        </w:trPr>
        <w:tc>
          <w:tcPr>
            <w:tcW w:w="419" w:type="pct"/>
            <w:shd w:val="clear" w:color="auto" w:fill="auto"/>
            <w:vAlign w:val="center"/>
          </w:tcPr>
          <w:p w14:paraId="5A56C21A">
            <w:pPr>
              <w:pStyle w:val="15"/>
              <w:rPr>
                <w:b w:val="0"/>
                <w:bCs/>
                <w:color w:val="000000" w:themeColor="text1"/>
                <w14:textFill>
                  <w14:solidFill>
                    <w14:schemeClr w14:val="tx1"/>
                  </w14:solidFill>
                </w14:textFill>
              </w:rPr>
            </w:pPr>
            <w:r>
              <w:rPr>
                <w:b w:val="0"/>
                <w:bCs/>
                <w:color w:val="000000" w:themeColor="text1"/>
                <w14:textFill>
                  <w14:solidFill>
                    <w14:schemeClr w14:val="tx1"/>
                  </w14:solidFill>
                </w14:textFill>
              </w:rPr>
              <w:t>3</w:t>
            </w:r>
          </w:p>
        </w:tc>
        <w:tc>
          <w:tcPr>
            <w:tcW w:w="857" w:type="pct"/>
            <w:shd w:val="clear" w:color="auto" w:fill="auto"/>
            <w:vAlign w:val="center"/>
          </w:tcPr>
          <w:p w14:paraId="65F27CE3">
            <w:pPr>
              <w:pStyle w:val="15"/>
              <w:rPr>
                <w:b w:val="0"/>
                <w:bCs/>
                <w:color w:val="000000" w:themeColor="text1"/>
                <w14:textFill>
                  <w14:solidFill>
                    <w14:schemeClr w14:val="tx1"/>
                  </w14:solidFill>
                </w14:textFill>
              </w:rPr>
            </w:pPr>
            <w:r>
              <w:rPr>
                <w:rFonts w:hint="eastAsia"/>
                <w:b w:val="0"/>
                <w:bCs/>
                <w:color w:val="000000" w:themeColor="text1"/>
                <w:lang w:eastAsia="zh-CN"/>
                <w14:textFill>
                  <w14:solidFill>
                    <w14:schemeClr w14:val="tx1"/>
                  </w14:solidFill>
                </w14:textFill>
              </w:rPr>
              <w:t>安装</w:t>
            </w:r>
            <w:r>
              <w:rPr>
                <w:b w:val="0"/>
                <w:bCs/>
                <w:color w:val="000000" w:themeColor="text1"/>
                <w14:textFill>
                  <w14:solidFill>
                    <w14:schemeClr w14:val="tx1"/>
                  </w14:solidFill>
                </w14:textFill>
              </w:rPr>
              <w:t>作业前未对起重设备进行全面检查</w:t>
            </w:r>
          </w:p>
        </w:tc>
        <w:tc>
          <w:tcPr>
            <w:tcW w:w="3724" w:type="pct"/>
            <w:shd w:val="clear" w:color="auto" w:fill="auto"/>
            <w:vAlign w:val="center"/>
          </w:tcPr>
          <w:p w14:paraId="66C8B87A">
            <w:pPr>
              <w:pStyle w:val="15"/>
              <w:rPr>
                <w:b w:val="0"/>
                <w:bCs/>
                <w:color w:val="000000" w:themeColor="text1"/>
                <w14:textFill>
                  <w14:solidFill>
                    <w14:schemeClr w14:val="tx1"/>
                  </w14:solidFill>
                </w14:textFill>
              </w:rPr>
            </w:pPr>
            <w:r>
              <w:rPr>
                <w:b w:val="0"/>
                <w:bCs/>
                <w:color w:val="000000" w:themeColor="text1"/>
                <w14:textFill>
                  <w14:solidFill>
                    <w14:schemeClr w14:val="tx1"/>
                  </w14:solidFill>
                </w14:textFill>
              </w:rPr>
              <w:t>在进行</w:t>
            </w:r>
            <w:r>
              <w:rPr>
                <w:rFonts w:hint="eastAsia"/>
                <w:b w:val="0"/>
                <w:bCs/>
                <w:color w:val="000000" w:themeColor="text1"/>
                <w:lang w:eastAsia="zh-CN"/>
                <w14:textFill>
                  <w14:solidFill>
                    <w14:schemeClr w14:val="tx1"/>
                  </w14:solidFill>
                </w14:textFill>
              </w:rPr>
              <w:t>安装</w:t>
            </w:r>
            <w:r>
              <w:rPr>
                <w:b w:val="0"/>
                <w:bCs/>
                <w:color w:val="000000" w:themeColor="text1"/>
                <w14:textFill>
                  <w14:solidFill>
                    <w14:schemeClr w14:val="tx1"/>
                  </w14:solidFill>
                </w14:textFill>
              </w:rPr>
              <w:t>作业前，起重设备司操人员应对起重设备进行全面检查，确保起重设备各安全装置完好、钢丝绳情况良好、设备工况良好，如发现问题应及时的采取措施，以免在塔机</w:t>
            </w:r>
            <w:r>
              <w:rPr>
                <w:rFonts w:hint="eastAsia"/>
                <w:b w:val="0"/>
                <w:bCs/>
                <w:color w:val="000000" w:themeColor="text1"/>
                <w:lang w:eastAsia="zh-CN"/>
                <w14:textFill>
                  <w14:solidFill>
                    <w14:schemeClr w14:val="tx1"/>
                  </w14:solidFill>
                </w14:textFill>
              </w:rPr>
              <w:t>安装</w:t>
            </w:r>
            <w:r>
              <w:rPr>
                <w:b w:val="0"/>
                <w:bCs/>
                <w:color w:val="000000" w:themeColor="text1"/>
                <w14:textFill>
                  <w14:solidFill>
                    <w14:schemeClr w14:val="tx1"/>
                  </w14:solidFill>
                </w14:textFill>
              </w:rPr>
              <w:t>过程中发生事故。</w:t>
            </w:r>
          </w:p>
        </w:tc>
      </w:tr>
      <w:tr w14:paraId="2965DE8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74" w:type="dxa"/>
            <w:bottom w:w="0" w:type="dxa"/>
            <w:right w:w="74" w:type="dxa"/>
          </w:tblCellMar>
        </w:tblPrEx>
        <w:trPr>
          <w:jc w:val="center"/>
        </w:trPr>
        <w:tc>
          <w:tcPr>
            <w:tcW w:w="419" w:type="pct"/>
            <w:shd w:val="clear" w:color="auto" w:fill="auto"/>
            <w:vAlign w:val="center"/>
          </w:tcPr>
          <w:p w14:paraId="5B6DD394">
            <w:pPr>
              <w:pStyle w:val="15"/>
              <w:rPr>
                <w:b w:val="0"/>
                <w:bCs/>
                <w:color w:val="000000" w:themeColor="text1"/>
                <w14:textFill>
                  <w14:solidFill>
                    <w14:schemeClr w14:val="tx1"/>
                  </w14:solidFill>
                </w14:textFill>
              </w:rPr>
            </w:pPr>
            <w:r>
              <w:rPr>
                <w:b w:val="0"/>
                <w:bCs/>
                <w:color w:val="000000" w:themeColor="text1"/>
                <w14:textFill>
                  <w14:solidFill>
                    <w14:schemeClr w14:val="tx1"/>
                  </w14:solidFill>
                </w14:textFill>
              </w:rPr>
              <w:t>4</w:t>
            </w:r>
          </w:p>
        </w:tc>
        <w:tc>
          <w:tcPr>
            <w:tcW w:w="857" w:type="pct"/>
            <w:shd w:val="clear" w:color="auto" w:fill="auto"/>
            <w:vAlign w:val="center"/>
          </w:tcPr>
          <w:p w14:paraId="314C5F7A">
            <w:pPr>
              <w:pStyle w:val="15"/>
              <w:rPr>
                <w:b w:val="0"/>
                <w:bCs/>
                <w:color w:val="000000" w:themeColor="text1"/>
                <w14:textFill>
                  <w14:solidFill>
                    <w14:schemeClr w14:val="tx1"/>
                  </w14:solidFill>
                </w14:textFill>
              </w:rPr>
            </w:pPr>
            <w:r>
              <w:rPr>
                <w:rFonts w:hint="eastAsia"/>
                <w:b w:val="0"/>
                <w:bCs/>
                <w:color w:val="000000" w:themeColor="text1"/>
                <w:lang w:eastAsia="zh-CN"/>
                <w14:textFill>
                  <w14:solidFill>
                    <w14:schemeClr w14:val="tx1"/>
                  </w14:solidFill>
                </w14:textFill>
              </w:rPr>
              <w:t>安装</w:t>
            </w:r>
            <w:r>
              <w:rPr>
                <w:b w:val="0"/>
                <w:bCs/>
                <w:color w:val="000000" w:themeColor="text1"/>
                <w14:textFill>
                  <w14:solidFill>
                    <w14:schemeClr w14:val="tx1"/>
                  </w14:solidFill>
                </w14:textFill>
              </w:rPr>
              <w:t>作业前未对缆风绳设置进行全面检查</w:t>
            </w:r>
          </w:p>
        </w:tc>
        <w:tc>
          <w:tcPr>
            <w:tcW w:w="3724" w:type="pct"/>
            <w:shd w:val="clear" w:color="auto" w:fill="auto"/>
            <w:vAlign w:val="center"/>
          </w:tcPr>
          <w:p w14:paraId="39945E98">
            <w:pPr>
              <w:pStyle w:val="15"/>
              <w:rPr>
                <w:b w:val="0"/>
                <w:bCs/>
                <w:color w:val="000000" w:themeColor="text1"/>
                <w14:textFill>
                  <w14:solidFill>
                    <w14:schemeClr w14:val="tx1"/>
                  </w14:solidFill>
                </w14:textFill>
              </w:rPr>
            </w:pPr>
            <w:r>
              <w:rPr>
                <w:b w:val="0"/>
                <w:bCs/>
                <w:color w:val="000000" w:themeColor="text1"/>
                <w14:textFill>
                  <w14:solidFill>
                    <w14:schemeClr w14:val="tx1"/>
                  </w14:solidFill>
                </w14:textFill>
              </w:rPr>
              <w:t>在进行</w:t>
            </w:r>
            <w:r>
              <w:rPr>
                <w:rFonts w:hint="eastAsia"/>
                <w:b w:val="0"/>
                <w:bCs/>
                <w:color w:val="000000" w:themeColor="text1"/>
                <w:lang w:eastAsia="zh-CN"/>
                <w14:textFill>
                  <w14:solidFill>
                    <w14:schemeClr w14:val="tx1"/>
                  </w14:solidFill>
                </w14:textFill>
              </w:rPr>
              <w:t>安装</w:t>
            </w:r>
            <w:r>
              <w:rPr>
                <w:b w:val="0"/>
                <w:bCs/>
                <w:color w:val="000000" w:themeColor="text1"/>
                <w14:textFill>
                  <w14:solidFill>
                    <w14:schemeClr w14:val="tx1"/>
                  </w14:solidFill>
                </w14:textFill>
              </w:rPr>
              <w:t>作业前，</w:t>
            </w:r>
            <w:r>
              <w:rPr>
                <w:rFonts w:hint="eastAsia"/>
                <w:b w:val="0"/>
                <w:bCs/>
                <w:color w:val="000000" w:themeColor="text1"/>
                <w:lang w:eastAsia="zh-CN"/>
                <w14:textFill>
                  <w14:solidFill>
                    <w14:schemeClr w14:val="tx1"/>
                  </w14:solidFill>
                </w14:textFill>
              </w:rPr>
              <w:t>安装</w:t>
            </w:r>
            <w:r>
              <w:rPr>
                <w:b w:val="0"/>
                <w:bCs/>
                <w:color w:val="000000" w:themeColor="text1"/>
                <w14:textFill>
                  <w14:solidFill>
                    <w14:schemeClr w14:val="tx1"/>
                  </w14:solidFill>
                </w14:textFill>
              </w:rPr>
              <w:t>人员尤其是</w:t>
            </w:r>
            <w:r>
              <w:rPr>
                <w:rFonts w:hint="eastAsia"/>
                <w:b w:val="0"/>
                <w:bCs/>
                <w:color w:val="000000" w:themeColor="text1"/>
                <w:lang w:eastAsia="zh-CN"/>
                <w14:textFill>
                  <w14:solidFill>
                    <w14:schemeClr w14:val="tx1"/>
                  </w14:solidFill>
                </w14:textFill>
              </w:rPr>
              <w:t>安装</w:t>
            </w:r>
            <w:r>
              <w:rPr>
                <w:b w:val="0"/>
                <w:bCs/>
                <w:color w:val="000000" w:themeColor="text1"/>
                <w14:textFill>
                  <w14:solidFill>
                    <w14:schemeClr w14:val="tx1"/>
                  </w14:solidFill>
                </w14:textFill>
              </w:rPr>
              <w:t>队的负责人应对缆风绳设置进行全面检查，确保使用的缆风绳、手拉葫芦、绳卡规格数量材质符合要求，配重块放置位置、重量按方案执行，如发现问题应及时的采取措施，以免在塔机</w:t>
            </w:r>
            <w:r>
              <w:rPr>
                <w:rFonts w:hint="eastAsia"/>
                <w:b w:val="0"/>
                <w:bCs/>
                <w:color w:val="000000" w:themeColor="text1"/>
                <w:lang w:eastAsia="zh-CN"/>
                <w14:textFill>
                  <w14:solidFill>
                    <w14:schemeClr w14:val="tx1"/>
                  </w14:solidFill>
                </w14:textFill>
              </w:rPr>
              <w:t>安装</w:t>
            </w:r>
            <w:r>
              <w:rPr>
                <w:b w:val="0"/>
                <w:bCs/>
                <w:color w:val="000000" w:themeColor="text1"/>
                <w14:textFill>
                  <w14:solidFill>
                    <w14:schemeClr w14:val="tx1"/>
                  </w14:solidFill>
                </w14:textFill>
              </w:rPr>
              <w:t>过程中发生事故。</w:t>
            </w:r>
          </w:p>
        </w:tc>
      </w:tr>
      <w:tr w14:paraId="52591842">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74" w:type="dxa"/>
            <w:bottom w:w="0" w:type="dxa"/>
            <w:right w:w="74" w:type="dxa"/>
          </w:tblCellMar>
        </w:tblPrEx>
        <w:trPr>
          <w:jc w:val="center"/>
        </w:trPr>
        <w:tc>
          <w:tcPr>
            <w:tcW w:w="419" w:type="pct"/>
            <w:shd w:val="clear" w:color="auto" w:fill="auto"/>
            <w:vAlign w:val="center"/>
          </w:tcPr>
          <w:p w14:paraId="1B7E5140">
            <w:pPr>
              <w:pStyle w:val="15"/>
              <w:rPr>
                <w:b w:val="0"/>
                <w:bCs/>
                <w:color w:val="000000" w:themeColor="text1"/>
                <w14:textFill>
                  <w14:solidFill>
                    <w14:schemeClr w14:val="tx1"/>
                  </w14:solidFill>
                </w14:textFill>
              </w:rPr>
            </w:pPr>
            <w:r>
              <w:rPr>
                <w:b w:val="0"/>
                <w:bCs/>
                <w:color w:val="000000" w:themeColor="text1"/>
                <w14:textFill>
                  <w14:solidFill>
                    <w14:schemeClr w14:val="tx1"/>
                  </w14:solidFill>
                </w14:textFill>
              </w:rPr>
              <w:t>5</w:t>
            </w:r>
          </w:p>
        </w:tc>
        <w:tc>
          <w:tcPr>
            <w:tcW w:w="857" w:type="pct"/>
            <w:shd w:val="clear" w:color="auto" w:fill="auto"/>
            <w:vAlign w:val="center"/>
          </w:tcPr>
          <w:p w14:paraId="0CA8C574">
            <w:pPr>
              <w:pStyle w:val="15"/>
              <w:rPr>
                <w:b w:val="0"/>
                <w:bCs/>
                <w:color w:val="000000" w:themeColor="text1"/>
                <w14:textFill>
                  <w14:solidFill>
                    <w14:schemeClr w14:val="tx1"/>
                  </w14:solidFill>
                </w14:textFill>
              </w:rPr>
            </w:pPr>
            <w:r>
              <w:rPr>
                <w:rFonts w:hint="eastAsia"/>
                <w:b w:val="0"/>
                <w:bCs/>
                <w:color w:val="000000" w:themeColor="text1"/>
                <w:lang w:eastAsia="zh-CN"/>
                <w14:textFill>
                  <w14:solidFill>
                    <w14:schemeClr w14:val="tx1"/>
                  </w14:solidFill>
                </w14:textFill>
              </w:rPr>
              <w:t>安装</w:t>
            </w:r>
            <w:r>
              <w:rPr>
                <w:b w:val="0"/>
                <w:bCs/>
                <w:color w:val="000000" w:themeColor="text1"/>
                <w14:textFill>
                  <w14:solidFill>
                    <w14:schemeClr w14:val="tx1"/>
                  </w14:solidFill>
                </w14:textFill>
              </w:rPr>
              <w:t>作业前未对使用机具进行全面检查</w:t>
            </w:r>
          </w:p>
        </w:tc>
        <w:tc>
          <w:tcPr>
            <w:tcW w:w="3724" w:type="pct"/>
            <w:shd w:val="clear" w:color="auto" w:fill="auto"/>
            <w:vAlign w:val="center"/>
          </w:tcPr>
          <w:p w14:paraId="2F073FFF">
            <w:pPr>
              <w:pStyle w:val="15"/>
              <w:rPr>
                <w:b w:val="0"/>
                <w:bCs/>
                <w:color w:val="000000" w:themeColor="text1"/>
                <w14:textFill>
                  <w14:solidFill>
                    <w14:schemeClr w14:val="tx1"/>
                  </w14:solidFill>
                </w14:textFill>
              </w:rPr>
            </w:pPr>
            <w:r>
              <w:rPr>
                <w:b w:val="0"/>
                <w:bCs/>
                <w:color w:val="000000" w:themeColor="text1"/>
                <w14:textFill>
                  <w14:solidFill>
                    <w14:schemeClr w14:val="tx1"/>
                  </w14:solidFill>
                </w14:textFill>
              </w:rPr>
              <w:t>在进行</w:t>
            </w:r>
            <w:r>
              <w:rPr>
                <w:rFonts w:hint="eastAsia"/>
                <w:b w:val="0"/>
                <w:bCs/>
                <w:color w:val="000000" w:themeColor="text1"/>
                <w:lang w:eastAsia="zh-CN"/>
                <w14:textFill>
                  <w14:solidFill>
                    <w14:schemeClr w14:val="tx1"/>
                  </w14:solidFill>
                </w14:textFill>
              </w:rPr>
              <w:t>安装</w:t>
            </w:r>
            <w:r>
              <w:rPr>
                <w:b w:val="0"/>
                <w:bCs/>
                <w:color w:val="000000" w:themeColor="text1"/>
                <w14:textFill>
                  <w14:solidFill>
                    <w14:schemeClr w14:val="tx1"/>
                  </w14:solidFill>
                </w14:textFill>
              </w:rPr>
              <w:t>作业前，</w:t>
            </w:r>
            <w:r>
              <w:rPr>
                <w:rFonts w:hint="eastAsia"/>
                <w:b w:val="0"/>
                <w:bCs/>
                <w:color w:val="000000" w:themeColor="text1"/>
                <w:lang w:eastAsia="zh-CN"/>
                <w14:textFill>
                  <w14:solidFill>
                    <w14:schemeClr w14:val="tx1"/>
                  </w14:solidFill>
                </w14:textFill>
              </w:rPr>
              <w:t>安装</w:t>
            </w:r>
            <w:r>
              <w:rPr>
                <w:b w:val="0"/>
                <w:bCs/>
                <w:color w:val="000000" w:themeColor="text1"/>
                <w14:textFill>
                  <w14:solidFill>
                    <w14:schemeClr w14:val="tx1"/>
                  </w14:solidFill>
                </w14:textFill>
              </w:rPr>
              <w:t>人员尤其是</w:t>
            </w:r>
            <w:r>
              <w:rPr>
                <w:rFonts w:hint="eastAsia"/>
                <w:b w:val="0"/>
                <w:bCs/>
                <w:color w:val="000000" w:themeColor="text1"/>
                <w:lang w:eastAsia="zh-CN"/>
                <w14:textFill>
                  <w14:solidFill>
                    <w14:schemeClr w14:val="tx1"/>
                  </w14:solidFill>
                </w14:textFill>
              </w:rPr>
              <w:t>安装</w:t>
            </w:r>
            <w:r>
              <w:rPr>
                <w:b w:val="0"/>
                <w:bCs/>
                <w:color w:val="000000" w:themeColor="text1"/>
                <w14:textFill>
                  <w14:solidFill>
                    <w14:schemeClr w14:val="tx1"/>
                  </w14:solidFill>
                </w14:textFill>
              </w:rPr>
              <w:t>队的负责人应对</w:t>
            </w:r>
            <w:r>
              <w:rPr>
                <w:rFonts w:hint="eastAsia"/>
                <w:b w:val="0"/>
                <w:bCs/>
                <w:color w:val="000000" w:themeColor="text1"/>
                <w:lang w:eastAsia="zh-CN"/>
                <w14:textFill>
                  <w14:solidFill>
                    <w14:schemeClr w14:val="tx1"/>
                  </w14:solidFill>
                </w14:textFill>
              </w:rPr>
              <w:t>安装</w:t>
            </w:r>
            <w:r>
              <w:rPr>
                <w:b w:val="0"/>
                <w:bCs/>
                <w:color w:val="000000" w:themeColor="text1"/>
                <w14:textFill>
                  <w14:solidFill>
                    <w14:schemeClr w14:val="tx1"/>
                  </w14:solidFill>
                </w14:textFill>
              </w:rPr>
              <w:t>使用机具进行全面检查，确保使用的电动工具、气割工具安全装置齐全完好，电缆无破损，安全带安全绳质量符合要求，如发现问题应及时的采取措施，以免在门机拆除过程中发生事故。</w:t>
            </w:r>
          </w:p>
        </w:tc>
      </w:tr>
    </w:tbl>
    <w:p w14:paraId="102C5A86">
      <w:pPr>
        <w:pStyle w:val="5"/>
        <w:rPr>
          <w:rFonts w:cs="Times New Roman"/>
          <w:color w:val="000000" w:themeColor="text1"/>
          <w14:textFill>
            <w14:solidFill>
              <w14:schemeClr w14:val="tx1"/>
            </w14:solidFill>
          </w14:textFill>
        </w:rPr>
      </w:pPr>
      <w:bookmarkStart w:id="91" w:name="_Toc18334"/>
      <w:bookmarkStart w:id="92" w:name="_Toc24918"/>
      <w:r>
        <w:rPr>
          <w:rFonts w:cs="Times New Roman"/>
          <w:color w:val="000000" w:themeColor="text1"/>
          <w14:textFill>
            <w14:solidFill>
              <w14:schemeClr w14:val="tx1"/>
            </w14:solidFill>
          </w14:textFill>
        </w:rPr>
        <w:t>质量保证措施</w:t>
      </w:r>
      <w:bookmarkEnd w:id="91"/>
      <w:bookmarkEnd w:id="92"/>
    </w:p>
    <w:p w14:paraId="1CF8B5F2">
      <w:pPr>
        <w:pStyle w:val="88"/>
        <w:numPr>
          <w:ilvl w:val="0"/>
          <w:numId w:val="27"/>
        </w:numPr>
        <w:ind w:firstLine="480"/>
        <w:rPr>
          <w:color w:val="000000" w:themeColor="text1"/>
          <w14:textFill>
            <w14:solidFill>
              <w14:schemeClr w14:val="tx1"/>
            </w14:solidFill>
          </w14:textFill>
        </w:rPr>
      </w:pPr>
      <w:r>
        <w:rPr>
          <w:color w:val="000000" w:themeColor="text1"/>
          <w14:textFill>
            <w14:solidFill>
              <w14:schemeClr w14:val="tx1"/>
            </w14:solidFill>
          </w14:textFill>
        </w:rPr>
        <w:t>严格执行国家现行制作、拆除施工验收规范和施工图设计要求及设备说明书提出的有关要求，项目部拟定相应质量计划并规范操作。</w:t>
      </w:r>
    </w:p>
    <w:p w14:paraId="0A8170BD">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项目经理对工程质量管理工作负全面领导责任，项目工程师行使施工质量控制和管理职权。各施工队进行专检、工序检、复检确认，行使质量否决权。施工队兼职质量员进行现场施工质量监督控制，并负责本队自检、互检工作。</w:t>
      </w:r>
    </w:p>
    <w:p w14:paraId="676E513E">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实行施工全过程的质量控制。在工程开工前，确定关键工序停工检验点，一般工序实行工序交叉检，上道工序不合格，不得转入下道工序。</w:t>
      </w:r>
    </w:p>
    <w:p w14:paraId="15A20DB1">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施工队详细填写质量验收检查表，以保证质量施工原始记录的及时、完整和准确。</w:t>
      </w:r>
    </w:p>
    <w:p w14:paraId="7E31F9D7">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项目工程师要按使用单位提供图纸及实测数据，编制施工方案或技术措施，施工前向施工人员作详细的技术交底。</w:t>
      </w:r>
    </w:p>
    <w:p w14:paraId="10CF8FE0">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施工使用的水准仪、经纬仪与盒尺等检验器具，必须严格按国家有关要求定期校验和核查，未经检验或过期、失准的计量器具严禁使用。</w:t>
      </w:r>
    </w:p>
    <w:p w14:paraId="61F21E54">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各种设备的交接、验收、保管、存放应按有关要求进行。拆卸应视实际情况采取相关措施，保证设备安全。存放保管应按设备材料就按要求进行，认真核对名称、型号、规格、数量。</w:t>
      </w:r>
    </w:p>
    <w:p w14:paraId="7FFADD45">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在新组装起重机轨道中选择完全符合轨道拆除质量标准的位置拆除起重机，而且同侧轨道水平在0～5mm之内，两轨道间的水平差&lt;8mm，在拆除范围两端，轨道中心间距差≤2mm，轨距公差在±5mm。</w:t>
      </w:r>
    </w:p>
    <w:p w14:paraId="5C21998A">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项目部应高度重视控制塔式起重机各股轨道的平顺性、高差、轨距差，以保证门式起重机长期正常、稳定运行。</w:t>
      </w:r>
    </w:p>
    <w:p w14:paraId="77F519BE">
      <w:pPr>
        <w:rPr>
          <w:color w:val="000000" w:themeColor="text1"/>
          <w14:textFill>
            <w14:solidFill>
              <w14:schemeClr w14:val="tx1"/>
            </w14:solidFill>
          </w14:textFill>
        </w:rPr>
      </w:pPr>
      <w:r>
        <w:rPr>
          <w:color w:val="000000" w:themeColor="text1"/>
          <w14:textFill>
            <w14:solidFill>
              <w14:schemeClr w14:val="tx1"/>
            </w14:solidFill>
          </w14:textFill>
        </w:rPr>
        <w:br w:type="page"/>
      </w:r>
    </w:p>
    <w:bookmarkEnd w:id="83"/>
    <w:bookmarkEnd w:id="84"/>
    <w:p w14:paraId="3B6DCF94">
      <w:pPr>
        <w:pStyle w:val="4"/>
      </w:pPr>
      <w:bookmarkStart w:id="93" w:name="_Toc18267"/>
      <w:bookmarkStart w:id="94" w:name="_Toc117245039"/>
      <w:bookmarkStart w:id="95" w:name="_Toc17661"/>
      <w:bookmarkStart w:id="96" w:name="_Toc12353"/>
      <w:r>
        <w:rPr>
          <w:rFonts w:hint="eastAsia"/>
        </w:rPr>
        <w:t>施工危险源辨识及安全保证措施</w:t>
      </w:r>
      <w:bookmarkEnd w:id="93"/>
      <w:bookmarkEnd w:id="94"/>
      <w:bookmarkEnd w:id="95"/>
    </w:p>
    <w:p w14:paraId="24E13A43">
      <w:pPr>
        <w:pStyle w:val="5"/>
      </w:pPr>
      <w:bookmarkStart w:id="97" w:name="_Toc117245040"/>
      <w:bookmarkStart w:id="98" w:name="_Toc66805124"/>
      <w:bookmarkStart w:id="99" w:name="_Toc114212094"/>
      <w:bookmarkStart w:id="100" w:name="_Toc26677"/>
      <w:bookmarkStart w:id="101" w:name="_Toc29268"/>
      <w:bookmarkStart w:id="102" w:name="_Toc2870"/>
      <w:bookmarkStart w:id="103" w:name="_Toc40778447"/>
      <w:bookmarkStart w:id="104" w:name="_Toc5858"/>
      <w:r>
        <w:rPr>
          <w:rFonts w:hint="eastAsia"/>
        </w:rPr>
        <w:t>风险源</w:t>
      </w:r>
      <w:r>
        <w:t>辨识及分析</w:t>
      </w:r>
      <w:bookmarkEnd w:id="97"/>
      <w:bookmarkEnd w:id="98"/>
      <w:bookmarkEnd w:id="99"/>
      <w:bookmarkEnd w:id="100"/>
    </w:p>
    <w:p w14:paraId="128A3BE6">
      <w:pPr>
        <w:pStyle w:val="6"/>
      </w:pPr>
      <w:r>
        <w:t>LEC辨识方法简介</w:t>
      </w:r>
    </w:p>
    <w:p w14:paraId="24AD789C">
      <w:pPr>
        <w:ind w:firstLine="480"/>
      </w:pPr>
      <w:r>
        <w:rPr>
          <w:rFonts w:hint="eastAsia"/>
        </w:rPr>
        <w:t>本项目施工风险评估采用“作业条件危险性评价法（LEC）”，其考虑的风险因素有三个：发生事故或危险事件的可能性，危险作业出现频率和事故的后果。主要是评估人员根据实际经验，对评估对象的现状情况进行分析，然后根据公式计算其风险分数值，再按经验将风险分数值划分风险程度等级表。</w:t>
      </w:r>
    </w:p>
    <w:p w14:paraId="30F5363D">
      <w:pPr>
        <w:ind w:firstLine="480"/>
      </w:pPr>
      <w:r>
        <w:rPr>
          <w:rFonts w:hint="eastAsia"/>
        </w:rPr>
        <w:t>“作业条件危险性评价法（LEC）”事故风险大小计算公式为：D=L×E×C</w:t>
      </w:r>
    </w:p>
    <w:p w14:paraId="0AE0C86C">
      <w:pPr>
        <w:ind w:firstLine="480"/>
      </w:pPr>
      <w:r>
        <w:rPr>
          <w:rFonts w:hint="eastAsia"/>
        </w:rPr>
        <w:t>式中：D——事故风险大小</w:t>
      </w:r>
    </w:p>
    <w:p w14:paraId="5E5EFA5B">
      <w:pPr>
        <w:ind w:firstLine="1200" w:firstLineChars="500"/>
      </w:pPr>
      <w:r>
        <w:rPr>
          <w:rFonts w:hint="eastAsia"/>
        </w:rPr>
        <w:t>L——事故发生的可能性</w:t>
      </w:r>
    </w:p>
    <w:p w14:paraId="5FC541C5">
      <w:pPr>
        <w:ind w:firstLine="1200" w:firstLineChars="500"/>
      </w:pPr>
      <w:r>
        <w:rPr>
          <w:rFonts w:hint="eastAsia"/>
        </w:rPr>
        <w:t>E——暴露于风险环境的频率</w:t>
      </w:r>
    </w:p>
    <w:p w14:paraId="71EF8D7C">
      <w:pPr>
        <w:ind w:firstLine="1200" w:firstLineChars="500"/>
      </w:pPr>
      <w:r>
        <w:rPr>
          <w:rFonts w:hint="eastAsia"/>
        </w:rPr>
        <w:t>C——发生事故的可能后果</w:t>
      </w:r>
    </w:p>
    <w:p w14:paraId="7B9675D3">
      <w:pPr>
        <w:ind w:firstLine="480"/>
      </w:pPr>
      <w:r>
        <w:t>根据公式</w:t>
      </w:r>
      <w:r>
        <w:rPr>
          <w:rFonts w:hint="eastAsia"/>
        </w:rPr>
        <w:t>D=L×E×C</w:t>
      </w:r>
      <w:r>
        <w:t>，求出风险值D。</w:t>
      </w:r>
      <w:r>
        <w:rPr>
          <w:rFonts w:hint="eastAsia"/>
        </w:rPr>
        <w:t>按照该方法风险等级划分原则，依据《中交二航局安全生产风险分级管控实施办法》，</w:t>
      </w:r>
      <w:r>
        <w:t>规定D值在</w:t>
      </w:r>
      <w:r>
        <w:rPr>
          <w:rFonts w:hint="eastAsia"/>
        </w:rPr>
        <w:t>70</w:t>
      </w:r>
      <w:r>
        <w:t>以下时为</w:t>
      </w:r>
      <w:r>
        <w:rPr>
          <w:rFonts w:hint="eastAsia"/>
        </w:rPr>
        <w:t>Ⅰ</w:t>
      </w:r>
      <w:r>
        <w:t>级风险；在70~160之间为</w:t>
      </w:r>
      <w:r>
        <w:rPr>
          <w:rFonts w:hint="eastAsia"/>
        </w:rPr>
        <w:t>Ⅱ</w:t>
      </w:r>
      <w:r>
        <w:t>级风险；在160~320之间为</w:t>
      </w:r>
      <w:r>
        <w:rPr>
          <w:rFonts w:hint="eastAsia"/>
        </w:rPr>
        <w:t>Ⅲ</w:t>
      </w:r>
      <w:r>
        <w:t>级风险；D值大于320时为</w:t>
      </w:r>
      <w:r>
        <w:rPr>
          <w:rFonts w:hint="eastAsia"/>
        </w:rPr>
        <w:t>Ⅳ</w:t>
      </w:r>
      <w:r>
        <w:t>级风险。风险等级划分见</w:t>
      </w:r>
      <w:r>
        <w:rPr>
          <w:rFonts w:hint="eastAsia"/>
        </w:rPr>
        <w:t>下表</w:t>
      </w:r>
      <w:r>
        <w:t>。</w:t>
      </w:r>
    </w:p>
    <w:p w14:paraId="10C44365">
      <w:pPr>
        <w:ind w:firstLine="480" w:firstLineChars="0"/>
        <w:jc w:val="center"/>
        <w:rPr>
          <w:rFonts w:cstheme="majorBidi"/>
          <w:b/>
          <w:sz w:val="21"/>
          <w:szCs w:val="20"/>
        </w:rPr>
      </w:pPr>
      <w:bookmarkStart w:id="105" w:name="_Ref59526525"/>
      <w:r>
        <w:rPr>
          <w:rFonts w:hint="eastAsia" w:cstheme="majorBidi"/>
          <w:b/>
          <w:sz w:val="21"/>
          <w:szCs w:val="20"/>
        </w:rPr>
        <w:t>表</w:t>
      </w:r>
      <w:r>
        <w:rPr>
          <w:rFonts w:cstheme="majorBidi"/>
          <w:b/>
          <w:sz w:val="21"/>
          <w:szCs w:val="20"/>
        </w:rPr>
        <w:fldChar w:fldCharType="begin"/>
      </w:r>
      <w:r>
        <w:rPr>
          <w:rFonts w:cstheme="majorBidi"/>
          <w:b/>
          <w:sz w:val="21"/>
          <w:szCs w:val="20"/>
        </w:rPr>
        <w:instrText xml:space="preserve"> </w:instrText>
      </w:r>
      <w:r>
        <w:rPr>
          <w:rFonts w:hint="eastAsia" w:cstheme="majorBidi"/>
          <w:b/>
          <w:sz w:val="21"/>
          <w:szCs w:val="20"/>
        </w:rPr>
        <w:instrText xml:space="preserve">STYLEREF 2 \s</w:instrText>
      </w:r>
      <w:r>
        <w:rPr>
          <w:rFonts w:cstheme="majorBidi"/>
          <w:b/>
          <w:sz w:val="21"/>
          <w:szCs w:val="20"/>
        </w:rPr>
        <w:instrText xml:space="preserve"> </w:instrText>
      </w:r>
      <w:r>
        <w:rPr>
          <w:rFonts w:cstheme="majorBidi"/>
          <w:b/>
          <w:sz w:val="21"/>
          <w:szCs w:val="20"/>
        </w:rPr>
        <w:fldChar w:fldCharType="separate"/>
      </w:r>
      <w:r>
        <w:rPr>
          <w:rFonts w:hint="eastAsia" w:cstheme="majorBidi"/>
          <w:b/>
          <w:sz w:val="21"/>
          <w:szCs w:val="20"/>
        </w:rPr>
        <w:t>6.1</w:t>
      </w:r>
      <w:r>
        <w:rPr>
          <w:rFonts w:cstheme="majorBidi"/>
          <w:b/>
          <w:sz w:val="21"/>
          <w:szCs w:val="20"/>
        </w:rPr>
        <w:fldChar w:fldCharType="end"/>
      </w:r>
      <w:r>
        <w:rPr>
          <w:rFonts w:cstheme="majorBidi"/>
          <w:b/>
          <w:sz w:val="21"/>
          <w:szCs w:val="20"/>
        </w:rPr>
        <w:t>.1</w:t>
      </w:r>
      <w:r>
        <w:rPr>
          <w:rFonts w:cstheme="majorBidi"/>
          <w:b/>
          <w:sz w:val="21"/>
          <w:szCs w:val="20"/>
        </w:rPr>
        <w:noBreakHyphen/>
      </w:r>
      <w:bookmarkEnd w:id="105"/>
      <w:r>
        <w:rPr>
          <w:rFonts w:hint="eastAsia" w:cstheme="majorBidi"/>
          <w:b/>
          <w:sz w:val="21"/>
          <w:szCs w:val="20"/>
        </w:rPr>
        <w:t>1</w:t>
      </w:r>
      <w:r>
        <w:rPr>
          <w:rFonts w:cstheme="majorBidi"/>
          <w:b/>
          <w:sz w:val="21"/>
          <w:szCs w:val="20"/>
        </w:rPr>
        <w:t xml:space="preserve"> </w:t>
      </w:r>
      <w:r>
        <w:rPr>
          <w:rFonts w:hint="eastAsia" w:cstheme="majorBidi"/>
          <w:b/>
          <w:sz w:val="21"/>
          <w:szCs w:val="20"/>
        </w:rPr>
        <w:t>LEC法评估结果分级</w:t>
      </w:r>
    </w:p>
    <w:tbl>
      <w:tblPr>
        <w:tblStyle w:val="12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01"/>
        <w:gridCol w:w="2268"/>
        <w:gridCol w:w="4535"/>
      </w:tblGrid>
      <w:tr w14:paraId="7B3C8B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701" w:type="dxa"/>
            <w:vAlign w:val="center"/>
          </w:tcPr>
          <w:p w14:paraId="70B2A77F">
            <w:pPr>
              <w:spacing w:line="240" w:lineRule="auto"/>
              <w:ind w:firstLine="0" w:firstLineChars="0"/>
              <w:jc w:val="center"/>
              <w:rPr>
                <w:rFonts w:cs="宋体"/>
                <w:b/>
                <w:bCs/>
                <w:kern w:val="0"/>
                <w:sz w:val="21"/>
              </w:rPr>
            </w:pPr>
            <w:r>
              <w:rPr>
                <w:rFonts w:cs="宋体"/>
                <w:b/>
                <w:bCs/>
                <w:kern w:val="0"/>
                <w:sz w:val="21"/>
              </w:rPr>
              <w:t>风险等级</w:t>
            </w:r>
          </w:p>
        </w:tc>
        <w:tc>
          <w:tcPr>
            <w:tcW w:w="2268" w:type="dxa"/>
            <w:vAlign w:val="center"/>
          </w:tcPr>
          <w:p w14:paraId="68634BBB">
            <w:pPr>
              <w:spacing w:line="240" w:lineRule="auto"/>
              <w:ind w:firstLine="0" w:firstLineChars="0"/>
              <w:jc w:val="center"/>
              <w:rPr>
                <w:rFonts w:cs="宋体"/>
                <w:b/>
                <w:bCs/>
                <w:kern w:val="0"/>
                <w:sz w:val="21"/>
              </w:rPr>
            </w:pPr>
            <w:r>
              <w:rPr>
                <w:rFonts w:cs="宋体"/>
                <w:b/>
                <w:bCs/>
                <w:kern w:val="0"/>
                <w:sz w:val="21"/>
              </w:rPr>
              <w:t>D值</w:t>
            </w:r>
          </w:p>
        </w:tc>
        <w:tc>
          <w:tcPr>
            <w:tcW w:w="4535" w:type="dxa"/>
            <w:vAlign w:val="center"/>
          </w:tcPr>
          <w:p w14:paraId="02E2FA70">
            <w:pPr>
              <w:spacing w:line="240" w:lineRule="auto"/>
              <w:ind w:firstLine="0" w:firstLineChars="0"/>
              <w:jc w:val="center"/>
              <w:rPr>
                <w:rFonts w:cs="宋体"/>
                <w:b/>
                <w:bCs/>
                <w:kern w:val="0"/>
                <w:sz w:val="21"/>
              </w:rPr>
            </w:pPr>
            <w:r>
              <w:rPr>
                <w:rFonts w:hint="eastAsia" w:cs="宋体"/>
                <w:b/>
                <w:bCs/>
                <w:kern w:val="0"/>
                <w:sz w:val="21"/>
              </w:rPr>
              <w:t>风险</w:t>
            </w:r>
            <w:r>
              <w:rPr>
                <w:rFonts w:cs="宋体"/>
                <w:b/>
                <w:bCs/>
                <w:kern w:val="0"/>
                <w:sz w:val="21"/>
              </w:rPr>
              <w:t>程度</w:t>
            </w:r>
          </w:p>
        </w:tc>
      </w:tr>
      <w:tr w14:paraId="23C932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14:paraId="2D124C2C">
            <w:pPr>
              <w:spacing w:line="240" w:lineRule="auto"/>
              <w:ind w:firstLine="0" w:firstLineChars="0"/>
              <w:jc w:val="center"/>
            </w:pPr>
            <w:r>
              <w:rPr>
                <w:rFonts w:hint="eastAsia"/>
              </w:rPr>
              <w:t>Ⅳ</w:t>
            </w:r>
          </w:p>
        </w:tc>
        <w:tc>
          <w:tcPr>
            <w:tcW w:w="2268" w:type="dxa"/>
            <w:vAlign w:val="center"/>
          </w:tcPr>
          <w:p w14:paraId="25668751">
            <w:pPr>
              <w:spacing w:line="240" w:lineRule="auto"/>
              <w:ind w:firstLine="0" w:firstLineChars="0"/>
              <w:jc w:val="center"/>
              <w:rPr>
                <w:rFonts w:cs="宋体"/>
                <w:kern w:val="0"/>
                <w:sz w:val="21"/>
              </w:rPr>
            </w:pPr>
            <w:r>
              <w:rPr>
                <w:rFonts w:hint="eastAsia" w:cs="宋体"/>
                <w:kern w:val="0"/>
                <w:sz w:val="21"/>
              </w:rPr>
              <w:t>D</w:t>
            </w:r>
            <w:r>
              <w:rPr>
                <w:rFonts w:cs="宋体"/>
                <w:kern w:val="0"/>
                <w:sz w:val="21"/>
              </w:rPr>
              <w:t>＞320</w:t>
            </w:r>
          </w:p>
        </w:tc>
        <w:tc>
          <w:tcPr>
            <w:tcW w:w="4535" w:type="dxa"/>
            <w:vAlign w:val="center"/>
          </w:tcPr>
          <w:p w14:paraId="680E5139">
            <w:pPr>
              <w:spacing w:line="240" w:lineRule="auto"/>
              <w:ind w:firstLine="0" w:firstLineChars="0"/>
              <w:jc w:val="center"/>
              <w:rPr>
                <w:rFonts w:cs="宋体"/>
                <w:kern w:val="0"/>
                <w:sz w:val="21"/>
              </w:rPr>
            </w:pPr>
            <w:r>
              <w:rPr>
                <w:rFonts w:hint="eastAsia" w:cs="宋体"/>
                <w:kern w:val="0"/>
                <w:sz w:val="21"/>
              </w:rPr>
              <w:t>重大风险</w:t>
            </w:r>
          </w:p>
        </w:tc>
      </w:tr>
      <w:tr w14:paraId="0CFDA9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14:paraId="0366E710">
            <w:pPr>
              <w:spacing w:line="240" w:lineRule="auto"/>
              <w:ind w:firstLine="0" w:firstLineChars="0"/>
              <w:jc w:val="center"/>
            </w:pPr>
            <w:r>
              <w:rPr>
                <w:rFonts w:hint="eastAsia"/>
              </w:rPr>
              <w:t>Ⅲ</w:t>
            </w:r>
          </w:p>
        </w:tc>
        <w:tc>
          <w:tcPr>
            <w:tcW w:w="2268" w:type="dxa"/>
            <w:vAlign w:val="center"/>
          </w:tcPr>
          <w:p w14:paraId="1DD13A78">
            <w:pPr>
              <w:spacing w:line="240" w:lineRule="auto"/>
              <w:ind w:firstLine="0" w:firstLineChars="0"/>
              <w:jc w:val="center"/>
              <w:rPr>
                <w:rFonts w:cs="宋体"/>
                <w:kern w:val="0"/>
                <w:sz w:val="21"/>
              </w:rPr>
            </w:pPr>
            <w:r>
              <w:rPr>
                <w:rFonts w:hint="eastAsia" w:cs="宋体"/>
                <w:kern w:val="0"/>
                <w:sz w:val="21"/>
              </w:rPr>
              <w:t>160&lt;D≤320</w:t>
            </w:r>
          </w:p>
        </w:tc>
        <w:tc>
          <w:tcPr>
            <w:tcW w:w="4535" w:type="dxa"/>
            <w:vAlign w:val="center"/>
          </w:tcPr>
          <w:p w14:paraId="0B63EA7C">
            <w:pPr>
              <w:spacing w:line="240" w:lineRule="auto"/>
              <w:ind w:firstLine="0" w:firstLineChars="0"/>
              <w:jc w:val="center"/>
              <w:rPr>
                <w:rFonts w:cs="宋体"/>
                <w:kern w:val="0"/>
                <w:sz w:val="21"/>
              </w:rPr>
            </w:pPr>
            <w:r>
              <w:rPr>
                <w:rFonts w:hint="eastAsia" w:cs="宋体"/>
                <w:kern w:val="0"/>
                <w:sz w:val="21"/>
              </w:rPr>
              <w:t>较大风险</w:t>
            </w:r>
          </w:p>
        </w:tc>
      </w:tr>
      <w:tr w14:paraId="6D9181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14:paraId="7264CC8D">
            <w:pPr>
              <w:spacing w:line="240" w:lineRule="auto"/>
              <w:ind w:firstLine="0" w:firstLineChars="0"/>
              <w:jc w:val="center"/>
            </w:pPr>
            <w:r>
              <w:rPr>
                <w:rFonts w:hint="eastAsia"/>
              </w:rPr>
              <w:t>Ⅱ</w:t>
            </w:r>
          </w:p>
        </w:tc>
        <w:tc>
          <w:tcPr>
            <w:tcW w:w="2268" w:type="dxa"/>
            <w:vAlign w:val="center"/>
          </w:tcPr>
          <w:p w14:paraId="050F96B3">
            <w:pPr>
              <w:spacing w:line="240" w:lineRule="auto"/>
              <w:ind w:firstLine="0" w:firstLineChars="0"/>
              <w:jc w:val="center"/>
              <w:rPr>
                <w:rFonts w:cs="宋体"/>
                <w:kern w:val="0"/>
                <w:sz w:val="21"/>
              </w:rPr>
            </w:pPr>
            <w:r>
              <w:rPr>
                <w:rFonts w:hint="eastAsia" w:cs="宋体"/>
                <w:kern w:val="0"/>
                <w:sz w:val="21"/>
              </w:rPr>
              <w:t>70&lt;D≤160</w:t>
            </w:r>
          </w:p>
        </w:tc>
        <w:tc>
          <w:tcPr>
            <w:tcW w:w="4535" w:type="dxa"/>
            <w:vAlign w:val="center"/>
          </w:tcPr>
          <w:p w14:paraId="22A5EF08">
            <w:pPr>
              <w:spacing w:line="240" w:lineRule="auto"/>
              <w:ind w:firstLine="0" w:firstLineChars="0"/>
              <w:jc w:val="center"/>
              <w:rPr>
                <w:rFonts w:cs="宋体"/>
                <w:kern w:val="0"/>
                <w:sz w:val="21"/>
              </w:rPr>
            </w:pPr>
            <w:r>
              <w:rPr>
                <w:rFonts w:hint="eastAsia" w:cs="宋体"/>
                <w:kern w:val="0"/>
                <w:sz w:val="21"/>
              </w:rPr>
              <w:t>一般风险</w:t>
            </w:r>
          </w:p>
        </w:tc>
      </w:tr>
      <w:tr w14:paraId="501CBD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14:paraId="62E91159">
            <w:pPr>
              <w:spacing w:line="240" w:lineRule="auto"/>
              <w:ind w:firstLine="0" w:firstLineChars="0"/>
              <w:jc w:val="center"/>
            </w:pPr>
            <w:r>
              <w:rPr>
                <w:rFonts w:hint="eastAsia"/>
              </w:rPr>
              <w:t>Ⅰ</w:t>
            </w:r>
          </w:p>
        </w:tc>
        <w:tc>
          <w:tcPr>
            <w:tcW w:w="2268" w:type="dxa"/>
            <w:vAlign w:val="center"/>
          </w:tcPr>
          <w:p w14:paraId="4F9F3C53">
            <w:pPr>
              <w:spacing w:line="240" w:lineRule="auto"/>
              <w:ind w:firstLine="0" w:firstLineChars="0"/>
              <w:jc w:val="center"/>
              <w:rPr>
                <w:rFonts w:cs="宋体"/>
                <w:kern w:val="0"/>
                <w:sz w:val="21"/>
              </w:rPr>
            </w:pPr>
            <w:r>
              <w:rPr>
                <w:rFonts w:hint="eastAsia" w:cs="宋体"/>
                <w:kern w:val="0"/>
                <w:sz w:val="21"/>
              </w:rPr>
              <w:t>D≤</w:t>
            </w:r>
            <w:r>
              <w:rPr>
                <w:rFonts w:cs="宋体"/>
                <w:kern w:val="0"/>
                <w:sz w:val="21"/>
              </w:rPr>
              <w:t>70</w:t>
            </w:r>
          </w:p>
        </w:tc>
        <w:tc>
          <w:tcPr>
            <w:tcW w:w="4535" w:type="dxa"/>
            <w:vAlign w:val="center"/>
          </w:tcPr>
          <w:p w14:paraId="7D448390">
            <w:pPr>
              <w:spacing w:line="240" w:lineRule="auto"/>
              <w:ind w:firstLine="0" w:firstLineChars="0"/>
              <w:jc w:val="center"/>
              <w:rPr>
                <w:rFonts w:cs="宋体"/>
                <w:kern w:val="0"/>
                <w:sz w:val="21"/>
              </w:rPr>
            </w:pPr>
            <w:r>
              <w:rPr>
                <w:rFonts w:hint="eastAsia" w:cs="宋体"/>
                <w:kern w:val="0"/>
                <w:sz w:val="21"/>
              </w:rPr>
              <w:t>较小风险</w:t>
            </w:r>
          </w:p>
        </w:tc>
      </w:tr>
    </w:tbl>
    <w:p w14:paraId="316A45AF">
      <w:pPr>
        <w:ind w:firstLine="480"/>
      </w:pPr>
      <w:r>
        <w:rPr>
          <w:rFonts w:hint="eastAsia"/>
        </w:rPr>
        <w:t>风险程度说明和分级管控要求：</w:t>
      </w:r>
    </w:p>
    <w:p w14:paraId="57071000">
      <w:pPr>
        <w:ind w:firstLine="480"/>
      </w:pPr>
      <w:r>
        <w:rPr>
          <w:rFonts w:hint="eastAsia"/>
        </w:rPr>
        <w:t>Ⅰ级：较小风险，发生风险事件概率、危害程度均为小，或者风险事件概率为中、危害程度为小，或者风险事件概率为小、危害程度为中；由班组管控；</w:t>
      </w:r>
    </w:p>
    <w:p w14:paraId="75482066">
      <w:pPr>
        <w:ind w:firstLine="480"/>
      </w:pPr>
      <w:r>
        <w:rPr>
          <w:rFonts w:hint="eastAsia"/>
        </w:rPr>
        <w:t>Ⅱ级：一般</w:t>
      </w:r>
      <w:r>
        <w:rPr>
          <w:rFonts w:hint="eastAsia" w:asciiTheme="minorHAnsi" w:eastAsiaTheme="minorEastAsia"/>
        </w:rPr>
        <w:t>风险</w:t>
      </w:r>
      <w:r>
        <w:rPr>
          <w:rFonts w:hint="eastAsia"/>
        </w:rPr>
        <w:t>，发生风险事件概率、危害程度均为中，或者风险事件概率为大、危害程度为小，或者风险事件概率为小、危害程度为大；由项目部管控；</w:t>
      </w:r>
    </w:p>
    <w:p w14:paraId="3D3460E1">
      <w:pPr>
        <w:ind w:firstLine="480"/>
      </w:pPr>
      <w:r>
        <w:rPr>
          <w:rFonts w:hint="eastAsia"/>
        </w:rPr>
        <w:t>Ⅲ级：较大风险，发生风险事件概率为大、危害程度为中，或危害程度为大、发生风险事件概率为中；由分子公司组织项目部共同管控，分子公司重点监督检查；</w:t>
      </w:r>
    </w:p>
    <w:p w14:paraId="203A718C">
      <w:pPr>
        <w:ind w:firstLine="480"/>
      </w:pPr>
      <w:r>
        <w:rPr>
          <w:rFonts w:hint="eastAsia"/>
        </w:rPr>
        <w:t>Ⅳ级：重大风险，发生风险事件概率、危害程度均为大；由公司组织分子公司、项目部共同管控，公司重点监督检查。</w:t>
      </w:r>
    </w:p>
    <w:p w14:paraId="17058C8E">
      <w:pPr>
        <w:pStyle w:val="6"/>
      </w:pPr>
      <w:r>
        <w:rPr>
          <w:rFonts w:hint="eastAsia"/>
        </w:rPr>
        <w:t>风险源</w:t>
      </w:r>
      <w:r>
        <w:t>辨识与评价</w:t>
      </w:r>
    </w:p>
    <w:p w14:paraId="629CF3A4">
      <w:pPr>
        <w:ind w:firstLine="480"/>
      </w:pPr>
      <w:r>
        <w:rPr>
          <w:rFonts w:hint="eastAsia"/>
        </w:rPr>
        <w:t>危险有害因素辨识及评价一览表</w:t>
      </w:r>
      <w:r>
        <w:t>见表6.1.2-1所示。</w:t>
      </w:r>
    </w:p>
    <w:p w14:paraId="40FD3FA2">
      <w:pPr>
        <w:spacing w:line="240" w:lineRule="auto"/>
        <w:ind w:firstLine="482" w:firstLineChars="0"/>
        <w:jc w:val="center"/>
        <w:rPr>
          <w:b/>
          <w:bCs/>
          <w:sz w:val="21"/>
        </w:rPr>
      </w:pPr>
      <w:r>
        <w:rPr>
          <w:b/>
          <w:bCs/>
          <w:sz w:val="21"/>
        </w:rPr>
        <w:t>表6.1.2-1</w:t>
      </w:r>
      <w:r>
        <w:rPr>
          <w:rFonts w:hint="eastAsia"/>
          <w:b/>
          <w:bCs/>
          <w:sz w:val="21"/>
        </w:rPr>
        <w:t>危险有害因素辨识及评价一览表</w:t>
      </w:r>
    </w:p>
    <w:tbl>
      <w:tblPr>
        <w:tblStyle w:val="30"/>
        <w:tblW w:w="89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5"/>
        <w:gridCol w:w="995"/>
        <w:gridCol w:w="3604"/>
        <w:gridCol w:w="1149"/>
        <w:gridCol w:w="550"/>
        <w:gridCol w:w="540"/>
        <w:gridCol w:w="540"/>
        <w:gridCol w:w="590"/>
        <w:gridCol w:w="560"/>
      </w:tblGrid>
      <w:tr w14:paraId="1390A9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5" w:type="dxa"/>
            <w:vMerge w:val="restart"/>
            <w:tcBorders>
              <w:tl2br w:val="nil"/>
              <w:tr2bl w:val="nil"/>
            </w:tcBorders>
            <w:vAlign w:val="center"/>
          </w:tcPr>
          <w:p w14:paraId="5CA7DA81">
            <w:pPr>
              <w:spacing w:line="280" w:lineRule="exact"/>
              <w:ind w:firstLine="0" w:firstLineChars="0"/>
              <w:jc w:val="center"/>
              <w:rPr>
                <w:rFonts w:ascii="宋体" w:hAnsi="宋体" w:cs="宋体"/>
                <w:b/>
                <w:bCs/>
                <w:color w:val="000000" w:themeColor="text1"/>
                <w:sz w:val="21"/>
                <w14:textFill>
                  <w14:solidFill>
                    <w14:schemeClr w14:val="tx1"/>
                  </w14:solidFill>
                </w14:textFill>
              </w:rPr>
            </w:pPr>
            <w:bookmarkStart w:id="106" w:name="_Hlk114688103"/>
            <w:r>
              <w:rPr>
                <w:rFonts w:hint="eastAsia" w:ascii="宋体" w:hAnsi="宋体" w:cs="宋体"/>
                <w:b/>
                <w:bCs/>
                <w:color w:val="000000" w:themeColor="text1"/>
                <w:sz w:val="21"/>
                <w14:textFill>
                  <w14:solidFill>
                    <w14:schemeClr w14:val="tx1"/>
                  </w14:solidFill>
                </w14:textFill>
              </w:rPr>
              <w:t>序号</w:t>
            </w:r>
          </w:p>
        </w:tc>
        <w:tc>
          <w:tcPr>
            <w:tcW w:w="995" w:type="dxa"/>
            <w:vMerge w:val="restart"/>
            <w:tcBorders>
              <w:tl2br w:val="nil"/>
              <w:tr2bl w:val="nil"/>
            </w:tcBorders>
            <w:vAlign w:val="center"/>
          </w:tcPr>
          <w:p w14:paraId="0F89A659">
            <w:pPr>
              <w:spacing w:line="280" w:lineRule="exact"/>
              <w:ind w:firstLine="0" w:firstLineChars="0"/>
              <w:jc w:val="center"/>
              <w:rPr>
                <w:rFonts w:ascii="宋体" w:hAnsi="宋体" w:cs="宋体"/>
                <w:b/>
                <w:bCs/>
                <w:color w:val="000000" w:themeColor="text1"/>
                <w:sz w:val="21"/>
                <w14:textFill>
                  <w14:solidFill>
                    <w14:schemeClr w14:val="tx1"/>
                  </w14:solidFill>
                </w14:textFill>
              </w:rPr>
            </w:pPr>
            <w:r>
              <w:rPr>
                <w:rFonts w:hint="eastAsia" w:ascii="宋体" w:hAnsi="宋体" w:cs="宋体"/>
                <w:b/>
                <w:bCs/>
                <w:color w:val="000000" w:themeColor="text1"/>
                <w:sz w:val="21"/>
                <w14:textFill>
                  <w14:solidFill>
                    <w14:schemeClr w14:val="tx1"/>
                  </w14:solidFill>
                </w14:textFill>
              </w:rPr>
              <w:t>活动</w:t>
            </w:r>
          </w:p>
          <w:p w14:paraId="2E8E056A">
            <w:pPr>
              <w:spacing w:line="280" w:lineRule="exact"/>
              <w:ind w:firstLine="0" w:firstLineChars="0"/>
              <w:jc w:val="center"/>
              <w:rPr>
                <w:rFonts w:ascii="宋体" w:hAnsi="宋体" w:cs="宋体"/>
                <w:b/>
                <w:bCs/>
                <w:color w:val="000000" w:themeColor="text1"/>
                <w:sz w:val="21"/>
                <w14:textFill>
                  <w14:solidFill>
                    <w14:schemeClr w14:val="tx1"/>
                  </w14:solidFill>
                </w14:textFill>
              </w:rPr>
            </w:pPr>
            <w:r>
              <w:rPr>
                <w:rFonts w:hint="eastAsia" w:ascii="宋体" w:hAnsi="宋体" w:cs="宋体"/>
                <w:b/>
                <w:bCs/>
                <w:color w:val="000000" w:themeColor="text1"/>
                <w:sz w:val="21"/>
                <w14:textFill>
                  <w14:solidFill>
                    <w14:schemeClr w14:val="tx1"/>
                  </w14:solidFill>
                </w14:textFill>
              </w:rPr>
              <w:t>内容</w:t>
            </w:r>
          </w:p>
        </w:tc>
        <w:tc>
          <w:tcPr>
            <w:tcW w:w="3604" w:type="dxa"/>
            <w:vMerge w:val="restart"/>
            <w:tcBorders>
              <w:tl2br w:val="nil"/>
              <w:tr2bl w:val="nil"/>
            </w:tcBorders>
            <w:vAlign w:val="center"/>
          </w:tcPr>
          <w:p w14:paraId="1460584C">
            <w:pPr>
              <w:spacing w:line="280" w:lineRule="exact"/>
              <w:ind w:firstLine="0" w:firstLineChars="0"/>
              <w:jc w:val="center"/>
              <w:rPr>
                <w:rFonts w:ascii="宋体" w:hAnsi="宋体" w:cs="宋体"/>
                <w:b/>
                <w:bCs/>
                <w:color w:val="000000" w:themeColor="text1"/>
                <w:sz w:val="21"/>
                <w14:textFill>
                  <w14:solidFill>
                    <w14:schemeClr w14:val="tx1"/>
                  </w14:solidFill>
                </w14:textFill>
              </w:rPr>
            </w:pPr>
            <w:r>
              <w:rPr>
                <w:rFonts w:hint="eastAsia" w:ascii="宋体" w:hAnsi="宋体" w:cs="宋体"/>
                <w:b/>
                <w:bCs/>
                <w:color w:val="000000" w:themeColor="text1"/>
                <w:sz w:val="21"/>
                <w14:textFill>
                  <w14:solidFill>
                    <w14:schemeClr w14:val="tx1"/>
                  </w14:solidFill>
                </w14:textFill>
              </w:rPr>
              <w:t>危害因素</w:t>
            </w:r>
          </w:p>
        </w:tc>
        <w:tc>
          <w:tcPr>
            <w:tcW w:w="1149" w:type="dxa"/>
            <w:vMerge w:val="restart"/>
            <w:tcBorders>
              <w:tl2br w:val="nil"/>
              <w:tr2bl w:val="nil"/>
            </w:tcBorders>
            <w:vAlign w:val="center"/>
          </w:tcPr>
          <w:p w14:paraId="17F1F065">
            <w:pPr>
              <w:spacing w:line="280" w:lineRule="exact"/>
              <w:ind w:firstLine="0" w:firstLineChars="0"/>
              <w:jc w:val="center"/>
              <w:rPr>
                <w:rFonts w:ascii="宋体" w:hAnsi="宋体" w:cs="宋体"/>
                <w:b/>
                <w:bCs/>
                <w:color w:val="000000" w:themeColor="text1"/>
                <w:sz w:val="21"/>
                <w14:textFill>
                  <w14:solidFill>
                    <w14:schemeClr w14:val="tx1"/>
                  </w14:solidFill>
                </w14:textFill>
              </w:rPr>
            </w:pPr>
            <w:r>
              <w:rPr>
                <w:rFonts w:hint="eastAsia" w:ascii="宋体" w:hAnsi="宋体" w:cs="宋体"/>
                <w:b/>
                <w:bCs/>
                <w:color w:val="000000" w:themeColor="text1"/>
                <w:sz w:val="21"/>
                <w14:textFill>
                  <w14:solidFill>
                    <w14:schemeClr w14:val="tx1"/>
                  </w14:solidFill>
                </w14:textFill>
              </w:rPr>
              <w:t>潜在事故</w:t>
            </w:r>
          </w:p>
          <w:p w14:paraId="07F27CDE">
            <w:pPr>
              <w:spacing w:line="280" w:lineRule="exact"/>
              <w:ind w:firstLine="0" w:firstLineChars="0"/>
              <w:jc w:val="center"/>
              <w:rPr>
                <w:rFonts w:ascii="宋体" w:hAnsi="宋体" w:cs="宋体"/>
                <w:b/>
                <w:bCs/>
                <w:color w:val="000000" w:themeColor="text1"/>
                <w:sz w:val="21"/>
                <w14:textFill>
                  <w14:solidFill>
                    <w14:schemeClr w14:val="tx1"/>
                  </w14:solidFill>
                </w14:textFill>
              </w:rPr>
            </w:pPr>
            <w:r>
              <w:rPr>
                <w:rFonts w:hint="eastAsia" w:ascii="宋体" w:hAnsi="宋体" w:cs="宋体"/>
                <w:b/>
                <w:bCs/>
                <w:color w:val="000000" w:themeColor="text1"/>
                <w:sz w:val="21"/>
                <w14:textFill>
                  <w14:solidFill>
                    <w14:schemeClr w14:val="tx1"/>
                  </w14:solidFill>
                </w14:textFill>
              </w:rPr>
              <w:t>类型</w:t>
            </w:r>
          </w:p>
        </w:tc>
        <w:tc>
          <w:tcPr>
            <w:tcW w:w="2220" w:type="dxa"/>
            <w:gridSpan w:val="4"/>
            <w:tcBorders>
              <w:tl2br w:val="nil"/>
              <w:tr2bl w:val="nil"/>
            </w:tcBorders>
            <w:vAlign w:val="center"/>
          </w:tcPr>
          <w:p w14:paraId="5349BA48">
            <w:pPr>
              <w:spacing w:line="280" w:lineRule="exact"/>
              <w:ind w:firstLine="0" w:firstLineChars="0"/>
              <w:jc w:val="center"/>
              <w:rPr>
                <w:rFonts w:ascii="宋体" w:hAnsi="宋体" w:cs="宋体"/>
                <w:b/>
                <w:bCs/>
                <w:color w:val="000000" w:themeColor="text1"/>
                <w:sz w:val="21"/>
                <w14:textFill>
                  <w14:solidFill>
                    <w14:schemeClr w14:val="tx1"/>
                  </w14:solidFill>
                </w14:textFill>
              </w:rPr>
            </w:pPr>
            <w:r>
              <w:rPr>
                <w:rFonts w:hint="eastAsia" w:ascii="宋体" w:hAnsi="宋体" w:cs="宋体"/>
                <w:b/>
                <w:bCs/>
                <w:kern w:val="0"/>
                <w:sz w:val="21"/>
              </w:rPr>
              <w:t>危险有害因素评价</w:t>
            </w:r>
          </w:p>
        </w:tc>
        <w:tc>
          <w:tcPr>
            <w:tcW w:w="560" w:type="dxa"/>
            <w:vMerge w:val="restart"/>
            <w:tcBorders>
              <w:tl2br w:val="nil"/>
              <w:tr2bl w:val="nil"/>
            </w:tcBorders>
            <w:vAlign w:val="center"/>
          </w:tcPr>
          <w:p w14:paraId="418055EB">
            <w:pPr>
              <w:widowControl/>
              <w:spacing w:line="240" w:lineRule="auto"/>
              <w:ind w:firstLine="0" w:firstLineChars="0"/>
              <w:jc w:val="center"/>
              <w:textAlignment w:val="center"/>
              <w:rPr>
                <w:rFonts w:ascii="宋体" w:hAnsi="宋体" w:cs="宋体"/>
                <w:b/>
                <w:kern w:val="0"/>
                <w:sz w:val="21"/>
                <w:lang w:bidi="ar"/>
              </w:rPr>
            </w:pPr>
            <w:r>
              <w:rPr>
                <w:rFonts w:hint="eastAsia" w:ascii="宋体" w:hAnsi="宋体" w:cs="宋体"/>
                <w:b/>
                <w:kern w:val="0"/>
                <w:sz w:val="21"/>
                <w:lang w:bidi="ar"/>
              </w:rPr>
              <w:t>风险</w:t>
            </w:r>
          </w:p>
          <w:p w14:paraId="5EFE26B7">
            <w:pPr>
              <w:spacing w:line="280" w:lineRule="exact"/>
              <w:ind w:firstLine="0" w:firstLineChars="0"/>
              <w:jc w:val="center"/>
              <w:rPr>
                <w:rFonts w:ascii="宋体" w:hAnsi="宋体" w:cs="宋体"/>
                <w:b/>
                <w:bCs/>
                <w:color w:val="000000" w:themeColor="text1"/>
                <w:sz w:val="21"/>
                <w14:textFill>
                  <w14:solidFill>
                    <w14:schemeClr w14:val="tx1"/>
                  </w14:solidFill>
                </w14:textFill>
              </w:rPr>
            </w:pPr>
            <w:r>
              <w:rPr>
                <w:rFonts w:hint="eastAsia" w:ascii="宋体" w:hAnsi="宋体" w:cs="宋体"/>
                <w:b/>
                <w:bCs/>
                <w:color w:val="000000" w:themeColor="text1"/>
                <w:sz w:val="21"/>
                <w14:textFill>
                  <w14:solidFill>
                    <w14:schemeClr w14:val="tx1"/>
                  </w14:solidFill>
                </w14:textFill>
              </w:rPr>
              <w:t>级别</w:t>
            </w:r>
          </w:p>
        </w:tc>
      </w:tr>
      <w:tr w14:paraId="0DF684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5" w:type="dxa"/>
            <w:vMerge w:val="continue"/>
            <w:tcBorders>
              <w:tl2br w:val="nil"/>
              <w:tr2bl w:val="nil"/>
            </w:tcBorders>
            <w:vAlign w:val="center"/>
          </w:tcPr>
          <w:p w14:paraId="46D65C94">
            <w:pPr>
              <w:spacing w:line="280" w:lineRule="exact"/>
              <w:ind w:firstLine="0" w:firstLineChars="0"/>
              <w:jc w:val="center"/>
              <w:rPr>
                <w:rFonts w:ascii="宋体" w:hAnsi="宋体" w:cs="宋体"/>
                <w:b/>
                <w:bCs/>
                <w:color w:val="000000" w:themeColor="text1"/>
                <w:sz w:val="21"/>
                <w14:textFill>
                  <w14:solidFill>
                    <w14:schemeClr w14:val="tx1"/>
                  </w14:solidFill>
                </w14:textFill>
              </w:rPr>
            </w:pPr>
          </w:p>
        </w:tc>
        <w:tc>
          <w:tcPr>
            <w:tcW w:w="995" w:type="dxa"/>
            <w:vMerge w:val="continue"/>
            <w:tcBorders>
              <w:tl2br w:val="nil"/>
              <w:tr2bl w:val="nil"/>
            </w:tcBorders>
            <w:vAlign w:val="center"/>
          </w:tcPr>
          <w:p w14:paraId="1098D427">
            <w:pPr>
              <w:spacing w:line="280" w:lineRule="exact"/>
              <w:ind w:firstLine="0" w:firstLineChars="0"/>
              <w:jc w:val="center"/>
              <w:rPr>
                <w:rFonts w:ascii="宋体" w:hAnsi="宋体" w:cs="宋体"/>
                <w:b/>
                <w:bCs/>
                <w:color w:val="000000" w:themeColor="text1"/>
                <w:sz w:val="21"/>
                <w14:textFill>
                  <w14:solidFill>
                    <w14:schemeClr w14:val="tx1"/>
                  </w14:solidFill>
                </w14:textFill>
              </w:rPr>
            </w:pPr>
          </w:p>
        </w:tc>
        <w:tc>
          <w:tcPr>
            <w:tcW w:w="3604" w:type="dxa"/>
            <w:vMerge w:val="continue"/>
            <w:tcBorders>
              <w:tl2br w:val="nil"/>
              <w:tr2bl w:val="nil"/>
            </w:tcBorders>
            <w:vAlign w:val="center"/>
          </w:tcPr>
          <w:p w14:paraId="5FAD1405">
            <w:pPr>
              <w:spacing w:line="280" w:lineRule="exact"/>
              <w:ind w:firstLine="0" w:firstLineChars="0"/>
              <w:jc w:val="center"/>
              <w:rPr>
                <w:rFonts w:ascii="宋体" w:hAnsi="宋体" w:cs="宋体"/>
                <w:b/>
                <w:bCs/>
                <w:color w:val="000000" w:themeColor="text1"/>
                <w:sz w:val="21"/>
                <w14:textFill>
                  <w14:solidFill>
                    <w14:schemeClr w14:val="tx1"/>
                  </w14:solidFill>
                </w14:textFill>
              </w:rPr>
            </w:pPr>
          </w:p>
        </w:tc>
        <w:tc>
          <w:tcPr>
            <w:tcW w:w="1149" w:type="dxa"/>
            <w:vMerge w:val="continue"/>
            <w:tcBorders>
              <w:tl2br w:val="nil"/>
              <w:tr2bl w:val="nil"/>
            </w:tcBorders>
            <w:vAlign w:val="center"/>
          </w:tcPr>
          <w:p w14:paraId="254120E9">
            <w:pPr>
              <w:spacing w:line="280" w:lineRule="exact"/>
              <w:ind w:firstLine="0" w:firstLineChars="0"/>
              <w:jc w:val="center"/>
              <w:rPr>
                <w:rFonts w:ascii="宋体" w:hAnsi="宋体" w:cs="宋体"/>
                <w:b/>
                <w:bCs/>
                <w:color w:val="000000" w:themeColor="text1"/>
                <w:sz w:val="21"/>
                <w14:textFill>
                  <w14:solidFill>
                    <w14:schemeClr w14:val="tx1"/>
                  </w14:solidFill>
                </w14:textFill>
              </w:rPr>
            </w:pPr>
          </w:p>
        </w:tc>
        <w:tc>
          <w:tcPr>
            <w:tcW w:w="2220" w:type="dxa"/>
            <w:gridSpan w:val="4"/>
            <w:tcBorders>
              <w:tl2br w:val="nil"/>
              <w:tr2bl w:val="nil"/>
            </w:tcBorders>
            <w:vAlign w:val="center"/>
          </w:tcPr>
          <w:p w14:paraId="7167415D">
            <w:pPr>
              <w:spacing w:line="280" w:lineRule="exact"/>
              <w:ind w:firstLine="0" w:firstLineChars="0"/>
              <w:jc w:val="center"/>
              <w:rPr>
                <w:rFonts w:ascii="宋体" w:hAnsi="宋体" w:cs="宋体"/>
                <w:b/>
                <w:bCs/>
                <w:color w:val="000000" w:themeColor="text1"/>
                <w:sz w:val="21"/>
                <w14:textFill>
                  <w14:solidFill>
                    <w14:schemeClr w14:val="tx1"/>
                  </w14:solidFill>
                </w14:textFill>
              </w:rPr>
            </w:pPr>
            <w:r>
              <w:rPr>
                <w:rFonts w:hint="eastAsia" w:ascii="宋体" w:hAnsi="宋体" w:cs="宋体"/>
                <w:b/>
                <w:bCs/>
                <w:color w:val="000000" w:themeColor="text1"/>
                <w:sz w:val="21"/>
                <w14:textFill>
                  <w14:solidFill>
                    <w14:schemeClr w14:val="tx1"/>
                  </w14:solidFill>
                </w14:textFill>
              </w:rPr>
              <w:t>D＝LEC</w:t>
            </w:r>
          </w:p>
        </w:tc>
        <w:tc>
          <w:tcPr>
            <w:tcW w:w="560" w:type="dxa"/>
            <w:vMerge w:val="continue"/>
            <w:tcBorders>
              <w:tl2br w:val="nil"/>
              <w:tr2bl w:val="nil"/>
            </w:tcBorders>
            <w:vAlign w:val="center"/>
          </w:tcPr>
          <w:p w14:paraId="212E1C71">
            <w:pPr>
              <w:spacing w:line="280" w:lineRule="exact"/>
              <w:ind w:firstLine="0" w:firstLineChars="0"/>
              <w:jc w:val="center"/>
              <w:rPr>
                <w:rFonts w:ascii="宋体" w:hAnsi="宋体" w:cs="宋体"/>
                <w:b/>
                <w:bCs/>
                <w:color w:val="000000" w:themeColor="text1"/>
                <w:sz w:val="21"/>
                <w14:textFill>
                  <w14:solidFill>
                    <w14:schemeClr w14:val="tx1"/>
                  </w14:solidFill>
                </w14:textFill>
              </w:rPr>
            </w:pPr>
          </w:p>
        </w:tc>
      </w:tr>
      <w:tr w14:paraId="04E2F0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5" w:type="dxa"/>
            <w:vMerge w:val="continue"/>
            <w:tcBorders>
              <w:tl2br w:val="nil"/>
              <w:tr2bl w:val="nil"/>
            </w:tcBorders>
            <w:vAlign w:val="center"/>
          </w:tcPr>
          <w:p w14:paraId="77EED87C">
            <w:pPr>
              <w:spacing w:line="280" w:lineRule="exact"/>
              <w:ind w:firstLine="0" w:firstLineChars="0"/>
              <w:jc w:val="center"/>
              <w:rPr>
                <w:rFonts w:ascii="宋体" w:hAnsi="宋体" w:cs="宋体"/>
                <w:b/>
                <w:bCs/>
                <w:color w:val="000000" w:themeColor="text1"/>
                <w:sz w:val="21"/>
                <w14:textFill>
                  <w14:solidFill>
                    <w14:schemeClr w14:val="tx1"/>
                  </w14:solidFill>
                </w14:textFill>
              </w:rPr>
            </w:pPr>
          </w:p>
        </w:tc>
        <w:tc>
          <w:tcPr>
            <w:tcW w:w="995" w:type="dxa"/>
            <w:vMerge w:val="continue"/>
            <w:tcBorders>
              <w:tl2br w:val="nil"/>
              <w:tr2bl w:val="nil"/>
            </w:tcBorders>
            <w:vAlign w:val="center"/>
          </w:tcPr>
          <w:p w14:paraId="36027339">
            <w:pPr>
              <w:spacing w:line="280" w:lineRule="exact"/>
              <w:ind w:firstLine="0" w:firstLineChars="0"/>
              <w:jc w:val="center"/>
              <w:rPr>
                <w:rFonts w:ascii="宋体" w:hAnsi="宋体" w:cs="宋体"/>
                <w:b/>
                <w:bCs/>
                <w:color w:val="000000" w:themeColor="text1"/>
                <w:sz w:val="21"/>
                <w14:textFill>
                  <w14:solidFill>
                    <w14:schemeClr w14:val="tx1"/>
                  </w14:solidFill>
                </w14:textFill>
              </w:rPr>
            </w:pPr>
          </w:p>
        </w:tc>
        <w:tc>
          <w:tcPr>
            <w:tcW w:w="3604" w:type="dxa"/>
            <w:vMerge w:val="continue"/>
            <w:tcBorders>
              <w:tl2br w:val="nil"/>
              <w:tr2bl w:val="nil"/>
            </w:tcBorders>
            <w:vAlign w:val="center"/>
          </w:tcPr>
          <w:p w14:paraId="731A0681">
            <w:pPr>
              <w:spacing w:line="280" w:lineRule="exact"/>
              <w:ind w:firstLine="0" w:firstLineChars="0"/>
              <w:jc w:val="center"/>
              <w:rPr>
                <w:rFonts w:ascii="宋体" w:hAnsi="宋体" w:cs="宋体"/>
                <w:b/>
                <w:bCs/>
                <w:color w:val="000000" w:themeColor="text1"/>
                <w:sz w:val="21"/>
                <w14:textFill>
                  <w14:solidFill>
                    <w14:schemeClr w14:val="tx1"/>
                  </w14:solidFill>
                </w14:textFill>
              </w:rPr>
            </w:pPr>
          </w:p>
        </w:tc>
        <w:tc>
          <w:tcPr>
            <w:tcW w:w="1149" w:type="dxa"/>
            <w:vMerge w:val="continue"/>
            <w:tcBorders>
              <w:tl2br w:val="nil"/>
              <w:tr2bl w:val="nil"/>
            </w:tcBorders>
            <w:vAlign w:val="center"/>
          </w:tcPr>
          <w:p w14:paraId="2D53C154">
            <w:pPr>
              <w:spacing w:line="280" w:lineRule="exact"/>
              <w:ind w:firstLine="0" w:firstLineChars="0"/>
              <w:jc w:val="center"/>
              <w:rPr>
                <w:rFonts w:ascii="宋体" w:hAnsi="宋体" w:cs="宋体"/>
                <w:b/>
                <w:bCs/>
                <w:color w:val="000000" w:themeColor="text1"/>
                <w:sz w:val="21"/>
                <w14:textFill>
                  <w14:solidFill>
                    <w14:schemeClr w14:val="tx1"/>
                  </w14:solidFill>
                </w14:textFill>
              </w:rPr>
            </w:pPr>
          </w:p>
        </w:tc>
        <w:tc>
          <w:tcPr>
            <w:tcW w:w="550" w:type="dxa"/>
            <w:tcBorders>
              <w:tl2br w:val="nil"/>
              <w:tr2bl w:val="nil"/>
            </w:tcBorders>
            <w:vAlign w:val="center"/>
          </w:tcPr>
          <w:p w14:paraId="6A225013">
            <w:pPr>
              <w:spacing w:line="280" w:lineRule="exact"/>
              <w:ind w:firstLine="0" w:firstLineChars="0"/>
              <w:jc w:val="center"/>
              <w:rPr>
                <w:rFonts w:ascii="宋体" w:hAnsi="宋体" w:cs="宋体"/>
                <w:b/>
                <w:bCs/>
                <w:color w:val="000000" w:themeColor="text1"/>
                <w:sz w:val="21"/>
                <w14:textFill>
                  <w14:solidFill>
                    <w14:schemeClr w14:val="tx1"/>
                  </w14:solidFill>
                </w14:textFill>
              </w:rPr>
            </w:pPr>
            <w:r>
              <w:rPr>
                <w:rFonts w:hint="eastAsia" w:ascii="宋体" w:hAnsi="宋体" w:cs="宋体"/>
                <w:b/>
                <w:bCs/>
                <w:color w:val="000000" w:themeColor="text1"/>
                <w:sz w:val="21"/>
                <w14:textFill>
                  <w14:solidFill>
                    <w14:schemeClr w14:val="tx1"/>
                  </w14:solidFill>
                </w14:textFill>
              </w:rPr>
              <w:t>L</w:t>
            </w:r>
          </w:p>
        </w:tc>
        <w:tc>
          <w:tcPr>
            <w:tcW w:w="540" w:type="dxa"/>
            <w:tcBorders>
              <w:tl2br w:val="nil"/>
              <w:tr2bl w:val="nil"/>
            </w:tcBorders>
            <w:vAlign w:val="center"/>
          </w:tcPr>
          <w:p w14:paraId="1B2F1A6A">
            <w:pPr>
              <w:spacing w:line="280" w:lineRule="exact"/>
              <w:ind w:firstLine="0" w:firstLineChars="0"/>
              <w:jc w:val="center"/>
              <w:rPr>
                <w:rFonts w:ascii="宋体" w:hAnsi="宋体" w:cs="宋体"/>
                <w:b/>
                <w:bCs/>
                <w:color w:val="000000" w:themeColor="text1"/>
                <w:sz w:val="21"/>
                <w14:textFill>
                  <w14:solidFill>
                    <w14:schemeClr w14:val="tx1"/>
                  </w14:solidFill>
                </w14:textFill>
              </w:rPr>
            </w:pPr>
            <w:r>
              <w:rPr>
                <w:rFonts w:hint="eastAsia" w:ascii="宋体" w:hAnsi="宋体" w:cs="宋体"/>
                <w:b/>
                <w:bCs/>
                <w:color w:val="000000" w:themeColor="text1"/>
                <w:sz w:val="21"/>
                <w14:textFill>
                  <w14:solidFill>
                    <w14:schemeClr w14:val="tx1"/>
                  </w14:solidFill>
                </w14:textFill>
              </w:rPr>
              <w:t>E</w:t>
            </w:r>
          </w:p>
        </w:tc>
        <w:tc>
          <w:tcPr>
            <w:tcW w:w="540" w:type="dxa"/>
            <w:tcBorders>
              <w:tl2br w:val="nil"/>
              <w:tr2bl w:val="nil"/>
            </w:tcBorders>
            <w:vAlign w:val="center"/>
          </w:tcPr>
          <w:p w14:paraId="5FADAA91">
            <w:pPr>
              <w:spacing w:line="280" w:lineRule="exact"/>
              <w:ind w:firstLine="0" w:firstLineChars="0"/>
              <w:jc w:val="center"/>
              <w:rPr>
                <w:rFonts w:ascii="宋体" w:hAnsi="宋体" w:cs="宋体"/>
                <w:b/>
                <w:bCs/>
                <w:color w:val="000000" w:themeColor="text1"/>
                <w:sz w:val="21"/>
                <w14:textFill>
                  <w14:solidFill>
                    <w14:schemeClr w14:val="tx1"/>
                  </w14:solidFill>
                </w14:textFill>
              </w:rPr>
            </w:pPr>
            <w:r>
              <w:rPr>
                <w:rFonts w:hint="eastAsia" w:ascii="宋体" w:hAnsi="宋体" w:cs="宋体"/>
                <w:b/>
                <w:bCs/>
                <w:color w:val="000000" w:themeColor="text1"/>
                <w:sz w:val="21"/>
                <w14:textFill>
                  <w14:solidFill>
                    <w14:schemeClr w14:val="tx1"/>
                  </w14:solidFill>
                </w14:textFill>
              </w:rPr>
              <w:t>C</w:t>
            </w:r>
          </w:p>
        </w:tc>
        <w:tc>
          <w:tcPr>
            <w:tcW w:w="590" w:type="dxa"/>
            <w:tcBorders>
              <w:tl2br w:val="nil"/>
              <w:tr2bl w:val="nil"/>
            </w:tcBorders>
            <w:vAlign w:val="center"/>
          </w:tcPr>
          <w:p w14:paraId="2E8EF4F0">
            <w:pPr>
              <w:spacing w:line="280" w:lineRule="exact"/>
              <w:ind w:firstLine="0" w:firstLineChars="0"/>
              <w:jc w:val="center"/>
              <w:rPr>
                <w:rFonts w:ascii="宋体" w:hAnsi="宋体" w:cs="宋体"/>
                <w:b/>
                <w:bCs/>
                <w:color w:val="000000" w:themeColor="text1"/>
                <w:sz w:val="21"/>
                <w14:textFill>
                  <w14:solidFill>
                    <w14:schemeClr w14:val="tx1"/>
                  </w14:solidFill>
                </w14:textFill>
              </w:rPr>
            </w:pPr>
            <w:r>
              <w:rPr>
                <w:rFonts w:hint="eastAsia" w:ascii="宋体" w:hAnsi="宋体" w:cs="宋体"/>
                <w:b/>
                <w:bCs/>
                <w:color w:val="000000" w:themeColor="text1"/>
                <w:sz w:val="21"/>
                <w14:textFill>
                  <w14:solidFill>
                    <w14:schemeClr w14:val="tx1"/>
                  </w14:solidFill>
                </w14:textFill>
              </w:rPr>
              <w:t>D</w:t>
            </w:r>
          </w:p>
        </w:tc>
        <w:tc>
          <w:tcPr>
            <w:tcW w:w="560" w:type="dxa"/>
            <w:vMerge w:val="continue"/>
            <w:tcBorders>
              <w:tl2br w:val="nil"/>
              <w:tr2bl w:val="nil"/>
            </w:tcBorders>
            <w:vAlign w:val="center"/>
          </w:tcPr>
          <w:p w14:paraId="7314BB42">
            <w:pPr>
              <w:spacing w:line="280" w:lineRule="exact"/>
              <w:ind w:firstLine="0" w:firstLineChars="0"/>
              <w:jc w:val="center"/>
              <w:rPr>
                <w:rFonts w:ascii="宋体" w:hAnsi="宋体" w:cs="宋体"/>
                <w:b/>
                <w:bCs/>
                <w:color w:val="000000" w:themeColor="text1"/>
                <w:sz w:val="21"/>
                <w14:textFill>
                  <w14:solidFill>
                    <w14:schemeClr w14:val="tx1"/>
                  </w14:solidFill>
                </w14:textFill>
              </w:rPr>
            </w:pPr>
          </w:p>
        </w:tc>
      </w:tr>
      <w:tr w14:paraId="439E72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FBB1E62">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restart"/>
            <w:tcBorders>
              <w:tl2br w:val="nil"/>
              <w:tr2bl w:val="nil"/>
            </w:tcBorders>
            <w:vAlign w:val="center"/>
          </w:tcPr>
          <w:p w14:paraId="4B1C800F">
            <w:pPr>
              <w:spacing w:line="27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安装前准备</w:t>
            </w:r>
          </w:p>
        </w:tc>
        <w:tc>
          <w:tcPr>
            <w:tcW w:w="3604" w:type="dxa"/>
            <w:tcBorders>
              <w:tl2br w:val="nil"/>
              <w:tr2bl w:val="nil"/>
            </w:tcBorders>
            <w:vAlign w:val="center"/>
          </w:tcPr>
          <w:p w14:paraId="2B37769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设备安装前没有进行全面的检查，并确认合格。</w:t>
            </w:r>
          </w:p>
        </w:tc>
        <w:tc>
          <w:tcPr>
            <w:tcW w:w="1149" w:type="dxa"/>
            <w:tcBorders>
              <w:tl2br w:val="nil"/>
              <w:tr2bl w:val="nil"/>
            </w:tcBorders>
            <w:vAlign w:val="center"/>
          </w:tcPr>
          <w:p w14:paraId="13E02277">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230CE78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0.5</w:t>
            </w:r>
          </w:p>
        </w:tc>
        <w:tc>
          <w:tcPr>
            <w:tcW w:w="540" w:type="dxa"/>
            <w:tcBorders>
              <w:tl2br w:val="nil"/>
              <w:tr2bl w:val="nil"/>
            </w:tcBorders>
            <w:vAlign w:val="center"/>
          </w:tcPr>
          <w:p w14:paraId="49487B5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40" w:type="dxa"/>
            <w:tcBorders>
              <w:tl2br w:val="nil"/>
              <w:tr2bl w:val="nil"/>
            </w:tcBorders>
            <w:vAlign w:val="center"/>
          </w:tcPr>
          <w:p w14:paraId="730AA172">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40</w:t>
            </w:r>
          </w:p>
        </w:tc>
        <w:tc>
          <w:tcPr>
            <w:tcW w:w="590" w:type="dxa"/>
            <w:tcBorders>
              <w:tl2br w:val="nil"/>
              <w:tr2bl w:val="nil"/>
            </w:tcBorders>
            <w:vAlign w:val="center"/>
          </w:tcPr>
          <w:p w14:paraId="0AAFA18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20</w:t>
            </w:r>
          </w:p>
        </w:tc>
        <w:tc>
          <w:tcPr>
            <w:tcW w:w="560" w:type="dxa"/>
            <w:tcBorders>
              <w:tl2br w:val="nil"/>
              <w:tr2bl w:val="nil"/>
            </w:tcBorders>
            <w:vAlign w:val="center"/>
          </w:tcPr>
          <w:p w14:paraId="6A848BB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Ⅰ</w:t>
            </w:r>
          </w:p>
        </w:tc>
      </w:tr>
      <w:tr w14:paraId="55331E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7BDBE59">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0DB4AAC8">
            <w:pPr>
              <w:spacing w:line="280" w:lineRule="exact"/>
              <w:ind w:firstLine="0" w:firstLineChars="0"/>
              <w:jc w:val="center"/>
              <w:rPr>
                <w:rFonts w:ascii="宋体" w:hAnsi="宋体" w:cs="宋体"/>
                <w:color w:val="000000" w:themeColor="text1"/>
                <w:sz w:val="21"/>
                <w14:textFill>
                  <w14:solidFill>
                    <w14:schemeClr w14:val="tx1"/>
                  </w14:solidFill>
                </w14:textFill>
              </w:rPr>
            </w:pPr>
          </w:p>
        </w:tc>
        <w:tc>
          <w:tcPr>
            <w:tcW w:w="3604" w:type="dxa"/>
            <w:tcBorders>
              <w:tl2br w:val="nil"/>
              <w:tr2bl w:val="nil"/>
            </w:tcBorders>
            <w:vAlign w:val="center"/>
          </w:tcPr>
          <w:p w14:paraId="6DF4DB9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安装前没有对基础进行验收。基础周围没有排水设施、积水未及时清理。影响施工的地下地面管线未改迁。</w:t>
            </w:r>
          </w:p>
        </w:tc>
        <w:tc>
          <w:tcPr>
            <w:tcW w:w="1149" w:type="dxa"/>
            <w:tcBorders>
              <w:tl2br w:val="nil"/>
              <w:tr2bl w:val="nil"/>
            </w:tcBorders>
            <w:vAlign w:val="center"/>
          </w:tcPr>
          <w:p w14:paraId="1FC3C87F">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坍塌</w:t>
            </w:r>
          </w:p>
        </w:tc>
        <w:tc>
          <w:tcPr>
            <w:tcW w:w="550" w:type="dxa"/>
            <w:tcBorders>
              <w:tl2br w:val="nil"/>
              <w:tr2bl w:val="nil"/>
            </w:tcBorders>
            <w:vAlign w:val="center"/>
          </w:tcPr>
          <w:p w14:paraId="12FF035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40" w:type="dxa"/>
            <w:tcBorders>
              <w:tl2br w:val="nil"/>
              <w:tr2bl w:val="nil"/>
            </w:tcBorders>
            <w:vAlign w:val="center"/>
          </w:tcPr>
          <w:p w14:paraId="3288A4F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56C0B119">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40</w:t>
            </w:r>
          </w:p>
        </w:tc>
        <w:tc>
          <w:tcPr>
            <w:tcW w:w="590" w:type="dxa"/>
            <w:tcBorders>
              <w:tl2br w:val="nil"/>
              <w:tr2bl w:val="nil"/>
            </w:tcBorders>
            <w:vAlign w:val="center"/>
          </w:tcPr>
          <w:p w14:paraId="7CB604D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120</w:t>
            </w:r>
          </w:p>
        </w:tc>
        <w:tc>
          <w:tcPr>
            <w:tcW w:w="560" w:type="dxa"/>
            <w:tcBorders>
              <w:tl2br w:val="nil"/>
              <w:tr2bl w:val="nil"/>
            </w:tcBorders>
            <w:vAlign w:val="center"/>
          </w:tcPr>
          <w:p w14:paraId="5BBAF63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6CE71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5DCB77D">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78023DA2">
            <w:pPr>
              <w:spacing w:line="280" w:lineRule="exact"/>
              <w:ind w:firstLine="0" w:firstLineChars="0"/>
              <w:jc w:val="center"/>
              <w:rPr>
                <w:rFonts w:ascii="宋体" w:hAnsi="宋体" w:cs="宋体"/>
                <w:color w:val="000000" w:themeColor="text1"/>
                <w:sz w:val="21"/>
                <w14:textFill>
                  <w14:solidFill>
                    <w14:schemeClr w14:val="tx1"/>
                  </w14:solidFill>
                </w14:textFill>
              </w:rPr>
            </w:pPr>
          </w:p>
        </w:tc>
        <w:tc>
          <w:tcPr>
            <w:tcW w:w="3604" w:type="dxa"/>
            <w:tcBorders>
              <w:tl2br w:val="nil"/>
              <w:tr2bl w:val="nil"/>
            </w:tcBorders>
            <w:vAlign w:val="center"/>
          </w:tcPr>
          <w:p w14:paraId="6C7E52D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没有对建筑承载结构进行验算。</w:t>
            </w:r>
          </w:p>
        </w:tc>
        <w:tc>
          <w:tcPr>
            <w:tcW w:w="1149" w:type="dxa"/>
            <w:tcBorders>
              <w:tl2br w:val="nil"/>
              <w:tr2bl w:val="nil"/>
            </w:tcBorders>
            <w:vAlign w:val="center"/>
          </w:tcPr>
          <w:p w14:paraId="01AB13AE">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077B8215">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0.5</w:t>
            </w:r>
          </w:p>
        </w:tc>
        <w:tc>
          <w:tcPr>
            <w:tcW w:w="540" w:type="dxa"/>
            <w:tcBorders>
              <w:tl2br w:val="nil"/>
              <w:tr2bl w:val="nil"/>
            </w:tcBorders>
            <w:vAlign w:val="center"/>
          </w:tcPr>
          <w:p w14:paraId="318CB75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10</w:t>
            </w:r>
          </w:p>
        </w:tc>
        <w:tc>
          <w:tcPr>
            <w:tcW w:w="540" w:type="dxa"/>
            <w:tcBorders>
              <w:tl2br w:val="nil"/>
              <w:tr2bl w:val="nil"/>
            </w:tcBorders>
            <w:vAlign w:val="center"/>
          </w:tcPr>
          <w:p w14:paraId="3D06892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7</w:t>
            </w:r>
          </w:p>
        </w:tc>
        <w:tc>
          <w:tcPr>
            <w:tcW w:w="590" w:type="dxa"/>
            <w:tcBorders>
              <w:tl2br w:val="nil"/>
              <w:tr2bl w:val="nil"/>
            </w:tcBorders>
            <w:vAlign w:val="center"/>
          </w:tcPr>
          <w:p w14:paraId="10C4D39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35</w:t>
            </w:r>
          </w:p>
        </w:tc>
        <w:tc>
          <w:tcPr>
            <w:tcW w:w="560" w:type="dxa"/>
            <w:tcBorders>
              <w:tl2br w:val="nil"/>
              <w:tr2bl w:val="nil"/>
            </w:tcBorders>
            <w:vAlign w:val="center"/>
          </w:tcPr>
          <w:p w14:paraId="32735AC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Ⅰ</w:t>
            </w:r>
          </w:p>
        </w:tc>
      </w:tr>
      <w:tr w14:paraId="66FF40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CB6BC90">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2AE4F9B4">
            <w:pPr>
              <w:spacing w:line="280" w:lineRule="exact"/>
              <w:ind w:firstLine="0" w:firstLineChars="0"/>
              <w:jc w:val="center"/>
              <w:rPr>
                <w:rFonts w:ascii="宋体" w:hAnsi="宋体" w:cs="宋体"/>
                <w:color w:val="000000" w:themeColor="text1"/>
                <w:sz w:val="21"/>
                <w14:textFill>
                  <w14:solidFill>
                    <w14:schemeClr w14:val="tx1"/>
                  </w14:solidFill>
                </w14:textFill>
              </w:rPr>
            </w:pPr>
          </w:p>
        </w:tc>
        <w:tc>
          <w:tcPr>
            <w:tcW w:w="3604" w:type="dxa"/>
            <w:tcBorders>
              <w:tl2br w:val="nil"/>
              <w:tr2bl w:val="nil"/>
            </w:tcBorders>
            <w:vAlign w:val="center"/>
          </w:tcPr>
          <w:p w14:paraId="669DD229">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安装作业未按照专项方案要求实施。安装前未对安装作业人员进行安全技术交底。</w:t>
            </w:r>
          </w:p>
        </w:tc>
        <w:tc>
          <w:tcPr>
            <w:tcW w:w="1149" w:type="dxa"/>
            <w:tcBorders>
              <w:tl2br w:val="nil"/>
              <w:tr2bl w:val="nil"/>
            </w:tcBorders>
            <w:vAlign w:val="center"/>
          </w:tcPr>
          <w:p w14:paraId="2671B2ED">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351AC255">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6DA5139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40" w:type="dxa"/>
            <w:tcBorders>
              <w:tl2br w:val="nil"/>
              <w:tr2bl w:val="nil"/>
            </w:tcBorders>
            <w:vAlign w:val="center"/>
          </w:tcPr>
          <w:p w14:paraId="68A89E6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40</w:t>
            </w:r>
          </w:p>
        </w:tc>
        <w:tc>
          <w:tcPr>
            <w:tcW w:w="590" w:type="dxa"/>
            <w:tcBorders>
              <w:tl2br w:val="nil"/>
              <w:tr2bl w:val="nil"/>
            </w:tcBorders>
            <w:vAlign w:val="center"/>
          </w:tcPr>
          <w:p w14:paraId="3478F68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120</w:t>
            </w:r>
          </w:p>
        </w:tc>
        <w:tc>
          <w:tcPr>
            <w:tcW w:w="560" w:type="dxa"/>
            <w:tcBorders>
              <w:tl2br w:val="nil"/>
              <w:tr2bl w:val="nil"/>
            </w:tcBorders>
            <w:vAlign w:val="center"/>
          </w:tcPr>
          <w:p w14:paraId="2F5A6782">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3EC6BD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EFECC07">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0031912D">
            <w:pPr>
              <w:spacing w:line="270" w:lineRule="exact"/>
              <w:ind w:firstLine="0" w:firstLineChars="0"/>
              <w:jc w:val="center"/>
              <w:rPr>
                <w:rFonts w:ascii="宋体" w:hAnsi="宋体" w:cs="宋体"/>
                <w:color w:val="000000" w:themeColor="text1"/>
                <w:sz w:val="21"/>
                <w14:textFill>
                  <w14:solidFill>
                    <w14:schemeClr w14:val="tx1"/>
                  </w14:solidFill>
                </w14:textFill>
              </w:rPr>
            </w:pPr>
          </w:p>
        </w:tc>
        <w:tc>
          <w:tcPr>
            <w:tcW w:w="3604" w:type="dxa"/>
            <w:tcBorders>
              <w:tl2br w:val="nil"/>
              <w:tr2bl w:val="nil"/>
            </w:tcBorders>
            <w:vAlign w:val="center"/>
          </w:tcPr>
          <w:p w14:paraId="736527D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雨雪、浓雾天气没有停止安装作业。</w:t>
            </w:r>
          </w:p>
        </w:tc>
        <w:tc>
          <w:tcPr>
            <w:tcW w:w="1149" w:type="dxa"/>
            <w:tcBorders>
              <w:tl2br w:val="nil"/>
              <w:tr2bl w:val="nil"/>
            </w:tcBorders>
            <w:vAlign w:val="center"/>
          </w:tcPr>
          <w:p w14:paraId="20DFC42B">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0F5DDE4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08E610B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40" w:type="dxa"/>
            <w:tcBorders>
              <w:tl2br w:val="nil"/>
              <w:tr2bl w:val="nil"/>
            </w:tcBorders>
            <w:vAlign w:val="center"/>
          </w:tcPr>
          <w:p w14:paraId="0E22F27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40</w:t>
            </w:r>
          </w:p>
        </w:tc>
        <w:tc>
          <w:tcPr>
            <w:tcW w:w="590" w:type="dxa"/>
            <w:tcBorders>
              <w:tl2br w:val="nil"/>
              <w:tr2bl w:val="nil"/>
            </w:tcBorders>
            <w:vAlign w:val="center"/>
          </w:tcPr>
          <w:p w14:paraId="474C0F7D">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120</w:t>
            </w:r>
          </w:p>
        </w:tc>
        <w:tc>
          <w:tcPr>
            <w:tcW w:w="560" w:type="dxa"/>
            <w:tcBorders>
              <w:tl2br w:val="nil"/>
              <w:tr2bl w:val="nil"/>
            </w:tcBorders>
            <w:vAlign w:val="center"/>
          </w:tcPr>
          <w:p w14:paraId="66992312">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4140AE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FC8EB7B">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2F0BF589">
            <w:pPr>
              <w:spacing w:line="270" w:lineRule="exact"/>
              <w:ind w:firstLine="0" w:firstLineChars="0"/>
              <w:jc w:val="center"/>
              <w:rPr>
                <w:rFonts w:ascii="宋体" w:hAnsi="宋体" w:cs="宋体"/>
                <w:color w:val="000000" w:themeColor="text1"/>
                <w:sz w:val="21"/>
                <w14:textFill>
                  <w14:solidFill>
                    <w14:schemeClr w14:val="tx1"/>
                  </w14:solidFill>
                </w14:textFill>
              </w:rPr>
            </w:pPr>
          </w:p>
        </w:tc>
        <w:tc>
          <w:tcPr>
            <w:tcW w:w="3604" w:type="dxa"/>
            <w:tcBorders>
              <w:tl2br w:val="nil"/>
              <w:tr2bl w:val="nil"/>
            </w:tcBorders>
            <w:vAlign w:val="center"/>
          </w:tcPr>
          <w:p w14:paraId="4435E2D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当需要在夜间进行</w:t>
            </w:r>
            <w:r>
              <w:rPr>
                <w:rFonts w:hint="eastAsia" w:ascii="宋体" w:hAnsi="宋体" w:eastAsia="宋体" w:cs="宋体"/>
                <w:color w:val="000000" w:themeColor="text1"/>
                <w:sz w:val="21"/>
                <w:lang w:eastAsia="zh-CN"/>
                <w14:textFill>
                  <w14:solidFill>
                    <w14:schemeClr w14:val="tx1"/>
                  </w14:solidFill>
                </w14:textFill>
              </w:rPr>
              <w:t>安装</w:t>
            </w:r>
            <w:r>
              <w:rPr>
                <w:rFonts w:hint="eastAsia" w:ascii="宋体" w:hAnsi="宋体" w:eastAsia="宋体" w:cs="宋体"/>
                <w:color w:val="000000" w:themeColor="text1"/>
                <w:sz w:val="21"/>
                <w14:textFill>
                  <w14:solidFill>
                    <w14:schemeClr w14:val="tx1"/>
                  </w14:solidFill>
                </w14:textFill>
              </w:rPr>
              <w:t>作业时，没有保证提供足够的照明。</w:t>
            </w:r>
          </w:p>
        </w:tc>
        <w:tc>
          <w:tcPr>
            <w:tcW w:w="1149" w:type="dxa"/>
            <w:tcBorders>
              <w:tl2br w:val="nil"/>
              <w:tr2bl w:val="nil"/>
            </w:tcBorders>
            <w:vAlign w:val="center"/>
          </w:tcPr>
          <w:p w14:paraId="5BD94936">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1CBA14B5">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40" w:type="dxa"/>
            <w:tcBorders>
              <w:tl2br w:val="nil"/>
              <w:tr2bl w:val="nil"/>
            </w:tcBorders>
            <w:vAlign w:val="center"/>
          </w:tcPr>
          <w:p w14:paraId="07A6119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40" w:type="dxa"/>
            <w:tcBorders>
              <w:tl2br w:val="nil"/>
              <w:tr2bl w:val="nil"/>
            </w:tcBorders>
            <w:vAlign w:val="center"/>
          </w:tcPr>
          <w:p w14:paraId="550A6F2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40</w:t>
            </w:r>
          </w:p>
        </w:tc>
        <w:tc>
          <w:tcPr>
            <w:tcW w:w="590" w:type="dxa"/>
            <w:tcBorders>
              <w:tl2br w:val="nil"/>
              <w:tr2bl w:val="nil"/>
            </w:tcBorders>
            <w:vAlign w:val="center"/>
          </w:tcPr>
          <w:p w14:paraId="4E1758BD">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40</w:t>
            </w:r>
          </w:p>
        </w:tc>
        <w:tc>
          <w:tcPr>
            <w:tcW w:w="560" w:type="dxa"/>
            <w:tcBorders>
              <w:tl2br w:val="nil"/>
              <w:tr2bl w:val="nil"/>
            </w:tcBorders>
            <w:vAlign w:val="center"/>
          </w:tcPr>
          <w:p w14:paraId="52AA7B2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Ⅰ</w:t>
            </w:r>
          </w:p>
        </w:tc>
      </w:tr>
      <w:tr w14:paraId="14741B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30ADDFA">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55D91105">
            <w:pPr>
              <w:spacing w:line="270" w:lineRule="exact"/>
              <w:ind w:firstLine="0" w:firstLineChars="0"/>
              <w:jc w:val="center"/>
              <w:rPr>
                <w:rFonts w:ascii="宋体" w:hAnsi="宋体" w:cs="宋体"/>
                <w:color w:val="000000" w:themeColor="text1"/>
                <w:sz w:val="21"/>
                <w14:textFill>
                  <w14:solidFill>
                    <w14:schemeClr w14:val="tx1"/>
                  </w14:solidFill>
                </w14:textFill>
              </w:rPr>
            </w:pPr>
          </w:p>
        </w:tc>
        <w:tc>
          <w:tcPr>
            <w:tcW w:w="3604" w:type="dxa"/>
            <w:tcBorders>
              <w:tl2br w:val="nil"/>
              <w:tr2bl w:val="nil"/>
            </w:tcBorders>
            <w:vAlign w:val="center"/>
          </w:tcPr>
          <w:p w14:paraId="538EBBF5">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起重吊装设备的进场验收</w:t>
            </w:r>
          </w:p>
        </w:tc>
        <w:tc>
          <w:tcPr>
            <w:tcW w:w="1149" w:type="dxa"/>
            <w:tcBorders>
              <w:tl2br w:val="nil"/>
              <w:tr2bl w:val="nil"/>
            </w:tcBorders>
            <w:vAlign w:val="center"/>
          </w:tcPr>
          <w:p w14:paraId="6FD3190D">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3A25C09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40" w:type="dxa"/>
            <w:tcBorders>
              <w:tl2br w:val="nil"/>
              <w:tr2bl w:val="nil"/>
            </w:tcBorders>
            <w:vAlign w:val="center"/>
          </w:tcPr>
          <w:p w14:paraId="056C5B0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76CBDCD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7</w:t>
            </w:r>
          </w:p>
        </w:tc>
        <w:tc>
          <w:tcPr>
            <w:tcW w:w="590" w:type="dxa"/>
            <w:tcBorders>
              <w:tl2br w:val="nil"/>
              <w:tr2bl w:val="nil"/>
            </w:tcBorders>
            <w:vAlign w:val="center"/>
          </w:tcPr>
          <w:p w14:paraId="5E1E80D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21</w:t>
            </w:r>
          </w:p>
        </w:tc>
        <w:tc>
          <w:tcPr>
            <w:tcW w:w="560" w:type="dxa"/>
            <w:tcBorders>
              <w:tl2br w:val="nil"/>
              <w:tr2bl w:val="nil"/>
            </w:tcBorders>
            <w:vAlign w:val="center"/>
          </w:tcPr>
          <w:p w14:paraId="63F69C5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Ⅰ</w:t>
            </w:r>
          </w:p>
        </w:tc>
      </w:tr>
      <w:tr w14:paraId="2BECFA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609B464">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08D33694">
            <w:pPr>
              <w:spacing w:line="270" w:lineRule="exact"/>
              <w:ind w:firstLine="0" w:firstLineChars="0"/>
              <w:jc w:val="center"/>
              <w:rPr>
                <w:rFonts w:ascii="宋体" w:hAnsi="宋体" w:cs="宋体"/>
                <w:color w:val="000000" w:themeColor="text1"/>
                <w:sz w:val="21"/>
                <w14:textFill>
                  <w14:solidFill>
                    <w14:schemeClr w14:val="tx1"/>
                  </w14:solidFill>
                </w14:textFill>
              </w:rPr>
            </w:pPr>
          </w:p>
        </w:tc>
        <w:tc>
          <w:tcPr>
            <w:tcW w:w="3604" w:type="dxa"/>
            <w:tcBorders>
              <w:tl2br w:val="nil"/>
              <w:tr2bl w:val="nil"/>
            </w:tcBorders>
            <w:vAlign w:val="center"/>
          </w:tcPr>
          <w:p w14:paraId="7C4F3D8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与建筑物、高压线安全距离不足。</w:t>
            </w:r>
          </w:p>
        </w:tc>
        <w:tc>
          <w:tcPr>
            <w:tcW w:w="1149" w:type="dxa"/>
            <w:tcBorders>
              <w:tl2br w:val="nil"/>
              <w:tr2bl w:val="nil"/>
            </w:tcBorders>
            <w:vAlign w:val="center"/>
          </w:tcPr>
          <w:p w14:paraId="551E5C98">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触电、起重伤害</w:t>
            </w:r>
          </w:p>
        </w:tc>
        <w:tc>
          <w:tcPr>
            <w:tcW w:w="550" w:type="dxa"/>
            <w:tcBorders>
              <w:tl2br w:val="nil"/>
              <w:tr2bl w:val="nil"/>
            </w:tcBorders>
            <w:vAlign w:val="center"/>
          </w:tcPr>
          <w:p w14:paraId="60D707B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0D8CA09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0C514D59">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15</w:t>
            </w:r>
          </w:p>
        </w:tc>
        <w:tc>
          <w:tcPr>
            <w:tcW w:w="590" w:type="dxa"/>
            <w:tcBorders>
              <w:tl2br w:val="nil"/>
              <w:tr2bl w:val="nil"/>
            </w:tcBorders>
            <w:vAlign w:val="center"/>
          </w:tcPr>
          <w:p w14:paraId="73F9989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135</w:t>
            </w:r>
          </w:p>
        </w:tc>
        <w:tc>
          <w:tcPr>
            <w:tcW w:w="560" w:type="dxa"/>
            <w:tcBorders>
              <w:tl2br w:val="nil"/>
              <w:tr2bl w:val="nil"/>
            </w:tcBorders>
            <w:vAlign w:val="center"/>
          </w:tcPr>
          <w:p w14:paraId="17B9A6C2">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65E1C0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A7ACF9C">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75093FA7">
            <w:pPr>
              <w:spacing w:line="270" w:lineRule="exact"/>
              <w:ind w:firstLine="0" w:firstLineChars="0"/>
              <w:jc w:val="center"/>
              <w:rPr>
                <w:rFonts w:ascii="宋体" w:hAnsi="宋体" w:cs="宋体"/>
                <w:color w:val="000000" w:themeColor="text1"/>
                <w:sz w:val="21"/>
                <w14:textFill>
                  <w14:solidFill>
                    <w14:schemeClr w14:val="tx1"/>
                  </w14:solidFill>
                </w14:textFill>
              </w:rPr>
            </w:pPr>
          </w:p>
        </w:tc>
        <w:tc>
          <w:tcPr>
            <w:tcW w:w="3604" w:type="dxa"/>
            <w:tcBorders>
              <w:tl2br w:val="nil"/>
              <w:tr2bl w:val="nil"/>
            </w:tcBorders>
            <w:vAlign w:val="center"/>
          </w:tcPr>
          <w:p w14:paraId="71226E4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作业场地未封闭、警戒区域未设置。</w:t>
            </w:r>
          </w:p>
        </w:tc>
        <w:tc>
          <w:tcPr>
            <w:tcW w:w="1149" w:type="dxa"/>
            <w:tcBorders>
              <w:tl2br w:val="nil"/>
              <w:tr2bl w:val="nil"/>
            </w:tcBorders>
            <w:vAlign w:val="center"/>
          </w:tcPr>
          <w:p w14:paraId="56850414">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1D5088D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2103602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3729E22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7</w:t>
            </w:r>
          </w:p>
        </w:tc>
        <w:tc>
          <w:tcPr>
            <w:tcW w:w="590" w:type="dxa"/>
            <w:tcBorders>
              <w:tl2br w:val="nil"/>
              <w:tr2bl w:val="nil"/>
            </w:tcBorders>
            <w:vAlign w:val="center"/>
          </w:tcPr>
          <w:p w14:paraId="11F0AD9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63</w:t>
            </w:r>
          </w:p>
        </w:tc>
        <w:tc>
          <w:tcPr>
            <w:tcW w:w="560" w:type="dxa"/>
            <w:tcBorders>
              <w:tl2br w:val="nil"/>
              <w:tr2bl w:val="nil"/>
            </w:tcBorders>
            <w:vAlign w:val="center"/>
          </w:tcPr>
          <w:p w14:paraId="0BD76CD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Ⅰ</w:t>
            </w:r>
          </w:p>
        </w:tc>
      </w:tr>
      <w:tr w14:paraId="1C1148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40BD4F6">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571AAC40">
            <w:pPr>
              <w:spacing w:line="270" w:lineRule="exact"/>
              <w:ind w:firstLine="0" w:firstLineChars="0"/>
              <w:jc w:val="center"/>
              <w:rPr>
                <w:rFonts w:ascii="宋体" w:hAnsi="宋体" w:cs="宋体"/>
                <w:color w:val="000000" w:themeColor="text1"/>
                <w:sz w:val="21"/>
                <w14:textFill>
                  <w14:solidFill>
                    <w14:schemeClr w14:val="tx1"/>
                  </w14:solidFill>
                </w14:textFill>
              </w:rPr>
            </w:pPr>
          </w:p>
        </w:tc>
        <w:tc>
          <w:tcPr>
            <w:tcW w:w="3604" w:type="dxa"/>
            <w:tcBorders>
              <w:tl2br w:val="nil"/>
              <w:tr2bl w:val="nil"/>
            </w:tcBorders>
            <w:vAlign w:val="center"/>
          </w:tcPr>
          <w:p w14:paraId="0EA3C0B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当遇特殊情况安装作业不能连续进行时，没有将已安装的部位固定牢靠并达到安全状态。</w:t>
            </w:r>
          </w:p>
        </w:tc>
        <w:tc>
          <w:tcPr>
            <w:tcW w:w="1149" w:type="dxa"/>
            <w:tcBorders>
              <w:tl2br w:val="nil"/>
              <w:tr2bl w:val="nil"/>
            </w:tcBorders>
            <w:vAlign w:val="center"/>
          </w:tcPr>
          <w:p w14:paraId="79F037C8">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物体打击</w:t>
            </w:r>
          </w:p>
        </w:tc>
        <w:tc>
          <w:tcPr>
            <w:tcW w:w="550" w:type="dxa"/>
            <w:tcBorders>
              <w:tl2br w:val="nil"/>
              <w:tr2bl w:val="nil"/>
            </w:tcBorders>
            <w:vAlign w:val="center"/>
          </w:tcPr>
          <w:p w14:paraId="57C5020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40" w:type="dxa"/>
            <w:tcBorders>
              <w:tl2br w:val="nil"/>
              <w:tr2bl w:val="nil"/>
            </w:tcBorders>
            <w:vAlign w:val="center"/>
          </w:tcPr>
          <w:p w14:paraId="527F367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40" w:type="dxa"/>
            <w:tcBorders>
              <w:tl2br w:val="nil"/>
              <w:tr2bl w:val="nil"/>
            </w:tcBorders>
            <w:vAlign w:val="center"/>
          </w:tcPr>
          <w:p w14:paraId="7A96395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40</w:t>
            </w:r>
          </w:p>
        </w:tc>
        <w:tc>
          <w:tcPr>
            <w:tcW w:w="590" w:type="dxa"/>
            <w:tcBorders>
              <w:tl2br w:val="nil"/>
              <w:tr2bl w:val="nil"/>
            </w:tcBorders>
            <w:vAlign w:val="center"/>
          </w:tcPr>
          <w:p w14:paraId="5C37121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40</w:t>
            </w:r>
          </w:p>
        </w:tc>
        <w:tc>
          <w:tcPr>
            <w:tcW w:w="560" w:type="dxa"/>
            <w:tcBorders>
              <w:tl2br w:val="nil"/>
              <w:tr2bl w:val="nil"/>
            </w:tcBorders>
            <w:vAlign w:val="center"/>
          </w:tcPr>
          <w:p w14:paraId="40FCB1B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Ⅰ</w:t>
            </w:r>
          </w:p>
        </w:tc>
      </w:tr>
      <w:tr w14:paraId="2F200E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52862E5">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4D91A109">
            <w:pPr>
              <w:spacing w:line="280" w:lineRule="exact"/>
              <w:ind w:firstLine="0" w:firstLineChars="0"/>
              <w:jc w:val="center"/>
              <w:rPr>
                <w:rFonts w:ascii="宋体" w:hAnsi="宋体" w:cs="宋体"/>
                <w:color w:val="000000" w:themeColor="text1"/>
                <w:sz w:val="21"/>
                <w14:textFill>
                  <w14:solidFill>
                    <w14:schemeClr w14:val="tx1"/>
                  </w14:solidFill>
                </w14:textFill>
              </w:rPr>
            </w:pPr>
          </w:p>
        </w:tc>
        <w:tc>
          <w:tcPr>
            <w:tcW w:w="3604" w:type="dxa"/>
            <w:tcBorders>
              <w:tl2br w:val="nil"/>
              <w:tr2bl w:val="nil"/>
            </w:tcBorders>
            <w:vAlign w:val="center"/>
          </w:tcPr>
          <w:p w14:paraId="1C4B539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安全装置不齐全，未进行防雷接地没有按程序进行调试合格。</w:t>
            </w:r>
          </w:p>
        </w:tc>
        <w:tc>
          <w:tcPr>
            <w:tcW w:w="1149" w:type="dxa"/>
            <w:tcBorders>
              <w:tl2br w:val="nil"/>
              <w:tr2bl w:val="nil"/>
            </w:tcBorders>
            <w:vAlign w:val="center"/>
          </w:tcPr>
          <w:p w14:paraId="70B073F8">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05ED677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40" w:type="dxa"/>
            <w:tcBorders>
              <w:tl2br w:val="nil"/>
              <w:tr2bl w:val="nil"/>
            </w:tcBorders>
            <w:vAlign w:val="center"/>
          </w:tcPr>
          <w:p w14:paraId="0D4EF12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10</w:t>
            </w:r>
          </w:p>
        </w:tc>
        <w:tc>
          <w:tcPr>
            <w:tcW w:w="540" w:type="dxa"/>
            <w:tcBorders>
              <w:tl2br w:val="nil"/>
              <w:tr2bl w:val="nil"/>
            </w:tcBorders>
            <w:vAlign w:val="center"/>
          </w:tcPr>
          <w:p w14:paraId="4CCCB7E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15</w:t>
            </w:r>
          </w:p>
        </w:tc>
        <w:tc>
          <w:tcPr>
            <w:tcW w:w="590" w:type="dxa"/>
            <w:tcBorders>
              <w:tl2br w:val="nil"/>
              <w:tr2bl w:val="nil"/>
            </w:tcBorders>
            <w:vAlign w:val="center"/>
          </w:tcPr>
          <w:p w14:paraId="73C6405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150</w:t>
            </w:r>
          </w:p>
        </w:tc>
        <w:tc>
          <w:tcPr>
            <w:tcW w:w="560" w:type="dxa"/>
            <w:tcBorders>
              <w:tl2br w:val="nil"/>
              <w:tr2bl w:val="nil"/>
            </w:tcBorders>
            <w:vAlign w:val="center"/>
          </w:tcPr>
          <w:p w14:paraId="4A35213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6B19B4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9FD7CBB">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tcBorders>
              <w:tl2br w:val="nil"/>
              <w:tr2bl w:val="nil"/>
            </w:tcBorders>
            <w:vAlign w:val="center"/>
          </w:tcPr>
          <w:p w14:paraId="16FCA624">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风速要求</w:t>
            </w:r>
          </w:p>
        </w:tc>
        <w:tc>
          <w:tcPr>
            <w:tcW w:w="3604" w:type="dxa"/>
            <w:tcBorders>
              <w:tl2br w:val="nil"/>
              <w:tr2bl w:val="nil"/>
            </w:tcBorders>
            <w:vAlign w:val="center"/>
          </w:tcPr>
          <w:p w14:paraId="5FAFB5E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安装时塔机最高处的风速不符合使用说明书的要求，或者大于12m/s。顶升作业时风速超过四级风。</w:t>
            </w:r>
          </w:p>
        </w:tc>
        <w:tc>
          <w:tcPr>
            <w:tcW w:w="1149" w:type="dxa"/>
            <w:tcBorders>
              <w:tl2br w:val="nil"/>
              <w:tr2bl w:val="nil"/>
            </w:tcBorders>
            <w:vAlign w:val="center"/>
          </w:tcPr>
          <w:p w14:paraId="74E4A314">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1A593B1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40" w:type="dxa"/>
            <w:tcBorders>
              <w:tl2br w:val="nil"/>
              <w:tr2bl w:val="nil"/>
            </w:tcBorders>
            <w:vAlign w:val="center"/>
          </w:tcPr>
          <w:p w14:paraId="075D8AC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40" w:type="dxa"/>
            <w:tcBorders>
              <w:tl2br w:val="nil"/>
              <w:tr2bl w:val="nil"/>
            </w:tcBorders>
            <w:vAlign w:val="center"/>
          </w:tcPr>
          <w:p w14:paraId="5417814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40</w:t>
            </w:r>
          </w:p>
        </w:tc>
        <w:tc>
          <w:tcPr>
            <w:tcW w:w="590" w:type="dxa"/>
            <w:tcBorders>
              <w:tl2br w:val="nil"/>
              <w:tr2bl w:val="nil"/>
            </w:tcBorders>
            <w:vAlign w:val="center"/>
          </w:tcPr>
          <w:p w14:paraId="04532B32">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40</w:t>
            </w:r>
          </w:p>
        </w:tc>
        <w:tc>
          <w:tcPr>
            <w:tcW w:w="560" w:type="dxa"/>
            <w:tcBorders>
              <w:tl2br w:val="nil"/>
              <w:tr2bl w:val="nil"/>
            </w:tcBorders>
            <w:vAlign w:val="center"/>
          </w:tcPr>
          <w:p w14:paraId="600E4BF2">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Ⅰ</w:t>
            </w:r>
          </w:p>
        </w:tc>
      </w:tr>
      <w:tr w14:paraId="2B5AD1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AA60EC5">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tcBorders>
              <w:tl2br w:val="nil"/>
              <w:tr2bl w:val="nil"/>
            </w:tcBorders>
            <w:vAlign w:val="center"/>
          </w:tcPr>
          <w:p w14:paraId="3951CC2C">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连接要求</w:t>
            </w:r>
          </w:p>
        </w:tc>
        <w:tc>
          <w:tcPr>
            <w:tcW w:w="3604" w:type="dxa"/>
            <w:tcBorders>
              <w:tl2br w:val="nil"/>
              <w:tr2bl w:val="nil"/>
            </w:tcBorders>
            <w:vAlign w:val="center"/>
          </w:tcPr>
          <w:p w14:paraId="76BD727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开口销未两边张开，夹角未达到90°以上，螺栓与螺母未连接牢固</w:t>
            </w:r>
          </w:p>
        </w:tc>
        <w:tc>
          <w:tcPr>
            <w:tcW w:w="1149" w:type="dxa"/>
            <w:tcBorders>
              <w:tl2br w:val="nil"/>
              <w:tr2bl w:val="nil"/>
            </w:tcBorders>
            <w:vAlign w:val="center"/>
          </w:tcPr>
          <w:p w14:paraId="787D5C06">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0D4F6D4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2740CC9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2</w:t>
            </w:r>
          </w:p>
        </w:tc>
        <w:tc>
          <w:tcPr>
            <w:tcW w:w="540" w:type="dxa"/>
            <w:tcBorders>
              <w:tl2br w:val="nil"/>
              <w:tr2bl w:val="nil"/>
            </w:tcBorders>
            <w:vAlign w:val="center"/>
          </w:tcPr>
          <w:p w14:paraId="1114E57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40</w:t>
            </w:r>
          </w:p>
        </w:tc>
        <w:tc>
          <w:tcPr>
            <w:tcW w:w="590" w:type="dxa"/>
            <w:tcBorders>
              <w:tl2br w:val="nil"/>
              <w:tr2bl w:val="nil"/>
            </w:tcBorders>
            <w:vAlign w:val="center"/>
          </w:tcPr>
          <w:p w14:paraId="1D664D8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240</w:t>
            </w:r>
          </w:p>
        </w:tc>
        <w:tc>
          <w:tcPr>
            <w:tcW w:w="560" w:type="dxa"/>
            <w:tcBorders>
              <w:tl2br w:val="nil"/>
              <w:tr2bl w:val="nil"/>
            </w:tcBorders>
            <w:vAlign w:val="center"/>
          </w:tcPr>
          <w:p w14:paraId="5FBBEBD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Ⅲ</w:t>
            </w:r>
          </w:p>
        </w:tc>
      </w:tr>
      <w:tr w14:paraId="532FC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4C1520B">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restart"/>
            <w:tcBorders>
              <w:tl2br w:val="nil"/>
              <w:tr2bl w:val="nil"/>
            </w:tcBorders>
            <w:vAlign w:val="center"/>
          </w:tcPr>
          <w:p w14:paraId="31E3B28A">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安装塔身基础节</w:t>
            </w:r>
          </w:p>
        </w:tc>
        <w:tc>
          <w:tcPr>
            <w:tcW w:w="3604" w:type="dxa"/>
            <w:tcBorders>
              <w:tl2br w:val="nil"/>
              <w:tr2bl w:val="nil"/>
            </w:tcBorders>
            <w:vAlign w:val="center"/>
          </w:tcPr>
          <w:p w14:paraId="05AF994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塔身基础节吊至预埋塔架上方，未对好方向。塔身基础节连接底板与地脚螺栓未正确就位</w:t>
            </w:r>
          </w:p>
        </w:tc>
        <w:tc>
          <w:tcPr>
            <w:tcW w:w="1149" w:type="dxa"/>
            <w:tcBorders>
              <w:tl2br w:val="nil"/>
              <w:tr2bl w:val="nil"/>
            </w:tcBorders>
            <w:vAlign w:val="center"/>
          </w:tcPr>
          <w:p w14:paraId="3E041675">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31932FD9">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4F377532">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17B0A589">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15</w:t>
            </w:r>
          </w:p>
        </w:tc>
        <w:tc>
          <w:tcPr>
            <w:tcW w:w="590" w:type="dxa"/>
            <w:tcBorders>
              <w:tl2br w:val="nil"/>
              <w:tr2bl w:val="nil"/>
            </w:tcBorders>
            <w:vAlign w:val="center"/>
          </w:tcPr>
          <w:p w14:paraId="7CA1926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135</w:t>
            </w:r>
          </w:p>
        </w:tc>
        <w:tc>
          <w:tcPr>
            <w:tcW w:w="560" w:type="dxa"/>
            <w:tcBorders>
              <w:tl2br w:val="nil"/>
              <w:tr2bl w:val="nil"/>
            </w:tcBorders>
            <w:vAlign w:val="center"/>
          </w:tcPr>
          <w:p w14:paraId="31E79A9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0F607A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635C446">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31CE15FC">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035088BD">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基础节四块连接底板未在同一水平面上，误差大于1/1000</w:t>
            </w:r>
          </w:p>
        </w:tc>
        <w:tc>
          <w:tcPr>
            <w:tcW w:w="1149" w:type="dxa"/>
            <w:tcBorders>
              <w:tl2br w:val="nil"/>
              <w:tr2bl w:val="nil"/>
            </w:tcBorders>
            <w:vAlign w:val="center"/>
          </w:tcPr>
          <w:p w14:paraId="1B127B82">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008CC7E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3D8F4B9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1F7BA8B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15</w:t>
            </w:r>
          </w:p>
        </w:tc>
        <w:tc>
          <w:tcPr>
            <w:tcW w:w="590" w:type="dxa"/>
            <w:tcBorders>
              <w:tl2br w:val="nil"/>
              <w:tr2bl w:val="nil"/>
            </w:tcBorders>
            <w:vAlign w:val="center"/>
          </w:tcPr>
          <w:p w14:paraId="4D31DF79">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135</w:t>
            </w:r>
          </w:p>
        </w:tc>
        <w:tc>
          <w:tcPr>
            <w:tcW w:w="560" w:type="dxa"/>
            <w:tcBorders>
              <w:tl2br w:val="nil"/>
              <w:tr2bl w:val="nil"/>
            </w:tcBorders>
            <w:vAlign w:val="center"/>
          </w:tcPr>
          <w:p w14:paraId="2413C4E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12949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5EFF12A">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0BE12E91">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0DB14F9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塔身基础节未使用双螺母与地脚螺栓相连</w:t>
            </w:r>
          </w:p>
        </w:tc>
        <w:tc>
          <w:tcPr>
            <w:tcW w:w="1149" w:type="dxa"/>
            <w:tcBorders>
              <w:tl2br w:val="nil"/>
              <w:tr2bl w:val="nil"/>
            </w:tcBorders>
            <w:vAlign w:val="center"/>
          </w:tcPr>
          <w:p w14:paraId="22149EBF">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3C6E990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7736495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4551E67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15</w:t>
            </w:r>
          </w:p>
        </w:tc>
        <w:tc>
          <w:tcPr>
            <w:tcW w:w="590" w:type="dxa"/>
            <w:tcBorders>
              <w:tl2br w:val="nil"/>
              <w:tr2bl w:val="nil"/>
            </w:tcBorders>
            <w:vAlign w:val="center"/>
          </w:tcPr>
          <w:p w14:paraId="1B5A560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135</w:t>
            </w:r>
          </w:p>
        </w:tc>
        <w:tc>
          <w:tcPr>
            <w:tcW w:w="560" w:type="dxa"/>
            <w:tcBorders>
              <w:tl2br w:val="nil"/>
              <w:tr2bl w:val="nil"/>
            </w:tcBorders>
            <w:vAlign w:val="center"/>
          </w:tcPr>
          <w:p w14:paraId="2B04B105">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4B3C5F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8C2CC5F">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restart"/>
            <w:tcBorders>
              <w:tl2br w:val="nil"/>
              <w:tr2bl w:val="nil"/>
            </w:tcBorders>
            <w:vAlign w:val="center"/>
          </w:tcPr>
          <w:p w14:paraId="576B218B">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安装塔身</w:t>
            </w:r>
          </w:p>
        </w:tc>
        <w:tc>
          <w:tcPr>
            <w:tcW w:w="3604" w:type="dxa"/>
            <w:tcBorders>
              <w:tl2br w:val="nil"/>
              <w:tr2bl w:val="nil"/>
            </w:tcBorders>
            <w:vAlign w:val="center"/>
          </w:tcPr>
          <w:p w14:paraId="7975485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安装下塔身加强节未使用特制的高强度螺栓、未拧紧双螺母</w:t>
            </w:r>
          </w:p>
        </w:tc>
        <w:tc>
          <w:tcPr>
            <w:tcW w:w="1149" w:type="dxa"/>
            <w:tcBorders>
              <w:tl2br w:val="nil"/>
              <w:tr2bl w:val="nil"/>
            </w:tcBorders>
            <w:vAlign w:val="center"/>
          </w:tcPr>
          <w:p w14:paraId="215ED5CC">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297AD202">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4607538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18C21B5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15</w:t>
            </w:r>
          </w:p>
        </w:tc>
        <w:tc>
          <w:tcPr>
            <w:tcW w:w="590" w:type="dxa"/>
            <w:tcBorders>
              <w:tl2br w:val="nil"/>
              <w:tr2bl w:val="nil"/>
            </w:tcBorders>
            <w:vAlign w:val="center"/>
          </w:tcPr>
          <w:p w14:paraId="53415B2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135</w:t>
            </w:r>
          </w:p>
        </w:tc>
        <w:tc>
          <w:tcPr>
            <w:tcW w:w="560" w:type="dxa"/>
            <w:tcBorders>
              <w:tl2br w:val="nil"/>
              <w:tr2bl w:val="nil"/>
            </w:tcBorders>
            <w:vAlign w:val="center"/>
          </w:tcPr>
          <w:p w14:paraId="441DB02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6AB04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72B83FB">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5201BF36">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6385A78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套架上未安装操作平台</w:t>
            </w:r>
          </w:p>
        </w:tc>
        <w:tc>
          <w:tcPr>
            <w:tcW w:w="1149" w:type="dxa"/>
            <w:tcBorders>
              <w:tl2br w:val="nil"/>
              <w:tr2bl w:val="nil"/>
            </w:tcBorders>
            <w:vAlign w:val="center"/>
          </w:tcPr>
          <w:p w14:paraId="75DAA30E">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037D025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40" w:type="dxa"/>
            <w:tcBorders>
              <w:tl2br w:val="nil"/>
              <w:tr2bl w:val="nil"/>
            </w:tcBorders>
            <w:vAlign w:val="center"/>
          </w:tcPr>
          <w:p w14:paraId="1124935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387BE835">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15</w:t>
            </w:r>
          </w:p>
        </w:tc>
        <w:tc>
          <w:tcPr>
            <w:tcW w:w="590" w:type="dxa"/>
            <w:tcBorders>
              <w:tl2br w:val="nil"/>
              <w:tr2bl w:val="nil"/>
            </w:tcBorders>
            <w:vAlign w:val="center"/>
          </w:tcPr>
          <w:p w14:paraId="5BF5C4A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45</w:t>
            </w:r>
          </w:p>
        </w:tc>
        <w:tc>
          <w:tcPr>
            <w:tcW w:w="560" w:type="dxa"/>
            <w:tcBorders>
              <w:tl2br w:val="nil"/>
              <w:tr2bl w:val="nil"/>
            </w:tcBorders>
            <w:vAlign w:val="center"/>
          </w:tcPr>
          <w:p w14:paraId="69844342">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Ⅰ</w:t>
            </w:r>
          </w:p>
        </w:tc>
      </w:tr>
      <w:tr w14:paraId="23C59C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120F56A">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0B56AAA8">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5145164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下支座下端主弦杆与标准节主弦杆未使用高强度螺栓将其相连，未紧固好双螺母</w:t>
            </w:r>
          </w:p>
        </w:tc>
        <w:tc>
          <w:tcPr>
            <w:tcW w:w="1149" w:type="dxa"/>
            <w:tcBorders>
              <w:tl2br w:val="nil"/>
              <w:tr2bl w:val="nil"/>
            </w:tcBorders>
            <w:vAlign w:val="center"/>
          </w:tcPr>
          <w:p w14:paraId="691DBE51">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48CFBF59">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66BC657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0473130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15</w:t>
            </w:r>
          </w:p>
        </w:tc>
        <w:tc>
          <w:tcPr>
            <w:tcW w:w="590" w:type="dxa"/>
            <w:tcBorders>
              <w:tl2br w:val="nil"/>
              <w:tr2bl w:val="nil"/>
            </w:tcBorders>
            <w:vAlign w:val="center"/>
          </w:tcPr>
          <w:p w14:paraId="2CC596F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135</w:t>
            </w:r>
          </w:p>
        </w:tc>
        <w:tc>
          <w:tcPr>
            <w:tcW w:w="560" w:type="dxa"/>
            <w:tcBorders>
              <w:tl2br w:val="nil"/>
              <w:tr2bl w:val="nil"/>
            </w:tcBorders>
            <w:vAlign w:val="center"/>
          </w:tcPr>
          <w:p w14:paraId="4233369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32D575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1785254">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4529E82B">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02D06B8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标准节的爬梯、背圈、爬梯平台未同步安装</w:t>
            </w:r>
          </w:p>
        </w:tc>
        <w:tc>
          <w:tcPr>
            <w:tcW w:w="1149" w:type="dxa"/>
            <w:tcBorders>
              <w:tl2br w:val="nil"/>
              <w:tr2bl w:val="nil"/>
            </w:tcBorders>
            <w:vAlign w:val="center"/>
          </w:tcPr>
          <w:p w14:paraId="5295CCF1">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7B8AE46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7BA3472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42C2F37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15</w:t>
            </w:r>
          </w:p>
        </w:tc>
        <w:tc>
          <w:tcPr>
            <w:tcW w:w="590" w:type="dxa"/>
            <w:tcBorders>
              <w:tl2br w:val="nil"/>
              <w:tr2bl w:val="nil"/>
            </w:tcBorders>
            <w:vAlign w:val="center"/>
          </w:tcPr>
          <w:p w14:paraId="2C2693B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135</w:t>
            </w:r>
          </w:p>
        </w:tc>
        <w:tc>
          <w:tcPr>
            <w:tcW w:w="560" w:type="dxa"/>
            <w:tcBorders>
              <w:tl2br w:val="nil"/>
              <w:tr2bl w:val="nil"/>
            </w:tcBorders>
            <w:vAlign w:val="center"/>
          </w:tcPr>
          <w:p w14:paraId="4285E0C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7F070F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EFE00CC">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565FE7B9">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79E9B8ED">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未安装塔顶平台、栏杆、滑轮、过度拉板</w:t>
            </w:r>
          </w:p>
        </w:tc>
        <w:tc>
          <w:tcPr>
            <w:tcW w:w="1149" w:type="dxa"/>
            <w:tcBorders>
              <w:tl2br w:val="nil"/>
              <w:tr2bl w:val="nil"/>
            </w:tcBorders>
            <w:vAlign w:val="center"/>
          </w:tcPr>
          <w:p w14:paraId="2C163F1A">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7BEA555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40" w:type="dxa"/>
            <w:tcBorders>
              <w:tl2br w:val="nil"/>
              <w:tr2bl w:val="nil"/>
            </w:tcBorders>
            <w:vAlign w:val="center"/>
          </w:tcPr>
          <w:p w14:paraId="3D00C5B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1AE7D3F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15</w:t>
            </w:r>
          </w:p>
        </w:tc>
        <w:tc>
          <w:tcPr>
            <w:tcW w:w="590" w:type="dxa"/>
            <w:tcBorders>
              <w:tl2br w:val="nil"/>
              <w:tr2bl w:val="nil"/>
            </w:tcBorders>
            <w:vAlign w:val="center"/>
          </w:tcPr>
          <w:p w14:paraId="703FC2C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135</w:t>
            </w:r>
          </w:p>
        </w:tc>
        <w:tc>
          <w:tcPr>
            <w:tcW w:w="560" w:type="dxa"/>
            <w:tcBorders>
              <w:tl2br w:val="nil"/>
              <w:tr2bl w:val="nil"/>
            </w:tcBorders>
            <w:vAlign w:val="center"/>
          </w:tcPr>
          <w:p w14:paraId="09CF103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Ⅰ</w:t>
            </w:r>
          </w:p>
        </w:tc>
      </w:tr>
      <w:tr w14:paraId="7842DB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8CD8620">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restart"/>
            <w:tcBorders>
              <w:tl2br w:val="nil"/>
              <w:tr2bl w:val="nil"/>
            </w:tcBorders>
            <w:vAlign w:val="center"/>
          </w:tcPr>
          <w:p w14:paraId="0224529A">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安装起重臂、平衡臂</w:t>
            </w:r>
          </w:p>
        </w:tc>
        <w:tc>
          <w:tcPr>
            <w:tcW w:w="3604" w:type="dxa"/>
            <w:tcBorders>
              <w:tl2br w:val="nil"/>
              <w:tr2bl w:val="nil"/>
            </w:tcBorders>
            <w:vAlign w:val="center"/>
          </w:tcPr>
          <w:p w14:paraId="465B67ED">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平衡臂未安装平台、栏杆</w:t>
            </w:r>
          </w:p>
        </w:tc>
        <w:tc>
          <w:tcPr>
            <w:tcW w:w="1149" w:type="dxa"/>
            <w:tcBorders>
              <w:tl2br w:val="nil"/>
              <w:tr2bl w:val="nil"/>
            </w:tcBorders>
            <w:vAlign w:val="center"/>
          </w:tcPr>
          <w:p w14:paraId="7B80D50C">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5417807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3DB2DE6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131D6DF5">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15</w:t>
            </w:r>
          </w:p>
        </w:tc>
        <w:tc>
          <w:tcPr>
            <w:tcW w:w="590" w:type="dxa"/>
            <w:tcBorders>
              <w:tl2br w:val="nil"/>
              <w:tr2bl w:val="nil"/>
            </w:tcBorders>
            <w:vAlign w:val="center"/>
          </w:tcPr>
          <w:p w14:paraId="66E37B22">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135</w:t>
            </w:r>
          </w:p>
        </w:tc>
        <w:tc>
          <w:tcPr>
            <w:tcW w:w="560" w:type="dxa"/>
            <w:tcBorders>
              <w:tl2br w:val="nil"/>
              <w:tr2bl w:val="nil"/>
            </w:tcBorders>
            <w:vAlign w:val="center"/>
          </w:tcPr>
          <w:p w14:paraId="1C7E51F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67554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8467C5B">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6257A2F5">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64787E0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平衡重未安装在后部规定位置，未使用专用钢销将平衡重支持在平衡臂上</w:t>
            </w:r>
          </w:p>
        </w:tc>
        <w:tc>
          <w:tcPr>
            <w:tcW w:w="1149" w:type="dxa"/>
            <w:tcBorders>
              <w:tl2br w:val="nil"/>
              <w:tr2bl w:val="nil"/>
            </w:tcBorders>
            <w:vAlign w:val="center"/>
          </w:tcPr>
          <w:p w14:paraId="2989F0D9">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7261179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1ADE73F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6B295AB2">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15</w:t>
            </w:r>
          </w:p>
        </w:tc>
        <w:tc>
          <w:tcPr>
            <w:tcW w:w="590" w:type="dxa"/>
            <w:tcBorders>
              <w:tl2br w:val="nil"/>
              <w:tr2bl w:val="nil"/>
            </w:tcBorders>
            <w:vAlign w:val="center"/>
          </w:tcPr>
          <w:p w14:paraId="20FE727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135</w:t>
            </w:r>
          </w:p>
        </w:tc>
        <w:tc>
          <w:tcPr>
            <w:tcW w:w="560" w:type="dxa"/>
            <w:tcBorders>
              <w:tl2br w:val="nil"/>
              <w:tr2bl w:val="nil"/>
            </w:tcBorders>
            <w:vAlign w:val="center"/>
          </w:tcPr>
          <w:p w14:paraId="3DBF575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024543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30F9F01">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58A81A9E">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5FF3A62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未在变幅小车上安装检修平台</w:t>
            </w:r>
          </w:p>
        </w:tc>
        <w:tc>
          <w:tcPr>
            <w:tcW w:w="1149" w:type="dxa"/>
            <w:tcBorders>
              <w:tl2br w:val="nil"/>
              <w:tr2bl w:val="nil"/>
            </w:tcBorders>
            <w:vAlign w:val="center"/>
          </w:tcPr>
          <w:p w14:paraId="2EA7DFB2">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073767F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55674B9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5D13EBF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15</w:t>
            </w:r>
          </w:p>
        </w:tc>
        <w:tc>
          <w:tcPr>
            <w:tcW w:w="590" w:type="dxa"/>
            <w:tcBorders>
              <w:tl2br w:val="nil"/>
              <w:tr2bl w:val="nil"/>
            </w:tcBorders>
            <w:vAlign w:val="center"/>
          </w:tcPr>
          <w:p w14:paraId="6943455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135</w:t>
            </w:r>
          </w:p>
        </w:tc>
        <w:tc>
          <w:tcPr>
            <w:tcW w:w="560" w:type="dxa"/>
            <w:tcBorders>
              <w:tl2br w:val="nil"/>
              <w:tr2bl w:val="nil"/>
            </w:tcBorders>
            <w:vAlign w:val="center"/>
          </w:tcPr>
          <w:p w14:paraId="424C89B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3A9B93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9F4D7AE">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170C4F5B">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6AAF03D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未用特制销轴将起重臂与回转塔身耳板铰接好、并未穿好开口销</w:t>
            </w:r>
          </w:p>
        </w:tc>
        <w:tc>
          <w:tcPr>
            <w:tcW w:w="1149" w:type="dxa"/>
            <w:tcBorders>
              <w:tl2br w:val="nil"/>
              <w:tr2bl w:val="nil"/>
            </w:tcBorders>
            <w:vAlign w:val="center"/>
          </w:tcPr>
          <w:p w14:paraId="5E618D1A">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459DAD19">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1219BD05">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708FD49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15</w:t>
            </w:r>
          </w:p>
        </w:tc>
        <w:tc>
          <w:tcPr>
            <w:tcW w:w="590" w:type="dxa"/>
            <w:tcBorders>
              <w:tl2br w:val="nil"/>
              <w:tr2bl w:val="nil"/>
            </w:tcBorders>
            <w:vAlign w:val="center"/>
          </w:tcPr>
          <w:p w14:paraId="1855281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135</w:t>
            </w:r>
          </w:p>
        </w:tc>
        <w:tc>
          <w:tcPr>
            <w:tcW w:w="560" w:type="dxa"/>
            <w:tcBorders>
              <w:tl2br w:val="nil"/>
              <w:tr2bl w:val="nil"/>
            </w:tcBorders>
            <w:vAlign w:val="center"/>
          </w:tcPr>
          <w:p w14:paraId="37B5853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782C2D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F682A10">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5E1A2A40">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1DFDDE3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配重重量与大臂长度不匹配</w:t>
            </w:r>
          </w:p>
        </w:tc>
        <w:tc>
          <w:tcPr>
            <w:tcW w:w="1149" w:type="dxa"/>
            <w:tcBorders>
              <w:tl2br w:val="nil"/>
              <w:tr2bl w:val="nil"/>
            </w:tcBorders>
            <w:vAlign w:val="center"/>
          </w:tcPr>
          <w:p w14:paraId="551A7A29">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16791B7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04A4284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322208A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15</w:t>
            </w:r>
          </w:p>
        </w:tc>
        <w:tc>
          <w:tcPr>
            <w:tcW w:w="590" w:type="dxa"/>
            <w:tcBorders>
              <w:tl2br w:val="nil"/>
              <w:tr2bl w:val="nil"/>
            </w:tcBorders>
            <w:vAlign w:val="center"/>
          </w:tcPr>
          <w:p w14:paraId="2D1C9FA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135</w:t>
            </w:r>
          </w:p>
        </w:tc>
        <w:tc>
          <w:tcPr>
            <w:tcW w:w="560" w:type="dxa"/>
            <w:tcBorders>
              <w:tl2br w:val="nil"/>
              <w:tr2bl w:val="nil"/>
            </w:tcBorders>
            <w:vAlign w:val="center"/>
          </w:tcPr>
          <w:p w14:paraId="772662B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4E735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18EAE30">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4D8EB84C">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429823F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未使用链条葫芦或未利用起升钢丝绳提升起重臂拉杆</w:t>
            </w:r>
          </w:p>
        </w:tc>
        <w:tc>
          <w:tcPr>
            <w:tcW w:w="1149" w:type="dxa"/>
            <w:tcBorders>
              <w:tl2br w:val="nil"/>
              <w:tr2bl w:val="nil"/>
            </w:tcBorders>
            <w:vAlign w:val="center"/>
          </w:tcPr>
          <w:p w14:paraId="57A15BAF">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3DE1B3F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340E9A4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2C373C8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15</w:t>
            </w:r>
          </w:p>
        </w:tc>
        <w:tc>
          <w:tcPr>
            <w:tcW w:w="590" w:type="dxa"/>
            <w:tcBorders>
              <w:tl2br w:val="nil"/>
              <w:tr2bl w:val="nil"/>
            </w:tcBorders>
            <w:vAlign w:val="center"/>
          </w:tcPr>
          <w:p w14:paraId="565F8DB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135</w:t>
            </w:r>
          </w:p>
        </w:tc>
        <w:tc>
          <w:tcPr>
            <w:tcW w:w="560" w:type="dxa"/>
            <w:tcBorders>
              <w:tl2br w:val="nil"/>
              <w:tr2bl w:val="nil"/>
            </w:tcBorders>
            <w:vAlign w:val="center"/>
          </w:tcPr>
          <w:p w14:paraId="63D1F4B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702A09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B17F77F">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restart"/>
            <w:tcBorders>
              <w:tl2br w:val="nil"/>
              <w:tr2bl w:val="nil"/>
            </w:tcBorders>
            <w:vAlign w:val="center"/>
          </w:tcPr>
          <w:p w14:paraId="3D4C343A">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顶升加节</w:t>
            </w:r>
          </w:p>
        </w:tc>
        <w:tc>
          <w:tcPr>
            <w:tcW w:w="3604" w:type="dxa"/>
            <w:tcBorders>
              <w:tl2br w:val="nil"/>
              <w:tr2bl w:val="nil"/>
            </w:tcBorders>
            <w:vAlign w:val="center"/>
          </w:tcPr>
          <w:p w14:paraId="2819EBF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顶升加节前未检查顶升系统、结构部件是否完好</w:t>
            </w:r>
          </w:p>
        </w:tc>
        <w:tc>
          <w:tcPr>
            <w:tcW w:w="1149" w:type="dxa"/>
            <w:tcBorders>
              <w:tl2br w:val="nil"/>
              <w:tr2bl w:val="nil"/>
            </w:tcBorders>
            <w:vAlign w:val="center"/>
          </w:tcPr>
          <w:p w14:paraId="3641B929">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2FBE3F2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7D05BAF5">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2</w:t>
            </w:r>
          </w:p>
        </w:tc>
        <w:tc>
          <w:tcPr>
            <w:tcW w:w="540" w:type="dxa"/>
            <w:tcBorders>
              <w:tl2br w:val="nil"/>
              <w:tr2bl w:val="nil"/>
            </w:tcBorders>
            <w:vAlign w:val="center"/>
          </w:tcPr>
          <w:p w14:paraId="40414EC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40</w:t>
            </w:r>
          </w:p>
        </w:tc>
        <w:tc>
          <w:tcPr>
            <w:tcW w:w="590" w:type="dxa"/>
            <w:tcBorders>
              <w:tl2br w:val="nil"/>
              <w:tr2bl w:val="nil"/>
            </w:tcBorders>
            <w:vAlign w:val="center"/>
          </w:tcPr>
          <w:p w14:paraId="4649115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240</w:t>
            </w:r>
          </w:p>
        </w:tc>
        <w:tc>
          <w:tcPr>
            <w:tcW w:w="560" w:type="dxa"/>
            <w:tcBorders>
              <w:tl2br w:val="nil"/>
              <w:tr2bl w:val="nil"/>
            </w:tcBorders>
            <w:vAlign w:val="center"/>
          </w:tcPr>
          <w:p w14:paraId="7272148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Ⅲ</w:t>
            </w:r>
          </w:p>
        </w:tc>
      </w:tr>
      <w:tr w14:paraId="1D725D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0305305">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26A7417C">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19ADB632">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顶升前，塔机下支座与顶升套架未可靠连接</w:t>
            </w:r>
          </w:p>
        </w:tc>
        <w:tc>
          <w:tcPr>
            <w:tcW w:w="1149" w:type="dxa"/>
            <w:tcBorders>
              <w:tl2br w:val="nil"/>
              <w:tr2bl w:val="nil"/>
            </w:tcBorders>
            <w:vAlign w:val="center"/>
          </w:tcPr>
          <w:p w14:paraId="46F04F40">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06F0861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558A5D9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2</w:t>
            </w:r>
          </w:p>
        </w:tc>
        <w:tc>
          <w:tcPr>
            <w:tcW w:w="540" w:type="dxa"/>
            <w:tcBorders>
              <w:tl2br w:val="nil"/>
              <w:tr2bl w:val="nil"/>
            </w:tcBorders>
            <w:vAlign w:val="center"/>
          </w:tcPr>
          <w:p w14:paraId="44FA5C4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40</w:t>
            </w:r>
          </w:p>
        </w:tc>
        <w:tc>
          <w:tcPr>
            <w:tcW w:w="590" w:type="dxa"/>
            <w:tcBorders>
              <w:tl2br w:val="nil"/>
              <w:tr2bl w:val="nil"/>
            </w:tcBorders>
            <w:vAlign w:val="center"/>
          </w:tcPr>
          <w:p w14:paraId="11A265E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240</w:t>
            </w:r>
          </w:p>
        </w:tc>
        <w:tc>
          <w:tcPr>
            <w:tcW w:w="560" w:type="dxa"/>
            <w:tcBorders>
              <w:tl2br w:val="nil"/>
              <w:tr2bl w:val="nil"/>
            </w:tcBorders>
            <w:vAlign w:val="center"/>
          </w:tcPr>
          <w:p w14:paraId="66687A4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Ⅲ</w:t>
            </w:r>
          </w:p>
        </w:tc>
      </w:tr>
      <w:tr w14:paraId="21272B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3163A23">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351FC216">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7D9DFAF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顶升前，未保持顶升横梁搁置正确</w:t>
            </w:r>
          </w:p>
        </w:tc>
        <w:tc>
          <w:tcPr>
            <w:tcW w:w="1149" w:type="dxa"/>
            <w:tcBorders>
              <w:tl2br w:val="nil"/>
              <w:tr2bl w:val="nil"/>
            </w:tcBorders>
            <w:vAlign w:val="center"/>
          </w:tcPr>
          <w:p w14:paraId="57192CA3">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135DF79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270C765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2</w:t>
            </w:r>
          </w:p>
        </w:tc>
        <w:tc>
          <w:tcPr>
            <w:tcW w:w="540" w:type="dxa"/>
            <w:tcBorders>
              <w:tl2br w:val="nil"/>
              <w:tr2bl w:val="nil"/>
            </w:tcBorders>
            <w:vAlign w:val="center"/>
          </w:tcPr>
          <w:p w14:paraId="4E06C10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40</w:t>
            </w:r>
          </w:p>
        </w:tc>
        <w:tc>
          <w:tcPr>
            <w:tcW w:w="590" w:type="dxa"/>
            <w:tcBorders>
              <w:tl2br w:val="nil"/>
              <w:tr2bl w:val="nil"/>
            </w:tcBorders>
            <w:vAlign w:val="center"/>
          </w:tcPr>
          <w:p w14:paraId="36B1842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240</w:t>
            </w:r>
          </w:p>
        </w:tc>
        <w:tc>
          <w:tcPr>
            <w:tcW w:w="560" w:type="dxa"/>
            <w:tcBorders>
              <w:tl2br w:val="nil"/>
              <w:tr2bl w:val="nil"/>
            </w:tcBorders>
            <w:vAlign w:val="center"/>
          </w:tcPr>
          <w:p w14:paraId="7B3674C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Ⅲ</w:t>
            </w:r>
          </w:p>
        </w:tc>
      </w:tr>
      <w:tr w14:paraId="41EF5A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8680302">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3B9F94B5">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0EC534FD">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顶升前，未将塔机配平。顶升过程中未确保塔机的平衡</w:t>
            </w:r>
          </w:p>
        </w:tc>
        <w:tc>
          <w:tcPr>
            <w:tcW w:w="1149" w:type="dxa"/>
            <w:tcBorders>
              <w:tl2br w:val="nil"/>
              <w:tr2bl w:val="nil"/>
            </w:tcBorders>
            <w:vAlign w:val="center"/>
          </w:tcPr>
          <w:p w14:paraId="1EE13D33">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57BA0B4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4C9A6AC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2</w:t>
            </w:r>
          </w:p>
        </w:tc>
        <w:tc>
          <w:tcPr>
            <w:tcW w:w="540" w:type="dxa"/>
            <w:tcBorders>
              <w:tl2br w:val="nil"/>
              <w:tr2bl w:val="nil"/>
            </w:tcBorders>
            <w:vAlign w:val="center"/>
          </w:tcPr>
          <w:p w14:paraId="4F6B218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40</w:t>
            </w:r>
          </w:p>
        </w:tc>
        <w:tc>
          <w:tcPr>
            <w:tcW w:w="590" w:type="dxa"/>
            <w:tcBorders>
              <w:tl2br w:val="nil"/>
              <w:tr2bl w:val="nil"/>
            </w:tcBorders>
            <w:vAlign w:val="center"/>
          </w:tcPr>
          <w:p w14:paraId="3718BCF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240</w:t>
            </w:r>
          </w:p>
        </w:tc>
        <w:tc>
          <w:tcPr>
            <w:tcW w:w="560" w:type="dxa"/>
            <w:tcBorders>
              <w:tl2br w:val="nil"/>
              <w:tr2bl w:val="nil"/>
            </w:tcBorders>
            <w:vAlign w:val="center"/>
          </w:tcPr>
          <w:p w14:paraId="11FBB51D">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Ⅲ</w:t>
            </w:r>
          </w:p>
        </w:tc>
      </w:tr>
      <w:tr w14:paraId="0FAEFB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BEF8A9C">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035EEB5C">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14526B6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顶升加节的顺序，未符合使用说明书的规定</w:t>
            </w:r>
          </w:p>
        </w:tc>
        <w:tc>
          <w:tcPr>
            <w:tcW w:w="1149" w:type="dxa"/>
            <w:tcBorders>
              <w:tl2br w:val="nil"/>
              <w:tr2bl w:val="nil"/>
            </w:tcBorders>
            <w:vAlign w:val="center"/>
          </w:tcPr>
          <w:p w14:paraId="68807204">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24416EF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731A5FA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2</w:t>
            </w:r>
          </w:p>
        </w:tc>
        <w:tc>
          <w:tcPr>
            <w:tcW w:w="540" w:type="dxa"/>
            <w:tcBorders>
              <w:tl2br w:val="nil"/>
              <w:tr2bl w:val="nil"/>
            </w:tcBorders>
            <w:vAlign w:val="center"/>
          </w:tcPr>
          <w:p w14:paraId="24D6333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40</w:t>
            </w:r>
          </w:p>
        </w:tc>
        <w:tc>
          <w:tcPr>
            <w:tcW w:w="590" w:type="dxa"/>
            <w:tcBorders>
              <w:tl2br w:val="nil"/>
              <w:tr2bl w:val="nil"/>
            </w:tcBorders>
            <w:vAlign w:val="center"/>
          </w:tcPr>
          <w:p w14:paraId="3866D8B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240</w:t>
            </w:r>
          </w:p>
        </w:tc>
        <w:tc>
          <w:tcPr>
            <w:tcW w:w="560" w:type="dxa"/>
            <w:tcBorders>
              <w:tl2br w:val="nil"/>
              <w:tr2bl w:val="nil"/>
            </w:tcBorders>
            <w:vAlign w:val="center"/>
          </w:tcPr>
          <w:p w14:paraId="7A0E7639">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Ⅲ</w:t>
            </w:r>
          </w:p>
        </w:tc>
      </w:tr>
      <w:tr w14:paraId="2F4E6A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5E25540">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3E538D3D">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63E8BB7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顶升过程中，进行起升、回转、变幅等动作</w:t>
            </w:r>
          </w:p>
        </w:tc>
        <w:tc>
          <w:tcPr>
            <w:tcW w:w="1149" w:type="dxa"/>
            <w:tcBorders>
              <w:tl2br w:val="nil"/>
              <w:tr2bl w:val="nil"/>
            </w:tcBorders>
            <w:vAlign w:val="center"/>
          </w:tcPr>
          <w:p w14:paraId="1CA5A385">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370B6B6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2322255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2</w:t>
            </w:r>
          </w:p>
        </w:tc>
        <w:tc>
          <w:tcPr>
            <w:tcW w:w="540" w:type="dxa"/>
            <w:tcBorders>
              <w:tl2br w:val="nil"/>
              <w:tr2bl w:val="nil"/>
            </w:tcBorders>
            <w:vAlign w:val="center"/>
          </w:tcPr>
          <w:p w14:paraId="38B72D2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40</w:t>
            </w:r>
          </w:p>
        </w:tc>
        <w:tc>
          <w:tcPr>
            <w:tcW w:w="590" w:type="dxa"/>
            <w:tcBorders>
              <w:tl2br w:val="nil"/>
              <w:tr2bl w:val="nil"/>
            </w:tcBorders>
            <w:vAlign w:val="center"/>
          </w:tcPr>
          <w:p w14:paraId="5F9018E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240</w:t>
            </w:r>
          </w:p>
        </w:tc>
        <w:tc>
          <w:tcPr>
            <w:tcW w:w="560" w:type="dxa"/>
            <w:tcBorders>
              <w:tl2br w:val="nil"/>
              <w:tr2bl w:val="nil"/>
            </w:tcBorders>
            <w:vAlign w:val="center"/>
          </w:tcPr>
          <w:p w14:paraId="6916C51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Ⅲ</w:t>
            </w:r>
          </w:p>
        </w:tc>
      </w:tr>
      <w:tr w14:paraId="7FFDC5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EFECC86">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5C9D8FBF">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0B0B0B2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顶升结束后，未将标准节与回转下支座可靠连接</w:t>
            </w:r>
          </w:p>
        </w:tc>
        <w:tc>
          <w:tcPr>
            <w:tcW w:w="1149" w:type="dxa"/>
            <w:tcBorders>
              <w:tl2br w:val="nil"/>
              <w:tr2bl w:val="nil"/>
            </w:tcBorders>
            <w:vAlign w:val="center"/>
          </w:tcPr>
          <w:p w14:paraId="1C467354">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43A878FD">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48FDA50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2</w:t>
            </w:r>
          </w:p>
        </w:tc>
        <w:tc>
          <w:tcPr>
            <w:tcW w:w="540" w:type="dxa"/>
            <w:tcBorders>
              <w:tl2br w:val="nil"/>
              <w:tr2bl w:val="nil"/>
            </w:tcBorders>
            <w:vAlign w:val="center"/>
          </w:tcPr>
          <w:p w14:paraId="66C9B41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40</w:t>
            </w:r>
          </w:p>
        </w:tc>
        <w:tc>
          <w:tcPr>
            <w:tcW w:w="590" w:type="dxa"/>
            <w:tcBorders>
              <w:tl2br w:val="nil"/>
              <w:tr2bl w:val="nil"/>
            </w:tcBorders>
            <w:vAlign w:val="center"/>
          </w:tcPr>
          <w:p w14:paraId="7577550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240</w:t>
            </w:r>
          </w:p>
        </w:tc>
        <w:tc>
          <w:tcPr>
            <w:tcW w:w="560" w:type="dxa"/>
            <w:tcBorders>
              <w:tl2br w:val="nil"/>
              <w:tr2bl w:val="nil"/>
            </w:tcBorders>
            <w:vAlign w:val="center"/>
          </w:tcPr>
          <w:p w14:paraId="2855B91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Ⅲ</w:t>
            </w:r>
          </w:p>
        </w:tc>
      </w:tr>
      <w:tr w14:paraId="5AE3CD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8834ABF">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440F0C18">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0966398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塔机加节后需附着的，未按照先安装附着装置、后顶升加节的顺序进行，附着装置的位置和支撑点的强度未符合要求。</w:t>
            </w:r>
          </w:p>
        </w:tc>
        <w:tc>
          <w:tcPr>
            <w:tcW w:w="1149" w:type="dxa"/>
            <w:tcBorders>
              <w:tl2br w:val="nil"/>
              <w:tr2bl w:val="nil"/>
            </w:tcBorders>
            <w:vAlign w:val="center"/>
          </w:tcPr>
          <w:p w14:paraId="10D9D545">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6763D5B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2A2CB23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2</w:t>
            </w:r>
          </w:p>
        </w:tc>
        <w:tc>
          <w:tcPr>
            <w:tcW w:w="540" w:type="dxa"/>
            <w:tcBorders>
              <w:tl2br w:val="nil"/>
              <w:tr2bl w:val="nil"/>
            </w:tcBorders>
            <w:vAlign w:val="center"/>
          </w:tcPr>
          <w:p w14:paraId="746C196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40</w:t>
            </w:r>
          </w:p>
        </w:tc>
        <w:tc>
          <w:tcPr>
            <w:tcW w:w="590" w:type="dxa"/>
            <w:tcBorders>
              <w:tl2br w:val="nil"/>
              <w:tr2bl w:val="nil"/>
            </w:tcBorders>
            <w:vAlign w:val="center"/>
          </w:tcPr>
          <w:p w14:paraId="52D7472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240</w:t>
            </w:r>
          </w:p>
        </w:tc>
        <w:tc>
          <w:tcPr>
            <w:tcW w:w="560" w:type="dxa"/>
            <w:tcBorders>
              <w:tl2br w:val="nil"/>
              <w:tr2bl w:val="nil"/>
            </w:tcBorders>
            <w:vAlign w:val="center"/>
          </w:tcPr>
          <w:p w14:paraId="5469898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Ⅲ</w:t>
            </w:r>
          </w:p>
        </w:tc>
      </w:tr>
      <w:tr w14:paraId="6742FE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C5DF597">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restart"/>
            <w:tcBorders>
              <w:tl2br w:val="nil"/>
              <w:tr2bl w:val="nil"/>
            </w:tcBorders>
            <w:vAlign w:val="center"/>
          </w:tcPr>
          <w:p w14:paraId="2AA65AEA">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安装后检验</w:t>
            </w:r>
          </w:p>
        </w:tc>
        <w:tc>
          <w:tcPr>
            <w:tcW w:w="3604" w:type="dxa"/>
            <w:tcBorders>
              <w:tl2br w:val="nil"/>
              <w:tr2bl w:val="nil"/>
            </w:tcBorders>
            <w:vAlign w:val="center"/>
          </w:tcPr>
          <w:p w14:paraId="6454942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安装完成未组织人员验收与试吊</w:t>
            </w:r>
          </w:p>
        </w:tc>
        <w:tc>
          <w:tcPr>
            <w:tcW w:w="1149" w:type="dxa"/>
            <w:tcBorders>
              <w:tl2br w:val="nil"/>
              <w:tr2bl w:val="nil"/>
            </w:tcBorders>
            <w:vAlign w:val="center"/>
          </w:tcPr>
          <w:p w14:paraId="04BDBC57">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1BD6D8E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40" w:type="dxa"/>
            <w:tcBorders>
              <w:tl2br w:val="nil"/>
              <w:tr2bl w:val="nil"/>
            </w:tcBorders>
            <w:vAlign w:val="center"/>
          </w:tcPr>
          <w:p w14:paraId="0C41797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40" w:type="dxa"/>
            <w:tcBorders>
              <w:tl2br w:val="nil"/>
              <w:tr2bl w:val="nil"/>
            </w:tcBorders>
            <w:vAlign w:val="center"/>
          </w:tcPr>
          <w:p w14:paraId="6F62B49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40</w:t>
            </w:r>
          </w:p>
        </w:tc>
        <w:tc>
          <w:tcPr>
            <w:tcW w:w="590" w:type="dxa"/>
            <w:tcBorders>
              <w:tl2br w:val="nil"/>
              <w:tr2bl w:val="nil"/>
            </w:tcBorders>
            <w:vAlign w:val="center"/>
          </w:tcPr>
          <w:p w14:paraId="369096E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40</w:t>
            </w:r>
          </w:p>
        </w:tc>
        <w:tc>
          <w:tcPr>
            <w:tcW w:w="560" w:type="dxa"/>
            <w:tcBorders>
              <w:tl2br w:val="nil"/>
              <w:tr2bl w:val="nil"/>
            </w:tcBorders>
            <w:vAlign w:val="center"/>
          </w:tcPr>
          <w:p w14:paraId="5860990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Ⅰ</w:t>
            </w:r>
          </w:p>
        </w:tc>
      </w:tr>
      <w:tr w14:paraId="56FD1B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E9E28FD">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43B12EF7">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6C8E2C4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安装单位自检合格后，没有上报有关部门检测合格。</w:t>
            </w:r>
          </w:p>
        </w:tc>
        <w:tc>
          <w:tcPr>
            <w:tcW w:w="1149" w:type="dxa"/>
            <w:tcBorders>
              <w:tl2br w:val="nil"/>
              <w:tr2bl w:val="nil"/>
            </w:tcBorders>
            <w:vAlign w:val="center"/>
          </w:tcPr>
          <w:p w14:paraId="47CD7A84">
            <w:pPr>
              <w:spacing w:line="280" w:lineRule="exact"/>
              <w:ind w:firstLine="0" w:firstLineChars="0"/>
              <w:jc w:val="center"/>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05C998A9">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40" w:type="dxa"/>
            <w:tcBorders>
              <w:tl2br w:val="nil"/>
              <w:tr2bl w:val="nil"/>
            </w:tcBorders>
            <w:vAlign w:val="center"/>
          </w:tcPr>
          <w:p w14:paraId="77E94BA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40" w:type="dxa"/>
            <w:tcBorders>
              <w:tl2br w:val="nil"/>
              <w:tr2bl w:val="nil"/>
            </w:tcBorders>
            <w:vAlign w:val="center"/>
          </w:tcPr>
          <w:p w14:paraId="12D1634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40</w:t>
            </w:r>
          </w:p>
        </w:tc>
        <w:tc>
          <w:tcPr>
            <w:tcW w:w="590" w:type="dxa"/>
            <w:tcBorders>
              <w:tl2br w:val="nil"/>
              <w:tr2bl w:val="nil"/>
            </w:tcBorders>
            <w:vAlign w:val="center"/>
          </w:tcPr>
          <w:p w14:paraId="4D054272">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40</w:t>
            </w:r>
          </w:p>
        </w:tc>
        <w:tc>
          <w:tcPr>
            <w:tcW w:w="560" w:type="dxa"/>
            <w:tcBorders>
              <w:tl2br w:val="nil"/>
              <w:tr2bl w:val="nil"/>
            </w:tcBorders>
            <w:vAlign w:val="center"/>
          </w:tcPr>
          <w:p w14:paraId="5CE66FE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Ⅰ</w:t>
            </w:r>
          </w:p>
        </w:tc>
      </w:tr>
      <w:tr w14:paraId="0881EC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354DE66">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tcBorders>
              <w:tl2br w:val="nil"/>
              <w:tr2bl w:val="nil"/>
            </w:tcBorders>
            <w:vAlign w:val="center"/>
          </w:tcPr>
          <w:p w14:paraId="15430608">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设备部件及构配件</w:t>
            </w:r>
          </w:p>
        </w:tc>
        <w:tc>
          <w:tcPr>
            <w:tcW w:w="3604" w:type="dxa"/>
            <w:tcBorders>
              <w:tl2br w:val="nil"/>
              <w:tr2bl w:val="nil"/>
            </w:tcBorders>
            <w:vAlign w:val="center"/>
          </w:tcPr>
          <w:p w14:paraId="42D9BF1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施工所用设备部件及构配件使用前，未进行质量检查验收及安全评估，材料混用</w:t>
            </w:r>
          </w:p>
        </w:tc>
        <w:tc>
          <w:tcPr>
            <w:tcW w:w="1149" w:type="dxa"/>
            <w:tcBorders>
              <w:tl2br w:val="nil"/>
              <w:tr2bl w:val="nil"/>
            </w:tcBorders>
            <w:vAlign w:val="center"/>
          </w:tcPr>
          <w:p w14:paraId="45E8BF39">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坍塌</w:t>
            </w:r>
          </w:p>
        </w:tc>
        <w:tc>
          <w:tcPr>
            <w:tcW w:w="550" w:type="dxa"/>
            <w:tcBorders>
              <w:tl2br w:val="nil"/>
              <w:tr2bl w:val="nil"/>
            </w:tcBorders>
            <w:vAlign w:val="center"/>
          </w:tcPr>
          <w:p w14:paraId="68EA11A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40" w:type="dxa"/>
            <w:tcBorders>
              <w:tl2br w:val="nil"/>
              <w:tr2bl w:val="nil"/>
            </w:tcBorders>
            <w:vAlign w:val="center"/>
          </w:tcPr>
          <w:p w14:paraId="334B370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0317636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40</w:t>
            </w:r>
          </w:p>
        </w:tc>
        <w:tc>
          <w:tcPr>
            <w:tcW w:w="590" w:type="dxa"/>
            <w:tcBorders>
              <w:tl2br w:val="nil"/>
              <w:tr2bl w:val="nil"/>
            </w:tcBorders>
            <w:vAlign w:val="center"/>
          </w:tcPr>
          <w:p w14:paraId="2E74D95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120</w:t>
            </w:r>
          </w:p>
        </w:tc>
        <w:tc>
          <w:tcPr>
            <w:tcW w:w="560" w:type="dxa"/>
            <w:tcBorders>
              <w:tl2br w:val="nil"/>
              <w:tr2bl w:val="nil"/>
            </w:tcBorders>
            <w:vAlign w:val="center"/>
          </w:tcPr>
          <w:p w14:paraId="31505EC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5A06FC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8CDA2CF">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restart"/>
            <w:tcBorders>
              <w:tl2br w:val="nil"/>
              <w:tr2bl w:val="nil"/>
            </w:tcBorders>
            <w:vAlign w:val="center"/>
          </w:tcPr>
          <w:p w14:paraId="428F7CC0">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吊索具</w:t>
            </w:r>
          </w:p>
        </w:tc>
        <w:tc>
          <w:tcPr>
            <w:tcW w:w="3604" w:type="dxa"/>
            <w:tcBorders>
              <w:tl2br w:val="nil"/>
              <w:tr2bl w:val="nil"/>
            </w:tcBorders>
            <w:vAlign w:val="center"/>
          </w:tcPr>
          <w:p w14:paraId="16F0CDD2">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吊具与索具系结物品，及其连接在起重机械上的方法不可靠</w:t>
            </w:r>
          </w:p>
        </w:tc>
        <w:tc>
          <w:tcPr>
            <w:tcW w:w="1149" w:type="dxa"/>
            <w:tcBorders>
              <w:tl2br w:val="nil"/>
              <w:tr2bl w:val="nil"/>
            </w:tcBorders>
            <w:vAlign w:val="center"/>
          </w:tcPr>
          <w:p w14:paraId="37800D9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61C0F17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3AE9AD5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307EA32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7</w:t>
            </w:r>
          </w:p>
        </w:tc>
        <w:tc>
          <w:tcPr>
            <w:tcW w:w="590" w:type="dxa"/>
            <w:tcBorders>
              <w:tl2br w:val="nil"/>
              <w:tr2bl w:val="nil"/>
            </w:tcBorders>
            <w:vAlign w:val="center"/>
          </w:tcPr>
          <w:p w14:paraId="5662FFFD">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63</w:t>
            </w:r>
          </w:p>
        </w:tc>
        <w:tc>
          <w:tcPr>
            <w:tcW w:w="560" w:type="dxa"/>
            <w:tcBorders>
              <w:tl2br w:val="nil"/>
              <w:tr2bl w:val="nil"/>
            </w:tcBorders>
            <w:vAlign w:val="center"/>
          </w:tcPr>
          <w:p w14:paraId="0C3FD26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Ⅰ</w:t>
            </w:r>
          </w:p>
        </w:tc>
      </w:tr>
      <w:tr w14:paraId="62737D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D82E2E5">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639989BF">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09A9E19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未按照规定设置防脱钩装置，或者防脱钩装置失效。</w:t>
            </w:r>
          </w:p>
        </w:tc>
        <w:tc>
          <w:tcPr>
            <w:tcW w:w="1149" w:type="dxa"/>
            <w:tcBorders>
              <w:tl2br w:val="nil"/>
              <w:tr2bl w:val="nil"/>
            </w:tcBorders>
            <w:vAlign w:val="center"/>
          </w:tcPr>
          <w:p w14:paraId="226765E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6B3C48C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3B80848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3CFE659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7</w:t>
            </w:r>
          </w:p>
        </w:tc>
        <w:tc>
          <w:tcPr>
            <w:tcW w:w="590" w:type="dxa"/>
            <w:tcBorders>
              <w:tl2br w:val="nil"/>
              <w:tr2bl w:val="nil"/>
            </w:tcBorders>
            <w:vAlign w:val="center"/>
          </w:tcPr>
          <w:p w14:paraId="486AD92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126</w:t>
            </w:r>
          </w:p>
        </w:tc>
        <w:tc>
          <w:tcPr>
            <w:tcW w:w="560" w:type="dxa"/>
            <w:tcBorders>
              <w:tl2br w:val="nil"/>
              <w:tr2bl w:val="nil"/>
            </w:tcBorders>
            <w:vAlign w:val="center"/>
          </w:tcPr>
          <w:p w14:paraId="4431146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0E8ADE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A545E55">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49240F99">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1CDB5DA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吊具悬挂不牢固可靠。</w:t>
            </w:r>
          </w:p>
        </w:tc>
        <w:tc>
          <w:tcPr>
            <w:tcW w:w="1149" w:type="dxa"/>
            <w:tcBorders>
              <w:tl2br w:val="nil"/>
              <w:tr2bl w:val="nil"/>
            </w:tcBorders>
            <w:vAlign w:val="center"/>
          </w:tcPr>
          <w:p w14:paraId="4C4B5F29">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277830A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6D19C8D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513FA70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15</w:t>
            </w:r>
          </w:p>
        </w:tc>
        <w:tc>
          <w:tcPr>
            <w:tcW w:w="590" w:type="dxa"/>
            <w:tcBorders>
              <w:tl2br w:val="nil"/>
              <w:tr2bl w:val="nil"/>
            </w:tcBorders>
            <w:vAlign w:val="center"/>
          </w:tcPr>
          <w:p w14:paraId="411E094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135</w:t>
            </w:r>
          </w:p>
        </w:tc>
        <w:tc>
          <w:tcPr>
            <w:tcW w:w="560" w:type="dxa"/>
            <w:tcBorders>
              <w:tl2br w:val="nil"/>
              <w:tr2bl w:val="nil"/>
            </w:tcBorders>
            <w:vAlign w:val="center"/>
          </w:tcPr>
          <w:p w14:paraId="65E2093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6CBF41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53A8780">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18F5FBF1">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1386CB3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吊耳、耳轴或耳轴套，磨损减少原尺寸5％。</w:t>
            </w:r>
          </w:p>
        </w:tc>
        <w:tc>
          <w:tcPr>
            <w:tcW w:w="1149" w:type="dxa"/>
            <w:tcBorders>
              <w:tl2br w:val="nil"/>
              <w:tr2bl w:val="nil"/>
            </w:tcBorders>
            <w:vAlign w:val="center"/>
          </w:tcPr>
          <w:p w14:paraId="1CB5CA2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744B5BB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59A82815">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18C0C30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7</w:t>
            </w:r>
          </w:p>
        </w:tc>
        <w:tc>
          <w:tcPr>
            <w:tcW w:w="590" w:type="dxa"/>
            <w:tcBorders>
              <w:tl2br w:val="nil"/>
              <w:tr2bl w:val="nil"/>
            </w:tcBorders>
            <w:vAlign w:val="center"/>
          </w:tcPr>
          <w:p w14:paraId="5459391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63</w:t>
            </w:r>
          </w:p>
        </w:tc>
        <w:tc>
          <w:tcPr>
            <w:tcW w:w="560" w:type="dxa"/>
            <w:tcBorders>
              <w:tl2br w:val="nil"/>
              <w:tr2bl w:val="nil"/>
            </w:tcBorders>
            <w:vAlign w:val="center"/>
          </w:tcPr>
          <w:p w14:paraId="2C8F0DE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Ⅰ</w:t>
            </w:r>
          </w:p>
        </w:tc>
      </w:tr>
      <w:tr w14:paraId="2DBB4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B775292">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restart"/>
            <w:tcBorders>
              <w:tl2br w:val="nil"/>
              <w:tr2bl w:val="nil"/>
            </w:tcBorders>
            <w:vAlign w:val="center"/>
          </w:tcPr>
          <w:p w14:paraId="34451B40">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操作错误，忽视安全，忽视警告</w:t>
            </w:r>
          </w:p>
        </w:tc>
        <w:tc>
          <w:tcPr>
            <w:tcW w:w="3604" w:type="dxa"/>
            <w:tcBorders>
              <w:tl2br w:val="nil"/>
              <w:tr2bl w:val="nil"/>
            </w:tcBorders>
            <w:vAlign w:val="center"/>
          </w:tcPr>
          <w:p w14:paraId="67029F2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未经许可开动、关停、移动机器</w:t>
            </w:r>
          </w:p>
        </w:tc>
        <w:tc>
          <w:tcPr>
            <w:tcW w:w="1149" w:type="dxa"/>
            <w:tcBorders>
              <w:tl2br w:val="nil"/>
              <w:tr2bl w:val="nil"/>
            </w:tcBorders>
            <w:vAlign w:val="center"/>
          </w:tcPr>
          <w:p w14:paraId="019EA7F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机械伤害</w:t>
            </w:r>
          </w:p>
        </w:tc>
        <w:tc>
          <w:tcPr>
            <w:tcW w:w="550" w:type="dxa"/>
            <w:tcBorders>
              <w:tl2br w:val="nil"/>
              <w:tr2bl w:val="nil"/>
            </w:tcBorders>
            <w:vAlign w:val="center"/>
          </w:tcPr>
          <w:p w14:paraId="2BCBFE3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48730E6D">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4728B40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7</w:t>
            </w:r>
          </w:p>
        </w:tc>
        <w:tc>
          <w:tcPr>
            <w:tcW w:w="590" w:type="dxa"/>
            <w:tcBorders>
              <w:tl2br w:val="nil"/>
              <w:tr2bl w:val="nil"/>
            </w:tcBorders>
            <w:vAlign w:val="center"/>
          </w:tcPr>
          <w:p w14:paraId="63F7BCAD">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126</w:t>
            </w:r>
          </w:p>
        </w:tc>
        <w:tc>
          <w:tcPr>
            <w:tcW w:w="560" w:type="dxa"/>
            <w:tcBorders>
              <w:tl2br w:val="nil"/>
              <w:tr2bl w:val="nil"/>
            </w:tcBorders>
            <w:vAlign w:val="center"/>
          </w:tcPr>
          <w:p w14:paraId="1754451D">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3D07B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C13B7ED">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152D5974">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339D367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开动、关停机器时未给信号</w:t>
            </w:r>
          </w:p>
        </w:tc>
        <w:tc>
          <w:tcPr>
            <w:tcW w:w="1149" w:type="dxa"/>
            <w:tcBorders>
              <w:tl2br w:val="nil"/>
              <w:tr2bl w:val="nil"/>
            </w:tcBorders>
            <w:vAlign w:val="center"/>
          </w:tcPr>
          <w:p w14:paraId="4673CD7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机械伤害</w:t>
            </w:r>
          </w:p>
        </w:tc>
        <w:tc>
          <w:tcPr>
            <w:tcW w:w="550" w:type="dxa"/>
            <w:tcBorders>
              <w:tl2br w:val="nil"/>
              <w:tr2bl w:val="nil"/>
            </w:tcBorders>
            <w:vAlign w:val="center"/>
          </w:tcPr>
          <w:p w14:paraId="3615275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496BABF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4FDF26D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7</w:t>
            </w:r>
          </w:p>
        </w:tc>
        <w:tc>
          <w:tcPr>
            <w:tcW w:w="590" w:type="dxa"/>
            <w:tcBorders>
              <w:tl2br w:val="nil"/>
              <w:tr2bl w:val="nil"/>
            </w:tcBorders>
            <w:vAlign w:val="center"/>
          </w:tcPr>
          <w:p w14:paraId="16301A4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126</w:t>
            </w:r>
          </w:p>
        </w:tc>
        <w:tc>
          <w:tcPr>
            <w:tcW w:w="560" w:type="dxa"/>
            <w:tcBorders>
              <w:tl2br w:val="nil"/>
              <w:tr2bl w:val="nil"/>
            </w:tcBorders>
            <w:vAlign w:val="center"/>
          </w:tcPr>
          <w:p w14:paraId="2757F7A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598195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147BBD4">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3A2B8D30">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1660F8A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操作错误（指按钮、阀门、搬手、把柄等的操作）</w:t>
            </w:r>
          </w:p>
        </w:tc>
        <w:tc>
          <w:tcPr>
            <w:tcW w:w="1149" w:type="dxa"/>
            <w:tcBorders>
              <w:tl2br w:val="nil"/>
              <w:tr2bl w:val="nil"/>
            </w:tcBorders>
            <w:vAlign w:val="center"/>
          </w:tcPr>
          <w:p w14:paraId="3B99192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机械伤害</w:t>
            </w:r>
          </w:p>
        </w:tc>
        <w:tc>
          <w:tcPr>
            <w:tcW w:w="550" w:type="dxa"/>
            <w:tcBorders>
              <w:tl2br w:val="nil"/>
              <w:tr2bl w:val="nil"/>
            </w:tcBorders>
            <w:vAlign w:val="center"/>
          </w:tcPr>
          <w:p w14:paraId="2A64274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3EACFF3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70D03612">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7</w:t>
            </w:r>
          </w:p>
        </w:tc>
        <w:tc>
          <w:tcPr>
            <w:tcW w:w="590" w:type="dxa"/>
            <w:tcBorders>
              <w:tl2br w:val="nil"/>
              <w:tr2bl w:val="nil"/>
            </w:tcBorders>
            <w:vAlign w:val="center"/>
          </w:tcPr>
          <w:p w14:paraId="2973451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126</w:t>
            </w:r>
          </w:p>
        </w:tc>
        <w:tc>
          <w:tcPr>
            <w:tcW w:w="560" w:type="dxa"/>
            <w:tcBorders>
              <w:tl2br w:val="nil"/>
              <w:tr2bl w:val="nil"/>
            </w:tcBorders>
            <w:vAlign w:val="center"/>
          </w:tcPr>
          <w:p w14:paraId="141E14E9">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0F7BD4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6667B3F">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restart"/>
            <w:tcBorders>
              <w:tl2br w:val="nil"/>
              <w:tr2bl w:val="nil"/>
            </w:tcBorders>
            <w:vAlign w:val="center"/>
          </w:tcPr>
          <w:p w14:paraId="25DA8C2F">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作业现场环境</w:t>
            </w:r>
          </w:p>
        </w:tc>
        <w:tc>
          <w:tcPr>
            <w:tcW w:w="3604" w:type="dxa"/>
            <w:tcBorders>
              <w:tl2br w:val="nil"/>
              <w:tr2bl w:val="nil"/>
            </w:tcBorders>
            <w:vAlign w:val="center"/>
          </w:tcPr>
          <w:p w14:paraId="0F1911C2">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起重机械运动部分与建筑物、设施、输电线的安全距离不够。</w:t>
            </w:r>
          </w:p>
        </w:tc>
        <w:tc>
          <w:tcPr>
            <w:tcW w:w="1149" w:type="dxa"/>
            <w:tcBorders>
              <w:tl2br w:val="nil"/>
              <w:tr2bl w:val="nil"/>
            </w:tcBorders>
            <w:vAlign w:val="center"/>
          </w:tcPr>
          <w:p w14:paraId="167BD98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06F6384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13A9E60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2C44E17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15</w:t>
            </w:r>
          </w:p>
        </w:tc>
        <w:tc>
          <w:tcPr>
            <w:tcW w:w="590" w:type="dxa"/>
            <w:tcBorders>
              <w:tl2br w:val="nil"/>
              <w:tr2bl w:val="nil"/>
            </w:tcBorders>
            <w:vAlign w:val="center"/>
          </w:tcPr>
          <w:p w14:paraId="60CD584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135</w:t>
            </w:r>
          </w:p>
        </w:tc>
        <w:tc>
          <w:tcPr>
            <w:tcW w:w="560" w:type="dxa"/>
            <w:tcBorders>
              <w:tl2br w:val="nil"/>
              <w:tr2bl w:val="nil"/>
            </w:tcBorders>
            <w:vAlign w:val="center"/>
          </w:tcPr>
          <w:p w14:paraId="6BECA282">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16A6C3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14E6B22">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784FCD2D">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74C0A1D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作业前，未检查起重吊装所使用的起重机滑轮、吊索、卡环和地锚等。</w:t>
            </w:r>
          </w:p>
        </w:tc>
        <w:tc>
          <w:tcPr>
            <w:tcW w:w="1149" w:type="dxa"/>
            <w:tcBorders>
              <w:tl2br w:val="nil"/>
              <w:tr2bl w:val="nil"/>
            </w:tcBorders>
            <w:vAlign w:val="center"/>
          </w:tcPr>
          <w:p w14:paraId="54A51262">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5B5036E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6C14B405">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23B336B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90" w:type="dxa"/>
            <w:tcBorders>
              <w:tl2br w:val="nil"/>
              <w:tr2bl w:val="nil"/>
            </w:tcBorders>
            <w:vAlign w:val="center"/>
          </w:tcPr>
          <w:p w14:paraId="496A6F5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108</w:t>
            </w:r>
          </w:p>
        </w:tc>
        <w:tc>
          <w:tcPr>
            <w:tcW w:w="560" w:type="dxa"/>
            <w:tcBorders>
              <w:tl2br w:val="nil"/>
              <w:tr2bl w:val="nil"/>
            </w:tcBorders>
            <w:vAlign w:val="center"/>
          </w:tcPr>
          <w:p w14:paraId="751FEAF2">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019F50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F180CDB">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1503027B">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562B9FA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吊装业作区四周未设置明显标志或警戒区；夜间施工没有足够的照明。</w:t>
            </w:r>
          </w:p>
        </w:tc>
        <w:tc>
          <w:tcPr>
            <w:tcW w:w="1149" w:type="dxa"/>
            <w:tcBorders>
              <w:tl2br w:val="nil"/>
              <w:tr2bl w:val="nil"/>
            </w:tcBorders>
            <w:vAlign w:val="center"/>
          </w:tcPr>
          <w:p w14:paraId="08CF9E6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13E4900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4D2DA4F5">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7ABA35C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90" w:type="dxa"/>
            <w:tcBorders>
              <w:tl2br w:val="nil"/>
              <w:tr2bl w:val="nil"/>
            </w:tcBorders>
            <w:vAlign w:val="center"/>
          </w:tcPr>
          <w:p w14:paraId="2674E97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108</w:t>
            </w:r>
          </w:p>
        </w:tc>
        <w:tc>
          <w:tcPr>
            <w:tcW w:w="560" w:type="dxa"/>
            <w:tcBorders>
              <w:tl2br w:val="nil"/>
              <w:tr2bl w:val="nil"/>
            </w:tcBorders>
            <w:vAlign w:val="center"/>
          </w:tcPr>
          <w:p w14:paraId="57C7DC82">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0A652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AD312D0">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08D0FF86">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09ECD31D">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起重设备通行道路不平整、坚实</w:t>
            </w:r>
          </w:p>
        </w:tc>
        <w:tc>
          <w:tcPr>
            <w:tcW w:w="1149" w:type="dxa"/>
            <w:tcBorders>
              <w:tl2br w:val="nil"/>
              <w:tr2bl w:val="nil"/>
            </w:tcBorders>
            <w:vAlign w:val="center"/>
          </w:tcPr>
          <w:p w14:paraId="1A1D4539">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机械伤害</w:t>
            </w:r>
          </w:p>
        </w:tc>
        <w:tc>
          <w:tcPr>
            <w:tcW w:w="550" w:type="dxa"/>
            <w:tcBorders>
              <w:tl2br w:val="nil"/>
              <w:tr2bl w:val="nil"/>
            </w:tcBorders>
            <w:vAlign w:val="center"/>
          </w:tcPr>
          <w:p w14:paraId="1AABCF4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0F011BB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2F9035D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90" w:type="dxa"/>
            <w:tcBorders>
              <w:tl2br w:val="nil"/>
              <w:tr2bl w:val="nil"/>
            </w:tcBorders>
            <w:vAlign w:val="center"/>
          </w:tcPr>
          <w:p w14:paraId="02EB6F3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36</w:t>
            </w:r>
          </w:p>
        </w:tc>
        <w:tc>
          <w:tcPr>
            <w:tcW w:w="560" w:type="dxa"/>
            <w:tcBorders>
              <w:tl2br w:val="nil"/>
              <w:tr2bl w:val="nil"/>
            </w:tcBorders>
            <w:vAlign w:val="center"/>
          </w:tcPr>
          <w:p w14:paraId="291641D9">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Ⅰ</w:t>
            </w:r>
          </w:p>
        </w:tc>
      </w:tr>
      <w:tr w14:paraId="7CD235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8A3BA7E">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restart"/>
            <w:tcBorders>
              <w:tl2br w:val="nil"/>
              <w:tr2bl w:val="nil"/>
            </w:tcBorders>
            <w:vAlign w:val="center"/>
          </w:tcPr>
          <w:p w14:paraId="27F9829B">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起重作业</w:t>
            </w:r>
          </w:p>
        </w:tc>
        <w:tc>
          <w:tcPr>
            <w:tcW w:w="3604" w:type="dxa"/>
            <w:tcBorders>
              <w:tl2br w:val="nil"/>
              <w:tr2bl w:val="nil"/>
            </w:tcBorders>
            <w:vAlign w:val="center"/>
          </w:tcPr>
          <w:p w14:paraId="45D857B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吊装长大物件时，没有于物件两端绑扎溜绳，并且由操作人员控制物件的平衡和稳定</w:t>
            </w:r>
          </w:p>
        </w:tc>
        <w:tc>
          <w:tcPr>
            <w:tcW w:w="1149" w:type="dxa"/>
            <w:tcBorders>
              <w:tl2br w:val="nil"/>
              <w:tr2bl w:val="nil"/>
            </w:tcBorders>
            <w:vAlign w:val="center"/>
          </w:tcPr>
          <w:p w14:paraId="23BAD66D">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2AB6DF9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1B48454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492A3EE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90" w:type="dxa"/>
            <w:tcBorders>
              <w:tl2br w:val="nil"/>
              <w:tr2bl w:val="nil"/>
            </w:tcBorders>
            <w:vAlign w:val="center"/>
          </w:tcPr>
          <w:p w14:paraId="0C85A33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36</w:t>
            </w:r>
          </w:p>
        </w:tc>
        <w:tc>
          <w:tcPr>
            <w:tcW w:w="560" w:type="dxa"/>
            <w:tcBorders>
              <w:tl2br w:val="nil"/>
              <w:tr2bl w:val="nil"/>
            </w:tcBorders>
            <w:vAlign w:val="center"/>
          </w:tcPr>
          <w:p w14:paraId="4E827B4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Ⅰ</w:t>
            </w:r>
          </w:p>
        </w:tc>
      </w:tr>
      <w:tr w14:paraId="1E61A3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4EAC8F5">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7636BF89">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71B7F38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构件吊装和翻身扶直时的吊点不符合设计规定，构件起吊不平稳。</w:t>
            </w:r>
          </w:p>
        </w:tc>
        <w:tc>
          <w:tcPr>
            <w:tcW w:w="1149" w:type="dxa"/>
            <w:tcBorders>
              <w:tl2br w:val="nil"/>
              <w:tr2bl w:val="nil"/>
            </w:tcBorders>
            <w:vAlign w:val="center"/>
          </w:tcPr>
          <w:p w14:paraId="66E08DA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23F91A5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53FEA79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4335998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90" w:type="dxa"/>
            <w:tcBorders>
              <w:tl2br w:val="nil"/>
              <w:tr2bl w:val="nil"/>
            </w:tcBorders>
            <w:vAlign w:val="center"/>
          </w:tcPr>
          <w:p w14:paraId="0FFAF42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108</w:t>
            </w:r>
          </w:p>
        </w:tc>
        <w:tc>
          <w:tcPr>
            <w:tcW w:w="560" w:type="dxa"/>
            <w:tcBorders>
              <w:tl2br w:val="nil"/>
              <w:tr2bl w:val="nil"/>
            </w:tcBorders>
            <w:vAlign w:val="center"/>
          </w:tcPr>
          <w:p w14:paraId="718B449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4A39E7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0078CD3">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098CE9C7">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5C8EA88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吊装大、重构件和采用新的吊装工艺时，未进行试吊。</w:t>
            </w:r>
          </w:p>
        </w:tc>
        <w:tc>
          <w:tcPr>
            <w:tcW w:w="1149" w:type="dxa"/>
            <w:tcBorders>
              <w:tl2br w:val="nil"/>
              <w:tr2bl w:val="nil"/>
            </w:tcBorders>
            <w:vAlign w:val="center"/>
          </w:tcPr>
          <w:p w14:paraId="2EDB110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3DBF0C15">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3D376CF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4B09C47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90" w:type="dxa"/>
            <w:tcBorders>
              <w:tl2br w:val="nil"/>
              <w:tr2bl w:val="nil"/>
            </w:tcBorders>
            <w:vAlign w:val="center"/>
          </w:tcPr>
          <w:p w14:paraId="175BEC65">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108</w:t>
            </w:r>
          </w:p>
        </w:tc>
        <w:tc>
          <w:tcPr>
            <w:tcW w:w="560" w:type="dxa"/>
            <w:tcBorders>
              <w:tl2br w:val="nil"/>
              <w:tr2bl w:val="nil"/>
            </w:tcBorders>
            <w:vAlign w:val="center"/>
          </w:tcPr>
          <w:p w14:paraId="229AB73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69F561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EBE20A3">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58AC3365">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04F7A5D9">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大雨、雾、大雪及六级以上大风等恶劣天气进行吊装作业。</w:t>
            </w:r>
          </w:p>
        </w:tc>
        <w:tc>
          <w:tcPr>
            <w:tcW w:w="1149" w:type="dxa"/>
            <w:tcBorders>
              <w:tl2br w:val="nil"/>
              <w:tr2bl w:val="nil"/>
            </w:tcBorders>
            <w:vAlign w:val="center"/>
          </w:tcPr>
          <w:p w14:paraId="38B93F5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73B42A7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7C26C52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40" w:type="dxa"/>
            <w:tcBorders>
              <w:tl2br w:val="nil"/>
              <w:tr2bl w:val="nil"/>
            </w:tcBorders>
            <w:vAlign w:val="center"/>
          </w:tcPr>
          <w:p w14:paraId="474F8C3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15</w:t>
            </w:r>
          </w:p>
        </w:tc>
        <w:tc>
          <w:tcPr>
            <w:tcW w:w="590" w:type="dxa"/>
            <w:tcBorders>
              <w:tl2br w:val="nil"/>
              <w:tr2bl w:val="nil"/>
            </w:tcBorders>
            <w:vAlign w:val="center"/>
          </w:tcPr>
          <w:p w14:paraId="6F2FEDED">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45</w:t>
            </w:r>
          </w:p>
        </w:tc>
        <w:tc>
          <w:tcPr>
            <w:tcW w:w="560" w:type="dxa"/>
            <w:tcBorders>
              <w:tl2br w:val="nil"/>
              <w:tr2bl w:val="nil"/>
            </w:tcBorders>
            <w:vAlign w:val="center"/>
          </w:tcPr>
          <w:p w14:paraId="7C4A6A4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Ⅰ</w:t>
            </w:r>
          </w:p>
        </w:tc>
      </w:tr>
      <w:tr w14:paraId="155FBF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05D89EC">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7A2201C4">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5BF3E4A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采用了斜拉、斜吊，或者起吊埋于地下或粘结在地面上的构件。</w:t>
            </w:r>
          </w:p>
        </w:tc>
        <w:tc>
          <w:tcPr>
            <w:tcW w:w="1149" w:type="dxa"/>
            <w:tcBorders>
              <w:tl2br w:val="nil"/>
              <w:tr2bl w:val="nil"/>
            </w:tcBorders>
            <w:vAlign w:val="center"/>
          </w:tcPr>
          <w:p w14:paraId="07F5BBD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0C38548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22E7788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2958E2FD">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90" w:type="dxa"/>
            <w:tcBorders>
              <w:tl2br w:val="nil"/>
              <w:tr2bl w:val="nil"/>
            </w:tcBorders>
            <w:vAlign w:val="center"/>
          </w:tcPr>
          <w:p w14:paraId="1B1543B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108</w:t>
            </w:r>
          </w:p>
        </w:tc>
        <w:tc>
          <w:tcPr>
            <w:tcW w:w="560" w:type="dxa"/>
            <w:tcBorders>
              <w:tl2br w:val="nil"/>
              <w:tr2bl w:val="nil"/>
            </w:tcBorders>
            <w:vAlign w:val="center"/>
          </w:tcPr>
          <w:p w14:paraId="659035F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26E3F2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FB7772E">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5C42CCEE">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00FB601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超载吊装和起吊重量不明的重大构件和设备</w:t>
            </w:r>
          </w:p>
        </w:tc>
        <w:tc>
          <w:tcPr>
            <w:tcW w:w="1149" w:type="dxa"/>
            <w:tcBorders>
              <w:tl2br w:val="nil"/>
              <w:tr2bl w:val="nil"/>
            </w:tcBorders>
            <w:vAlign w:val="center"/>
          </w:tcPr>
          <w:p w14:paraId="4D14877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11D1BBD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34B1DEA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67357A9D">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15</w:t>
            </w:r>
          </w:p>
        </w:tc>
        <w:tc>
          <w:tcPr>
            <w:tcW w:w="590" w:type="dxa"/>
            <w:tcBorders>
              <w:tl2br w:val="nil"/>
              <w:tr2bl w:val="nil"/>
            </w:tcBorders>
            <w:vAlign w:val="center"/>
          </w:tcPr>
          <w:p w14:paraId="5DF797D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270</w:t>
            </w:r>
          </w:p>
        </w:tc>
        <w:tc>
          <w:tcPr>
            <w:tcW w:w="560" w:type="dxa"/>
            <w:tcBorders>
              <w:tl2br w:val="nil"/>
              <w:tr2bl w:val="nil"/>
            </w:tcBorders>
            <w:vAlign w:val="center"/>
          </w:tcPr>
          <w:p w14:paraId="7E1AE05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Ⅲ</w:t>
            </w:r>
          </w:p>
        </w:tc>
      </w:tr>
      <w:tr w14:paraId="50C871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6D44610">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5A7373F0">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0F301B0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在吊起的构件上行走或站立，或者用起重机载运人员、在构件上堆放或悬挂零星物件。</w:t>
            </w:r>
          </w:p>
        </w:tc>
        <w:tc>
          <w:tcPr>
            <w:tcW w:w="1149" w:type="dxa"/>
            <w:tcBorders>
              <w:tl2br w:val="nil"/>
              <w:tr2bl w:val="nil"/>
            </w:tcBorders>
            <w:vAlign w:val="center"/>
          </w:tcPr>
          <w:p w14:paraId="60A77D1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起重伤害</w:t>
            </w:r>
          </w:p>
        </w:tc>
        <w:tc>
          <w:tcPr>
            <w:tcW w:w="550" w:type="dxa"/>
            <w:tcBorders>
              <w:tl2br w:val="nil"/>
              <w:tr2bl w:val="nil"/>
            </w:tcBorders>
            <w:vAlign w:val="center"/>
          </w:tcPr>
          <w:p w14:paraId="2171C43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34594CB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51767D9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15</w:t>
            </w:r>
          </w:p>
        </w:tc>
        <w:tc>
          <w:tcPr>
            <w:tcW w:w="590" w:type="dxa"/>
            <w:tcBorders>
              <w:tl2br w:val="nil"/>
              <w:tr2bl w:val="nil"/>
            </w:tcBorders>
            <w:vAlign w:val="center"/>
          </w:tcPr>
          <w:p w14:paraId="3B4AB4A5">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135</w:t>
            </w:r>
          </w:p>
        </w:tc>
        <w:tc>
          <w:tcPr>
            <w:tcW w:w="560" w:type="dxa"/>
            <w:tcBorders>
              <w:tl2br w:val="nil"/>
              <w:tr2bl w:val="nil"/>
            </w:tcBorders>
            <w:vAlign w:val="center"/>
          </w:tcPr>
          <w:p w14:paraId="2C3DB4D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79C307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375" w:type="dxa"/>
            <w:tcBorders>
              <w:tl2br w:val="nil"/>
              <w:tr2bl w:val="nil"/>
            </w:tcBorders>
            <w:vAlign w:val="center"/>
          </w:tcPr>
          <w:p w14:paraId="57D97503">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restart"/>
            <w:tcBorders>
              <w:tl2br w:val="nil"/>
              <w:tr2bl w:val="nil"/>
            </w:tcBorders>
            <w:vAlign w:val="center"/>
          </w:tcPr>
          <w:p w14:paraId="7CAB939D">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作业前安全条件确认</w:t>
            </w:r>
          </w:p>
        </w:tc>
        <w:tc>
          <w:tcPr>
            <w:tcW w:w="3604" w:type="dxa"/>
            <w:tcBorders>
              <w:tl2br w:val="nil"/>
              <w:tr2bl w:val="nil"/>
            </w:tcBorders>
            <w:vAlign w:val="center"/>
          </w:tcPr>
          <w:p w14:paraId="7939117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高处作业前，没有对安全防护设施进行检查、验收</w:t>
            </w:r>
          </w:p>
        </w:tc>
        <w:tc>
          <w:tcPr>
            <w:tcW w:w="1149" w:type="dxa"/>
            <w:tcBorders>
              <w:tl2br w:val="nil"/>
              <w:tr2bl w:val="nil"/>
            </w:tcBorders>
            <w:vAlign w:val="center"/>
          </w:tcPr>
          <w:p w14:paraId="16F93BED">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高处坠落</w:t>
            </w:r>
          </w:p>
        </w:tc>
        <w:tc>
          <w:tcPr>
            <w:tcW w:w="550" w:type="dxa"/>
            <w:tcBorders>
              <w:tl2br w:val="nil"/>
              <w:tr2bl w:val="nil"/>
            </w:tcBorders>
            <w:vAlign w:val="center"/>
          </w:tcPr>
          <w:p w14:paraId="22ECC84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40" w:type="dxa"/>
            <w:tcBorders>
              <w:tl2br w:val="nil"/>
              <w:tr2bl w:val="nil"/>
            </w:tcBorders>
            <w:vAlign w:val="center"/>
          </w:tcPr>
          <w:p w14:paraId="746D0B6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2DBCAAA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15</w:t>
            </w:r>
          </w:p>
        </w:tc>
        <w:tc>
          <w:tcPr>
            <w:tcW w:w="590" w:type="dxa"/>
            <w:tcBorders>
              <w:tl2br w:val="nil"/>
              <w:tr2bl w:val="nil"/>
            </w:tcBorders>
            <w:vAlign w:val="center"/>
          </w:tcPr>
          <w:p w14:paraId="5CB8BB92">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90</w:t>
            </w:r>
          </w:p>
        </w:tc>
        <w:tc>
          <w:tcPr>
            <w:tcW w:w="560" w:type="dxa"/>
            <w:tcBorders>
              <w:tl2br w:val="nil"/>
              <w:tr2bl w:val="nil"/>
            </w:tcBorders>
            <w:vAlign w:val="center"/>
          </w:tcPr>
          <w:p w14:paraId="4B05230D">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5FA3CD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E2D362A">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191BB55F">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0B18663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高处作业施工没有对作业人员进行安全教育和交底</w:t>
            </w:r>
          </w:p>
        </w:tc>
        <w:tc>
          <w:tcPr>
            <w:tcW w:w="1149" w:type="dxa"/>
            <w:tcBorders>
              <w:tl2br w:val="nil"/>
              <w:tr2bl w:val="nil"/>
            </w:tcBorders>
            <w:vAlign w:val="center"/>
          </w:tcPr>
          <w:p w14:paraId="1C78AC2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高处坠落</w:t>
            </w:r>
          </w:p>
        </w:tc>
        <w:tc>
          <w:tcPr>
            <w:tcW w:w="550" w:type="dxa"/>
            <w:tcBorders>
              <w:tl2br w:val="nil"/>
              <w:tr2bl w:val="nil"/>
            </w:tcBorders>
            <w:vAlign w:val="center"/>
          </w:tcPr>
          <w:p w14:paraId="0BD1F56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40" w:type="dxa"/>
            <w:tcBorders>
              <w:tl2br w:val="nil"/>
              <w:tr2bl w:val="nil"/>
            </w:tcBorders>
            <w:vAlign w:val="center"/>
          </w:tcPr>
          <w:p w14:paraId="79CDF38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10</w:t>
            </w:r>
          </w:p>
        </w:tc>
        <w:tc>
          <w:tcPr>
            <w:tcW w:w="540" w:type="dxa"/>
            <w:tcBorders>
              <w:tl2br w:val="nil"/>
              <w:tr2bl w:val="nil"/>
            </w:tcBorders>
            <w:vAlign w:val="center"/>
          </w:tcPr>
          <w:p w14:paraId="1FA92C0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7</w:t>
            </w:r>
          </w:p>
        </w:tc>
        <w:tc>
          <w:tcPr>
            <w:tcW w:w="590" w:type="dxa"/>
            <w:tcBorders>
              <w:tl2br w:val="nil"/>
              <w:tr2bl w:val="nil"/>
            </w:tcBorders>
            <w:vAlign w:val="center"/>
          </w:tcPr>
          <w:p w14:paraId="4006BAB9">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70</w:t>
            </w:r>
          </w:p>
        </w:tc>
        <w:tc>
          <w:tcPr>
            <w:tcW w:w="560" w:type="dxa"/>
            <w:tcBorders>
              <w:tl2br w:val="nil"/>
              <w:tr2bl w:val="nil"/>
            </w:tcBorders>
            <w:vAlign w:val="center"/>
          </w:tcPr>
          <w:p w14:paraId="0B4FA7D5">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164EEF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635AE98">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restart"/>
            <w:tcBorders>
              <w:tl2br w:val="nil"/>
              <w:tr2bl w:val="nil"/>
            </w:tcBorders>
            <w:vAlign w:val="center"/>
          </w:tcPr>
          <w:p w14:paraId="2BCC8301">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攀登作业</w:t>
            </w:r>
          </w:p>
        </w:tc>
        <w:tc>
          <w:tcPr>
            <w:tcW w:w="3604" w:type="dxa"/>
            <w:tcBorders>
              <w:tl2br w:val="nil"/>
              <w:tr2bl w:val="nil"/>
            </w:tcBorders>
            <w:vAlign w:val="center"/>
          </w:tcPr>
          <w:p w14:paraId="0907CF1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人员登高无施工通道、梯子及其它攀登设施和用具</w:t>
            </w:r>
          </w:p>
        </w:tc>
        <w:tc>
          <w:tcPr>
            <w:tcW w:w="1149" w:type="dxa"/>
            <w:tcBorders>
              <w:tl2br w:val="nil"/>
              <w:tr2bl w:val="nil"/>
            </w:tcBorders>
            <w:vAlign w:val="center"/>
          </w:tcPr>
          <w:p w14:paraId="6E9BC2D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高处坠落</w:t>
            </w:r>
          </w:p>
        </w:tc>
        <w:tc>
          <w:tcPr>
            <w:tcW w:w="550" w:type="dxa"/>
            <w:tcBorders>
              <w:tl2br w:val="nil"/>
              <w:tr2bl w:val="nil"/>
            </w:tcBorders>
            <w:vAlign w:val="center"/>
          </w:tcPr>
          <w:p w14:paraId="010ED55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273221B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6C7AB14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7</w:t>
            </w:r>
          </w:p>
        </w:tc>
        <w:tc>
          <w:tcPr>
            <w:tcW w:w="590" w:type="dxa"/>
            <w:tcBorders>
              <w:tl2br w:val="nil"/>
              <w:tr2bl w:val="nil"/>
            </w:tcBorders>
            <w:vAlign w:val="center"/>
          </w:tcPr>
          <w:p w14:paraId="035721C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126</w:t>
            </w:r>
          </w:p>
        </w:tc>
        <w:tc>
          <w:tcPr>
            <w:tcW w:w="560" w:type="dxa"/>
            <w:tcBorders>
              <w:tl2br w:val="nil"/>
              <w:tr2bl w:val="nil"/>
            </w:tcBorders>
            <w:vAlign w:val="center"/>
          </w:tcPr>
          <w:p w14:paraId="3D7A48D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3B6769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DD632D6">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33999B96">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5CB015B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高处作业人员正确佩戴安全带，未高挂低用</w:t>
            </w:r>
          </w:p>
        </w:tc>
        <w:tc>
          <w:tcPr>
            <w:tcW w:w="1149" w:type="dxa"/>
            <w:tcBorders>
              <w:tl2br w:val="nil"/>
              <w:tr2bl w:val="nil"/>
            </w:tcBorders>
            <w:vAlign w:val="center"/>
          </w:tcPr>
          <w:p w14:paraId="6CE2B0F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高处坠落</w:t>
            </w:r>
          </w:p>
        </w:tc>
        <w:tc>
          <w:tcPr>
            <w:tcW w:w="550" w:type="dxa"/>
            <w:tcBorders>
              <w:tl2br w:val="nil"/>
              <w:tr2bl w:val="nil"/>
            </w:tcBorders>
            <w:vAlign w:val="center"/>
          </w:tcPr>
          <w:p w14:paraId="12A577A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0DF8471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6FBA2DD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7</w:t>
            </w:r>
          </w:p>
        </w:tc>
        <w:tc>
          <w:tcPr>
            <w:tcW w:w="590" w:type="dxa"/>
            <w:tcBorders>
              <w:tl2br w:val="nil"/>
              <w:tr2bl w:val="nil"/>
            </w:tcBorders>
            <w:vAlign w:val="center"/>
          </w:tcPr>
          <w:p w14:paraId="26E1313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126</w:t>
            </w:r>
          </w:p>
        </w:tc>
        <w:tc>
          <w:tcPr>
            <w:tcW w:w="560" w:type="dxa"/>
            <w:tcBorders>
              <w:tl2br w:val="nil"/>
              <w:tr2bl w:val="nil"/>
            </w:tcBorders>
            <w:vAlign w:val="center"/>
          </w:tcPr>
          <w:p w14:paraId="3BF5B40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467823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A798B06">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7800836A">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077862B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工具（扳手、手锤等）未系安全绳或未放专用工具背包</w:t>
            </w:r>
          </w:p>
        </w:tc>
        <w:tc>
          <w:tcPr>
            <w:tcW w:w="1149" w:type="dxa"/>
            <w:tcBorders>
              <w:tl2br w:val="nil"/>
              <w:tr2bl w:val="nil"/>
            </w:tcBorders>
            <w:vAlign w:val="center"/>
          </w:tcPr>
          <w:p w14:paraId="5299F04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物体打击</w:t>
            </w:r>
          </w:p>
        </w:tc>
        <w:tc>
          <w:tcPr>
            <w:tcW w:w="550" w:type="dxa"/>
            <w:tcBorders>
              <w:tl2br w:val="nil"/>
              <w:tr2bl w:val="nil"/>
            </w:tcBorders>
            <w:vAlign w:val="center"/>
          </w:tcPr>
          <w:p w14:paraId="3A84612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3837C6E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7B86CFE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90" w:type="dxa"/>
            <w:tcBorders>
              <w:tl2br w:val="nil"/>
              <w:tr2bl w:val="nil"/>
            </w:tcBorders>
            <w:vAlign w:val="center"/>
          </w:tcPr>
          <w:p w14:paraId="42EF042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108</w:t>
            </w:r>
          </w:p>
        </w:tc>
        <w:tc>
          <w:tcPr>
            <w:tcW w:w="560" w:type="dxa"/>
            <w:tcBorders>
              <w:tl2br w:val="nil"/>
              <w:tr2bl w:val="nil"/>
            </w:tcBorders>
            <w:vAlign w:val="center"/>
          </w:tcPr>
          <w:p w14:paraId="7B77952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0C017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84451DF">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678CB27E">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3A68F5E5">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攀登作业所用设施和用具的结构构造不牢固可靠</w:t>
            </w:r>
          </w:p>
        </w:tc>
        <w:tc>
          <w:tcPr>
            <w:tcW w:w="1149" w:type="dxa"/>
            <w:tcBorders>
              <w:tl2br w:val="nil"/>
              <w:tr2bl w:val="nil"/>
            </w:tcBorders>
            <w:vAlign w:val="center"/>
          </w:tcPr>
          <w:p w14:paraId="33A16EC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高处坠落</w:t>
            </w:r>
          </w:p>
        </w:tc>
        <w:tc>
          <w:tcPr>
            <w:tcW w:w="550" w:type="dxa"/>
            <w:tcBorders>
              <w:tl2br w:val="nil"/>
              <w:tr2bl w:val="nil"/>
            </w:tcBorders>
            <w:vAlign w:val="center"/>
          </w:tcPr>
          <w:p w14:paraId="049C1A7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5CF1744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5CFB006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7</w:t>
            </w:r>
          </w:p>
        </w:tc>
        <w:tc>
          <w:tcPr>
            <w:tcW w:w="590" w:type="dxa"/>
            <w:tcBorders>
              <w:tl2br w:val="nil"/>
              <w:tr2bl w:val="nil"/>
            </w:tcBorders>
            <w:vAlign w:val="center"/>
          </w:tcPr>
          <w:p w14:paraId="4D5D8AF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126</w:t>
            </w:r>
          </w:p>
        </w:tc>
        <w:tc>
          <w:tcPr>
            <w:tcW w:w="560" w:type="dxa"/>
            <w:tcBorders>
              <w:tl2br w:val="nil"/>
              <w:tr2bl w:val="nil"/>
            </w:tcBorders>
            <w:vAlign w:val="center"/>
          </w:tcPr>
          <w:p w14:paraId="49081AE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3339E7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9CB5470">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tcBorders>
              <w:tl2br w:val="nil"/>
              <w:tr2bl w:val="nil"/>
            </w:tcBorders>
            <w:vAlign w:val="center"/>
          </w:tcPr>
          <w:p w14:paraId="14EBC73B">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保护接零</w:t>
            </w:r>
          </w:p>
        </w:tc>
        <w:tc>
          <w:tcPr>
            <w:tcW w:w="3604" w:type="dxa"/>
            <w:tcBorders>
              <w:tl2br w:val="nil"/>
              <w:tr2bl w:val="nil"/>
            </w:tcBorders>
            <w:vAlign w:val="center"/>
          </w:tcPr>
          <w:p w14:paraId="4F0F005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防雷接地装置损坏或不合规，或者未进行接地电阻值的检测</w:t>
            </w:r>
          </w:p>
        </w:tc>
        <w:tc>
          <w:tcPr>
            <w:tcW w:w="1149" w:type="dxa"/>
            <w:tcBorders>
              <w:tl2br w:val="nil"/>
              <w:tr2bl w:val="nil"/>
            </w:tcBorders>
            <w:vAlign w:val="center"/>
          </w:tcPr>
          <w:p w14:paraId="668672C9">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触电</w:t>
            </w:r>
          </w:p>
        </w:tc>
        <w:tc>
          <w:tcPr>
            <w:tcW w:w="550" w:type="dxa"/>
            <w:tcBorders>
              <w:tl2br w:val="nil"/>
              <w:tr2bl w:val="nil"/>
            </w:tcBorders>
            <w:vAlign w:val="center"/>
          </w:tcPr>
          <w:p w14:paraId="388B025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48BE536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270CD062">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90" w:type="dxa"/>
            <w:tcBorders>
              <w:tl2br w:val="nil"/>
              <w:tr2bl w:val="nil"/>
            </w:tcBorders>
            <w:vAlign w:val="center"/>
          </w:tcPr>
          <w:p w14:paraId="45C4DB3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108</w:t>
            </w:r>
          </w:p>
        </w:tc>
        <w:tc>
          <w:tcPr>
            <w:tcW w:w="560" w:type="dxa"/>
            <w:tcBorders>
              <w:tl2br w:val="nil"/>
              <w:tr2bl w:val="nil"/>
            </w:tcBorders>
            <w:vAlign w:val="center"/>
          </w:tcPr>
          <w:p w14:paraId="6D7D922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0DC5E5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226B3DF">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tcBorders>
              <w:tl2br w:val="nil"/>
              <w:tr2bl w:val="nil"/>
            </w:tcBorders>
            <w:vAlign w:val="center"/>
          </w:tcPr>
          <w:p w14:paraId="01119D88">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其他</w:t>
            </w:r>
          </w:p>
        </w:tc>
        <w:tc>
          <w:tcPr>
            <w:tcW w:w="3604" w:type="dxa"/>
            <w:tcBorders>
              <w:tl2br w:val="nil"/>
              <w:tr2bl w:val="nil"/>
            </w:tcBorders>
            <w:vAlign w:val="center"/>
          </w:tcPr>
          <w:p w14:paraId="35CFFAC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塔身的电缆线未固定牢固，塔式起重机开关箱未单独设置或离塔身大于3米</w:t>
            </w:r>
          </w:p>
        </w:tc>
        <w:tc>
          <w:tcPr>
            <w:tcW w:w="1149" w:type="dxa"/>
            <w:tcBorders>
              <w:tl2br w:val="nil"/>
              <w:tr2bl w:val="nil"/>
            </w:tcBorders>
            <w:vAlign w:val="center"/>
          </w:tcPr>
          <w:p w14:paraId="5368BFE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触电</w:t>
            </w:r>
          </w:p>
        </w:tc>
        <w:tc>
          <w:tcPr>
            <w:tcW w:w="550" w:type="dxa"/>
            <w:tcBorders>
              <w:tl2br w:val="nil"/>
              <w:tr2bl w:val="nil"/>
            </w:tcBorders>
            <w:vAlign w:val="center"/>
          </w:tcPr>
          <w:p w14:paraId="6F37AFD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0E4CFC8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1B6EC325">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90" w:type="dxa"/>
            <w:tcBorders>
              <w:tl2br w:val="nil"/>
              <w:tr2bl w:val="nil"/>
            </w:tcBorders>
            <w:vAlign w:val="center"/>
          </w:tcPr>
          <w:p w14:paraId="5C6C810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108</w:t>
            </w:r>
          </w:p>
        </w:tc>
        <w:tc>
          <w:tcPr>
            <w:tcW w:w="560" w:type="dxa"/>
            <w:tcBorders>
              <w:tl2br w:val="nil"/>
              <w:tr2bl w:val="nil"/>
            </w:tcBorders>
            <w:vAlign w:val="center"/>
          </w:tcPr>
          <w:p w14:paraId="4E29711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0A462C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66317E8">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tcBorders>
              <w:tl2br w:val="nil"/>
              <w:tr2bl w:val="nil"/>
            </w:tcBorders>
            <w:vAlign w:val="center"/>
          </w:tcPr>
          <w:p w14:paraId="5FC92AD6">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绝缘保护</w:t>
            </w:r>
          </w:p>
        </w:tc>
        <w:tc>
          <w:tcPr>
            <w:tcW w:w="3604" w:type="dxa"/>
            <w:tcBorders>
              <w:tl2br w:val="nil"/>
              <w:tr2bl w:val="nil"/>
            </w:tcBorders>
            <w:vAlign w:val="center"/>
          </w:tcPr>
          <w:p w14:paraId="6CCD8CA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外露线路未进行绝缘保护</w:t>
            </w:r>
          </w:p>
        </w:tc>
        <w:tc>
          <w:tcPr>
            <w:tcW w:w="1149" w:type="dxa"/>
            <w:tcBorders>
              <w:tl2br w:val="nil"/>
              <w:tr2bl w:val="nil"/>
            </w:tcBorders>
            <w:vAlign w:val="center"/>
          </w:tcPr>
          <w:p w14:paraId="67C0E07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触电</w:t>
            </w:r>
          </w:p>
        </w:tc>
        <w:tc>
          <w:tcPr>
            <w:tcW w:w="550" w:type="dxa"/>
            <w:tcBorders>
              <w:tl2br w:val="nil"/>
              <w:tr2bl w:val="nil"/>
            </w:tcBorders>
            <w:vAlign w:val="center"/>
          </w:tcPr>
          <w:p w14:paraId="5F2D925D">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4603840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67C87D7D">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90" w:type="dxa"/>
            <w:tcBorders>
              <w:tl2br w:val="nil"/>
              <w:tr2bl w:val="nil"/>
            </w:tcBorders>
            <w:vAlign w:val="center"/>
          </w:tcPr>
          <w:p w14:paraId="4570906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108</w:t>
            </w:r>
          </w:p>
        </w:tc>
        <w:tc>
          <w:tcPr>
            <w:tcW w:w="560" w:type="dxa"/>
            <w:tcBorders>
              <w:tl2br w:val="nil"/>
              <w:tr2bl w:val="nil"/>
            </w:tcBorders>
            <w:vAlign w:val="center"/>
          </w:tcPr>
          <w:p w14:paraId="4C37D08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1D0F5A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78D9442">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restart"/>
            <w:tcBorders>
              <w:tl2br w:val="nil"/>
              <w:tr2bl w:val="nil"/>
            </w:tcBorders>
            <w:vAlign w:val="center"/>
          </w:tcPr>
          <w:p w14:paraId="3AF2F27B">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焊接切割</w:t>
            </w:r>
          </w:p>
        </w:tc>
        <w:tc>
          <w:tcPr>
            <w:tcW w:w="3604" w:type="dxa"/>
            <w:tcBorders>
              <w:tl2br w:val="nil"/>
              <w:tr2bl w:val="nil"/>
            </w:tcBorders>
            <w:vAlign w:val="center"/>
          </w:tcPr>
          <w:p w14:paraId="433F1D2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焊接和切割未采用不可燃或耐火屏板(或屏罩)加以隔离保护</w:t>
            </w:r>
          </w:p>
        </w:tc>
        <w:tc>
          <w:tcPr>
            <w:tcW w:w="1149" w:type="dxa"/>
            <w:tcBorders>
              <w:tl2br w:val="nil"/>
              <w:tr2bl w:val="nil"/>
            </w:tcBorders>
            <w:vAlign w:val="center"/>
          </w:tcPr>
          <w:p w14:paraId="61AF495D">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火灾</w:t>
            </w:r>
          </w:p>
        </w:tc>
        <w:tc>
          <w:tcPr>
            <w:tcW w:w="550" w:type="dxa"/>
            <w:tcBorders>
              <w:tl2br w:val="nil"/>
              <w:tr2bl w:val="nil"/>
            </w:tcBorders>
            <w:vAlign w:val="center"/>
          </w:tcPr>
          <w:p w14:paraId="6A558C8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5084FEC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5502AFB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90" w:type="dxa"/>
            <w:tcBorders>
              <w:tl2br w:val="nil"/>
              <w:tr2bl w:val="nil"/>
            </w:tcBorders>
            <w:vAlign w:val="center"/>
          </w:tcPr>
          <w:p w14:paraId="0E990B5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36</w:t>
            </w:r>
          </w:p>
        </w:tc>
        <w:tc>
          <w:tcPr>
            <w:tcW w:w="560" w:type="dxa"/>
            <w:tcBorders>
              <w:tl2br w:val="nil"/>
              <w:tr2bl w:val="nil"/>
            </w:tcBorders>
            <w:vAlign w:val="center"/>
          </w:tcPr>
          <w:p w14:paraId="6221442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Ⅰ</w:t>
            </w:r>
          </w:p>
        </w:tc>
      </w:tr>
      <w:tr w14:paraId="4C9A6A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740ADC8">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77FF3182">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759E6CC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电焊机未配置防触电保护器，外壳未接零或接地保护</w:t>
            </w:r>
          </w:p>
        </w:tc>
        <w:tc>
          <w:tcPr>
            <w:tcW w:w="1149" w:type="dxa"/>
            <w:tcBorders>
              <w:tl2br w:val="nil"/>
              <w:tr2bl w:val="nil"/>
            </w:tcBorders>
            <w:vAlign w:val="center"/>
          </w:tcPr>
          <w:p w14:paraId="547D8DC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触电</w:t>
            </w:r>
          </w:p>
        </w:tc>
        <w:tc>
          <w:tcPr>
            <w:tcW w:w="550" w:type="dxa"/>
            <w:tcBorders>
              <w:tl2br w:val="nil"/>
              <w:tr2bl w:val="nil"/>
            </w:tcBorders>
            <w:vAlign w:val="center"/>
          </w:tcPr>
          <w:p w14:paraId="17AD32E2">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40" w:type="dxa"/>
            <w:tcBorders>
              <w:tl2br w:val="nil"/>
              <w:tr2bl w:val="nil"/>
            </w:tcBorders>
            <w:vAlign w:val="center"/>
          </w:tcPr>
          <w:p w14:paraId="1262FB4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364F7C0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7</w:t>
            </w:r>
          </w:p>
        </w:tc>
        <w:tc>
          <w:tcPr>
            <w:tcW w:w="590" w:type="dxa"/>
            <w:tcBorders>
              <w:tl2br w:val="nil"/>
              <w:tr2bl w:val="nil"/>
            </w:tcBorders>
            <w:vAlign w:val="center"/>
          </w:tcPr>
          <w:p w14:paraId="08194E3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42</w:t>
            </w:r>
          </w:p>
        </w:tc>
        <w:tc>
          <w:tcPr>
            <w:tcW w:w="560" w:type="dxa"/>
            <w:tcBorders>
              <w:tl2br w:val="nil"/>
              <w:tr2bl w:val="nil"/>
            </w:tcBorders>
            <w:vAlign w:val="center"/>
          </w:tcPr>
          <w:p w14:paraId="0B87C0E8">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Ⅰ</w:t>
            </w:r>
          </w:p>
        </w:tc>
      </w:tr>
      <w:tr w14:paraId="164AA9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8E93EA1">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1E8942B3">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0E02E7F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焊接作业场地周围未清除易燃易爆物品或未进行覆盖、隔离</w:t>
            </w:r>
          </w:p>
        </w:tc>
        <w:tc>
          <w:tcPr>
            <w:tcW w:w="1149" w:type="dxa"/>
            <w:tcBorders>
              <w:tl2br w:val="nil"/>
              <w:tr2bl w:val="nil"/>
            </w:tcBorders>
            <w:vAlign w:val="center"/>
          </w:tcPr>
          <w:p w14:paraId="19E3313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触电</w:t>
            </w:r>
          </w:p>
        </w:tc>
        <w:tc>
          <w:tcPr>
            <w:tcW w:w="550" w:type="dxa"/>
            <w:tcBorders>
              <w:tl2br w:val="nil"/>
              <w:tr2bl w:val="nil"/>
            </w:tcBorders>
            <w:vAlign w:val="center"/>
          </w:tcPr>
          <w:p w14:paraId="63EDEAA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40" w:type="dxa"/>
            <w:tcBorders>
              <w:tl2br w:val="nil"/>
              <w:tr2bl w:val="nil"/>
            </w:tcBorders>
            <w:vAlign w:val="center"/>
          </w:tcPr>
          <w:p w14:paraId="43280C69">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63B76C55">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7</w:t>
            </w:r>
          </w:p>
        </w:tc>
        <w:tc>
          <w:tcPr>
            <w:tcW w:w="590" w:type="dxa"/>
            <w:tcBorders>
              <w:tl2br w:val="nil"/>
              <w:tr2bl w:val="nil"/>
            </w:tcBorders>
            <w:vAlign w:val="center"/>
          </w:tcPr>
          <w:p w14:paraId="35194E9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42</w:t>
            </w:r>
          </w:p>
        </w:tc>
        <w:tc>
          <w:tcPr>
            <w:tcW w:w="560" w:type="dxa"/>
            <w:tcBorders>
              <w:tl2br w:val="nil"/>
              <w:tr2bl w:val="nil"/>
            </w:tcBorders>
            <w:vAlign w:val="center"/>
          </w:tcPr>
          <w:p w14:paraId="42AF2FE9">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Ⅰ</w:t>
            </w:r>
          </w:p>
        </w:tc>
      </w:tr>
      <w:tr w14:paraId="04ED6D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7F919C3">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678024D6">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3B248A85">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电焊机未按照“一机一闸”的原则设置开关箱</w:t>
            </w:r>
          </w:p>
        </w:tc>
        <w:tc>
          <w:tcPr>
            <w:tcW w:w="1149" w:type="dxa"/>
            <w:tcBorders>
              <w:tl2br w:val="nil"/>
              <w:tr2bl w:val="nil"/>
            </w:tcBorders>
            <w:vAlign w:val="center"/>
          </w:tcPr>
          <w:p w14:paraId="108836A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触电</w:t>
            </w:r>
          </w:p>
        </w:tc>
        <w:tc>
          <w:tcPr>
            <w:tcW w:w="550" w:type="dxa"/>
            <w:tcBorders>
              <w:tl2br w:val="nil"/>
              <w:tr2bl w:val="nil"/>
            </w:tcBorders>
            <w:vAlign w:val="center"/>
          </w:tcPr>
          <w:p w14:paraId="6338D5F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40" w:type="dxa"/>
            <w:tcBorders>
              <w:tl2br w:val="nil"/>
              <w:tr2bl w:val="nil"/>
            </w:tcBorders>
            <w:vAlign w:val="center"/>
          </w:tcPr>
          <w:p w14:paraId="4B6FE2A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2137C9E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7</w:t>
            </w:r>
          </w:p>
        </w:tc>
        <w:tc>
          <w:tcPr>
            <w:tcW w:w="590" w:type="dxa"/>
            <w:tcBorders>
              <w:tl2br w:val="nil"/>
              <w:tr2bl w:val="nil"/>
            </w:tcBorders>
            <w:vAlign w:val="center"/>
          </w:tcPr>
          <w:p w14:paraId="6B9F9052">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42</w:t>
            </w:r>
          </w:p>
        </w:tc>
        <w:tc>
          <w:tcPr>
            <w:tcW w:w="560" w:type="dxa"/>
            <w:tcBorders>
              <w:tl2br w:val="nil"/>
              <w:tr2bl w:val="nil"/>
            </w:tcBorders>
            <w:vAlign w:val="center"/>
          </w:tcPr>
          <w:p w14:paraId="4FC3446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Ⅰ</w:t>
            </w:r>
          </w:p>
        </w:tc>
      </w:tr>
      <w:tr w14:paraId="39D449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AE09E18">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51F63F86">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5125C09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氧气瓶、气瓶阀、接头、减压阀、软管及设备没有与油、脂及其它可燃物或爆炸物相隔离</w:t>
            </w:r>
          </w:p>
        </w:tc>
        <w:tc>
          <w:tcPr>
            <w:tcW w:w="1149" w:type="dxa"/>
            <w:tcBorders>
              <w:tl2br w:val="nil"/>
              <w:tr2bl w:val="nil"/>
            </w:tcBorders>
            <w:vAlign w:val="center"/>
          </w:tcPr>
          <w:p w14:paraId="12B000FD">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火灾等</w:t>
            </w:r>
          </w:p>
        </w:tc>
        <w:tc>
          <w:tcPr>
            <w:tcW w:w="550" w:type="dxa"/>
            <w:tcBorders>
              <w:tl2br w:val="nil"/>
              <w:tr2bl w:val="nil"/>
            </w:tcBorders>
            <w:vAlign w:val="center"/>
          </w:tcPr>
          <w:p w14:paraId="7869AFD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540" w:type="dxa"/>
            <w:tcBorders>
              <w:tl2br w:val="nil"/>
              <w:tr2bl w:val="nil"/>
            </w:tcBorders>
            <w:vAlign w:val="center"/>
          </w:tcPr>
          <w:p w14:paraId="2CC8AA7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10</w:t>
            </w:r>
          </w:p>
        </w:tc>
        <w:tc>
          <w:tcPr>
            <w:tcW w:w="540" w:type="dxa"/>
            <w:tcBorders>
              <w:tl2br w:val="nil"/>
              <w:tr2bl w:val="nil"/>
            </w:tcBorders>
            <w:vAlign w:val="center"/>
          </w:tcPr>
          <w:p w14:paraId="09646585">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7</w:t>
            </w:r>
          </w:p>
        </w:tc>
        <w:tc>
          <w:tcPr>
            <w:tcW w:w="590" w:type="dxa"/>
            <w:tcBorders>
              <w:tl2br w:val="nil"/>
              <w:tr2bl w:val="nil"/>
            </w:tcBorders>
            <w:vAlign w:val="center"/>
          </w:tcPr>
          <w:p w14:paraId="2A2A21D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70</w:t>
            </w:r>
          </w:p>
        </w:tc>
        <w:tc>
          <w:tcPr>
            <w:tcW w:w="560" w:type="dxa"/>
            <w:tcBorders>
              <w:tl2br w:val="nil"/>
              <w:tr2bl w:val="nil"/>
            </w:tcBorders>
            <w:vAlign w:val="center"/>
          </w:tcPr>
          <w:p w14:paraId="60DF2FE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Ⅱ</w:t>
            </w:r>
          </w:p>
        </w:tc>
      </w:tr>
      <w:tr w14:paraId="7170E2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330145E">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4BAC6470">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1160C33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气瓶未直立安放牢固（乙炔瓶禁止卧放或倾倒）。</w:t>
            </w:r>
          </w:p>
        </w:tc>
        <w:tc>
          <w:tcPr>
            <w:tcW w:w="1149" w:type="dxa"/>
            <w:tcBorders>
              <w:tl2br w:val="nil"/>
              <w:tr2bl w:val="nil"/>
            </w:tcBorders>
            <w:vAlign w:val="center"/>
          </w:tcPr>
          <w:p w14:paraId="0B17D3F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容器爆炸</w:t>
            </w:r>
          </w:p>
        </w:tc>
        <w:tc>
          <w:tcPr>
            <w:tcW w:w="550" w:type="dxa"/>
            <w:tcBorders>
              <w:tl2br w:val="nil"/>
              <w:tr2bl w:val="nil"/>
            </w:tcBorders>
            <w:vAlign w:val="center"/>
          </w:tcPr>
          <w:p w14:paraId="2516B7E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10</w:t>
            </w:r>
          </w:p>
        </w:tc>
        <w:tc>
          <w:tcPr>
            <w:tcW w:w="540" w:type="dxa"/>
            <w:tcBorders>
              <w:tl2br w:val="nil"/>
              <w:tr2bl w:val="nil"/>
            </w:tcBorders>
            <w:vAlign w:val="center"/>
          </w:tcPr>
          <w:p w14:paraId="20FB3C1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1DBB3CA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90" w:type="dxa"/>
            <w:tcBorders>
              <w:tl2br w:val="nil"/>
              <w:tr2bl w:val="nil"/>
            </w:tcBorders>
            <w:vAlign w:val="center"/>
          </w:tcPr>
          <w:p w14:paraId="469E8E8F">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180</w:t>
            </w:r>
          </w:p>
        </w:tc>
        <w:tc>
          <w:tcPr>
            <w:tcW w:w="560" w:type="dxa"/>
            <w:tcBorders>
              <w:tl2br w:val="nil"/>
              <w:tr2bl w:val="nil"/>
            </w:tcBorders>
            <w:vAlign w:val="center"/>
          </w:tcPr>
          <w:p w14:paraId="2AF2EED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Ⅲ</w:t>
            </w:r>
          </w:p>
        </w:tc>
      </w:tr>
      <w:tr w14:paraId="4C71BA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0F22172">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28A91E87">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0A725A4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氧气瓶、乙炔瓶未分开存放</w:t>
            </w:r>
          </w:p>
        </w:tc>
        <w:tc>
          <w:tcPr>
            <w:tcW w:w="1149" w:type="dxa"/>
            <w:tcBorders>
              <w:tl2br w:val="nil"/>
              <w:tr2bl w:val="nil"/>
            </w:tcBorders>
            <w:vAlign w:val="center"/>
          </w:tcPr>
          <w:p w14:paraId="7322A64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火灾</w:t>
            </w:r>
          </w:p>
        </w:tc>
        <w:tc>
          <w:tcPr>
            <w:tcW w:w="550" w:type="dxa"/>
            <w:tcBorders>
              <w:tl2br w:val="nil"/>
              <w:tr2bl w:val="nil"/>
            </w:tcBorders>
            <w:vAlign w:val="center"/>
          </w:tcPr>
          <w:p w14:paraId="2A3E6329">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10</w:t>
            </w:r>
          </w:p>
        </w:tc>
        <w:tc>
          <w:tcPr>
            <w:tcW w:w="540" w:type="dxa"/>
            <w:tcBorders>
              <w:tl2br w:val="nil"/>
              <w:tr2bl w:val="nil"/>
            </w:tcBorders>
            <w:vAlign w:val="center"/>
          </w:tcPr>
          <w:p w14:paraId="191020C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2A76B6D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90" w:type="dxa"/>
            <w:tcBorders>
              <w:tl2br w:val="nil"/>
              <w:tr2bl w:val="nil"/>
            </w:tcBorders>
            <w:vAlign w:val="center"/>
          </w:tcPr>
          <w:p w14:paraId="7F4311AC">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180</w:t>
            </w:r>
          </w:p>
        </w:tc>
        <w:tc>
          <w:tcPr>
            <w:tcW w:w="560" w:type="dxa"/>
            <w:tcBorders>
              <w:tl2br w:val="nil"/>
              <w:tr2bl w:val="nil"/>
            </w:tcBorders>
            <w:vAlign w:val="center"/>
          </w:tcPr>
          <w:p w14:paraId="72DBA11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Ⅲ</w:t>
            </w:r>
          </w:p>
        </w:tc>
      </w:tr>
      <w:tr w14:paraId="55912A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0C7ED05">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vMerge w:val="continue"/>
            <w:tcBorders>
              <w:tl2br w:val="nil"/>
              <w:tr2bl w:val="nil"/>
            </w:tcBorders>
            <w:vAlign w:val="center"/>
          </w:tcPr>
          <w:p w14:paraId="61B8F0EB">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p>
        </w:tc>
        <w:tc>
          <w:tcPr>
            <w:tcW w:w="3604" w:type="dxa"/>
            <w:tcBorders>
              <w:tl2br w:val="nil"/>
              <w:tr2bl w:val="nil"/>
            </w:tcBorders>
            <w:vAlign w:val="center"/>
          </w:tcPr>
          <w:p w14:paraId="1BA2C7C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氧气瓶、乙炔瓶存放处无禁火标志，未配备消防器材。</w:t>
            </w:r>
          </w:p>
        </w:tc>
        <w:tc>
          <w:tcPr>
            <w:tcW w:w="1149" w:type="dxa"/>
            <w:tcBorders>
              <w:tl2br w:val="nil"/>
              <w:tr2bl w:val="nil"/>
            </w:tcBorders>
            <w:vAlign w:val="center"/>
          </w:tcPr>
          <w:p w14:paraId="342E561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火灾</w:t>
            </w:r>
          </w:p>
        </w:tc>
        <w:tc>
          <w:tcPr>
            <w:tcW w:w="550" w:type="dxa"/>
            <w:tcBorders>
              <w:tl2br w:val="nil"/>
              <w:tr2bl w:val="nil"/>
            </w:tcBorders>
            <w:vAlign w:val="center"/>
          </w:tcPr>
          <w:p w14:paraId="04A31147">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0A79AEB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10</w:t>
            </w:r>
          </w:p>
        </w:tc>
        <w:tc>
          <w:tcPr>
            <w:tcW w:w="540" w:type="dxa"/>
            <w:tcBorders>
              <w:tl2br w:val="nil"/>
              <w:tr2bl w:val="nil"/>
            </w:tcBorders>
            <w:vAlign w:val="center"/>
          </w:tcPr>
          <w:p w14:paraId="07DA80F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90" w:type="dxa"/>
            <w:tcBorders>
              <w:tl2br w:val="nil"/>
              <w:tr2bl w:val="nil"/>
            </w:tcBorders>
            <w:vAlign w:val="center"/>
          </w:tcPr>
          <w:p w14:paraId="094D59C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180</w:t>
            </w:r>
          </w:p>
        </w:tc>
        <w:tc>
          <w:tcPr>
            <w:tcW w:w="560" w:type="dxa"/>
            <w:tcBorders>
              <w:tl2br w:val="nil"/>
              <w:tr2bl w:val="nil"/>
            </w:tcBorders>
            <w:vAlign w:val="center"/>
          </w:tcPr>
          <w:p w14:paraId="2BD9505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Ⅲ</w:t>
            </w:r>
          </w:p>
        </w:tc>
      </w:tr>
      <w:tr w14:paraId="364F7A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CB1D0CC">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tcBorders>
              <w:tl2br w:val="nil"/>
              <w:tr2bl w:val="nil"/>
            </w:tcBorders>
            <w:vAlign w:val="center"/>
          </w:tcPr>
          <w:p w14:paraId="700F9C67">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电焊</w:t>
            </w:r>
          </w:p>
        </w:tc>
        <w:tc>
          <w:tcPr>
            <w:tcW w:w="3604" w:type="dxa"/>
            <w:tcBorders>
              <w:tl2br w:val="nil"/>
              <w:tr2bl w:val="nil"/>
            </w:tcBorders>
            <w:vAlign w:val="center"/>
          </w:tcPr>
          <w:p w14:paraId="63642F0B">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未佩戴面罩或护目镜</w:t>
            </w:r>
          </w:p>
        </w:tc>
        <w:tc>
          <w:tcPr>
            <w:tcW w:w="1149" w:type="dxa"/>
            <w:tcBorders>
              <w:tl2br w:val="nil"/>
              <w:tr2bl w:val="nil"/>
            </w:tcBorders>
            <w:vAlign w:val="center"/>
          </w:tcPr>
          <w:p w14:paraId="046DC1F0">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其他</w:t>
            </w:r>
          </w:p>
        </w:tc>
        <w:tc>
          <w:tcPr>
            <w:tcW w:w="550" w:type="dxa"/>
            <w:tcBorders>
              <w:tl2br w:val="nil"/>
              <w:tr2bl w:val="nil"/>
            </w:tcBorders>
            <w:vAlign w:val="center"/>
          </w:tcPr>
          <w:p w14:paraId="4C56C29A">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138C406E">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5AF6FE69">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90" w:type="dxa"/>
            <w:tcBorders>
              <w:tl2br w:val="nil"/>
              <w:tr2bl w:val="nil"/>
            </w:tcBorders>
            <w:vAlign w:val="center"/>
          </w:tcPr>
          <w:p w14:paraId="09F03D94">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54</w:t>
            </w:r>
          </w:p>
        </w:tc>
        <w:tc>
          <w:tcPr>
            <w:tcW w:w="560" w:type="dxa"/>
            <w:tcBorders>
              <w:tl2br w:val="nil"/>
              <w:tr2bl w:val="nil"/>
            </w:tcBorders>
            <w:vAlign w:val="center"/>
          </w:tcPr>
          <w:p w14:paraId="14273CC2">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Ⅰ</w:t>
            </w:r>
          </w:p>
        </w:tc>
      </w:tr>
      <w:tr w14:paraId="7E8C8B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757F161">
            <w:pPr>
              <w:numPr>
                <w:ilvl w:val="0"/>
                <w:numId w:val="28"/>
              </w:numPr>
              <w:spacing w:line="0" w:lineRule="atLeast"/>
              <w:ind w:firstLineChars="0"/>
              <w:jc w:val="center"/>
              <w:rPr>
                <w:rFonts w:ascii="宋体" w:hAnsi="宋体" w:cs="宋体"/>
                <w:color w:val="000000" w:themeColor="text1"/>
                <w:sz w:val="21"/>
                <w14:textFill>
                  <w14:solidFill>
                    <w14:schemeClr w14:val="tx1"/>
                  </w14:solidFill>
                </w14:textFill>
              </w:rPr>
            </w:pPr>
          </w:p>
        </w:tc>
        <w:tc>
          <w:tcPr>
            <w:tcW w:w="995" w:type="dxa"/>
            <w:tcBorders>
              <w:tl2br w:val="nil"/>
              <w:tr2bl w:val="nil"/>
            </w:tcBorders>
            <w:vAlign w:val="center"/>
          </w:tcPr>
          <w:p w14:paraId="06734548">
            <w:pPr>
              <w:spacing w:line="27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劳保</w:t>
            </w:r>
          </w:p>
        </w:tc>
        <w:tc>
          <w:tcPr>
            <w:tcW w:w="3604" w:type="dxa"/>
            <w:tcBorders>
              <w:tl2br w:val="nil"/>
              <w:tr2bl w:val="nil"/>
            </w:tcBorders>
            <w:vAlign w:val="center"/>
          </w:tcPr>
          <w:p w14:paraId="09E6B1D1">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攀登作业未穿防滑鞋</w:t>
            </w:r>
          </w:p>
        </w:tc>
        <w:tc>
          <w:tcPr>
            <w:tcW w:w="1149" w:type="dxa"/>
            <w:tcBorders>
              <w:tl2br w:val="nil"/>
              <w:tr2bl w:val="nil"/>
            </w:tcBorders>
            <w:vAlign w:val="center"/>
          </w:tcPr>
          <w:p w14:paraId="5C68B142">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其他</w:t>
            </w:r>
          </w:p>
        </w:tc>
        <w:tc>
          <w:tcPr>
            <w:tcW w:w="550" w:type="dxa"/>
            <w:tcBorders>
              <w:tl2br w:val="nil"/>
              <w:tr2bl w:val="nil"/>
            </w:tcBorders>
            <w:vAlign w:val="center"/>
          </w:tcPr>
          <w:p w14:paraId="0BD07406">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540" w:type="dxa"/>
            <w:tcBorders>
              <w:tl2br w:val="nil"/>
              <w:tr2bl w:val="nil"/>
            </w:tcBorders>
            <w:vAlign w:val="center"/>
          </w:tcPr>
          <w:p w14:paraId="4D135873">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40" w:type="dxa"/>
            <w:tcBorders>
              <w:tl2br w:val="nil"/>
              <w:tr2bl w:val="nil"/>
            </w:tcBorders>
            <w:vAlign w:val="center"/>
          </w:tcPr>
          <w:p w14:paraId="02519D62">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590" w:type="dxa"/>
            <w:tcBorders>
              <w:tl2br w:val="nil"/>
              <w:tr2bl w:val="nil"/>
            </w:tcBorders>
            <w:vAlign w:val="center"/>
          </w:tcPr>
          <w:p w14:paraId="2034B105">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54</w:t>
            </w:r>
          </w:p>
        </w:tc>
        <w:tc>
          <w:tcPr>
            <w:tcW w:w="560" w:type="dxa"/>
            <w:tcBorders>
              <w:tl2br w:val="nil"/>
              <w:tr2bl w:val="nil"/>
            </w:tcBorders>
            <w:vAlign w:val="center"/>
          </w:tcPr>
          <w:p w14:paraId="11DABF39">
            <w:pPr>
              <w:spacing w:line="280" w:lineRule="exact"/>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Ⅰ</w:t>
            </w:r>
          </w:p>
        </w:tc>
      </w:tr>
      <w:bookmarkEnd w:id="106"/>
    </w:tbl>
    <w:p w14:paraId="5E6EF3E8">
      <w:pPr>
        <w:pStyle w:val="6"/>
      </w:pPr>
      <w:r>
        <w:t>风险分析结论</w:t>
      </w:r>
    </w:p>
    <w:p w14:paraId="71D9AF23">
      <w:pPr>
        <w:ind w:firstLine="480"/>
      </w:pPr>
      <w:r>
        <w:t>根据主梁施工作业风险LEC法评估结果表，</w:t>
      </w:r>
      <w:bookmarkStart w:id="107" w:name="_Hlk114688223"/>
      <w:r>
        <w:t>显著危险的有</w:t>
      </w:r>
      <w:r>
        <w:rPr>
          <w:rFonts w:hint="eastAsia"/>
          <w:lang w:val="en-US" w:eastAsia="zh-CN"/>
        </w:rPr>
        <w:t>75</w:t>
      </w:r>
      <w:r>
        <w:t>项：包括高处坠落、起重伤害、物体打击、触电、机械伤害、火灾、坍塌，需要制定针对性安全措施，具体措施详见6.</w:t>
      </w:r>
      <w:r>
        <w:rPr>
          <w:rFonts w:hint="eastAsia"/>
        </w:rPr>
        <w:t>2</w:t>
      </w:r>
      <w:r>
        <w:t>节</w:t>
      </w:r>
      <w:bookmarkEnd w:id="107"/>
      <w:r>
        <w:t>。</w:t>
      </w:r>
    </w:p>
    <w:bookmarkEnd w:id="101"/>
    <w:p w14:paraId="0A09408F">
      <w:pPr>
        <w:pStyle w:val="5"/>
      </w:pPr>
      <w:bookmarkStart w:id="108" w:name="_Toc114212095"/>
      <w:bookmarkStart w:id="109" w:name="_Toc66805128"/>
      <w:bookmarkStart w:id="110" w:name="_Toc117245041"/>
      <w:bookmarkStart w:id="111" w:name="_Toc12728"/>
      <w:bookmarkStart w:id="112" w:name="_Toc66805127"/>
      <w:bookmarkStart w:id="113" w:name="_Toc40778445"/>
      <w:bookmarkStart w:id="114" w:name="_Toc6917"/>
      <w:bookmarkStart w:id="115" w:name="_Toc14971"/>
      <w:bookmarkStart w:id="116" w:name="_Toc17347"/>
      <w:bookmarkStart w:id="117" w:name="_Toc11379"/>
      <w:bookmarkStart w:id="118" w:name="_Toc5668"/>
      <w:r>
        <w:t>施工安全技术控制措施</w:t>
      </w:r>
      <w:bookmarkEnd w:id="108"/>
      <w:bookmarkEnd w:id="109"/>
      <w:bookmarkEnd w:id="110"/>
      <w:bookmarkEnd w:id="111"/>
    </w:p>
    <w:p w14:paraId="2F6926DA">
      <w:pPr>
        <w:pStyle w:val="6"/>
      </w:pPr>
      <w:r>
        <w:rPr>
          <w:rFonts w:hint="eastAsia"/>
        </w:rPr>
        <w:t>塔式起重机</w:t>
      </w:r>
      <w:r>
        <w:rPr>
          <w:rFonts w:hint="eastAsia"/>
          <w:lang w:eastAsia="zh-CN"/>
        </w:rPr>
        <w:t>安装</w:t>
      </w:r>
      <w:r>
        <w:rPr>
          <w:rFonts w:hint="eastAsia"/>
        </w:rPr>
        <w:t>安全技术措施</w:t>
      </w:r>
    </w:p>
    <w:p w14:paraId="30A103F3">
      <w:pPr>
        <w:ind w:firstLine="480"/>
      </w:pPr>
      <w:r>
        <w:rPr>
          <w:rFonts w:hint="eastAsia"/>
        </w:rPr>
        <w:t>（1）安装前应根据专项施工方案，对塔式起重机基础的下列项目进行检查。确认合格后方可实施：</w:t>
      </w:r>
    </w:p>
    <w:p w14:paraId="7FF33F42">
      <w:pPr>
        <w:ind w:firstLine="480"/>
      </w:pPr>
      <w:r>
        <w:rPr>
          <w:rFonts w:hint="eastAsia"/>
        </w:rPr>
        <w:t>①基础的位置、高程、尺寸；</w:t>
      </w:r>
    </w:p>
    <w:p w14:paraId="6AE6C52C">
      <w:pPr>
        <w:ind w:firstLine="480"/>
      </w:pPr>
      <w:r>
        <w:rPr>
          <w:rFonts w:hint="eastAsia"/>
        </w:rPr>
        <w:t>②基础的隐蔽工程验收记录和混凝土强度报告等相关资料；</w:t>
      </w:r>
    </w:p>
    <w:p w14:paraId="2F8A72B9">
      <w:pPr>
        <w:ind w:firstLine="480"/>
      </w:pPr>
      <w:r>
        <w:rPr>
          <w:rFonts w:hint="eastAsia"/>
        </w:rPr>
        <w:t>③安装辅助设备的基础、地基承载力、预埋件等；</w:t>
      </w:r>
    </w:p>
    <w:p w14:paraId="52BEC455">
      <w:pPr>
        <w:ind w:firstLine="480"/>
      </w:pPr>
      <w:r>
        <w:rPr>
          <w:rFonts w:hint="eastAsia"/>
        </w:rPr>
        <w:t>④基础的排水措施。</w:t>
      </w:r>
    </w:p>
    <w:p w14:paraId="58FE20A8">
      <w:pPr>
        <w:ind w:firstLine="480"/>
      </w:pPr>
      <w:r>
        <w:rPr>
          <w:rFonts w:hint="eastAsia"/>
        </w:rPr>
        <w:t>（2）安装或拆除作业应根据专项施工方案要求实施。安装或拆除作业人员应分工明确、职责清楚、安装前应对安装或拆除作业人员进行安全技术交底。</w:t>
      </w:r>
    </w:p>
    <w:p w14:paraId="3C6B06A0">
      <w:pPr>
        <w:ind w:firstLine="480"/>
      </w:pPr>
      <w:r>
        <w:rPr>
          <w:rFonts w:hint="eastAsia"/>
        </w:rPr>
        <w:t>（3）安装或拆除辅助设备就位后，应对其机械和安全性能进行检验，合格后方可作业。</w:t>
      </w:r>
    </w:p>
    <w:p w14:paraId="2E0A7D97">
      <w:pPr>
        <w:ind w:firstLine="480"/>
      </w:pPr>
      <w:r>
        <w:rPr>
          <w:rFonts w:hint="eastAsia"/>
        </w:rPr>
        <w:t>（4）安装或拆除作业中应统一指挥，明确指挥信号。当视线受阻，距离过远时应采用对讲机或多级指挥。</w:t>
      </w:r>
    </w:p>
    <w:p w14:paraId="46D33FBA">
      <w:pPr>
        <w:ind w:firstLine="480"/>
      </w:pPr>
      <w:r>
        <w:rPr>
          <w:rFonts w:hint="eastAsia"/>
        </w:rPr>
        <w:t>（5）塔式起重机的独立高度、悬臂高度应符合使用说明书的要求；</w:t>
      </w:r>
    </w:p>
    <w:p w14:paraId="1413E3AC">
      <w:pPr>
        <w:ind w:firstLine="480"/>
      </w:pPr>
      <w:r>
        <w:rPr>
          <w:rFonts w:hint="eastAsia"/>
        </w:rPr>
        <w:t>（6）雨雪、浓雾天气严禁进行安装作业。安装或拆除时塔式起重机最大高度处的风速应符合使用说明书的要求，且风速不得超过12m/s。</w:t>
      </w:r>
    </w:p>
    <w:p w14:paraId="02A2B242">
      <w:pPr>
        <w:ind w:firstLine="480"/>
      </w:pPr>
      <w:r>
        <w:rPr>
          <w:rFonts w:hint="eastAsia"/>
        </w:rPr>
        <w:t>（7）塔式起重机不宜在夜间进行安装作业；当需在夜间进行塔式起重机安装和拆卸作业时，应保证提供足够的照明。</w:t>
      </w:r>
    </w:p>
    <w:p w14:paraId="0D285B88">
      <w:pPr>
        <w:ind w:firstLine="480"/>
      </w:pPr>
      <w:r>
        <w:rPr>
          <w:rFonts w:hint="eastAsia"/>
        </w:rPr>
        <w:t>（8）当遇特殊情况安装作业不能连续进行时，必须将已安装的部位固定牢靠并达到安全状态，经检查确认无隐患后，方可停止作业。</w:t>
      </w:r>
    </w:p>
    <w:p w14:paraId="5E8C22E8">
      <w:pPr>
        <w:ind w:firstLine="480"/>
      </w:pPr>
      <w:r>
        <w:rPr>
          <w:rFonts w:hint="eastAsia"/>
        </w:rPr>
        <w:t>（9）塔式起重机的安全装置必须齐全，并应按程序进行调试合格。</w:t>
      </w:r>
    </w:p>
    <w:p w14:paraId="79A7BF7F">
      <w:pPr>
        <w:ind w:firstLine="480"/>
      </w:pPr>
      <w:r>
        <w:rPr>
          <w:rFonts w:hint="eastAsia"/>
        </w:rPr>
        <w:t>（10）连接件及其防松防脱件严禁用其他代用品代用。连接件及其防松防脱件应使用力矩扳手或专用工具紧固连接螺栓。</w:t>
      </w:r>
    </w:p>
    <w:p w14:paraId="2C517971">
      <w:pPr>
        <w:ind w:firstLine="480"/>
      </w:pPr>
      <w:r>
        <w:rPr>
          <w:rFonts w:hint="eastAsia"/>
        </w:rPr>
        <w:t>（11）安装单位自检合格后，应委托有相应资质的检验检测机构进行检测，检验检测机构应出具检测报告书。</w:t>
      </w:r>
    </w:p>
    <w:p w14:paraId="3F35718F">
      <w:pPr>
        <w:ind w:firstLine="480"/>
      </w:pPr>
      <w:r>
        <w:rPr>
          <w:rFonts w:hint="eastAsia"/>
        </w:rPr>
        <w:t>（12）安装质量的自检报告书和检测报告书应存入设备档案。</w:t>
      </w:r>
    </w:p>
    <w:p w14:paraId="36F74B75">
      <w:pPr>
        <w:ind w:firstLine="480"/>
      </w:pPr>
      <w:r>
        <w:rPr>
          <w:rFonts w:hint="eastAsia"/>
        </w:rPr>
        <w:t>（13）设备调试、试吊需严格按照安装说明书执行。</w:t>
      </w:r>
    </w:p>
    <w:p w14:paraId="38CA799F">
      <w:pPr>
        <w:pStyle w:val="6"/>
      </w:pPr>
      <w:r>
        <w:t>吊运作业安全技术措施</w:t>
      </w:r>
    </w:p>
    <w:p w14:paraId="173E4C8C">
      <w:pPr>
        <w:numPr>
          <w:ilvl w:val="0"/>
          <w:numId w:val="29"/>
        </w:numPr>
        <w:ind w:firstLineChars="0"/>
      </w:pPr>
      <w:r>
        <w:rPr>
          <w:rFonts w:hint="eastAsia"/>
        </w:rPr>
        <w:t>组织作业人员学习安全规章制度，提高安全防范意识；</w:t>
      </w:r>
    </w:p>
    <w:p w14:paraId="1BBCB56B">
      <w:pPr>
        <w:numPr>
          <w:ilvl w:val="0"/>
          <w:numId w:val="29"/>
        </w:numPr>
        <w:ind w:firstLineChars="0"/>
      </w:pPr>
      <w:r>
        <w:rPr>
          <w:rFonts w:hint="eastAsia"/>
        </w:rPr>
        <w:t>严禁酒后作业，严格遵守项目部相关安全规定；</w:t>
      </w:r>
    </w:p>
    <w:p w14:paraId="6DB11C06">
      <w:pPr>
        <w:numPr>
          <w:ilvl w:val="0"/>
          <w:numId w:val="29"/>
        </w:numPr>
        <w:ind w:firstLineChars="0"/>
      </w:pPr>
      <w:r>
        <w:rPr>
          <w:rFonts w:hint="eastAsia"/>
        </w:rPr>
        <w:t>吊装作业人员统一配戴项目部的安全帽。</w:t>
      </w:r>
    </w:p>
    <w:p w14:paraId="0B646C20">
      <w:pPr>
        <w:numPr>
          <w:ilvl w:val="0"/>
          <w:numId w:val="29"/>
        </w:numPr>
        <w:ind w:firstLineChars="0"/>
      </w:pPr>
      <w:r>
        <w:rPr>
          <w:rFonts w:hint="eastAsia"/>
        </w:rPr>
        <w:t>作业时必须执行安全技术交底，听从统一指挥；</w:t>
      </w:r>
    </w:p>
    <w:p w14:paraId="6A09C8E6">
      <w:pPr>
        <w:numPr>
          <w:ilvl w:val="0"/>
          <w:numId w:val="29"/>
        </w:numPr>
        <w:ind w:firstLineChars="0"/>
      </w:pPr>
      <w:r>
        <w:rPr>
          <w:rFonts w:hint="eastAsia"/>
        </w:rPr>
        <w:t>起重工、信号工必须经专门安全技术培训，持证上岗；</w:t>
      </w:r>
    </w:p>
    <w:p w14:paraId="708B5711">
      <w:pPr>
        <w:numPr>
          <w:ilvl w:val="0"/>
          <w:numId w:val="29"/>
        </w:numPr>
        <w:ind w:firstLineChars="0"/>
      </w:pPr>
      <w:r>
        <w:rPr>
          <w:rFonts w:hint="eastAsia"/>
        </w:rPr>
        <w:t>信号工高空指挥时，需戴安全带，脚穿防滑鞋；</w:t>
      </w:r>
    </w:p>
    <w:p w14:paraId="0CB997EF">
      <w:pPr>
        <w:numPr>
          <w:ilvl w:val="0"/>
          <w:numId w:val="29"/>
        </w:numPr>
        <w:ind w:firstLineChars="0"/>
      </w:pPr>
      <w:r>
        <w:rPr>
          <w:rFonts w:hint="eastAsia"/>
        </w:rPr>
        <w:t>吊车尾部为司机盲区，管理人员注意吊车尾部的旋转动态；</w:t>
      </w:r>
    </w:p>
    <w:p w14:paraId="73359345">
      <w:pPr>
        <w:numPr>
          <w:ilvl w:val="0"/>
          <w:numId w:val="29"/>
        </w:numPr>
        <w:ind w:firstLineChars="0"/>
      </w:pPr>
      <w:r>
        <w:rPr>
          <w:rFonts w:hint="eastAsia"/>
        </w:rPr>
        <w:t>司机作业时，严禁收听任何有声电器及电话（除指挥使用对讲机除外），严禁和其他人员交谈；</w:t>
      </w:r>
    </w:p>
    <w:p w14:paraId="25EC26E5">
      <w:pPr>
        <w:numPr>
          <w:ilvl w:val="0"/>
          <w:numId w:val="29"/>
        </w:numPr>
        <w:ind w:firstLineChars="0"/>
      </w:pPr>
      <w:r>
        <w:rPr>
          <w:rFonts w:hint="eastAsia"/>
        </w:rPr>
        <w:t>司机和信号工必须使用对讲机进行指令的接受和发出，确保对讲机的音质清晰，调频无干扰；</w:t>
      </w:r>
    </w:p>
    <w:p w14:paraId="01507FD1">
      <w:pPr>
        <w:numPr>
          <w:ilvl w:val="0"/>
          <w:numId w:val="29"/>
        </w:numPr>
        <w:ind w:firstLineChars="0"/>
      </w:pPr>
      <w:r>
        <w:rPr>
          <w:rFonts w:hint="eastAsia"/>
        </w:rPr>
        <w:t>作业前必须检查作业环境、吊索具、防护用品。吊装区域无闲散人员，障碍已排除。吊具无缺陷，捆绑正确牢固。在信号不明和作业现场光线阴暗时，严禁进行起吊作业；</w:t>
      </w:r>
    </w:p>
    <w:p w14:paraId="255E532E">
      <w:pPr>
        <w:numPr>
          <w:ilvl w:val="0"/>
          <w:numId w:val="29"/>
        </w:numPr>
        <w:ind w:firstLineChars="0"/>
      </w:pPr>
      <w:r>
        <w:rPr>
          <w:rFonts w:hint="eastAsia"/>
        </w:rPr>
        <w:t>严格按照方案中的吊车站位进行吊装作业。起重作业时，必须正确选择吊点的位置，合理穿挂索具；</w:t>
      </w:r>
    </w:p>
    <w:p w14:paraId="78CCACB9">
      <w:pPr>
        <w:numPr>
          <w:ilvl w:val="0"/>
          <w:numId w:val="29"/>
        </w:numPr>
        <w:ind w:firstLineChars="0"/>
      </w:pPr>
      <w:r>
        <w:rPr>
          <w:rFonts w:hint="eastAsia"/>
        </w:rPr>
        <w:t>试吊：吊绳套挂牢固，起重机缓缓起升，将吊绳绷直稍停，试吊高度为100mm～200mm。试吊中，指挥信号工、司索工、司机必须协调配合。如发现吊物重心滑移或其他物件粘连等情况时，必须立即停止起吊，采取措施并确认安全后方可起吊；</w:t>
      </w:r>
    </w:p>
    <w:p w14:paraId="46AD256A">
      <w:pPr>
        <w:ind w:left="480" w:leftChars="200" w:firstLine="0" w:firstLineChars="0"/>
      </w:pPr>
      <w:r>
        <w:rPr>
          <w:rFonts w:hint="eastAsia"/>
        </w:rPr>
        <w:t>（13）严格执行“十不吊”的原则。</w:t>
      </w:r>
    </w:p>
    <w:p w14:paraId="70943484">
      <w:pPr>
        <w:pStyle w:val="6"/>
      </w:pPr>
      <w:r>
        <w:t>高空作业安全技术措施</w:t>
      </w:r>
    </w:p>
    <w:p w14:paraId="205BB8AA">
      <w:pPr>
        <w:numPr>
          <w:ilvl w:val="0"/>
          <w:numId w:val="30"/>
        </w:numPr>
        <w:ind w:firstLineChars="0"/>
      </w:pPr>
      <w:r>
        <w:rPr>
          <w:rFonts w:hint="eastAsia"/>
        </w:rPr>
        <w:t>塔式起重机操作室、检修通道四周必须安装平台防护栏杆，上操作室的爬梯需安装安全背圈。</w:t>
      </w:r>
    </w:p>
    <w:p w14:paraId="4AAC2EA0">
      <w:pPr>
        <w:numPr>
          <w:ilvl w:val="0"/>
          <w:numId w:val="30"/>
        </w:numPr>
        <w:ind w:firstLineChars="0"/>
      </w:pPr>
      <w:r>
        <w:rPr>
          <w:rFonts w:hint="eastAsia"/>
        </w:rPr>
        <w:t>高处作业人员必须正确佩带安全帽，必须系好安全带，并挂在牢固处（高挂低用）；</w:t>
      </w:r>
    </w:p>
    <w:p w14:paraId="5BC36625">
      <w:pPr>
        <w:numPr>
          <w:ilvl w:val="0"/>
          <w:numId w:val="30"/>
        </w:numPr>
        <w:ind w:firstLineChars="0"/>
      </w:pPr>
      <w:r>
        <w:rPr>
          <w:rFonts w:hint="eastAsia"/>
        </w:rPr>
        <w:t>高处作业使用的吊架、平台、脚手板、梯子、护栏、索具（钢丝绳、麻绳、化学纤维绳）等料具和安全带、安全网等安全防护用品的质量都必须符合国家规范的要求；</w:t>
      </w:r>
    </w:p>
    <w:p w14:paraId="51A11072">
      <w:pPr>
        <w:numPr>
          <w:ilvl w:val="0"/>
          <w:numId w:val="30"/>
        </w:numPr>
        <w:ind w:firstLineChars="0"/>
      </w:pPr>
      <w:r>
        <w:rPr>
          <w:rFonts w:hint="eastAsia"/>
        </w:rPr>
        <w:t>高处施工作业前，应进行针对性的书面安全交底，要被交底人的签字，同时必须落实所有的安全技术措施和个人防护用品，未经落实时不得进行施工作业；</w:t>
      </w:r>
    </w:p>
    <w:p w14:paraId="5961469D">
      <w:pPr>
        <w:numPr>
          <w:ilvl w:val="0"/>
          <w:numId w:val="30"/>
        </w:numPr>
        <w:ind w:firstLineChars="0"/>
      </w:pPr>
      <w:r>
        <w:rPr>
          <w:rFonts w:hint="eastAsia"/>
        </w:rPr>
        <w:t>从事高处作业的人员，必须定期体检。凡患有高血压、心脏病、贫血、癫痫症、严重近视及患有其他不适应高处作业病症的人员，均不得登高作业；</w:t>
      </w:r>
    </w:p>
    <w:p w14:paraId="71916D97">
      <w:pPr>
        <w:numPr>
          <w:ilvl w:val="0"/>
          <w:numId w:val="30"/>
        </w:numPr>
        <w:ind w:firstLineChars="0"/>
      </w:pPr>
      <w:r>
        <w:rPr>
          <w:rFonts w:hint="eastAsia"/>
        </w:rPr>
        <w:t>攀登和悬空高处作业人员以及搭设高处作业安全设施的人员，必须经过专业技术培训及专业考试合格，持证上岗；</w:t>
      </w:r>
    </w:p>
    <w:p w14:paraId="09E2B601">
      <w:pPr>
        <w:numPr>
          <w:ilvl w:val="0"/>
          <w:numId w:val="30"/>
        </w:numPr>
        <w:ind w:firstLineChars="0"/>
      </w:pPr>
      <w:r>
        <w:rPr>
          <w:rFonts w:hint="eastAsia"/>
        </w:rPr>
        <w:t>施工中，对高处作业的安全技术设施，使用中发生损坏，必须及时解决，危及人身安全的，必须立即停止作业，排除险情或隐患后，方准作业；</w:t>
      </w:r>
    </w:p>
    <w:p w14:paraId="4339F8EB">
      <w:pPr>
        <w:numPr>
          <w:ilvl w:val="0"/>
          <w:numId w:val="30"/>
        </w:numPr>
        <w:ind w:firstLineChars="0"/>
      </w:pPr>
      <w:r>
        <w:rPr>
          <w:rFonts w:hint="eastAsia"/>
        </w:rPr>
        <w:t>施工作业场所有坠落可能的物体，应一律先行撤除或加以固定。高处作业中所用的物料，均应堆放平稳，不妨碍通行，并不得超重，在临时搭建的安装平台上载荷不得大于270kg/m³。工具用毕应随手放入工具袋内；作业中的走道，通道板和登高用具，应随时清扫干净；拆卸下的物件及余料和废料均应及时清理运走，不能任意乱扔或向下丢弃，传递物件禁止抛掷，小型工具、配件用工具包盛装或使用吊篮吊装；</w:t>
      </w:r>
    </w:p>
    <w:p w14:paraId="4215A7CB">
      <w:pPr>
        <w:numPr>
          <w:ilvl w:val="0"/>
          <w:numId w:val="30"/>
        </w:numPr>
        <w:ind w:firstLineChars="0"/>
      </w:pPr>
      <w:r>
        <w:rPr>
          <w:rFonts w:hint="eastAsia"/>
        </w:rPr>
        <w:t>高处作业无法搭设严密的防护设施的，必须使用安全带。安全带必须系挂在施工作业上方牢固的物体上，并高挂低用，禁止低挂高用；</w:t>
      </w:r>
    </w:p>
    <w:p w14:paraId="148B2C24">
      <w:pPr>
        <w:numPr>
          <w:ilvl w:val="0"/>
          <w:numId w:val="30"/>
        </w:numPr>
        <w:ind w:firstLineChars="0"/>
      </w:pPr>
      <w:r>
        <w:rPr>
          <w:rFonts w:hint="eastAsia"/>
        </w:rPr>
        <w:t>高处作业人员不准骑坐临时搭建的安装平台上的护栏、未安装牢固的管道、设备上和躺在平台、孔洞边缘上休息。在没有安全防护设施的条件下，严禁在木桁架、挑梁，砌体及构架上行走或作业；</w:t>
      </w:r>
    </w:p>
    <w:p w14:paraId="05DE1341">
      <w:pPr>
        <w:numPr>
          <w:ilvl w:val="0"/>
          <w:numId w:val="30"/>
        </w:numPr>
        <w:ind w:firstLineChars="0"/>
      </w:pPr>
      <w:r>
        <w:rPr>
          <w:rFonts w:hint="eastAsia"/>
        </w:rPr>
        <w:t>雨、雪天进行高处作业时，必须采取可靠的防滑、防寒和防冻措施，凡水、雪、霜、冰均应及时清除干净。暴风雪及沙尘暴后，应及时对高处作业的安全防护设施逐一加以检查，发现有松动、变形、损坏或脱落等现象，应立即修复完善，</w:t>
      </w:r>
      <w:r>
        <w:t>6</w:t>
      </w:r>
      <w:r>
        <w:rPr>
          <w:rFonts w:hint="eastAsia"/>
        </w:rPr>
        <w:t>级大风立即停止露天高处作业；</w:t>
      </w:r>
    </w:p>
    <w:p w14:paraId="66A41077">
      <w:pPr>
        <w:numPr>
          <w:ilvl w:val="0"/>
          <w:numId w:val="30"/>
        </w:numPr>
        <w:ind w:firstLineChars="0"/>
      </w:pPr>
      <w:r>
        <w:rPr>
          <w:rFonts w:hint="eastAsia"/>
        </w:rPr>
        <w:t>因作业需要，临时拆除或变动安全防护设施的，必须经施工负责人同意，并采取相应的可靠措施，作业后立即恢复；</w:t>
      </w:r>
    </w:p>
    <w:p w14:paraId="4BE16943">
      <w:pPr>
        <w:numPr>
          <w:ilvl w:val="0"/>
          <w:numId w:val="30"/>
        </w:numPr>
        <w:ind w:firstLineChars="0"/>
      </w:pPr>
      <w:r>
        <w:rPr>
          <w:rFonts w:hint="eastAsia"/>
        </w:rPr>
        <w:t>高处作业人员应沿着斜道、梯子上下，严禁沿着绳索、立杆、井架或栏杆等攀登；</w:t>
      </w:r>
    </w:p>
    <w:p w14:paraId="0C02D3DB">
      <w:pPr>
        <w:numPr>
          <w:ilvl w:val="0"/>
          <w:numId w:val="30"/>
        </w:numPr>
        <w:ind w:firstLineChars="0"/>
      </w:pPr>
      <w:r>
        <w:rPr>
          <w:rFonts w:hint="eastAsia"/>
        </w:rPr>
        <w:t>人字梯的使用：</w:t>
      </w:r>
    </w:p>
    <w:p w14:paraId="222F9C88">
      <w:pPr>
        <w:numPr>
          <w:ilvl w:val="0"/>
          <w:numId w:val="31"/>
        </w:numPr>
        <w:ind w:firstLineChars="0"/>
      </w:pPr>
      <w:r>
        <w:rPr>
          <w:rFonts w:hint="eastAsia"/>
        </w:rPr>
        <w:t>使用前检查该梯子是否安全，即检查梯子的铆钉是否松动，焊接是否开裂；</w:t>
      </w:r>
    </w:p>
    <w:p w14:paraId="697144CC">
      <w:pPr>
        <w:numPr>
          <w:ilvl w:val="0"/>
          <w:numId w:val="31"/>
        </w:numPr>
        <w:ind w:firstLineChars="0"/>
      </w:pPr>
      <w:r>
        <w:rPr>
          <w:rFonts w:hint="eastAsia"/>
        </w:rPr>
        <w:t>用结实的绳索将两边拉住、拴紧、绷直；</w:t>
      </w:r>
    </w:p>
    <w:p w14:paraId="6ACD8563">
      <w:pPr>
        <w:numPr>
          <w:ilvl w:val="0"/>
          <w:numId w:val="31"/>
        </w:numPr>
        <w:ind w:firstLineChars="0"/>
      </w:pPr>
      <w:r>
        <w:rPr>
          <w:rFonts w:hint="eastAsia"/>
        </w:rPr>
        <w:t>梯子须安放稳固，使用材料需经人传递或用小桶吊放，严禁上下抛物；</w:t>
      </w:r>
    </w:p>
    <w:p w14:paraId="463A3668">
      <w:pPr>
        <w:numPr>
          <w:ilvl w:val="0"/>
          <w:numId w:val="31"/>
        </w:numPr>
        <w:ind w:firstLineChars="0"/>
      </w:pPr>
      <w:r>
        <w:rPr>
          <w:rFonts w:hint="eastAsia"/>
        </w:rPr>
        <w:t>使用梯子时至少两人一组，有专人扶梯；</w:t>
      </w:r>
    </w:p>
    <w:p w14:paraId="1500401B">
      <w:pPr>
        <w:numPr>
          <w:ilvl w:val="0"/>
          <w:numId w:val="31"/>
        </w:numPr>
        <w:ind w:firstLineChars="0"/>
      </w:pPr>
      <w:r>
        <w:rPr>
          <w:rFonts w:hint="eastAsia"/>
        </w:rPr>
        <w:t>严禁使用梯子最上面两格；</w:t>
      </w:r>
    </w:p>
    <w:p w14:paraId="4F948878">
      <w:pPr>
        <w:numPr>
          <w:ilvl w:val="0"/>
          <w:numId w:val="31"/>
        </w:numPr>
        <w:ind w:firstLineChars="0"/>
      </w:pPr>
      <w:r>
        <w:rPr>
          <w:rFonts w:hint="eastAsia"/>
        </w:rPr>
        <w:t>严禁背对梯子作业；</w:t>
      </w:r>
    </w:p>
    <w:p w14:paraId="56DC5D7D">
      <w:pPr>
        <w:numPr>
          <w:ilvl w:val="0"/>
          <w:numId w:val="31"/>
        </w:numPr>
        <w:ind w:firstLineChars="0"/>
      </w:pPr>
      <w:r>
        <w:rPr>
          <w:rFonts w:hint="eastAsia"/>
        </w:rPr>
        <w:t>超过2m以上的作业，且安全带无挂点时，除扶梯人外，须再设置一名监护人；</w:t>
      </w:r>
    </w:p>
    <w:p w14:paraId="14F7FB7F">
      <w:pPr>
        <w:numPr>
          <w:ilvl w:val="0"/>
          <w:numId w:val="31"/>
        </w:numPr>
        <w:ind w:firstLineChars="0"/>
      </w:pPr>
      <w:r>
        <w:rPr>
          <w:rFonts w:hint="eastAsia"/>
        </w:rPr>
        <w:t>严禁交叉作业；</w:t>
      </w:r>
    </w:p>
    <w:p w14:paraId="0414836B">
      <w:pPr>
        <w:numPr>
          <w:ilvl w:val="0"/>
          <w:numId w:val="31"/>
        </w:numPr>
        <w:ind w:firstLineChars="0"/>
      </w:pPr>
      <w:r>
        <w:rPr>
          <w:rFonts w:hint="eastAsia"/>
        </w:rPr>
        <w:t>作业区域应用警示带围好、设置监护人，严禁非作业人员入内；</w:t>
      </w:r>
    </w:p>
    <w:p w14:paraId="7CF67EB7">
      <w:pPr>
        <w:numPr>
          <w:ilvl w:val="0"/>
          <w:numId w:val="30"/>
        </w:numPr>
        <w:ind w:firstLineChars="0"/>
      </w:pPr>
      <w:r>
        <w:rPr>
          <w:rFonts w:hint="eastAsia"/>
        </w:rPr>
        <w:t>高温季节必须按照防暑降温的要求合理安排工作时间，配备充足的饮用水，采取必要的防暑降温措施；</w:t>
      </w:r>
    </w:p>
    <w:p w14:paraId="49CF4B4C">
      <w:pPr>
        <w:ind w:firstLine="480"/>
      </w:pPr>
      <w:r>
        <w:rPr>
          <w:rFonts w:hint="eastAsia"/>
        </w:rPr>
        <w:t>（16）临近傍晚及气候突变等照明不良的情况下，必须确保人员和各类构件的安全。</w:t>
      </w:r>
    </w:p>
    <w:p w14:paraId="0AC43429">
      <w:pPr>
        <w:pStyle w:val="6"/>
      </w:pPr>
      <w:r>
        <w:t>焊接与切割安全措施</w:t>
      </w:r>
    </w:p>
    <w:p w14:paraId="5D481C54">
      <w:pPr>
        <w:numPr>
          <w:ilvl w:val="0"/>
          <w:numId w:val="32"/>
        </w:numPr>
        <w:ind w:firstLineChars="0"/>
      </w:pPr>
      <w:r>
        <w:t>电源端接线必须由专业电工进行，焊机或供电线路出现故障，焊工要及时联系动力电工进行处理；</w:t>
      </w:r>
    </w:p>
    <w:p w14:paraId="46C961D8">
      <w:pPr>
        <w:numPr>
          <w:ilvl w:val="0"/>
          <w:numId w:val="4"/>
        </w:numPr>
        <w:ind w:firstLine="480"/>
      </w:pPr>
      <w:r>
        <w:t>焊工穿戴专用工作服、绝缘鞋、防护手套等符合专业防护要求的劳动保护用品。衣着不得敞领卷袖，必须配戴防护面罩，以免弧光伤眼；焊接前，必须事先消除有害、易燃、易爆物质，解除容器或管道内压力，消除容器密封状态（敞开旋口盖）；</w:t>
      </w:r>
    </w:p>
    <w:p w14:paraId="0C3607AF">
      <w:pPr>
        <w:numPr>
          <w:ilvl w:val="0"/>
          <w:numId w:val="4"/>
        </w:numPr>
        <w:ind w:firstLine="480"/>
      </w:pPr>
      <w:r>
        <w:t>检查作场所周围是否有易燃物，如有，应清除或采取可靠的隔离、防护措施，并设专人监护；</w:t>
      </w:r>
    </w:p>
    <w:p w14:paraId="67028379">
      <w:pPr>
        <w:numPr>
          <w:ilvl w:val="0"/>
          <w:numId w:val="4"/>
        </w:numPr>
        <w:ind w:firstLine="480"/>
      </w:pPr>
      <w:r>
        <w:t>不宜在雨、雪及大风天气进行露天焊接作业。如确实需要时，应采取遮蔽雨雪、防止触电和火花飞溅等措施；</w:t>
      </w:r>
    </w:p>
    <w:p w14:paraId="106B8973">
      <w:pPr>
        <w:numPr>
          <w:ilvl w:val="0"/>
          <w:numId w:val="4"/>
        </w:numPr>
        <w:ind w:firstLine="480"/>
      </w:pPr>
      <w:r>
        <w:t>焊接时，焊工不要接触焊接物件或其它导电物件；</w:t>
      </w:r>
    </w:p>
    <w:p w14:paraId="24DE75AD">
      <w:pPr>
        <w:numPr>
          <w:ilvl w:val="0"/>
          <w:numId w:val="4"/>
        </w:numPr>
        <w:ind w:firstLine="480"/>
      </w:pPr>
      <w:r>
        <w:t>焊接完工后，焊接位置应予以隔离或设专人监护，防止烫伤其他人员及火灾事故发生；</w:t>
      </w:r>
    </w:p>
    <w:p w14:paraId="23DA5110">
      <w:pPr>
        <w:numPr>
          <w:ilvl w:val="0"/>
          <w:numId w:val="4"/>
        </w:numPr>
        <w:ind w:firstLine="480"/>
      </w:pPr>
      <w:r>
        <w:t>工作结束后，检查地面，灭绝火种，切断电源，方可离开。</w:t>
      </w:r>
    </w:p>
    <w:p w14:paraId="320FE286">
      <w:pPr>
        <w:numPr>
          <w:ilvl w:val="0"/>
          <w:numId w:val="4"/>
        </w:numPr>
        <w:ind w:firstLine="480"/>
      </w:pPr>
      <w:r>
        <w:t>焊工在工作前必须检查好回火防止器及一切工具是否良好；</w:t>
      </w:r>
    </w:p>
    <w:p w14:paraId="3E9C0925">
      <w:pPr>
        <w:numPr>
          <w:ilvl w:val="0"/>
          <w:numId w:val="4"/>
        </w:numPr>
        <w:ind w:firstLine="480"/>
      </w:pPr>
      <w:r>
        <w:t>乙炔瓶、氧气瓶、胶管接头、阀门的紧固件应坚固牢靠，不准有松动、破损和漏气。氧气瓶及其附件以及胶管工具上禁止沾油；</w:t>
      </w:r>
    </w:p>
    <w:p w14:paraId="7AF174FE">
      <w:pPr>
        <w:numPr>
          <w:ilvl w:val="0"/>
          <w:numId w:val="4"/>
        </w:numPr>
        <w:ind w:firstLine="480"/>
      </w:pPr>
      <w:r>
        <w:t>工作前必须检查氧气管、乙炔管，如有漏气、老化、鼓包和变质时，不准使用，管内应保持清洁，不得有异物，氧气管、乙炔管不得互换使用；</w:t>
      </w:r>
    </w:p>
    <w:p w14:paraId="5A872CA8">
      <w:pPr>
        <w:numPr>
          <w:ilvl w:val="0"/>
          <w:numId w:val="4"/>
        </w:numPr>
        <w:ind w:firstLine="480"/>
      </w:pPr>
      <w:r>
        <w:t>工作前应检查作场所周围是否有易燃物，如有，应清除或采取可靠的隔离、防护措施，并设专人监护；</w:t>
      </w:r>
    </w:p>
    <w:p w14:paraId="30C5FA5A">
      <w:pPr>
        <w:numPr>
          <w:ilvl w:val="0"/>
          <w:numId w:val="4"/>
        </w:numPr>
        <w:ind w:firstLine="480"/>
      </w:pPr>
      <w:r>
        <w:t>在连接氧气表（减压器）之前，要用专用扳手将氧气瓶阀门微开，放出一些氧气，吹净瓶口污物和杂质，随后关闭。操作时工作人员应站在气口侧面，并闪开。开气时，气门不可朝下；</w:t>
      </w:r>
    </w:p>
    <w:p w14:paraId="7CBDC985">
      <w:pPr>
        <w:numPr>
          <w:ilvl w:val="0"/>
          <w:numId w:val="4"/>
        </w:numPr>
        <w:ind w:firstLine="480"/>
      </w:pPr>
      <w:r>
        <w:t>乙炔、氧气瓶应垂直放置，防止倾倒，严禁与氧气瓶等易燃品同时存放；</w:t>
      </w:r>
    </w:p>
    <w:p w14:paraId="02C04217">
      <w:pPr>
        <w:numPr>
          <w:ilvl w:val="0"/>
          <w:numId w:val="4"/>
        </w:numPr>
        <w:ind w:firstLine="480"/>
      </w:pPr>
      <w:r>
        <w:t>开启氧气或乙炔瓶阀门时，禁止用铁器敲击，应用专用工具，动作要缓慢，防止产生火花，严禁面对减压器站立；</w:t>
      </w:r>
    </w:p>
    <w:p w14:paraId="36BB3632">
      <w:pPr>
        <w:numPr>
          <w:ilvl w:val="0"/>
          <w:numId w:val="4"/>
        </w:numPr>
        <w:ind w:firstLine="480"/>
      </w:pPr>
      <w:r>
        <w:t>在机械上（或高处）作业时，应在切割部件下部搭设安全保护装置以防金属溶液落下引起火灾或烧伤其他人员；</w:t>
      </w:r>
    </w:p>
    <w:p w14:paraId="7E7B84D6">
      <w:pPr>
        <w:numPr>
          <w:ilvl w:val="0"/>
          <w:numId w:val="4"/>
        </w:numPr>
        <w:ind w:firstLine="480"/>
      </w:pPr>
      <w:r>
        <w:t>了解设备的消防器材状况，并保证在焊接地点周围有2个以上干粉灭火器；切割工作结束后，应检查地面，灭绝火种；</w:t>
      </w:r>
    </w:p>
    <w:p w14:paraId="0CAE603C">
      <w:pPr>
        <w:numPr>
          <w:ilvl w:val="0"/>
          <w:numId w:val="4"/>
        </w:numPr>
        <w:ind w:firstLine="480"/>
      </w:pPr>
      <w:r>
        <w:t>使用时，必须保证氧气瓶、乙炔瓶距明火不得小于10m。</w:t>
      </w:r>
    </w:p>
    <w:p w14:paraId="4570321C">
      <w:pPr>
        <w:numPr>
          <w:ilvl w:val="0"/>
          <w:numId w:val="4"/>
        </w:numPr>
        <w:ind w:firstLine="480"/>
      </w:pPr>
      <w:r>
        <w:t>工作地点不固定、移动较频繁时，应装在专用小车上，严禁将乙炔瓶和氧气瓶放在一起；</w:t>
      </w:r>
    </w:p>
    <w:p w14:paraId="5AFC26CC">
      <w:pPr>
        <w:pStyle w:val="6"/>
      </w:pPr>
      <w:r>
        <w:rPr>
          <w:rFonts w:hint="eastAsia"/>
          <w:lang w:eastAsia="zh-CN"/>
        </w:rPr>
        <w:t>安装</w:t>
      </w:r>
      <w:r>
        <w:t>防倾覆措施</w:t>
      </w:r>
    </w:p>
    <w:p w14:paraId="316B81BF">
      <w:pPr>
        <w:numPr>
          <w:ilvl w:val="0"/>
          <w:numId w:val="33"/>
        </w:numPr>
        <w:ind w:firstLineChars="0"/>
      </w:pPr>
      <w:r>
        <w:t>起重机行驶的道路必须平整、坚实、可靠、停放地点必须平坦。</w:t>
      </w:r>
    </w:p>
    <w:p w14:paraId="177C0328">
      <w:pPr>
        <w:numPr>
          <w:ilvl w:val="0"/>
          <w:numId w:val="4"/>
        </w:numPr>
        <w:ind w:firstLine="480"/>
      </w:pPr>
      <w:r>
        <w:t>起重机不得停放在斜坡道上工作，不允许起重机两条覆带或支腿停留部位一高一低或土质一硬一软。起重机前支腿必须支撑垫枕木。</w:t>
      </w:r>
    </w:p>
    <w:p w14:paraId="3F136DBB">
      <w:pPr>
        <w:numPr>
          <w:ilvl w:val="0"/>
          <w:numId w:val="4"/>
        </w:numPr>
        <w:ind w:firstLine="480"/>
      </w:pPr>
      <w:r>
        <w:t>起吊构件时，吊索要保持垂直，不得超出起重机回转半径斜向拖拉，以免超负荷和钢丝绳滑脱或拉断绳索而使起重机失稳。起吊重型构件时应设牵拉绳。</w:t>
      </w:r>
    </w:p>
    <w:p w14:paraId="2FEE3AF5">
      <w:pPr>
        <w:numPr>
          <w:ilvl w:val="0"/>
          <w:numId w:val="4"/>
        </w:numPr>
        <w:ind w:firstLine="480"/>
      </w:pPr>
      <w:r>
        <w:t>起重机操作时，臂杆提升、下降、回转要平稳，不得在空中摇晃，同时要尽量避免紧急制动或冲击振动等现象发生。未采取可靠的技术措施和未经有关技术部门批准，起重机严禁超负荷吊装，以避免加速机械零件的磨损和造成起重机倾翻。</w:t>
      </w:r>
    </w:p>
    <w:p w14:paraId="7BDEE667">
      <w:pPr>
        <w:numPr>
          <w:ilvl w:val="0"/>
          <w:numId w:val="4"/>
        </w:numPr>
        <w:ind w:firstLine="480"/>
      </w:pPr>
      <w:r>
        <w:t>起重机应尽量避免满负荷行驶；在满负荷或接近满负荷时，严禁同时进行提升与回转（起升与水平转动或起升行走）两种动作，以免因道路不平或惯性力等原因引起起重机超负荷而酿成翻车事故。</w:t>
      </w:r>
    </w:p>
    <w:p w14:paraId="613B78A6">
      <w:pPr>
        <w:numPr>
          <w:ilvl w:val="0"/>
          <w:numId w:val="4"/>
        </w:numPr>
        <w:ind w:firstLine="480"/>
      </w:pPr>
      <w:r>
        <w:t>吊装时，应有专人负责统一指挥，指挥人员应位于操作人员视力能及的地点，并能清楚地看到吊装的全过程。起重机驾驶人员必须熟悉信号，并按指挥人员的各种信号进行操作；指挥信号应事先统一规定，发出的信号要鲜明、准确。</w:t>
      </w:r>
    </w:p>
    <w:p w14:paraId="3777790B">
      <w:pPr>
        <w:numPr>
          <w:ilvl w:val="0"/>
          <w:numId w:val="4"/>
        </w:numPr>
        <w:ind w:firstLine="480"/>
      </w:pPr>
      <w:r>
        <w:t>在风力等于或大于5级时，禁止在露天进行起重机移动和吊装作业。</w:t>
      </w:r>
    </w:p>
    <w:p w14:paraId="73E19507">
      <w:pPr>
        <w:numPr>
          <w:ilvl w:val="0"/>
          <w:numId w:val="4"/>
        </w:numPr>
        <w:ind w:firstLine="480"/>
      </w:pPr>
      <w:r>
        <w:t>起重机停止工作时，应刹住回转和行走机构，锁好司机室门。吊钩上不得悬挂构件，并应升到高处，以免摆动伤人和造成汽车吊失稳。</w:t>
      </w:r>
    </w:p>
    <w:p w14:paraId="68DA347D">
      <w:pPr>
        <w:numPr>
          <w:ilvl w:val="0"/>
          <w:numId w:val="4"/>
        </w:numPr>
        <w:ind w:firstLine="480"/>
      </w:pPr>
      <w:r>
        <w:t>严格遵守《特种设备安全监察条例》等法律、法规的要求，驾驶员须持证上岗，并对起重机定期检查、维修等。</w:t>
      </w:r>
    </w:p>
    <w:p w14:paraId="018E6C42">
      <w:pPr>
        <w:numPr>
          <w:ilvl w:val="0"/>
          <w:numId w:val="4"/>
        </w:numPr>
        <w:ind w:firstLine="480"/>
      </w:pPr>
      <w:r>
        <w:t>对露天场地作业的起重机械应针对在各种季节中的气象特点，建立不同的工作制度和相应的预防措施。</w:t>
      </w:r>
    </w:p>
    <w:p w14:paraId="763EF7CA">
      <w:pPr>
        <w:pStyle w:val="6"/>
      </w:pPr>
      <w:r>
        <w:t>临时用电安全措施</w:t>
      </w:r>
    </w:p>
    <w:p w14:paraId="16BB61DB">
      <w:pPr>
        <w:numPr>
          <w:ilvl w:val="0"/>
          <w:numId w:val="34"/>
        </w:numPr>
        <w:ind w:firstLineChars="0"/>
      </w:pPr>
      <w:r>
        <w:t>严格执行《施工现场临时用电安全技术规范》（JGJ 46-2005），按照施工用电组织设计架设三相五线制的电气线路，所有电线均应架空，过道或穿墙均要用钢管或胶套管保护，严禁利用大地作为工作零线。认真贯彻《建筑施工安全检查标准》（JGJ 59-2011）中临时用电规定。</w:t>
      </w:r>
    </w:p>
    <w:p w14:paraId="10715C88">
      <w:pPr>
        <w:numPr>
          <w:ilvl w:val="0"/>
          <w:numId w:val="4"/>
        </w:numPr>
        <w:ind w:firstLine="480"/>
      </w:pPr>
      <w:r>
        <w:t>配电箱、开关箱内电气设备完好无缺。箱体下方进出线，开关箱应符合“一机一闸一漏一箱”的要求，门、锁完善，有防雨、防尘措施，箱内无杂物，箱前通道畅通，并应对电箱统一编号，刷上危险标志。保护零线（PE、绿/黄线）中间和末端必须重复接地，严禁与工作零线混接；产生振动的设备的重复接地不少于两处。</w:t>
      </w:r>
    </w:p>
    <w:p w14:paraId="2D107D9B">
      <w:pPr>
        <w:numPr>
          <w:ilvl w:val="0"/>
          <w:numId w:val="4"/>
        </w:numPr>
        <w:ind w:firstLine="480"/>
      </w:pPr>
      <w:r>
        <w:t>临时用电施工组织设计和临时安全用电技术措施及电气防火措施，必须由电气工程技术人员编制，技术负责人审核，经主管部门批准后实施。</w:t>
      </w:r>
    </w:p>
    <w:p w14:paraId="1D184005">
      <w:pPr>
        <w:numPr>
          <w:ilvl w:val="0"/>
          <w:numId w:val="4"/>
        </w:numPr>
        <w:ind w:firstLine="480"/>
      </w:pPr>
      <w:r>
        <w:t>拆除、维修或拆除临时用电工程，必须由持证电工完成，无证人员禁止上岗。电工等级应同工程的难易程度和技术复杂性相适应。</w:t>
      </w:r>
    </w:p>
    <w:p w14:paraId="35A9C90B">
      <w:pPr>
        <w:numPr>
          <w:ilvl w:val="0"/>
          <w:numId w:val="4"/>
        </w:numPr>
        <w:ind w:firstLine="480"/>
      </w:pPr>
      <w:r>
        <w:t>使用设备必须按规定穿戴和配备好相应的劳动保护用品，并应检查电气装置和保护设施是否完好，严禁设备带病运转和进行运转中维修。</w:t>
      </w:r>
    </w:p>
    <w:p w14:paraId="63BC6909">
      <w:pPr>
        <w:numPr>
          <w:ilvl w:val="0"/>
          <w:numId w:val="4"/>
        </w:numPr>
        <w:ind w:firstLine="480"/>
      </w:pPr>
      <w:r>
        <w:t>停用的设备必须拉闸断电，锁好开关箱。负载线、保护零线和开关箱发现问题应及时报告解决。搬迁或移动的用电设备，必须由专业电工切断电源并作妥善处理。</w:t>
      </w:r>
    </w:p>
    <w:p w14:paraId="508EFBA5">
      <w:pPr>
        <w:numPr>
          <w:ilvl w:val="0"/>
          <w:numId w:val="4"/>
        </w:numPr>
        <w:ind w:firstLine="480"/>
      </w:pPr>
      <w:r>
        <w:t>按规范做好施工现场临时安全用电的安全技术档案。</w:t>
      </w:r>
    </w:p>
    <w:p w14:paraId="17FC7AF0">
      <w:pPr>
        <w:numPr>
          <w:ilvl w:val="0"/>
          <w:numId w:val="4"/>
        </w:numPr>
        <w:ind w:firstLine="480"/>
      </w:pPr>
      <w:r>
        <w:t>在建工程与外电线路的安全距离及外电防护和接地与防雷等应严格按规范执行。</w:t>
      </w:r>
    </w:p>
    <w:p w14:paraId="2204BE88">
      <w:pPr>
        <w:numPr>
          <w:ilvl w:val="0"/>
          <w:numId w:val="4"/>
        </w:numPr>
        <w:ind w:firstLine="480"/>
      </w:pPr>
      <w:r>
        <w:t>配电线路的架空线必须采用绝缘铜线和绝缘铝线。架空线必须设置在专用电杆上。</w:t>
      </w:r>
    </w:p>
    <w:p w14:paraId="35D929A9">
      <w:pPr>
        <w:numPr>
          <w:ilvl w:val="0"/>
          <w:numId w:val="4"/>
        </w:numPr>
        <w:ind w:firstLine="480"/>
      </w:pPr>
      <w:r>
        <w:t>空线的接头、相序排列、档距、线间距离及横担的垂直距离和横担的选择及规格，严格执行规范规定。</w:t>
      </w:r>
    </w:p>
    <w:p w14:paraId="363A80B5">
      <w:pPr>
        <w:numPr>
          <w:ilvl w:val="0"/>
          <w:numId w:val="4"/>
        </w:numPr>
        <w:ind w:firstLine="480"/>
      </w:pPr>
      <w:r>
        <w:t>动力配电箱与照明配电箱应分别设置，如合置在同一配电箱内，动力和照明线路应分路设置。</w:t>
      </w:r>
    </w:p>
    <w:p w14:paraId="5E7AA833">
      <w:pPr>
        <w:numPr>
          <w:ilvl w:val="0"/>
          <w:numId w:val="4"/>
        </w:numPr>
        <w:ind w:firstLine="480"/>
      </w:pPr>
      <w:r>
        <w:t>开关箱应由末级配电箱配电，配电箱、开关箱制作所用的材料、箱的规格设置要求及拆除技术应按规范执行。配电箱、开关箱最好购合格的成品使用。</w:t>
      </w:r>
    </w:p>
    <w:p w14:paraId="1688E249">
      <w:pPr>
        <w:numPr>
          <w:ilvl w:val="0"/>
          <w:numId w:val="4"/>
        </w:numPr>
        <w:ind w:firstLine="480"/>
      </w:pPr>
      <w:r>
        <w:t>配电箱、开关箱内的开关电器拆除，绝缘要求和箱壳保护接零应按规范执行。</w:t>
      </w:r>
    </w:p>
    <w:p w14:paraId="3FF249AF">
      <w:pPr>
        <w:numPr>
          <w:ilvl w:val="0"/>
          <w:numId w:val="4"/>
        </w:numPr>
        <w:ind w:firstLine="480"/>
      </w:pPr>
      <w:r>
        <w:t>严禁用同一个开关电器直接控制2台及2台以上用电设备（含插座）。</w:t>
      </w:r>
    </w:p>
    <w:p w14:paraId="330F877C">
      <w:pPr>
        <w:numPr>
          <w:ilvl w:val="0"/>
          <w:numId w:val="4"/>
        </w:numPr>
        <w:ind w:firstLine="480"/>
      </w:pPr>
      <w:r>
        <w:t>开关箱内必须装设漏电保护器，漏电保护器的选择应符合要求。漏电保护器的拆除要求和额定漏电动作应符合规范要求。</w:t>
      </w:r>
    </w:p>
    <w:p w14:paraId="6778EE27">
      <w:pPr>
        <w:numPr>
          <w:ilvl w:val="0"/>
          <w:numId w:val="4"/>
        </w:numPr>
        <w:ind w:firstLine="480"/>
      </w:pPr>
      <w:r>
        <w:t>配电箱和开关箱中两级漏电保护器的额定漏电动作时间作合理配合，使之具有分段保护的功能。</w:t>
      </w:r>
    </w:p>
    <w:p w14:paraId="45F47CF5">
      <w:pPr>
        <w:numPr>
          <w:ilvl w:val="0"/>
          <w:numId w:val="4"/>
        </w:numPr>
        <w:ind w:firstLine="480"/>
      </w:pPr>
      <w:r>
        <w:t>手动开关电器只许用于直接控制照明电器和容量不大于5.5kW动力电路。容量大于5.5kW的动力电路应采用自动开关电器或降压启动装置控制。各种开关电器的额定值与其控制用电设备的额定值相适应。</w:t>
      </w:r>
    </w:p>
    <w:p w14:paraId="2B6E3764">
      <w:pPr>
        <w:numPr>
          <w:ilvl w:val="0"/>
          <w:numId w:val="4"/>
        </w:numPr>
        <w:ind w:firstLine="480"/>
      </w:pPr>
      <w:r>
        <w:t>对配电箱、开关箱进行检查、维修时，必须将其前一级相应的电源开关分闸断电，并悬挂停电检修标志牌，严禁带电作业。</w:t>
      </w:r>
    </w:p>
    <w:p w14:paraId="3D707EDF">
      <w:pPr>
        <w:numPr>
          <w:ilvl w:val="0"/>
          <w:numId w:val="4"/>
        </w:numPr>
        <w:ind w:firstLine="480"/>
      </w:pPr>
      <w:r>
        <w:t>移动的用电设备使用的电源线路，必须使用绝缘胶套管式电缆。</w:t>
      </w:r>
    </w:p>
    <w:p w14:paraId="49C3DEDD">
      <w:pPr>
        <w:numPr>
          <w:ilvl w:val="0"/>
          <w:numId w:val="4"/>
        </w:numPr>
        <w:ind w:firstLine="480"/>
      </w:pPr>
      <w:r>
        <w:t>用电设备和电气线路必须有保护接零。</w:t>
      </w:r>
    </w:p>
    <w:p w14:paraId="49F14863">
      <w:pPr>
        <w:numPr>
          <w:ilvl w:val="0"/>
          <w:numId w:val="4"/>
        </w:numPr>
        <w:ind w:firstLine="480"/>
      </w:pPr>
      <w:r>
        <w:t>电动工具、机械设备有良好的接地装置，所用电源有可靠的触电保护器。阴雨天气及在潮湿部位工作所使用的电动工机具、机械、工作人员的劳保用品必须符合有关的要求。</w:t>
      </w:r>
    </w:p>
    <w:p w14:paraId="04A1DD56">
      <w:pPr>
        <w:numPr>
          <w:ilvl w:val="0"/>
          <w:numId w:val="4"/>
        </w:numPr>
        <w:ind w:firstLine="480"/>
      </w:pPr>
      <w:r>
        <w:t>严禁施工现场非正式电工乱接用电线和拆除用电开关。</w:t>
      </w:r>
    </w:p>
    <w:p w14:paraId="33366526">
      <w:pPr>
        <w:numPr>
          <w:ilvl w:val="0"/>
          <w:numId w:val="4"/>
        </w:numPr>
        <w:ind w:firstLine="480"/>
      </w:pPr>
      <w:r>
        <w:t>残缺绝缘盖的闸刀开关禁止使用，开关不得采用铜、铁、铝线作熔断保险丝。</w:t>
      </w:r>
    </w:p>
    <w:p w14:paraId="2B53A7CE">
      <w:pPr>
        <w:numPr>
          <w:ilvl w:val="0"/>
          <w:numId w:val="4"/>
        </w:numPr>
        <w:ind w:firstLine="480"/>
      </w:pPr>
      <w:r>
        <w:t>在施工现场设置围栏、警示牌、夜间警示灯，以告示行人。</w:t>
      </w:r>
    </w:p>
    <w:p w14:paraId="7FD5FABF">
      <w:pPr>
        <w:pStyle w:val="6"/>
        <w:bidi w:val="0"/>
        <w:rPr>
          <w:rFonts w:hint="default"/>
          <w:lang w:val="en-US" w:eastAsia="zh-CN"/>
        </w:rPr>
      </w:pPr>
      <w:r>
        <w:rPr>
          <w:rFonts w:hint="default"/>
          <w:lang w:val="en-US" w:eastAsia="zh-CN"/>
        </w:rPr>
        <w:t>交叉作业安全措施</w:t>
      </w:r>
    </w:p>
    <w:p w14:paraId="4EBC8AC1">
      <w:pPr>
        <w:numPr>
          <w:ilvl w:val="0"/>
          <w:numId w:val="35"/>
        </w:numPr>
        <w:spacing w:line="360" w:lineRule="auto"/>
        <w:ind w:left="0" w:firstLine="480" w:firstLineChars="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交叉作业要设安全栏杆、安全网、防护棚和示警围栏;夜间工作要有足够照明;高空作业施工人员必须体检合格,作业时须带安全帽，不准穿凉鞋、硬底鞋、塑料鞋及赤脚攀登;作业中不准将工具、材料上、下投掷,要用绳索绑牢后吊运;六级以上大风时不能施工工作；</w:t>
      </w:r>
    </w:p>
    <w:p w14:paraId="266D5516">
      <w:pPr>
        <w:numPr>
          <w:ilvl w:val="0"/>
          <w:numId w:val="35"/>
        </w:numPr>
        <w:spacing w:line="360" w:lineRule="auto"/>
        <w:ind w:left="0" w:firstLine="480" w:firstLineChars="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在同一作业区域内进行起重吊装作业时;应充分考虑对各方工作的安全影响</w:t>
      </w:r>
      <w:r>
        <w:rPr>
          <w:rFonts w:hint="eastAsia" w:ascii="Times New Roman" w:hAnsi="Times New Roman" w:eastAsia="宋体" w:cs="Times New Roman"/>
          <w:sz w:val="24"/>
          <w:szCs w:val="21"/>
          <w:lang w:eastAsia="zh-CN"/>
        </w:rPr>
        <w:t>，</w:t>
      </w:r>
      <w:r>
        <w:rPr>
          <w:rFonts w:hint="default" w:ascii="Times New Roman" w:hAnsi="Times New Roman" w:eastAsia="宋体" w:cs="Times New Roman"/>
          <w:sz w:val="24"/>
          <w:szCs w:val="21"/>
        </w:rPr>
        <w:t>制定起重吊装方案和安全措施。指派专业人员负责统一指挥,检查现场安全和措施符合要求后,方可进行起重吊装作业；</w:t>
      </w:r>
    </w:p>
    <w:p w14:paraId="46EFEB4E">
      <w:pPr>
        <w:numPr>
          <w:ilvl w:val="0"/>
          <w:numId w:val="35"/>
        </w:numPr>
        <w:spacing w:line="360" w:lineRule="auto"/>
        <w:ind w:left="0" w:firstLine="480" w:firstLineChars="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与起重作业无关的人员不准进入作业现场, 吊物运行路线下方所有人员应无条件撤离;指挥人员站位应便于指挥和了望, 不得与起吊路线交叉；</w:t>
      </w:r>
    </w:p>
    <w:p w14:paraId="27D3F38E">
      <w:pPr>
        <w:numPr>
          <w:ilvl w:val="0"/>
          <w:numId w:val="35"/>
        </w:numPr>
        <w:spacing w:line="360" w:lineRule="auto"/>
        <w:ind w:left="0" w:firstLine="480" w:firstLineChars="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作业人员与被吊物体必须保持有效的安全距离。索具与吊物应捆绑牢固、采取防滑措施，吊钩应有安全装置;吊装作业前,起重指挥人员通知有关人员撤离,确认吊物下方及吊物行走路线范围无人员及障碍物，方可起吊；</w:t>
      </w:r>
    </w:p>
    <w:p w14:paraId="19692CBE">
      <w:pPr>
        <w:numPr>
          <w:ilvl w:val="0"/>
          <w:numId w:val="35"/>
        </w:numPr>
        <w:spacing w:line="360" w:lineRule="auto"/>
        <w:ind w:left="0" w:firstLine="480" w:firstLineChars="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在同一作业区域内进行焊接（动火）作业时;施工单位必须事先作好防护</w:t>
      </w:r>
      <w:r>
        <w:rPr>
          <w:rFonts w:hint="eastAsia" w:ascii="Times New Roman" w:hAnsi="Times New Roman" w:eastAsia="宋体" w:cs="Times New Roman"/>
          <w:sz w:val="24"/>
          <w:szCs w:val="21"/>
          <w:lang w:eastAsia="zh-CN"/>
        </w:rPr>
        <w:t>，</w:t>
      </w:r>
      <w:r>
        <w:rPr>
          <w:rFonts w:hint="default" w:ascii="Times New Roman" w:hAnsi="Times New Roman" w:eastAsia="宋体" w:cs="Times New Roman"/>
          <w:sz w:val="24"/>
          <w:szCs w:val="21"/>
        </w:rPr>
        <w:t>并配备合格的消防灭火器材,消除现场易燃易爆物品。无法清除易燃物品时,应与焊接（动火）作业保持适当的安全距离并采取隔离和防护措施。</w:t>
      </w:r>
    </w:p>
    <w:p w14:paraId="418BDAED">
      <w:pPr>
        <w:pStyle w:val="6"/>
      </w:pPr>
      <w:r>
        <w:t>强制性条文和具体措施</w:t>
      </w:r>
    </w:p>
    <w:p w14:paraId="47D1A5D5">
      <w:pPr>
        <w:ind w:firstLine="480"/>
      </w:pPr>
      <w:r>
        <w:t>（1）应执行的强制性条文</w:t>
      </w:r>
    </w:p>
    <w:p w14:paraId="6CF5AE37">
      <w:pPr>
        <w:ind w:firstLine="480"/>
      </w:pPr>
      <w:r>
        <w:t>起重机行程限位开关动作后，应能自动切断相关电源。起重量限制器的调试，应符合下列要求：起重限制器综合误差，不应大于5%；当载荷达到额定起重量的95%时，应能发出提示性报警信号；当载荷达到额定起重量的110%时，应能自动切断起升机构电动机的电源，并应发出禁止性报警信号。</w:t>
      </w:r>
    </w:p>
    <w:p w14:paraId="06BD4A74">
      <w:pPr>
        <w:ind w:firstLine="480"/>
      </w:pPr>
      <w:r>
        <w:t>（2）具体措施</w:t>
      </w:r>
    </w:p>
    <w:p w14:paraId="1DE243AF">
      <w:pPr>
        <w:ind w:firstLine="480"/>
      </w:pPr>
      <w:r>
        <w:t>电气系统的验收作为整机验收的一部分，调试不合格不得投入使用。</w:t>
      </w:r>
    </w:p>
    <w:p w14:paraId="2CFAEBEF">
      <w:pPr>
        <w:pStyle w:val="5"/>
      </w:pPr>
      <w:bookmarkStart w:id="119" w:name="_Toc114212096"/>
      <w:bookmarkStart w:id="120" w:name="_Toc117245042"/>
      <w:bookmarkStart w:id="121" w:name="_Toc8855"/>
      <w:r>
        <w:t>监管措施</w:t>
      </w:r>
      <w:bookmarkEnd w:id="112"/>
      <w:bookmarkEnd w:id="119"/>
      <w:bookmarkEnd w:id="120"/>
      <w:bookmarkEnd w:id="121"/>
    </w:p>
    <w:p w14:paraId="3C521F27">
      <w:pPr>
        <w:ind w:firstLine="480"/>
      </w:pPr>
      <w:r>
        <w:t>为落实</w:t>
      </w:r>
      <w:r>
        <w:rPr>
          <w:rFonts w:hint="eastAsia"/>
        </w:rPr>
        <w:t>塔式起重机</w:t>
      </w:r>
      <w:r>
        <w:t>起重机拆除安全管理工作，项目部采取以下监管措施：</w:t>
      </w:r>
    </w:p>
    <w:p w14:paraId="70DD6CF2">
      <w:pPr>
        <w:ind w:firstLine="480"/>
      </w:pPr>
      <w:r>
        <w:t>（1）现场安全、技术管理人员必须参与作业施工方案的编制，熟悉方案。</w:t>
      </w:r>
    </w:p>
    <w:p w14:paraId="75B08F74">
      <w:pPr>
        <w:ind w:firstLine="480"/>
      </w:pPr>
      <w:r>
        <w:t>（2）拆除作业时必须按施工组织设备要求配置相关人员。</w:t>
      </w:r>
    </w:p>
    <w:p w14:paraId="66A544B4">
      <w:pPr>
        <w:ind w:firstLine="480"/>
      </w:pPr>
      <w:r>
        <w:t>现场安全员监督操作人员是否按施工方案几安全操作规程进行操作，并督促操作人员按规定正确使用安全防护用品。</w:t>
      </w:r>
    </w:p>
    <w:p w14:paraId="4D6761F6">
      <w:pPr>
        <w:ind w:firstLine="480"/>
      </w:pPr>
      <w:r>
        <w:t>（3）专职安全人员对操作人员的操作实施全程监控，发现不良行为及时制</w:t>
      </w:r>
    </w:p>
    <w:p w14:paraId="6540F5BF">
      <w:pPr>
        <w:ind w:firstLine="480"/>
      </w:pPr>
      <w:r>
        <w:t>止纠正。</w:t>
      </w:r>
    </w:p>
    <w:p w14:paraId="6830A870">
      <w:pPr>
        <w:ind w:firstLine="480"/>
      </w:pPr>
      <w:r>
        <w:t>（4）现场管理人员必须留存影像、图片、纸质资料并建立每日汇报机制。</w:t>
      </w:r>
    </w:p>
    <w:p w14:paraId="602C0F91">
      <w:pPr>
        <w:ind w:firstLine="480"/>
      </w:pPr>
      <w:r>
        <w:t>（5）带班领导随机抽查现场落实情况。</w:t>
      </w:r>
    </w:p>
    <w:p w14:paraId="7894600F">
      <w:pPr>
        <w:ind w:firstLine="480"/>
      </w:pPr>
      <w:r>
        <w:t>（6）每项工作完成后必须进行验收后方可开展下道工序。</w:t>
      </w:r>
    </w:p>
    <w:bookmarkEnd w:id="113"/>
    <w:bookmarkEnd w:id="114"/>
    <w:bookmarkEnd w:id="115"/>
    <w:bookmarkEnd w:id="116"/>
    <w:bookmarkEnd w:id="117"/>
    <w:bookmarkEnd w:id="118"/>
    <w:p w14:paraId="4309C380">
      <w:pPr>
        <w:widowControl/>
        <w:spacing w:line="240" w:lineRule="auto"/>
        <w:ind w:firstLine="0" w:firstLineChars="0"/>
        <w:jc w:val="left"/>
        <w:rPr>
          <w:b/>
          <w:bCs/>
          <w:kern w:val="44"/>
          <w:sz w:val="32"/>
          <w:szCs w:val="44"/>
        </w:rPr>
      </w:pPr>
      <w:r>
        <w:br w:type="page"/>
      </w:r>
    </w:p>
    <w:p w14:paraId="7605E2BD">
      <w:pPr>
        <w:pStyle w:val="4"/>
      </w:pPr>
      <w:r>
        <w:rPr>
          <w:rFonts w:hint="eastAsia"/>
        </w:rPr>
        <w:t xml:space="preserve"> </w:t>
      </w:r>
      <w:bookmarkStart w:id="122" w:name="_Toc117245043"/>
      <w:bookmarkStart w:id="123" w:name="_Toc29423"/>
      <w:r>
        <w:rPr>
          <w:rFonts w:hint="eastAsia"/>
        </w:rPr>
        <w:t>施工管理及作业人员配备和分工</w:t>
      </w:r>
      <w:bookmarkEnd w:id="102"/>
      <w:bookmarkEnd w:id="103"/>
      <w:bookmarkEnd w:id="104"/>
      <w:bookmarkEnd w:id="122"/>
      <w:bookmarkEnd w:id="123"/>
    </w:p>
    <w:p w14:paraId="75CB6012">
      <w:pPr>
        <w:pStyle w:val="5"/>
      </w:pPr>
      <w:bookmarkStart w:id="124" w:name="_Toc117245044"/>
      <w:bookmarkStart w:id="125" w:name="_Toc66805130"/>
      <w:bookmarkStart w:id="126" w:name="_Toc14202"/>
      <w:r>
        <w:rPr>
          <w:rFonts w:hint="eastAsia"/>
        </w:rPr>
        <w:t>施工组织机构</w:t>
      </w:r>
      <w:bookmarkEnd w:id="124"/>
      <w:bookmarkEnd w:id="125"/>
      <w:bookmarkEnd w:id="126"/>
    </w:p>
    <w:p w14:paraId="379764D9">
      <w:pPr>
        <w:ind w:firstLine="0" w:firstLineChars="0"/>
        <w:jc w:val="center"/>
        <w:rPr>
          <w:b/>
          <w:sz w:val="21"/>
          <w:szCs w:val="22"/>
        </w:rPr>
      </w:pPr>
      <w:r>
        <w:rPr>
          <w:rFonts w:hint="default" w:ascii="Times New Roman" w:hAnsi="Times New Roman" w:cs="Times New Roman"/>
          <w:color w:val="auto"/>
          <w:kern w:val="2"/>
          <w:szCs w:val="22"/>
        </w:rPr>
        <w:object>
          <v:shape id="_x0000_i1027" o:spt="75" type="#_x0000_t75" style="height:101.05pt;width:427.95pt;" o:ole="t" filled="f" o:preferrelative="t" stroked="f" coordsize="21600,21600">
            <v:path/>
            <v:fill on="f" focussize="0,0"/>
            <v:stroke on="f"/>
            <v:imagedata r:id="rId78" o:title=""/>
            <o:lock v:ext="edit" aspectratio="t"/>
            <w10:wrap type="none"/>
            <w10:anchorlock/>
          </v:shape>
          <o:OLEObject Type="Embed" ProgID="Visio.Drawing.15" ShapeID="_x0000_i1027" DrawAspect="Content" ObjectID="_1468075726" r:id="rId77">
            <o:LockedField>false</o:LockedField>
          </o:OLEObject>
        </w:object>
      </w:r>
      <w:r>
        <w:rPr>
          <w:rFonts w:hint="eastAsia"/>
          <w:b/>
          <w:sz w:val="21"/>
          <w:szCs w:val="22"/>
        </w:rPr>
        <w:t>图7.1-1 施工组织机构图</w:t>
      </w:r>
    </w:p>
    <w:p w14:paraId="723E8B38">
      <w:pPr>
        <w:pStyle w:val="5"/>
      </w:pPr>
      <w:bookmarkStart w:id="127" w:name="_Toc117245045"/>
      <w:bookmarkStart w:id="128" w:name="_Toc66805131"/>
      <w:bookmarkStart w:id="129" w:name="_Toc11733"/>
      <w:r>
        <w:rPr>
          <w:rFonts w:hint="eastAsia"/>
        </w:rPr>
        <w:t>人员配置</w:t>
      </w:r>
      <w:bookmarkEnd w:id="127"/>
      <w:bookmarkEnd w:id="128"/>
      <w:bookmarkEnd w:id="129"/>
    </w:p>
    <w:p w14:paraId="626FB6ED">
      <w:pPr>
        <w:pStyle w:val="46"/>
        <w:rPr>
          <w:rFonts w:hint="default" w:ascii="Times New Roman" w:hAnsi="Times New Roman" w:cs="Times New Roman"/>
        </w:rPr>
      </w:pPr>
      <w:r>
        <w:rPr>
          <w:rFonts w:hint="default" w:ascii="Times New Roman" w:hAnsi="Times New Roman" w:cs="Times New Roman"/>
        </w:rPr>
        <w:t>表7.2-</w:t>
      </w:r>
      <w:r>
        <w:rPr>
          <w:rFonts w:hint="default" w:ascii="Times New Roman" w:hAnsi="Times New Roman" w:cs="Times New Roman"/>
          <w:lang w:val="en-US" w:eastAsia="zh-CN"/>
        </w:rPr>
        <w:t>1</w:t>
      </w:r>
      <w:r>
        <w:rPr>
          <w:rFonts w:hint="eastAsia" w:cs="Times New Roman"/>
          <w:lang w:eastAsia="zh-CN"/>
        </w:rPr>
        <w:t>安装</w:t>
      </w:r>
      <w:r>
        <w:rPr>
          <w:rFonts w:hint="default" w:ascii="Times New Roman" w:hAnsi="Times New Roman" w:cs="Times New Roman"/>
        </w:rPr>
        <w:t>作业人员</w:t>
      </w:r>
    </w:p>
    <w:tbl>
      <w:tblPr>
        <w:tblStyle w:val="30"/>
        <w:tblW w:w="461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74" w:type="dxa"/>
          <w:bottom w:w="0" w:type="dxa"/>
          <w:right w:w="74" w:type="dxa"/>
        </w:tblCellMar>
      </w:tblPr>
      <w:tblGrid>
        <w:gridCol w:w="416"/>
        <w:gridCol w:w="1601"/>
        <w:gridCol w:w="1276"/>
        <w:gridCol w:w="2268"/>
        <w:gridCol w:w="2249"/>
      </w:tblGrid>
      <w:tr w14:paraId="2C75EC7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tblHeader/>
          <w:jc w:val="center"/>
        </w:trPr>
        <w:tc>
          <w:tcPr>
            <w:tcW w:w="266" w:type="pct"/>
            <w:shd w:val="clear" w:color="auto" w:fill="auto"/>
            <w:vAlign w:val="center"/>
          </w:tcPr>
          <w:p w14:paraId="4E349281">
            <w:pPr>
              <w:pStyle w:val="15"/>
              <w:rPr>
                <w:rFonts w:hint="default" w:ascii="Times New Roman" w:hAnsi="Times New Roman" w:cs="Times New Roman"/>
              </w:rPr>
            </w:pPr>
            <w:r>
              <w:rPr>
                <w:rFonts w:hint="default" w:ascii="Times New Roman" w:hAnsi="Times New Roman" w:cs="Times New Roman"/>
              </w:rPr>
              <w:t>序号</w:t>
            </w:r>
          </w:p>
        </w:tc>
        <w:tc>
          <w:tcPr>
            <w:tcW w:w="1024" w:type="pct"/>
            <w:shd w:val="clear" w:color="auto" w:fill="auto"/>
            <w:vAlign w:val="center"/>
          </w:tcPr>
          <w:p w14:paraId="616419AF">
            <w:pPr>
              <w:pStyle w:val="15"/>
              <w:rPr>
                <w:rFonts w:hint="default" w:ascii="Times New Roman" w:hAnsi="Times New Roman" w:cs="Times New Roman"/>
              </w:rPr>
            </w:pPr>
            <w:r>
              <w:rPr>
                <w:rFonts w:hint="default" w:ascii="Times New Roman" w:hAnsi="Times New Roman" w:cs="Times New Roman"/>
              </w:rPr>
              <w:t>姓名</w:t>
            </w:r>
          </w:p>
        </w:tc>
        <w:tc>
          <w:tcPr>
            <w:tcW w:w="816" w:type="pct"/>
            <w:shd w:val="clear" w:color="auto" w:fill="auto"/>
            <w:vAlign w:val="center"/>
          </w:tcPr>
          <w:p w14:paraId="69F844B1">
            <w:pPr>
              <w:pStyle w:val="15"/>
              <w:rPr>
                <w:rFonts w:hint="default" w:ascii="Times New Roman" w:hAnsi="Times New Roman" w:cs="Times New Roman"/>
              </w:rPr>
            </w:pPr>
            <w:r>
              <w:rPr>
                <w:rFonts w:hint="default" w:ascii="Times New Roman" w:hAnsi="Times New Roman" w:cs="Times New Roman"/>
              </w:rPr>
              <w:t>性别</w:t>
            </w:r>
          </w:p>
        </w:tc>
        <w:tc>
          <w:tcPr>
            <w:tcW w:w="1451" w:type="pct"/>
            <w:shd w:val="clear" w:color="auto" w:fill="auto"/>
            <w:vAlign w:val="center"/>
          </w:tcPr>
          <w:p w14:paraId="650B209E">
            <w:pPr>
              <w:pStyle w:val="15"/>
              <w:rPr>
                <w:rFonts w:hint="default" w:ascii="Times New Roman" w:hAnsi="Times New Roman" w:cs="Times New Roman"/>
              </w:rPr>
            </w:pPr>
            <w:r>
              <w:rPr>
                <w:rFonts w:hint="default" w:ascii="Times New Roman" w:hAnsi="Times New Roman" w:cs="Times New Roman"/>
              </w:rPr>
              <w:t>工种</w:t>
            </w:r>
          </w:p>
        </w:tc>
        <w:tc>
          <w:tcPr>
            <w:tcW w:w="1439" w:type="pct"/>
            <w:shd w:val="clear" w:color="auto" w:fill="auto"/>
            <w:vAlign w:val="center"/>
          </w:tcPr>
          <w:p w14:paraId="7F7A2CFC">
            <w:pPr>
              <w:pStyle w:val="15"/>
              <w:rPr>
                <w:rFonts w:hint="default" w:ascii="Times New Roman" w:hAnsi="Times New Roman" w:cs="Times New Roman"/>
              </w:rPr>
            </w:pPr>
            <w:r>
              <w:rPr>
                <w:rFonts w:hint="default" w:ascii="Times New Roman" w:hAnsi="Times New Roman" w:cs="Times New Roman"/>
              </w:rPr>
              <w:t>备注</w:t>
            </w:r>
          </w:p>
        </w:tc>
      </w:tr>
      <w:tr w14:paraId="5C9542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41309D7F">
            <w:pPr>
              <w:pStyle w:val="15"/>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b w:val="0"/>
                <w:bCs/>
              </w:rPr>
            </w:pPr>
            <w:r>
              <w:rPr>
                <w:rFonts w:hint="default" w:ascii="Times New Roman" w:hAnsi="Times New Roman" w:cs="Times New Roman"/>
                <w:b w:val="0"/>
                <w:bCs/>
              </w:rPr>
              <w:t>1</w:t>
            </w:r>
          </w:p>
        </w:tc>
        <w:tc>
          <w:tcPr>
            <w:tcW w:w="1024" w:type="pct"/>
            <w:shd w:val="clear" w:color="auto" w:fill="auto"/>
            <w:vAlign w:val="top"/>
          </w:tcPr>
          <w:p w14:paraId="1A43B81E">
            <w:pPr>
              <w:pStyle w:val="15"/>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温涛</w:t>
            </w:r>
          </w:p>
        </w:tc>
        <w:tc>
          <w:tcPr>
            <w:tcW w:w="816" w:type="pct"/>
            <w:shd w:val="clear" w:color="auto" w:fill="auto"/>
            <w:vAlign w:val="center"/>
          </w:tcPr>
          <w:p w14:paraId="25E74AD3">
            <w:pPr>
              <w:pStyle w:val="15"/>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37C33B1B">
            <w:pPr>
              <w:pStyle w:val="15"/>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技术负责人</w:t>
            </w:r>
          </w:p>
        </w:tc>
        <w:tc>
          <w:tcPr>
            <w:tcW w:w="1439" w:type="pct"/>
            <w:vMerge w:val="restart"/>
            <w:shd w:val="clear" w:color="auto" w:fill="auto"/>
            <w:vAlign w:val="center"/>
          </w:tcPr>
          <w:p w14:paraId="6E2D96F2">
            <w:pPr>
              <w:pStyle w:val="15"/>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b w:val="0"/>
                <w:bCs/>
              </w:rPr>
            </w:pPr>
            <w:r>
              <w:rPr>
                <w:rFonts w:hint="default" w:ascii="Times New Roman" w:hAnsi="Times New Roman" w:cs="Times New Roman"/>
                <w:b w:val="0"/>
                <w:bCs/>
              </w:rPr>
              <w:t>特种作业人员证件见附件</w:t>
            </w:r>
          </w:p>
        </w:tc>
      </w:tr>
      <w:tr w14:paraId="3255FB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3911762B">
            <w:pPr>
              <w:pStyle w:val="15"/>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b w:val="0"/>
                <w:bCs/>
              </w:rPr>
            </w:pPr>
            <w:r>
              <w:rPr>
                <w:rFonts w:hint="default" w:ascii="Times New Roman" w:hAnsi="Times New Roman" w:cs="Times New Roman"/>
                <w:b w:val="0"/>
                <w:bCs/>
              </w:rPr>
              <w:t>2</w:t>
            </w:r>
          </w:p>
        </w:tc>
        <w:tc>
          <w:tcPr>
            <w:tcW w:w="1024" w:type="pct"/>
            <w:shd w:val="clear" w:color="auto" w:fill="auto"/>
            <w:vAlign w:val="top"/>
          </w:tcPr>
          <w:p w14:paraId="37F215B1">
            <w:pPr>
              <w:pStyle w:val="15"/>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lang w:val="en-US" w:eastAsia="zh-CN"/>
              </w:rPr>
            </w:pPr>
            <w:r>
              <w:rPr>
                <w:rFonts w:hint="eastAsia" w:cs="Times New Roman"/>
                <w:b w:val="0"/>
                <w:bCs/>
                <w:lang w:val="en-US" w:eastAsia="zh-CN"/>
              </w:rPr>
              <w:t>吕仕昌</w:t>
            </w:r>
          </w:p>
        </w:tc>
        <w:tc>
          <w:tcPr>
            <w:tcW w:w="816" w:type="pct"/>
            <w:shd w:val="clear" w:color="auto" w:fill="auto"/>
            <w:vAlign w:val="center"/>
          </w:tcPr>
          <w:p w14:paraId="5637B6F3">
            <w:pPr>
              <w:pStyle w:val="15"/>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6E7D2C91">
            <w:pPr>
              <w:pStyle w:val="15"/>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eastAsia" w:cs="Times New Roman"/>
                <w:b w:val="0"/>
                <w:bCs/>
                <w:lang w:val="en-US" w:eastAsia="zh-CN"/>
              </w:rPr>
              <w:t>项目</w:t>
            </w:r>
            <w:r>
              <w:rPr>
                <w:rFonts w:hint="default" w:ascii="Times New Roman" w:hAnsi="Times New Roman" w:cs="Times New Roman"/>
                <w:b w:val="0"/>
                <w:bCs/>
              </w:rPr>
              <w:t>负责人</w:t>
            </w:r>
          </w:p>
        </w:tc>
        <w:tc>
          <w:tcPr>
            <w:tcW w:w="1439" w:type="pct"/>
            <w:vMerge w:val="continue"/>
            <w:shd w:val="clear" w:color="auto" w:fill="auto"/>
          </w:tcPr>
          <w:p w14:paraId="5E772FA0">
            <w:pPr>
              <w:pStyle w:val="15"/>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25B46C6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67625E5E">
            <w:pPr>
              <w:pStyle w:val="15"/>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b w:val="0"/>
                <w:bCs/>
              </w:rPr>
            </w:pPr>
            <w:r>
              <w:rPr>
                <w:rFonts w:hint="default" w:ascii="Times New Roman" w:hAnsi="Times New Roman" w:cs="Times New Roman"/>
                <w:b w:val="0"/>
                <w:bCs/>
              </w:rPr>
              <w:t>3</w:t>
            </w:r>
          </w:p>
        </w:tc>
        <w:tc>
          <w:tcPr>
            <w:tcW w:w="1024" w:type="pct"/>
            <w:shd w:val="clear" w:color="auto" w:fill="auto"/>
            <w:vAlign w:val="top"/>
          </w:tcPr>
          <w:p w14:paraId="593B2FC3">
            <w:pPr>
              <w:pStyle w:val="15"/>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罗乾龙</w:t>
            </w:r>
          </w:p>
        </w:tc>
        <w:tc>
          <w:tcPr>
            <w:tcW w:w="816" w:type="pct"/>
            <w:shd w:val="clear" w:color="auto" w:fill="auto"/>
            <w:vAlign w:val="center"/>
          </w:tcPr>
          <w:p w14:paraId="5DF21A7D">
            <w:pPr>
              <w:pStyle w:val="15"/>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5C234966">
            <w:pPr>
              <w:pStyle w:val="15"/>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现场负责人</w:t>
            </w:r>
          </w:p>
        </w:tc>
        <w:tc>
          <w:tcPr>
            <w:tcW w:w="1439" w:type="pct"/>
            <w:vMerge w:val="continue"/>
            <w:shd w:val="clear" w:color="auto" w:fill="auto"/>
          </w:tcPr>
          <w:p w14:paraId="3A5B2C0F">
            <w:pPr>
              <w:pStyle w:val="15"/>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38DF82C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0E1EC35D">
            <w:pPr>
              <w:pStyle w:val="15"/>
              <w:keepNext w:val="0"/>
              <w:keepLines w:val="0"/>
              <w:pageBreakBefore w:val="0"/>
              <w:widowControl w:val="0"/>
              <w:kinsoku/>
              <w:wordWrap/>
              <w:overflowPunct/>
              <w:topLinePunct w:val="0"/>
              <w:autoSpaceDE/>
              <w:autoSpaceDN/>
              <w:bidi w:val="0"/>
              <w:adjustRightInd/>
              <w:snapToGrid/>
              <w:rPr>
                <w:rFonts w:hint="eastAsia" w:ascii="Times New Roman" w:hAnsi="Times New Roman" w:eastAsia="宋体" w:cs="Times New Roman"/>
                <w:b w:val="0"/>
                <w:bCs/>
                <w:lang w:val="en-US" w:eastAsia="zh-CN"/>
              </w:rPr>
            </w:pPr>
            <w:r>
              <w:rPr>
                <w:rFonts w:hint="eastAsia" w:cs="Times New Roman"/>
                <w:b w:val="0"/>
                <w:bCs/>
                <w:lang w:val="en-US" w:eastAsia="zh-CN"/>
              </w:rPr>
              <w:t>4</w:t>
            </w:r>
          </w:p>
        </w:tc>
        <w:tc>
          <w:tcPr>
            <w:tcW w:w="1024" w:type="pct"/>
            <w:shd w:val="clear" w:color="auto" w:fill="auto"/>
            <w:vAlign w:val="center"/>
          </w:tcPr>
          <w:p w14:paraId="48F681B8">
            <w:pPr>
              <w:pStyle w:val="15"/>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胡杰</w:t>
            </w:r>
          </w:p>
        </w:tc>
        <w:tc>
          <w:tcPr>
            <w:tcW w:w="816" w:type="pct"/>
            <w:shd w:val="clear" w:color="auto" w:fill="auto"/>
            <w:vAlign w:val="center"/>
          </w:tcPr>
          <w:p w14:paraId="34F2F19A">
            <w:pPr>
              <w:pStyle w:val="15"/>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0E86134D">
            <w:pPr>
              <w:pStyle w:val="15"/>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塔吊</w:t>
            </w:r>
            <w:r>
              <w:rPr>
                <w:rFonts w:hint="eastAsia" w:cs="Times New Roman"/>
                <w:b w:val="0"/>
                <w:bCs/>
                <w:lang w:eastAsia="zh-CN"/>
              </w:rPr>
              <w:t>安装</w:t>
            </w:r>
            <w:r>
              <w:rPr>
                <w:rFonts w:hint="default" w:ascii="Times New Roman" w:hAnsi="Times New Roman" w:cs="Times New Roman"/>
                <w:b w:val="0"/>
                <w:bCs/>
              </w:rPr>
              <w:t>人员</w:t>
            </w:r>
          </w:p>
        </w:tc>
        <w:tc>
          <w:tcPr>
            <w:tcW w:w="1439" w:type="pct"/>
            <w:vMerge w:val="continue"/>
            <w:shd w:val="clear" w:color="auto" w:fill="auto"/>
          </w:tcPr>
          <w:p w14:paraId="065DFCEB">
            <w:pPr>
              <w:pStyle w:val="15"/>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7ADC7F5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6DAC332A">
            <w:pPr>
              <w:pStyle w:val="15"/>
              <w:keepNext w:val="0"/>
              <w:keepLines w:val="0"/>
              <w:pageBreakBefore w:val="0"/>
              <w:widowControl w:val="0"/>
              <w:kinsoku/>
              <w:wordWrap/>
              <w:overflowPunct/>
              <w:topLinePunct w:val="0"/>
              <w:autoSpaceDE/>
              <w:autoSpaceDN/>
              <w:bidi w:val="0"/>
              <w:adjustRightInd/>
              <w:snapToGrid/>
              <w:rPr>
                <w:rFonts w:hint="eastAsia" w:ascii="Times New Roman" w:hAnsi="Times New Roman" w:eastAsia="宋体" w:cs="Times New Roman"/>
                <w:b w:val="0"/>
                <w:bCs/>
                <w:lang w:val="en-US" w:eastAsia="zh-CN"/>
              </w:rPr>
            </w:pPr>
            <w:r>
              <w:rPr>
                <w:rFonts w:hint="eastAsia" w:cs="Times New Roman"/>
                <w:b w:val="0"/>
                <w:bCs/>
                <w:lang w:val="en-US" w:eastAsia="zh-CN"/>
              </w:rPr>
              <w:t>5</w:t>
            </w:r>
          </w:p>
        </w:tc>
        <w:tc>
          <w:tcPr>
            <w:tcW w:w="1024" w:type="pct"/>
            <w:shd w:val="clear" w:color="auto" w:fill="auto"/>
            <w:vAlign w:val="center"/>
          </w:tcPr>
          <w:p w14:paraId="0E9AD138">
            <w:pPr>
              <w:pStyle w:val="15"/>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李国林</w:t>
            </w:r>
          </w:p>
        </w:tc>
        <w:tc>
          <w:tcPr>
            <w:tcW w:w="816" w:type="pct"/>
            <w:shd w:val="clear" w:color="auto" w:fill="auto"/>
            <w:vAlign w:val="center"/>
          </w:tcPr>
          <w:p w14:paraId="4E16C179">
            <w:pPr>
              <w:pStyle w:val="15"/>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14D38FFF">
            <w:pPr>
              <w:pStyle w:val="15"/>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塔吊</w:t>
            </w:r>
            <w:r>
              <w:rPr>
                <w:rFonts w:hint="eastAsia" w:cs="Times New Roman"/>
                <w:b w:val="0"/>
                <w:bCs/>
                <w:lang w:eastAsia="zh-CN"/>
              </w:rPr>
              <w:t>安装</w:t>
            </w:r>
            <w:r>
              <w:rPr>
                <w:rFonts w:hint="default" w:ascii="Times New Roman" w:hAnsi="Times New Roman" w:cs="Times New Roman"/>
                <w:b w:val="0"/>
                <w:bCs/>
              </w:rPr>
              <w:t>人员</w:t>
            </w:r>
          </w:p>
        </w:tc>
        <w:tc>
          <w:tcPr>
            <w:tcW w:w="1439" w:type="pct"/>
            <w:vMerge w:val="continue"/>
            <w:shd w:val="clear" w:color="auto" w:fill="auto"/>
          </w:tcPr>
          <w:p w14:paraId="48646053">
            <w:pPr>
              <w:pStyle w:val="15"/>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3F965D3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48FBCB1D">
            <w:pPr>
              <w:pStyle w:val="15"/>
              <w:keepNext w:val="0"/>
              <w:keepLines w:val="0"/>
              <w:pageBreakBefore w:val="0"/>
              <w:widowControl w:val="0"/>
              <w:kinsoku/>
              <w:wordWrap/>
              <w:overflowPunct/>
              <w:topLinePunct w:val="0"/>
              <w:autoSpaceDE/>
              <w:autoSpaceDN/>
              <w:bidi w:val="0"/>
              <w:adjustRightInd/>
              <w:snapToGrid/>
              <w:rPr>
                <w:rFonts w:hint="default" w:ascii="Times New Roman" w:hAnsi="Times New Roman" w:eastAsia="宋体" w:cs="Times New Roman"/>
                <w:b w:val="0"/>
                <w:bCs/>
                <w:lang w:val="en-US" w:eastAsia="zh-CN"/>
              </w:rPr>
            </w:pPr>
            <w:bookmarkStart w:id="130" w:name="_Toc23968"/>
            <w:r>
              <w:rPr>
                <w:rFonts w:hint="eastAsia" w:cs="Times New Roman"/>
                <w:b w:val="0"/>
                <w:bCs/>
                <w:lang w:val="en-US" w:eastAsia="zh-CN"/>
              </w:rPr>
              <w:t>6</w:t>
            </w:r>
          </w:p>
        </w:tc>
        <w:tc>
          <w:tcPr>
            <w:tcW w:w="1024" w:type="pct"/>
            <w:shd w:val="clear" w:color="auto" w:fill="auto"/>
            <w:vAlign w:val="center"/>
          </w:tcPr>
          <w:p w14:paraId="11D5235F">
            <w:pPr>
              <w:pStyle w:val="15"/>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李小琴</w:t>
            </w:r>
          </w:p>
        </w:tc>
        <w:tc>
          <w:tcPr>
            <w:tcW w:w="816" w:type="pct"/>
            <w:shd w:val="clear" w:color="auto" w:fill="auto"/>
            <w:vAlign w:val="center"/>
          </w:tcPr>
          <w:p w14:paraId="0FB7CC9F">
            <w:pPr>
              <w:pStyle w:val="15"/>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4075F4B9">
            <w:pPr>
              <w:pStyle w:val="15"/>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塔吊</w:t>
            </w:r>
            <w:r>
              <w:rPr>
                <w:rFonts w:hint="eastAsia" w:cs="Times New Roman"/>
                <w:b w:val="0"/>
                <w:bCs/>
                <w:lang w:eastAsia="zh-CN"/>
              </w:rPr>
              <w:t>安装</w:t>
            </w:r>
            <w:r>
              <w:rPr>
                <w:rFonts w:hint="default" w:ascii="Times New Roman" w:hAnsi="Times New Roman" w:cs="Times New Roman"/>
                <w:b w:val="0"/>
                <w:bCs/>
              </w:rPr>
              <w:t>人员</w:t>
            </w:r>
          </w:p>
        </w:tc>
        <w:tc>
          <w:tcPr>
            <w:tcW w:w="1439" w:type="pct"/>
            <w:vMerge w:val="continue"/>
            <w:shd w:val="clear" w:color="auto" w:fill="auto"/>
          </w:tcPr>
          <w:p w14:paraId="4527CE4F">
            <w:pPr>
              <w:pStyle w:val="15"/>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28420D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51EA13FE">
            <w:pPr>
              <w:pStyle w:val="15"/>
              <w:keepNext w:val="0"/>
              <w:keepLines w:val="0"/>
              <w:pageBreakBefore w:val="0"/>
              <w:widowControl w:val="0"/>
              <w:kinsoku/>
              <w:wordWrap/>
              <w:overflowPunct/>
              <w:topLinePunct w:val="0"/>
              <w:autoSpaceDE/>
              <w:autoSpaceDN/>
              <w:bidi w:val="0"/>
              <w:adjustRightInd/>
              <w:snapToGrid/>
              <w:rPr>
                <w:rFonts w:hint="default" w:ascii="Times New Roman" w:hAnsi="Times New Roman" w:eastAsia="宋体" w:cs="Times New Roman"/>
                <w:b w:val="0"/>
                <w:bCs/>
                <w:lang w:val="en-US" w:eastAsia="zh-CN"/>
              </w:rPr>
            </w:pPr>
            <w:r>
              <w:rPr>
                <w:rFonts w:hint="eastAsia" w:cs="Times New Roman"/>
                <w:b w:val="0"/>
                <w:bCs/>
                <w:lang w:val="en-US" w:eastAsia="zh-CN"/>
              </w:rPr>
              <w:t>7</w:t>
            </w:r>
          </w:p>
        </w:tc>
        <w:tc>
          <w:tcPr>
            <w:tcW w:w="1024" w:type="pct"/>
            <w:shd w:val="clear" w:color="auto" w:fill="auto"/>
            <w:vAlign w:val="top"/>
          </w:tcPr>
          <w:p w14:paraId="225E5F7A">
            <w:pPr>
              <w:pStyle w:val="15"/>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戴富东</w:t>
            </w:r>
          </w:p>
        </w:tc>
        <w:tc>
          <w:tcPr>
            <w:tcW w:w="816" w:type="pct"/>
            <w:shd w:val="clear" w:color="auto" w:fill="auto"/>
            <w:vAlign w:val="center"/>
          </w:tcPr>
          <w:p w14:paraId="496594AF">
            <w:pPr>
              <w:pStyle w:val="15"/>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72114A75">
            <w:pPr>
              <w:pStyle w:val="15"/>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塔吊</w:t>
            </w:r>
            <w:r>
              <w:rPr>
                <w:rFonts w:hint="eastAsia" w:cs="Times New Roman"/>
                <w:b w:val="0"/>
                <w:bCs/>
                <w:lang w:eastAsia="zh-CN"/>
              </w:rPr>
              <w:t>安装</w:t>
            </w:r>
            <w:r>
              <w:rPr>
                <w:rFonts w:hint="default" w:ascii="Times New Roman" w:hAnsi="Times New Roman" w:cs="Times New Roman"/>
                <w:b w:val="0"/>
                <w:bCs/>
              </w:rPr>
              <w:t>人员</w:t>
            </w:r>
          </w:p>
        </w:tc>
        <w:tc>
          <w:tcPr>
            <w:tcW w:w="1439" w:type="pct"/>
            <w:vMerge w:val="continue"/>
            <w:shd w:val="clear" w:color="auto" w:fill="auto"/>
          </w:tcPr>
          <w:p w14:paraId="4971B219">
            <w:pPr>
              <w:pStyle w:val="15"/>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76378B3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1146F263">
            <w:pPr>
              <w:pStyle w:val="15"/>
              <w:keepNext w:val="0"/>
              <w:keepLines w:val="0"/>
              <w:pageBreakBefore w:val="0"/>
              <w:widowControl w:val="0"/>
              <w:kinsoku/>
              <w:wordWrap/>
              <w:overflowPunct/>
              <w:topLinePunct w:val="0"/>
              <w:autoSpaceDE/>
              <w:autoSpaceDN/>
              <w:bidi w:val="0"/>
              <w:adjustRightInd/>
              <w:snapToGrid/>
              <w:rPr>
                <w:rFonts w:hint="default" w:ascii="Times New Roman" w:hAnsi="Times New Roman" w:eastAsia="宋体" w:cs="Times New Roman"/>
                <w:b w:val="0"/>
                <w:bCs/>
                <w:lang w:val="en-US" w:eastAsia="zh-CN"/>
              </w:rPr>
            </w:pPr>
            <w:r>
              <w:rPr>
                <w:rFonts w:hint="eastAsia" w:cs="Times New Roman"/>
                <w:b w:val="0"/>
                <w:bCs/>
                <w:lang w:val="en-US" w:eastAsia="zh-CN"/>
              </w:rPr>
              <w:t>8</w:t>
            </w:r>
          </w:p>
        </w:tc>
        <w:tc>
          <w:tcPr>
            <w:tcW w:w="1024" w:type="pct"/>
            <w:shd w:val="clear" w:color="auto" w:fill="auto"/>
            <w:vAlign w:val="top"/>
          </w:tcPr>
          <w:p w14:paraId="6452AE0C">
            <w:pPr>
              <w:pStyle w:val="15"/>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冯昌苹</w:t>
            </w:r>
          </w:p>
        </w:tc>
        <w:tc>
          <w:tcPr>
            <w:tcW w:w="816" w:type="pct"/>
            <w:shd w:val="clear" w:color="auto" w:fill="auto"/>
            <w:vAlign w:val="center"/>
          </w:tcPr>
          <w:p w14:paraId="6074F3CF">
            <w:pPr>
              <w:pStyle w:val="15"/>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4AF9C793">
            <w:pPr>
              <w:pStyle w:val="15"/>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电 工</w:t>
            </w:r>
          </w:p>
        </w:tc>
        <w:tc>
          <w:tcPr>
            <w:tcW w:w="1439" w:type="pct"/>
            <w:vMerge w:val="continue"/>
            <w:shd w:val="clear" w:color="auto" w:fill="auto"/>
          </w:tcPr>
          <w:p w14:paraId="5A3B9098">
            <w:pPr>
              <w:pStyle w:val="15"/>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04F1D42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5A9B2D83">
            <w:pPr>
              <w:pStyle w:val="15"/>
              <w:keepNext w:val="0"/>
              <w:keepLines w:val="0"/>
              <w:pageBreakBefore w:val="0"/>
              <w:widowControl w:val="0"/>
              <w:kinsoku/>
              <w:wordWrap/>
              <w:overflowPunct/>
              <w:topLinePunct w:val="0"/>
              <w:autoSpaceDE/>
              <w:autoSpaceDN/>
              <w:bidi w:val="0"/>
              <w:adjustRightInd/>
              <w:snapToGrid/>
              <w:rPr>
                <w:rFonts w:hint="default" w:ascii="Times New Roman" w:hAnsi="Times New Roman" w:eastAsia="宋体" w:cs="Times New Roman"/>
                <w:b w:val="0"/>
                <w:bCs/>
                <w:lang w:val="en-US" w:eastAsia="zh-CN"/>
              </w:rPr>
            </w:pPr>
            <w:r>
              <w:rPr>
                <w:rFonts w:hint="eastAsia" w:cs="Times New Roman"/>
                <w:b w:val="0"/>
                <w:bCs/>
                <w:lang w:val="en-US" w:eastAsia="zh-CN"/>
              </w:rPr>
              <w:t>9</w:t>
            </w:r>
          </w:p>
        </w:tc>
        <w:tc>
          <w:tcPr>
            <w:tcW w:w="1024" w:type="pct"/>
            <w:shd w:val="clear" w:color="auto" w:fill="auto"/>
            <w:vAlign w:val="top"/>
          </w:tcPr>
          <w:p w14:paraId="0CE7FEAA">
            <w:pPr>
              <w:pStyle w:val="15"/>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罗乾龙</w:t>
            </w:r>
          </w:p>
        </w:tc>
        <w:tc>
          <w:tcPr>
            <w:tcW w:w="816" w:type="pct"/>
            <w:shd w:val="clear" w:color="auto" w:fill="auto"/>
            <w:vAlign w:val="center"/>
          </w:tcPr>
          <w:p w14:paraId="5C789203">
            <w:pPr>
              <w:pStyle w:val="15"/>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44F57C8E">
            <w:pPr>
              <w:pStyle w:val="15"/>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电 工</w:t>
            </w:r>
          </w:p>
        </w:tc>
        <w:tc>
          <w:tcPr>
            <w:tcW w:w="1439" w:type="pct"/>
            <w:vMerge w:val="continue"/>
            <w:shd w:val="clear" w:color="auto" w:fill="auto"/>
          </w:tcPr>
          <w:p w14:paraId="44822348">
            <w:pPr>
              <w:pStyle w:val="15"/>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bookmarkEnd w:id="130"/>
    </w:tbl>
    <w:p w14:paraId="136DE26F">
      <w:pPr>
        <w:widowControl/>
        <w:spacing w:line="240" w:lineRule="auto"/>
        <w:ind w:firstLine="0" w:firstLineChars="0"/>
        <w:jc w:val="left"/>
        <w:rPr>
          <w:b/>
          <w:bCs/>
          <w:kern w:val="44"/>
          <w:sz w:val="32"/>
          <w:szCs w:val="44"/>
        </w:rPr>
      </w:pPr>
      <w:bookmarkStart w:id="131" w:name="_Toc6639"/>
      <w:bookmarkStart w:id="132" w:name="_Toc28613973"/>
      <w:bookmarkStart w:id="133" w:name="_Toc40778448"/>
      <w:bookmarkStart w:id="134" w:name="_Toc15867"/>
      <w:r>
        <w:br w:type="page"/>
      </w:r>
    </w:p>
    <w:p w14:paraId="1C5F2338">
      <w:pPr>
        <w:pStyle w:val="4"/>
      </w:pPr>
      <w:bookmarkStart w:id="135" w:name="_Toc117245049"/>
      <w:bookmarkStart w:id="136" w:name="_Toc4289"/>
      <w:r>
        <w:rPr>
          <w:rFonts w:hint="eastAsia"/>
        </w:rPr>
        <w:t>验收要求</w:t>
      </w:r>
      <w:bookmarkEnd w:id="131"/>
      <w:bookmarkEnd w:id="132"/>
      <w:bookmarkEnd w:id="133"/>
      <w:bookmarkEnd w:id="134"/>
      <w:bookmarkEnd w:id="135"/>
      <w:bookmarkEnd w:id="136"/>
    </w:p>
    <w:p w14:paraId="597DC15A">
      <w:pPr>
        <w:pStyle w:val="5"/>
        <w:rPr>
          <w:rFonts w:hint="default" w:ascii="Times New Roman" w:hAnsi="Times New Roman" w:cs="Times New Roman"/>
        </w:rPr>
      </w:pPr>
      <w:bookmarkStart w:id="137" w:name="_Toc117256111"/>
      <w:bookmarkStart w:id="138" w:name="_Toc8246"/>
      <w:r>
        <w:rPr>
          <w:rFonts w:hint="default" w:ascii="Times New Roman" w:hAnsi="Times New Roman" w:cs="Times New Roman"/>
        </w:rPr>
        <w:t>验收标准</w:t>
      </w:r>
      <w:bookmarkEnd w:id="137"/>
      <w:bookmarkEnd w:id="138"/>
    </w:p>
    <w:p w14:paraId="22FAE125">
      <w:pPr>
        <w:spacing w:line="360" w:lineRule="auto"/>
        <w:ind w:firstLine="480" w:firstLineChars="200"/>
        <w:rPr>
          <w:rFonts w:hint="default" w:ascii="Times New Roman" w:hAnsi="Times New Roman" w:eastAsia="宋体" w:cs="Times New Roman"/>
          <w:sz w:val="24"/>
          <w:szCs w:val="21"/>
        </w:rPr>
      </w:pPr>
      <w:r>
        <w:rPr>
          <w:rFonts w:hint="default" w:ascii="Times New Roman" w:hAnsi="Times New Roman" w:eastAsia="宋体" w:cs="Times New Roman"/>
          <w:sz w:val="24"/>
          <w:szCs w:val="21"/>
          <w:lang w:val="en-US" w:eastAsia="zh-CN"/>
        </w:rPr>
        <w:t>塔吊</w:t>
      </w:r>
      <w:r>
        <w:rPr>
          <w:rFonts w:hint="default" w:ascii="Times New Roman" w:hAnsi="Times New Roman" w:eastAsia="宋体" w:cs="Times New Roman"/>
          <w:sz w:val="24"/>
          <w:szCs w:val="21"/>
        </w:rPr>
        <w:t>安装验收参照标准如</w:t>
      </w:r>
      <w:r>
        <w:rPr>
          <w:rFonts w:hint="default" w:ascii="Times New Roman" w:hAnsi="Times New Roman" w:eastAsia="宋体" w:cs="Times New Roman"/>
          <w:sz w:val="24"/>
          <w:szCs w:val="21"/>
        </w:rPr>
        <w:fldChar w:fldCharType="begin"/>
      </w:r>
      <w:r>
        <w:rPr>
          <w:rFonts w:hint="default" w:ascii="Times New Roman" w:hAnsi="Times New Roman" w:eastAsia="宋体" w:cs="Times New Roman"/>
          <w:sz w:val="24"/>
          <w:szCs w:val="21"/>
        </w:rPr>
        <w:instrText xml:space="preserve"> REF _Ref117778380 \h </w:instrText>
      </w:r>
      <w:r>
        <w:rPr>
          <w:rFonts w:hint="default" w:ascii="Times New Roman" w:hAnsi="Times New Roman" w:eastAsia="宋体" w:cs="Times New Roman"/>
          <w:sz w:val="24"/>
          <w:szCs w:val="21"/>
        </w:rPr>
        <w:fldChar w:fldCharType="separate"/>
      </w:r>
      <w:r>
        <w:rPr>
          <w:rFonts w:hint="default" w:ascii="Times New Roman" w:hAnsi="Times New Roman" w:eastAsia="宋体" w:cs="Times New Roman"/>
          <w:sz w:val="24"/>
          <w:szCs w:val="21"/>
        </w:rPr>
        <w:t>表8.1-1</w:t>
      </w:r>
      <w:r>
        <w:rPr>
          <w:rFonts w:hint="default" w:ascii="Times New Roman" w:hAnsi="Times New Roman" w:eastAsia="宋体" w:cs="Times New Roman"/>
          <w:sz w:val="24"/>
          <w:szCs w:val="21"/>
        </w:rPr>
        <w:fldChar w:fldCharType="end"/>
      </w:r>
      <w:r>
        <w:rPr>
          <w:rFonts w:hint="default" w:ascii="Times New Roman" w:hAnsi="Times New Roman" w:eastAsia="宋体" w:cs="Times New Roman"/>
          <w:sz w:val="24"/>
          <w:szCs w:val="21"/>
        </w:rPr>
        <w:t>所示。</w:t>
      </w:r>
    </w:p>
    <w:p w14:paraId="13BE7FA2">
      <w:pPr>
        <w:keepNext/>
        <w:widowControl w:val="0"/>
        <w:spacing w:line="360" w:lineRule="auto"/>
        <w:ind w:firstLine="0" w:firstLineChars="0"/>
        <w:jc w:val="center"/>
        <w:rPr>
          <w:rFonts w:hint="default" w:ascii="Times New Roman" w:hAnsi="Times New Roman" w:eastAsia="宋体" w:cs="Times New Roman"/>
          <w:b/>
          <w:kern w:val="2"/>
          <w:sz w:val="21"/>
          <w:szCs w:val="21"/>
          <w:lang w:val="en-US" w:eastAsia="zh-CN" w:bidi="ar-SA"/>
        </w:rPr>
      </w:pPr>
      <w:bookmarkStart w:id="139" w:name="_Ref117778380"/>
      <w:r>
        <w:rPr>
          <w:rFonts w:hint="default" w:ascii="Times New Roman" w:hAnsi="Times New Roman" w:eastAsia="宋体" w:cs="Times New Roman"/>
          <w:b/>
          <w:kern w:val="2"/>
          <w:sz w:val="21"/>
          <w:szCs w:val="21"/>
          <w:lang w:val="en-US" w:eastAsia="zh-CN" w:bidi="ar-SA"/>
        </w:rPr>
        <w:t>表</w:t>
      </w:r>
      <w:r>
        <w:rPr>
          <w:rFonts w:hint="default" w:ascii="Times New Roman" w:hAnsi="Times New Roman" w:eastAsia="宋体" w:cs="Times New Roman"/>
          <w:b/>
          <w:kern w:val="2"/>
          <w:sz w:val="21"/>
          <w:szCs w:val="21"/>
          <w:lang w:val="en-US" w:eastAsia="zh-CN" w:bidi="ar-SA"/>
        </w:rPr>
        <w:fldChar w:fldCharType="begin"/>
      </w:r>
      <w:r>
        <w:rPr>
          <w:rFonts w:hint="default" w:ascii="Times New Roman" w:hAnsi="Times New Roman" w:eastAsia="宋体" w:cs="Times New Roman"/>
          <w:b/>
          <w:kern w:val="2"/>
          <w:sz w:val="21"/>
          <w:szCs w:val="21"/>
          <w:lang w:val="en-US" w:eastAsia="zh-CN" w:bidi="ar-SA"/>
        </w:rPr>
        <w:instrText xml:space="preserve"> STYLEREF 2 \s </w:instrText>
      </w:r>
      <w:r>
        <w:rPr>
          <w:rFonts w:hint="default" w:ascii="Times New Roman" w:hAnsi="Times New Roman" w:eastAsia="宋体" w:cs="Times New Roman"/>
          <w:b/>
          <w:kern w:val="2"/>
          <w:sz w:val="21"/>
          <w:szCs w:val="21"/>
          <w:lang w:val="en-US" w:eastAsia="zh-CN" w:bidi="ar-SA"/>
        </w:rPr>
        <w:fldChar w:fldCharType="separate"/>
      </w:r>
      <w:r>
        <w:rPr>
          <w:rFonts w:hint="default" w:ascii="Times New Roman" w:hAnsi="Times New Roman" w:eastAsia="宋体" w:cs="Times New Roman"/>
          <w:b/>
          <w:kern w:val="2"/>
          <w:sz w:val="21"/>
          <w:szCs w:val="21"/>
          <w:lang w:val="en-US" w:eastAsia="zh-CN" w:bidi="ar-SA"/>
        </w:rPr>
        <w:t>8.1</w:t>
      </w:r>
      <w:r>
        <w:rPr>
          <w:rFonts w:hint="default" w:ascii="Times New Roman" w:hAnsi="Times New Roman" w:eastAsia="宋体" w:cs="Times New Roman"/>
          <w:b/>
          <w:kern w:val="2"/>
          <w:sz w:val="21"/>
          <w:szCs w:val="21"/>
          <w:lang w:val="en-US" w:eastAsia="zh-CN" w:bidi="ar-SA"/>
        </w:rPr>
        <w:fldChar w:fldCharType="end"/>
      </w:r>
      <w:r>
        <w:rPr>
          <w:rFonts w:hint="default" w:ascii="Times New Roman" w:hAnsi="Times New Roman" w:eastAsia="宋体" w:cs="Times New Roman"/>
          <w:b/>
          <w:kern w:val="2"/>
          <w:sz w:val="21"/>
          <w:szCs w:val="21"/>
          <w:lang w:val="en-US" w:eastAsia="zh-CN" w:bidi="ar-SA"/>
        </w:rPr>
        <w:t>-</w:t>
      </w:r>
      <w:r>
        <w:rPr>
          <w:rFonts w:hint="default" w:ascii="Times New Roman" w:hAnsi="Times New Roman" w:eastAsia="宋体" w:cs="Times New Roman"/>
          <w:b/>
          <w:kern w:val="2"/>
          <w:sz w:val="21"/>
          <w:szCs w:val="21"/>
          <w:lang w:val="en-US" w:eastAsia="zh-CN" w:bidi="ar-SA"/>
        </w:rPr>
        <w:fldChar w:fldCharType="begin"/>
      </w:r>
      <w:r>
        <w:rPr>
          <w:rFonts w:hint="default" w:ascii="Times New Roman" w:hAnsi="Times New Roman" w:eastAsia="宋体" w:cs="Times New Roman"/>
          <w:b/>
          <w:kern w:val="2"/>
          <w:sz w:val="21"/>
          <w:szCs w:val="21"/>
          <w:lang w:val="en-US" w:eastAsia="zh-CN" w:bidi="ar-SA"/>
        </w:rPr>
        <w:instrText xml:space="preserve"> SEQ 表 \* ARABIC \s 2 </w:instrText>
      </w:r>
      <w:r>
        <w:rPr>
          <w:rFonts w:hint="default" w:ascii="Times New Roman" w:hAnsi="Times New Roman" w:eastAsia="宋体" w:cs="Times New Roman"/>
          <w:b/>
          <w:kern w:val="2"/>
          <w:sz w:val="21"/>
          <w:szCs w:val="21"/>
          <w:lang w:val="en-US" w:eastAsia="zh-CN" w:bidi="ar-SA"/>
        </w:rPr>
        <w:fldChar w:fldCharType="separate"/>
      </w:r>
      <w:r>
        <w:rPr>
          <w:rFonts w:hint="default" w:ascii="Times New Roman" w:hAnsi="Times New Roman" w:eastAsia="宋体" w:cs="Times New Roman"/>
          <w:b/>
          <w:kern w:val="2"/>
          <w:sz w:val="21"/>
          <w:szCs w:val="21"/>
          <w:lang w:val="en-US" w:eastAsia="zh-CN" w:bidi="ar-SA"/>
        </w:rPr>
        <w:t>1</w:t>
      </w:r>
      <w:r>
        <w:rPr>
          <w:rFonts w:hint="default" w:ascii="Times New Roman" w:hAnsi="Times New Roman" w:eastAsia="宋体" w:cs="Times New Roman"/>
          <w:b/>
          <w:kern w:val="2"/>
          <w:sz w:val="21"/>
          <w:szCs w:val="21"/>
          <w:lang w:val="en-US" w:eastAsia="zh-CN" w:bidi="ar-SA"/>
        </w:rPr>
        <w:fldChar w:fldCharType="end"/>
      </w:r>
      <w:bookmarkEnd w:id="139"/>
      <w:r>
        <w:rPr>
          <w:rFonts w:hint="default" w:ascii="Times New Roman" w:hAnsi="Times New Roman" w:eastAsia="宋体" w:cs="Times New Roman"/>
          <w:b/>
          <w:kern w:val="2"/>
          <w:sz w:val="21"/>
          <w:szCs w:val="21"/>
          <w:lang w:val="en-US" w:eastAsia="zh-CN" w:bidi="ar-SA"/>
        </w:rPr>
        <w:t xml:space="preserve"> </w:t>
      </w:r>
      <w:r>
        <w:rPr>
          <w:rFonts w:hint="default" w:ascii="Times New Roman" w:hAnsi="Times New Roman" w:eastAsia="宋体" w:cs="Times New Roman"/>
          <w:b/>
          <w:kern w:val="2"/>
          <w:sz w:val="21"/>
          <w:szCs w:val="21"/>
          <w:lang w:val="en-US" w:eastAsia="zh-CN" w:bidi="ar-SA"/>
        </w:rPr>
        <w:fldChar w:fldCharType="begin"/>
      </w:r>
      <w:r>
        <w:rPr>
          <w:rFonts w:hint="default" w:ascii="Times New Roman" w:hAnsi="Times New Roman" w:eastAsia="宋体" w:cs="Times New Roman"/>
          <w:b/>
          <w:kern w:val="2"/>
          <w:sz w:val="21"/>
          <w:szCs w:val="21"/>
          <w:lang w:val="en-US" w:eastAsia="zh-CN" w:bidi="ar-SA"/>
        </w:rPr>
        <w:instrText xml:space="preserve"> REF 设备类型 \h  \* MERGEFORMAT </w:instrText>
      </w:r>
      <w:r>
        <w:rPr>
          <w:rFonts w:hint="default" w:ascii="Times New Roman" w:hAnsi="Times New Roman" w:eastAsia="宋体" w:cs="Times New Roman"/>
          <w:b/>
          <w:kern w:val="2"/>
          <w:sz w:val="21"/>
          <w:szCs w:val="21"/>
          <w:lang w:val="en-US" w:eastAsia="zh-CN" w:bidi="ar-SA"/>
        </w:rPr>
        <w:fldChar w:fldCharType="separate"/>
      </w:r>
      <w:r>
        <w:rPr>
          <w:rFonts w:hint="eastAsia" w:ascii="Times New Roman" w:hAnsi="Times New Roman" w:eastAsia="宋体" w:cs="Times New Roman"/>
          <w:b/>
          <w:kern w:val="2"/>
          <w:sz w:val="21"/>
          <w:szCs w:val="21"/>
          <w:lang w:val="en-US" w:eastAsia="zh-CN" w:bidi="ar-SA"/>
        </w:rPr>
        <w:t>塔式</w:t>
      </w:r>
      <w:r>
        <w:rPr>
          <w:rFonts w:hint="default" w:ascii="Times New Roman" w:hAnsi="Times New Roman" w:eastAsia="宋体" w:cs="Times New Roman"/>
          <w:b/>
          <w:kern w:val="2"/>
          <w:sz w:val="21"/>
          <w:szCs w:val="21"/>
          <w:lang w:val="en-US" w:eastAsia="zh-CN" w:bidi="ar-SA"/>
        </w:rPr>
        <w:t>起重机</w:t>
      </w:r>
      <w:r>
        <w:rPr>
          <w:rFonts w:hint="default" w:ascii="Times New Roman" w:hAnsi="Times New Roman" w:eastAsia="宋体" w:cs="Times New Roman"/>
          <w:b/>
          <w:kern w:val="2"/>
          <w:sz w:val="21"/>
          <w:szCs w:val="21"/>
          <w:lang w:val="en-US" w:eastAsia="zh-CN" w:bidi="ar-SA"/>
        </w:rPr>
        <w:fldChar w:fldCharType="end"/>
      </w:r>
      <w:r>
        <w:rPr>
          <w:rFonts w:hint="default" w:ascii="Times New Roman" w:hAnsi="Times New Roman" w:eastAsia="宋体" w:cs="Times New Roman"/>
          <w:b/>
          <w:kern w:val="2"/>
          <w:sz w:val="21"/>
          <w:szCs w:val="21"/>
          <w:lang w:val="en-US" w:eastAsia="zh-CN" w:bidi="ar-SA"/>
        </w:rPr>
        <w:t>验收标准</w:t>
      </w:r>
    </w:p>
    <w:tbl>
      <w:tblPr>
        <w:tblStyle w:val="133"/>
        <w:tblW w:w="82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950"/>
        <w:gridCol w:w="5028"/>
        <w:gridCol w:w="649"/>
      </w:tblGrid>
      <w:tr w14:paraId="64CDCF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blHeader/>
          <w:jc w:val="center"/>
        </w:trPr>
        <w:tc>
          <w:tcPr>
            <w:tcW w:w="649" w:type="dxa"/>
            <w:vAlign w:val="center"/>
          </w:tcPr>
          <w:p w14:paraId="7C564DC0">
            <w:pPr>
              <w:widowControl w:val="0"/>
              <w:spacing w:line="240" w:lineRule="auto"/>
              <w:ind w:firstLine="0" w:firstLine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序号</w:t>
            </w:r>
          </w:p>
        </w:tc>
        <w:tc>
          <w:tcPr>
            <w:tcW w:w="1950" w:type="dxa"/>
            <w:vAlign w:val="center"/>
          </w:tcPr>
          <w:p w14:paraId="6A982E84">
            <w:pPr>
              <w:widowControl w:val="0"/>
              <w:spacing w:line="240" w:lineRule="auto"/>
              <w:ind w:firstLine="0" w:firstLine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文号/标准号</w:t>
            </w:r>
          </w:p>
        </w:tc>
        <w:tc>
          <w:tcPr>
            <w:tcW w:w="5028" w:type="dxa"/>
            <w:vAlign w:val="center"/>
          </w:tcPr>
          <w:p w14:paraId="3180C50B">
            <w:pPr>
              <w:widowControl w:val="0"/>
              <w:spacing w:line="240" w:lineRule="auto"/>
              <w:ind w:firstLine="0" w:firstLine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依据名称</w:t>
            </w:r>
          </w:p>
        </w:tc>
        <w:tc>
          <w:tcPr>
            <w:tcW w:w="649" w:type="dxa"/>
            <w:shd w:val="clear" w:color="auto" w:fill="auto"/>
            <w:vAlign w:val="center"/>
          </w:tcPr>
          <w:p w14:paraId="54DDD55B">
            <w:pPr>
              <w:widowControl w:val="0"/>
              <w:spacing w:line="240" w:lineRule="auto"/>
              <w:ind w:firstLine="0" w:firstLine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备注</w:t>
            </w:r>
          </w:p>
        </w:tc>
      </w:tr>
      <w:tr w14:paraId="610C98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9" w:type="dxa"/>
            <w:vAlign w:val="center"/>
          </w:tcPr>
          <w:p w14:paraId="19CD118D">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fldChar w:fldCharType="begin"/>
            </w:r>
            <w:r>
              <w:rPr>
                <w:rFonts w:hint="default" w:ascii="Times New Roman" w:hAnsi="Times New Roman" w:eastAsia="宋体" w:cs="Times New Roman"/>
                <w:kern w:val="2"/>
                <w:sz w:val="21"/>
                <w:szCs w:val="21"/>
                <w:lang w:val="en-US" w:eastAsia="zh-CN" w:bidi="ar-SA"/>
              </w:rPr>
              <w:instrText xml:space="preserve"> seq list \r 1</w:instrText>
            </w:r>
            <w:r>
              <w:rPr>
                <w:rFonts w:hint="default" w:ascii="Times New Roman" w:hAnsi="Times New Roman" w:eastAsia="宋体" w:cs="Times New Roman"/>
                <w:kern w:val="2"/>
                <w:sz w:val="21"/>
                <w:szCs w:val="21"/>
                <w:lang w:val="en-US" w:eastAsia="zh-CN" w:bidi="ar-SA"/>
              </w:rPr>
              <w:fldChar w:fldCharType="separate"/>
            </w:r>
            <w:r>
              <w:rPr>
                <w:rFonts w:hint="default" w:ascii="Times New Roman" w:hAnsi="Times New Roman" w:eastAsia="宋体" w:cs="Times New Roman"/>
                <w:kern w:val="2"/>
                <w:sz w:val="21"/>
                <w:szCs w:val="21"/>
                <w:lang w:val="en-US" w:eastAsia="zh-CN" w:bidi="ar-SA"/>
              </w:rPr>
              <w:t>1</w:t>
            </w:r>
            <w:r>
              <w:rPr>
                <w:rFonts w:hint="default" w:ascii="Times New Roman" w:hAnsi="Times New Roman" w:eastAsia="宋体" w:cs="Times New Roman"/>
                <w:kern w:val="2"/>
                <w:sz w:val="21"/>
                <w:szCs w:val="21"/>
                <w:lang w:val="en-US" w:eastAsia="zh-CN" w:bidi="ar-SA"/>
              </w:rPr>
              <w:fldChar w:fldCharType="end"/>
            </w:r>
          </w:p>
        </w:tc>
        <w:tc>
          <w:tcPr>
            <w:tcW w:w="1950" w:type="dxa"/>
            <w:shd w:val="clear" w:color="auto" w:fill="auto"/>
            <w:vAlign w:val="center"/>
          </w:tcPr>
          <w:p w14:paraId="0DCE72FA">
            <w:pPr>
              <w:widowControl w:val="0"/>
              <w:spacing w:line="240" w:lineRule="auto"/>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GB 50278-2010</w:t>
            </w:r>
          </w:p>
        </w:tc>
        <w:tc>
          <w:tcPr>
            <w:tcW w:w="5028" w:type="dxa"/>
            <w:shd w:val="clear" w:color="auto" w:fill="auto"/>
            <w:vAlign w:val="center"/>
          </w:tcPr>
          <w:p w14:paraId="759172AF">
            <w:pPr>
              <w:widowControl w:val="0"/>
              <w:spacing w:line="240" w:lineRule="auto"/>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起重设备安装工程施工及验收规范</w:t>
            </w:r>
          </w:p>
        </w:tc>
        <w:tc>
          <w:tcPr>
            <w:tcW w:w="649" w:type="dxa"/>
            <w:shd w:val="clear" w:color="auto" w:fill="auto"/>
            <w:vAlign w:val="center"/>
          </w:tcPr>
          <w:p w14:paraId="78858868">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r>
      <w:tr w14:paraId="1C3000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9" w:type="dxa"/>
            <w:vAlign w:val="center"/>
          </w:tcPr>
          <w:p w14:paraId="426707CD">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fldChar w:fldCharType="begin"/>
            </w:r>
            <w:r>
              <w:rPr>
                <w:rFonts w:hint="default" w:ascii="Times New Roman" w:hAnsi="Times New Roman" w:eastAsia="宋体" w:cs="Times New Roman"/>
                <w:kern w:val="2"/>
                <w:sz w:val="21"/>
                <w:szCs w:val="21"/>
                <w:lang w:val="en-US" w:eastAsia="zh-CN" w:bidi="ar-SA"/>
              </w:rPr>
              <w:instrText xml:space="preserve"> seq list</w:instrText>
            </w:r>
            <w:r>
              <w:rPr>
                <w:rFonts w:hint="default" w:ascii="Times New Roman" w:hAnsi="Times New Roman" w:eastAsia="宋体" w:cs="Times New Roman"/>
                <w:kern w:val="2"/>
                <w:sz w:val="21"/>
                <w:szCs w:val="21"/>
                <w:lang w:val="en-US" w:eastAsia="zh-CN" w:bidi="ar-SA"/>
              </w:rPr>
              <w:fldChar w:fldCharType="separate"/>
            </w:r>
            <w:r>
              <w:rPr>
                <w:rFonts w:hint="default" w:ascii="Times New Roman" w:hAnsi="Times New Roman" w:eastAsia="宋体" w:cs="Times New Roman"/>
                <w:kern w:val="2"/>
                <w:sz w:val="21"/>
                <w:szCs w:val="21"/>
                <w:lang w:val="en-US" w:eastAsia="zh-CN" w:bidi="ar-SA"/>
              </w:rPr>
              <w:t>2</w:t>
            </w:r>
            <w:r>
              <w:rPr>
                <w:rFonts w:hint="default" w:ascii="Times New Roman" w:hAnsi="Times New Roman" w:eastAsia="宋体" w:cs="Times New Roman"/>
                <w:kern w:val="2"/>
                <w:sz w:val="21"/>
                <w:szCs w:val="21"/>
                <w:lang w:val="en-US" w:eastAsia="zh-CN" w:bidi="ar-SA"/>
              </w:rPr>
              <w:fldChar w:fldCharType="end"/>
            </w:r>
          </w:p>
        </w:tc>
        <w:tc>
          <w:tcPr>
            <w:tcW w:w="1950" w:type="dxa"/>
            <w:shd w:val="clear" w:color="auto" w:fill="auto"/>
            <w:vAlign w:val="center"/>
          </w:tcPr>
          <w:p w14:paraId="0B8B0A56">
            <w:pPr>
              <w:widowControl w:val="0"/>
              <w:spacing w:line="240" w:lineRule="auto"/>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GB 50231-2009</w:t>
            </w:r>
          </w:p>
        </w:tc>
        <w:tc>
          <w:tcPr>
            <w:tcW w:w="5028" w:type="dxa"/>
            <w:shd w:val="clear" w:color="auto" w:fill="auto"/>
            <w:vAlign w:val="center"/>
          </w:tcPr>
          <w:p w14:paraId="3923CD20">
            <w:pPr>
              <w:widowControl w:val="0"/>
              <w:spacing w:line="240" w:lineRule="auto"/>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机械设备安装工程施工及验收通用规范</w:t>
            </w:r>
          </w:p>
        </w:tc>
        <w:tc>
          <w:tcPr>
            <w:tcW w:w="649" w:type="dxa"/>
            <w:shd w:val="clear" w:color="auto" w:fill="auto"/>
            <w:vAlign w:val="center"/>
          </w:tcPr>
          <w:p w14:paraId="3C40E9EA">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r>
      <w:tr w14:paraId="4833D9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9" w:type="dxa"/>
            <w:vAlign w:val="center"/>
          </w:tcPr>
          <w:p w14:paraId="768C10E8">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fldChar w:fldCharType="begin"/>
            </w:r>
            <w:r>
              <w:rPr>
                <w:rFonts w:hint="default" w:ascii="Times New Roman" w:hAnsi="Times New Roman" w:eastAsia="宋体" w:cs="Times New Roman"/>
                <w:kern w:val="2"/>
                <w:sz w:val="21"/>
                <w:szCs w:val="21"/>
                <w:lang w:val="en-US" w:eastAsia="zh-CN" w:bidi="ar-SA"/>
              </w:rPr>
              <w:instrText xml:space="preserve"> seq list</w:instrText>
            </w:r>
            <w:r>
              <w:rPr>
                <w:rFonts w:hint="default" w:ascii="Times New Roman" w:hAnsi="Times New Roman" w:eastAsia="宋体" w:cs="Times New Roman"/>
                <w:kern w:val="2"/>
                <w:sz w:val="21"/>
                <w:szCs w:val="21"/>
                <w:lang w:val="en-US" w:eastAsia="zh-CN" w:bidi="ar-SA"/>
              </w:rPr>
              <w:fldChar w:fldCharType="separate"/>
            </w:r>
            <w:r>
              <w:rPr>
                <w:rFonts w:hint="default" w:ascii="Times New Roman" w:hAnsi="Times New Roman" w:eastAsia="宋体" w:cs="Times New Roman"/>
                <w:kern w:val="2"/>
                <w:sz w:val="21"/>
                <w:szCs w:val="21"/>
                <w:lang w:val="en-US" w:eastAsia="zh-CN" w:bidi="ar-SA"/>
              </w:rPr>
              <w:t>3</w:t>
            </w:r>
            <w:r>
              <w:rPr>
                <w:rFonts w:hint="default" w:ascii="Times New Roman" w:hAnsi="Times New Roman" w:eastAsia="宋体" w:cs="Times New Roman"/>
                <w:kern w:val="2"/>
                <w:sz w:val="21"/>
                <w:szCs w:val="21"/>
                <w:lang w:val="en-US" w:eastAsia="zh-CN" w:bidi="ar-SA"/>
              </w:rPr>
              <w:fldChar w:fldCharType="end"/>
            </w:r>
          </w:p>
        </w:tc>
        <w:tc>
          <w:tcPr>
            <w:tcW w:w="1950" w:type="dxa"/>
            <w:shd w:val="clear" w:color="auto" w:fill="auto"/>
            <w:vAlign w:val="center"/>
          </w:tcPr>
          <w:p w14:paraId="3CD65722">
            <w:pPr>
              <w:widowControl w:val="0"/>
              <w:spacing w:line="240" w:lineRule="auto"/>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GB 50256-2014</w:t>
            </w:r>
          </w:p>
        </w:tc>
        <w:tc>
          <w:tcPr>
            <w:tcW w:w="5028" w:type="dxa"/>
            <w:shd w:val="clear" w:color="auto" w:fill="auto"/>
            <w:vAlign w:val="center"/>
          </w:tcPr>
          <w:p w14:paraId="576E8AF5">
            <w:pPr>
              <w:widowControl w:val="0"/>
              <w:spacing w:line="240" w:lineRule="auto"/>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电气装置安装工程起重机电气装置施工及验收规范</w:t>
            </w:r>
          </w:p>
        </w:tc>
        <w:tc>
          <w:tcPr>
            <w:tcW w:w="649" w:type="dxa"/>
            <w:shd w:val="clear" w:color="auto" w:fill="auto"/>
            <w:vAlign w:val="center"/>
          </w:tcPr>
          <w:p w14:paraId="3D28EE6A">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r>
      <w:tr w14:paraId="6FEC39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9" w:type="dxa"/>
            <w:vAlign w:val="center"/>
          </w:tcPr>
          <w:p w14:paraId="64A48592">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fldChar w:fldCharType="begin"/>
            </w:r>
            <w:r>
              <w:rPr>
                <w:rFonts w:hint="default" w:ascii="Times New Roman" w:hAnsi="Times New Roman" w:eastAsia="宋体" w:cs="Times New Roman"/>
                <w:kern w:val="2"/>
                <w:sz w:val="21"/>
                <w:szCs w:val="21"/>
                <w:lang w:val="en-US" w:eastAsia="zh-CN" w:bidi="ar-SA"/>
              </w:rPr>
              <w:instrText xml:space="preserve"> seq list</w:instrText>
            </w:r>
            <w:r>
              <w:rPr>
                <w:rFonts w:hint="default" w:ascii="Times New Roman" w:hAnsi="Times New Roman" w:eastAsia="宋体" w:cs="Times New Roman"/>
                <w:kern w:val="2"/>
                <w:sz w:val="21"/>
                <w:szCs w:val="21"/>
                <w:lang w:val="en-US" w:eastAsia="zh-CN" w:bidi="ar-SA"/>
              </w:rPr>
              <w:fldChar w:fldCharType="separate"/>
            </w:r>
            <w:r>
              <w:rPr>
                <w:rFonts w:hint="default" w:ascii="Times New Roman" w:hAnsi="Times New Roman" w:eastAsia="宋体" w:cs="Times New Roman"/>
                <w:kern w:val="2"/>
                <w:sz w:val="21"/>
                <w:szCs w:val="21"/>
                <w:lang w:val="en-US" w:eastAsia="zh-CN" w:bidi="ar-SA"/>
              </w:rPr>
              <w:t>4</w:t>
            </w:r>
            <w:r>
              <w:rPr>
                <w:rFonts w:hint="default" w:ascii="Times New Roman" w:hAnsi="Times New Roman" w:eastAsia="宋体" w:cs="Times New Roman"/>
                <w:kern w:val="2"/>
                <w:sz w:val="21"/>
                <w:szCs w:val="21"/>
                <w:lang w:val="en-US" w:eastAsia="zh-CN" w:bidi="ar-SA"/>
              </w:rPr>
              <w:fldChar w:fldCharType="end"/>
            </w:r>
          </w:p>
        </w:tc>
        <w:tc>
          <w:tcPr>
            <w:tcW w:w="1950" w:type="dxa"/>
            <w:shd w:val="clear" w:color="auto" w:fill="auto"/>
            <w:vAlign w:val="center"/>
          </w:tcPr>
          <w:p w14:paraId="75B360EF">
            <w:pPr>
              <w:pStyle w:val="15"/>
              <w:shd w:val="clear"/>
              <w:ind w:left="-117" w:leftChars="0"/>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auto"/>
              </w:rPr>
              <w:t>GB/T 5031-2008</w:t>
            </w:r>
          </w:p>
        </w:tc>
        <w:tc>
          <w:tcPr>
            <w:tcW w:w="5028" w:type="dxa"/>
            <w:shd w:val="clear" w:color="auto" w:fill="auto"/>
            <w:vAlign w:val="center"/>
          </w:tcPr>
          <w:p w14:paraId="0DECCA90">
            <w:pPr>
              <w:pStyle w:val="15"/>
              <w:shd w:val="clear"/>
              <w:ind w:left="-117" w:leftChars="0"/>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auto"/>
              </w:rPr>
              <w:t>塔式起重机</w:t>
            </w:r>
          </w:p>
        </w:tc>
        <w:tc>
          <w:tcPr>
            <w:tcW w:w="649" w:type="dxa"/>
            <w:shd w:val="clear" w:color="auto" w:fill="auto"/>
            <w:vAlign w:val="center"/>
          </w:tcPr>
          <w:p w14:paraId="5CAA7607">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r>
      <w:tr w14:paraId="212BB3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9" w:type="dxa"/>
            <w:vAlign w:val="center"/>
          </w:tcPr>
          <w:p w14:paraId="3B4CB4E9">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fldChar w:fldCharType="begin"/>
            </w:r>
            <w:r>
              <w:rPr>
                <w:rFonts w:hint="default" w:ascii="Times New Roman" w:hAnsi="Times New Roman" w:eastAsia="宋体" w:cs="Times New Roman"/>
                <w:kern w:val="2"/>
                <w:sz w:val="21"/>
                <w:szCs w:val="21"/>
                <w:lang w:val="en-US" w:eastAsia="zh-CN" w:bidi="ar-SA"/>
              </w:rPr>
              <w:instrText xml:space="preserve"> seq list</w:instrText>
            </w:r>
            <w:r>
              <w:rPr>
                <w:rFonts w:hint="default" w:ascii="Times New Roman" w:hAnsi="Times New Roman" w:eastAsia="宋体" w:cs="Times New Roman"/>
                <w:kern w:val="2"/>
                <w:sz w:val="21"/>
                <w:szCs w:val="21"/>
                <w:lang w:val="en-US" w:eastAsia="zh-CN" w:bidi="ar-SA"/>
              </w:rPr>
              <w:fldChar w:fldCharType="separate"/>
            </w:r>
            <w:r>
              <w:rPr>
                <w:rFonts w:hint="default" w:ascii="Times New Roman" w:hAnsi="Times New Roman" w:eastAsia="宋体" w:cs="Times New Roman"/>
                <w:kern w:val="2"/>
                <w:sz w:val="21"/>
                <w:szCs w:val="21"/>
                <w:lang w:val="en-US" w:eastAsia="zh-CN" w:bidi="ar-SA"/>
              </w:rPr>
              <w:t>5</w:t>
            </w:r>
            <w:r>
              <w:rPr>
                <w:rFonts w:hint="default" w:ascii="Times New Roman" w:hAnsi="Times New Roman" w:eastAsia="宋体" w:cs="Times New Roman"/>
                <w:kern w:val="2"/>
                <w:sz w:val="21"/>
                <w:szCs w:val="21"/>
                <w:lang w:val="en-US" w:eastAsia="zh-CN" w:bidi="ar-SA"/>
              </w:rPr>
              <w:fldChar w:fldCharType="end"/>
            </w:r>
          </w:p>
        </w:tc>
        <w:tc>
          <w:tcPr>
            <w:tcW w:w="1950" w:type="dxa"/>
            <w:shd w:val="clear" w:color="auto" w:fill="auto"/>
            <w:vAlign w:val="center"/>
          </w:tcPr>
          <w:p w14:paraId="170E0F70">
            <w:pPr>
              <w:pStyle w:val="15"/>
              <w:shd w:val="clear"/>
              <w:ind w:left="-117" w:leftChars="0"/>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auto"/>
              </w:rPr>
              <w:t>GB 5144-2012</w:t>
            </w:r>
          </w:p>
        </w:tc>
        <w:tc>
          <w:tcPr>
            <w:tcW w:w="5028" w:type="dxa"/>
            <w:shd w:val="clear" w:color="auto" w:fill="auto"/>
            <w:vAlign w:val="center"/>
          </w:tcPr>
          <w:p w14:paraId="652E0024">
            <w:pPr>
              <w:pStyle w:val="15"/>
              <w:shd w:val="clear"/>
              <w:ind w:left="-117" w:leftChars="0"/>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auto"/>
              </w:rPr>
              <w:t>塔式起重机安全规程</w:t>
            </w:r>
          </w:p>
        </w:tc>
        <w:tc>
          <w:tcPr>
            <w:tcW w:w="649" w:type="dxa"/>
            <w:shd w:val="clear" w:color="auto" w:fill="auto"/>
            <w:vAlign w:val="center"/>
          </w:tcPr>
          <w:p w14:paraId="12DE1AA5">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r>
      <w:tr w14:paraId="32C20D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9" w:type="dxa"/>
            <w:vAlign w:val="center"/>
          </w:tcPr>
          <w:p w14:paraId="00E95470">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w:t>
            </w:r>
          </w:p>
        </w:tc>
        <w:tc>
          <w:tcPr>
            <w:tcW w:w="1950" w:type="dxa"/>
            <w:shd w:val="clear" w:color="auto" w:fill="auto"/>
            <w:vAlign w:val="center"/>
          </w:tcPr>
          <w:p w14:paraId="4A012038">
            <w:pPr>
              <w:pStyle w:val="15"/>
              <w:shd w:val="clear"/>
              <w:ind w:left="-117" w:leftChars="0"/>
              <w:rPr>
                <w:rFonts w:hint="default" w:ascii="Times New Roman" w:hAnsi="Times New Roman" w:cs="Times New Roman"/>
                <w:b w:val="0"/>
                <w:bCs w:val="0"/>
                <w:color w:val="auto"/>
              </w:rPr>
            </w:pPr>
            <w:r>
              <w:rPr>
                <w:rFonts w:hint="default" w:ascii="Times New Roman" w:hAnsi="Times New Roman" w:cs="Times New Roman"/>
                <w:b w:val="0"/>
                <w:bCs w:val="0"/>
                <w:color w:val="auto"/>
              </w:rPr>
              <w:t>GB/T5905-2011</w:t>
            </w:r>
          </w:p>
        </w:tc>
        <w:tc>
          <w:tcPr>
            <w:tcW w:w="5028" w:type="dxa"/>
            <w:shd w:val="clear" w:color="auto" w:fill="auto"/>
            <w:vAlign w:val="center"/>
          </w:tcPr>
          <w:p w14:paraId="12894FC7">
            <w:pPr>
              <w:pStyle w:val="15"/>
              <w:shd w:val="clear"/>
              <w:ind w:left="-117" w:leftChars="0"/>
              <w:rPr>
                <w:rFonts w:hint="default" w:ascii="Times New Roman" w:hAnsi="Times New Roman" w:cs="Times New Roman"/>
                <w:b w:val="0"/>
                <w:bCs w:val="0"/>
                <w:color w:val="auto"/>
              </w:rPr>
            </w:pPr>
            <w:r>
              <w:rPr>
                <w:rFonts w:hint="default" w:ascii="Times New Roman" w:hAnsi="Times New Roman" w:cs="Times New Roman"/>
                <w:b w:val="0"/>
                <w:bCs w:val="0"/>
                <w:color w:val="auto"/>
              </w:rPr>
              <w:t>起重机试验规范和程序</w:t>
            </w:r>
          </w:p>
        </w:tc>
        <w:tc>
          <w:tcPr>
            <w:tcW w:w="649" w:type="dxa"/>
            <w:shd w:val="clear" w:color="auto" w:fill="auto"/>
            <w:vAlign w:val="center"/>
          </w:tcPr>
          <w:p w14:paraId="048122B6">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r>
    </w:tbl>
    <w:p w14:paraId="29058BDB">
      <w:pPr>
        <w:pStyle w:val="5"/>
        <w:rPr>
          <w:rFonts w:hint="default" w:ascii="Times New Roman" w:hAnsi="Times New Roman" w:cs="Times New Roman"/>
        </w:rPr>
      </w:pPr>
      <w:bookmarkStart w:id="140" w:name="_Toc117256112"/>
      <w:bookmarkStart w:id="141" w:name="_Toc27290"/>
      <w:r>
        <w:rPr>
          <w:rFonts w:hint="default" w:ascii="Times New Roman" w:hAnsi="Times New Roman" w:cs="Times New Roman"/>
        </w:rPr>
        <w:t>验收程序</w:t>
      </w:r>
      <w:bookmarkEnd w:id="140"/>
      <w:bookmarkEnd w:id="141"/>
    </w:p>
    <w:p w14:paraId="5A1C02E7">
      <w:pPr>
        <w:ind w:firstLine="480"/>
        <w:rPr>
          <w:rFonts w:hint="default" w:ascii="Times New Roman" w:hAnsi="Times New Roman" w:cs="Times New Roman"/>
        </w:rPr>
      </w:pPr>
      <w:r>
        <w:rPr>
          <w:rFonts w:hint="default" w:ascii="Times New Roman" w:hAnsi="Times New Roman" w:cs="Times New Roman"/>
        </w:rPr>
        <w:t>（1）安装单位自检。塔吊安装完成之后，安装单位应及时组织单位技术人员、安全人员、安装人员对塔吊进行验收。</w:t>
      </w:r>
    </w:p>
    <w:p w14:paraId="12C1AEED">
      <w:pPr>
        <w:ind w:firstLine="480"/>
        <w:rPr>
          <w:rFonts w:hint="default" w:ascii="Times New Roman" w:hAnsi="Times New Roman" w:cs="Times New Roman"/>
        </w:rPr>
      </w:pPr>
      <w:r>
        <w:rPr>
          <w:rFonts w:hint="default" w:ascii="Times New Roman" w:hAnsi="Times New Roman" w:cs="Times New Roman"/>
        </w:rPr>
        <w:t>（2）委托第三方检验机构进行检验。检测单位检测完成之后，出具的检测报告是整机合格，可能存在部分一般项目不合格；设备供应方应对不合格项目进行整改，并出具整改报告。</w:t>
      </w:r>
    </w:p>
    <w:p w14:paraId="7C5DAACD">
      <w:pPr>
        <w:ind w:firstLine="480"/>
        <w:rPr>
          <w:rFonts w:hint="default" w:ascii="Times New Roman" w:hAnsi="Times New Roman" w:cs="Times New Roman"/>
        </w:rPr>
      </w:pPr>
      <w:r>
        <w:rPr>
          <w:rFonts w:hint="default" w:ascii="Times New Roman" w:hAnsi="Times New Roman" w:cs="Times New Roman"/>
        </w:rPr>
        <w:t>（3）资料审核。项目部对塔吊安装相关资料原件进行审核，审核通过后，留存加盖单位公章的复印件，并报监理单位审核。监理单位审核完成后，项目部组织联合验收。</w:t>
      </w:r>
    </w:p>
    <w:p w14:paraId="188DE128">
      <w:pPr>
        <w:ind w:firstLine="480"/>
        <w:rPr>
          <w:rFonts w:hint="default" w:ascii="Times New Roman" w:hAnsi="Times New Roman" w:cs="Times New Roman"/>
        </w:rPr>
      </w:pPr>
      <w:r>
        <w:rPr>
          <w:rFonts w:hint="default" w:ascii="Times New Roman" w:hAnsi="Times New Roman" w:cs="Times New Roman"/>
        </w:rPr>
        <w:t>（4）联合验收。项目部组织设备供应方、安装单位、使用单位、监理单位对塔吊安装进行联合验收。</w:t>
      </w:r>
    </w:p>
    <w:p w14:paraId="69E4ABBF">
      <w:pPr>
        <w:pStyle w:val="5"/>
        <w:rPr>
          <w:rFonts w:hint="default" w:ascii="Times New Roman" w:hAnsi="Times New Roman" w:cs="Times New Roman"/>
        </w:rPr>
      </w:pPr>
      <w:bookmarkStart w:id="142" w:name="_Toc117256113"/>
      <w:bookmarkStart w:id="143" w:name="_Toc31957"/>
      <w:r>
        <w:rPr>
          <w:rFonts w:hint="default" w:ascii="Times New Roman" w:hAnsi="Times New Roman" w:cs="Times New Roman"/>
        </w:rPr>
        <w:t>验收内容</w:t>
      </w:r>
      <w:bookmarkEnd w:id="142"/>
      <w:bookmarkEnd w:id="143"/>
    </w:p>
    <w:p w14:paraId="2252DC30">
      <w:pPr>
        <w:rPr>
          <w:rFonts w:hint="default"/>
        </w:rPr>
      </w:pPr>
      <w:r>
        <w:rPr>
          <w:rFonts w:hint="default" w:ascii="Times New Roman" w:hAnsi="Times New Roman" w:cs="Times New Roman"/>
          <w:lang w:val="en-US" w:eastAsia="zh-CN"/>
        </w:rPr>
        <w:t>验收内容详</w:t>
      </w:r>
      <w:r>
        <w:rPr>
          <w:rFonts w:hint="default" w:ascii="Times New Roman" w:hAnsi="Times New Roman" w:cs="Times New Roman"/>
        </w:rPr>
        <w:t>见附件</w:t>
      </w:r>
      <w:r>
        <w:rPr>
          <w:rFonts w:hint="eastAsia" w:ascii="Times New Roman" w:hAnsi="Times New Roman" w:cs="Times New Roman"/>
          <w:lang w:val="en-US" w:eastAsia="zh-CN"/>
        </w:rPr>
        <w:t>5</w:t>
      </w:r>
      <w:r>
        <w:rPr>
          <w:rFonts w:hint="default" w:ascii="Times New Roman" w:hAnsi="Times New Roman" w:cs="Times New Roman"/>
        </w:rPr>
        <w:t>：安装单位自检表</w:t>
      </w:r>
      <w:r>
        <w:rPr>
          <w:rFonts w:hint="default"/>
        </w:rPr>
        <w:t>。</w:t>
      </w:r>
    </w:p>
    <w:p w14:paraId="15BF9071">
      <w:pPr>
        <w:pStyle w:val="5"/>
        <w:bidi w:val="0"/>
        <w:rPr>
          <w:rFonts w:hint="default"/>
          <w:lang w:val="en-US" w:eastAsia="zh-CN"/>
        </w:rPr>
      </w:pPr>
      <w:bookmarkStart w:id="144" w:name="_Toc7904"/>
      <w:r>
        <w:rPr>
          <w:rFonts w:hint="eastAsia"/>
          <w:lang w:val="en-US" w:eastAsia="zh-CN"/>
        </w:rPr>
        <w:t>验收人员</w:t>
      </w:r>
      <w:bookmarkEnd w:id="144"/>
    </w:p>
    <w:p w14:paraId="62669A32">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参与验收人员包含</w:t>
      </w:r>
      <w:r>
        <w:rPr>
          <w:rFonts w:hint="eastAsia" w:cs="Times New Roman"/>
          <w:color w:val="000000" w:themeColor="text1"/>
          <w:lang w:eastAsia="zh-CN"/>
          <w14:textFill>
            <w14:solidFill>
              <w14:schemeClr w14:val="tx1"/>
            </w14:solidFill>
          </w14:textFill>
        </w:rPr>
        <w:t>安装</w:t>
      </w:r>
      <w:r>
        <w:rPr>
          <w:rFonts w:hint="default" w:ascii="Times New Roman" w:hAnsi="Times New Roman" w:cs="Times New Roman"/>
          <w:color w:val="000000" w:themeColor="text1"/>
          <w14:textFill>
            <w14:solidFill>
              <w14:schemeClr w14:val="tx1"/>
            </w14:solidFill>
          </w14:textFill>
        </w:rPr>
        <w:t>单位现场负责人、</w:t>
      </w:r>
      <w:r>
        <w:rPr>
          <w:rFonts w:hint="eastAsia" w:cs="Times New Roman"/>
          <w:color w:val="000000" w:themeColor="text1"/>
          <w:lang w:eastAsia="zh-CN"/>
          <w14:textFill>
            <w14:solidFill>
              <w14:schemeClr w14:val="tx1"/>
            </w14:solidFill>
          </w14:textFill>
        </w:rPr>
        <w:t>安装</w:t>
      </w:r>
      <w:r>
        <w:rPr>
          <w:rFonts w:hint="default" w:ascii="Times New Roman" w:hAnsi="Times New Roman" w:cs="Times New Roman"/>
          <w:color w:val="000000" w:themeColor="text1"/>
          <w14:textFill>
            <w14:solidFill>
              <w14:schemeClr w14:val="tx1"/>
            </w14:solidFill>
          </w14:textFill>
        </w:rPr>
        <w:t>班组长、项目部代表（含技术、安全、设备管理人员）等，需要监理验收的通知监理参与验收。</w:t>
      </w:r>
    </w:p>
    <w:p w14:paraId="23EA4DC4">
      <w:pPr>
        <w:ind w:firstLine="480"/>
      </w:pPr>
      <w:bookmarkStart w:id="145" w:name="_Toc40778453"/>
      <w:bookmarkStart w:id="146" w:name="_Toc20052"/>
      <w:bookmarkStart w:id="147" w:name="_Toc28613976"/>
      <w:r>
        <w:rPr>
          <w:rFonts w:hint="eastAsia"/>
        </w:rPr>
        <w:br w:type="page"/>
      </w:r>
    </w:p>
    <w:bookmarkEnd w:id="145"/>
    <w:bookmarkEnd w:id="146"/>
    <w:bookmarkEnd w:id="147"/>
    <w:p w14:paraId="6A00C347">
      <w:pPr>
        <w:pStyle w:val="4"/>
        <w:rPr>
          <w:rFonts w:hint="default" w:ascii="Times New Roman" w:hAnsi="Times New Roman" w:cs="Times New Roman"/>
        </w:rPr>
      </w:pPr>
      <w:bookmarkStart w:id="148" w:name="_Toc117256114"/>
      <w:bookmarkStart w:id="149" w:name="_Toc26553"/>
      <w:r>
        <w:rPr>
          <w:rFonts w:hint="eastAsia" w:cs="Times New Roman"/>
          <w:lang w:val="en-US" w:eastAsia="zh-CN"/>
        </w:rPr>
        <w:t>应急处置</w:t>
      </w:r>
      <w:r>
        <w:rPr>
          <w:rFonts w:hint="default" w:ascii="Times New Roman" w:hAnsi="Times New Roman" w:cs="Times New Roman"/>
        </w:rPr>
        <w:t>措施</w:t>
      </w:r>
      <w:bookmarkEnd w:id="148"/>
      <w:bookmarkEnd w:id="149"/>
    </w:p>
    <w:p w14:paraId="3C0FD08C">
      <w:pPr>
        <w:pStyle w:val="5"/>
        <w:bidi w:val="0"/>
      </w:pPr>
      <w:bookmarkStart w:id="150" w:name="_Toc40778454"/>
      <w:bookmarkStart w:id="151" w:name="_Toc23556"/>
      <w:bookmarkStart w:id="152" w:name="_Toc28613977"/>
      <w:bookmarkStart w:id="153" w:name="_Toc21328"/>
      <w:bookmarkStart w:id="154" w:name="_Toc117260703"/>
      <w:bookmarkStart w:id="155" w:name="_Toc5297"/>
      <w:r>
        <w:rPr>
          <w:rFonts w:hint="eastAsia"/>
        </w:rPr>
        <w:t>组织机构</w:t>
      </w:r>
      <w:bookmarkEnd w:id="150"/>
      <w:bookmarkEnd w:id="151"/>
      <w:bookmarkEnd w:id="152"/>
      <w:bookmarkEnd w:id="153"/>
      <w:bookmarkEnd w:id="154"/>
      <w:bookmarkEnd w:id="155"/>
    </w:p>
    <w:p w14:paraId="4C53F082">
      <w:pPr>
        <w:pStyle w:val="6"/>
        <w:bidi w:val="0"/>
      </w:pPr>
      <w:r>
        <w:rPr>
          <w:rFonts w:hint="eastAsia"/>
        </w:rPr>
        <w:t>应急</w:t>
      </w:r>
      <w:r>
        <w:rPr>
          <w:rFonts w:hint="eastAsia"/>
          <w:lang w:val="en-US" w:eastAsia="zh-CN"/>
        </w:rPr>
        <w:t>救援工作</w:t>
      </w:r>
      <w:r>
        <w:rPr>
          <w:rFonts w:hint="eastAsia"/>
        </w:rPr>
        <w:t>领导小组</w:t>
      </w:r>
    </w:p>
    <w:p w14:paraId="00900E59">
      <w:pPr>
        <w:bidi w:val="0"/>
        <w:rPr>
          <w:rFonts w:ascii="Times New Roman" w:hAnsi="Times New Roman" w:eastAsia="宋体" w:cs="Times New Roman"/>
        </w:rPr>
      </w:pPr>
      <w:r>
        <w:rPr>
          <w:rFonts w:hint="eastAsia" w:ascii="Times New Roman" w:hAnsi="Times New Roman" w:eastAsia="宋体" w:cs="Times New Roman"/>
        </w:rPr>
        <w:t>项目部成立应急救援领导小组，应急救援领导小组下设办公室，办公室设在安全管理部，由安全管理部长任办公室主任。应急救援领导小组组织机构见9.1.</w:t>
      </w:r>
      <w:r>
        <w:rPr>
          <w:rFonts w:hint="eastAsia" w:ascii="Times New Roman" w:hAnsi="Times New Roman" w:eastAsia="宋体" w:cs="Times New Roman"/>
          <w:lang w:val="en-US" w:eastAsia="zh-CN"/>
        </w:rPr>
        <w:t>1-</w:t>
      </w:r>
      <w:r>
        <w:rPr>
          <w:rFonts w:hint="eastAsia" w:ascii="Times New Roman" w:hAnsi="Times New Roman" w:eastAsia="宋体" w:cs="Times New Roman"/>
        </w:rPr>
        <w:t>1。</w:t>
      </w:r>
    </w:p>
    <w:p w14:paraId="32C63173">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rPr>
        <w:t>组  长：</w:t>
      </w:r>
      <w:r>
        <w:rPr>
          <w:rFonts w:hint="eastAsia" w:cs="Times New Roman"/>
          <w:lang w:val="en-US" w:eastAsia="zh-CN"/>
        </w:rPr>
        <w:t>吕仕昌</w:t>
      </w:r>
    </w:p>
    <w:p w14:paraId="778404E7">
      <w:pPr>
        <w:ind w:firstLine="480"/>
        <w:rPr>
          <w:rFonts w:hint="eastAsia" w:ascii="Times New Roman" w:hAnsi="Times New Roman" w:eastAsia="宋体" w:cs="Times New Roman"/>
          <w:lang w:eastAsia="zh-CN"/>
        </w:rPr>
      </w:pPr>
      <w:r>
        <w:rPr>
          <w:rFonts w:hint="eastAsia" w:ascii="Times New Roman" w:hAnsi="Times New Roman" w:eastAsia="宋体" w:cs="Times New Roman"/>
        </w:rPr>
        <w:t>副组长：</w:t>
      </w:r>
      <w:r>
        <w:rPr>
          <w:rFonts w:hint="eastAsia" w:cs="Times New Roman"/>
          <w:lang w:val="en-US" w:eastAsia="zh-CN"/>
        </w:rPr>
        <w:t>温涛</w:t>
      </w:r>
    </w:p>
    <w:p w14:paraId="6B5C2947">
      <w:pPr>
        <w:ind w:firstLine="480"/>
        <w:rPr>
          <w:rFonts w:hint="eastAsia" w:cs="Times New Roman"/>
          <w:b w:val="0"/>
          <w:bCs/>
          <w:lang w:val="en-US" w:eastAsia="zh-CN"/>
        </w:rPr>
      </w:pPr>
      <w:r>
        <w:rPr>
          <w:rFonts w:hint="eastAsia" w:ascii="Times New Roman" w:hAnsi="Times New Roman" w:eastAsia="宋体" w:cs="Times New Roman"/>
        </w:rPr>
        <w:t>组员：</w:t>
      </w:r>
      <w:r>
        <w:rPr>
          <w:rFonts w:hint="eastAsia" w:cs="Times New Roman"/>
          <w:b w:val="0"/>
          <w:bCs/>
          <w:lang w:val="en-US" w:eastAsia="zh-CN"/>
        </w:rPr>
        <w:t>罗乾龙、胡杰、李国林、李小琴、戴富东、冯昌苹</w:t>
      </w:r>
    </w:p>
    <w:p w14:paraId="5D0D8E43">
      <w:pPr>
        <w:ind w:firstLine="480"/>
        <w:rPr>
          <w:rFonts w:ascii="Times New Roman" w:hAnsi="Times New Roman" w:eastAsia="宋体" w:cs="Times New Roman"/>
        </w:rPr>
      </w:pPr>
      <w:r>
        <w:rPr>
          <w:rFonts w:ascii="Times New Roman" w:hAnsi="Times New Roman" w:eastAsia="宋体" w:cs="Times New Roman"/>
        </w:rPr>
        <w:t>应急救援领导小组下设办公室，办公室设在安全部，由安全部部长任办公室主任。应急救援领导小组组织机构见</w:t>
      </w:r>
      <w:r>
        <w:rPr>
          <w:rFonts w:ascii="Times New Roman" w:hAnsi="Times New Roman" w:eastAsia="宋体" w:cs="Times New Roman"/>
          <w:b/>
          <w:bCs/>
        </w:rPr>
        <w:t>图9.1</w:t>
      </w:r>
      <w:r>
        <w:rPr>
          <w:rFonts w:hint="eastAsia" w:cs="Times New Roman"/>
          <w:b/>
          <w:bCs/>
          <w:lang w:val="en-US" w:eastAsia="zh-CN"/>
        </w:rPr>
        <w:t>.1</w:t>
      </w:r>
      <w:r>
        <w:rPr>
          <w:rFonts w:ascii="Times New Roman" w:hAnsi="Times New Roman" w:eastAsia="宋体" w:cs="Times New Roman"/>
          <w:b/>
          <w:bCs/>
        </w:rPr>
        <w:t>-1</w:t>
      </w:r>
      <w:r>
        <w:rPr>
          <w:rFonts w:ascii="Times New Roman" w:hAnsi="Times New Roman" w:eastAsia="宋体" w:cs="Times New Roman"/>
        </w:rPr>
        <w:t>。</w:t>
      </w:r>
    </w:p>
    <w:p w14:paraId="0EBC1598">
      <w:pPr>
        <w:ind w:firstLine="0" w:firstLineChars="0"/>
        <w:jc w:val="center"/>
        <w:rPr>
          <w:rFonts w:ascii="Times New Roman" w:hAnsi="Times New Roman" w:eastAsia="宋体" w:cs="Times New Roman"/>
          <w:b/>
          <w:sz w:val="21"/>
        </w:rPr>
      </w:pPr>
      <w:r>
        <w:rPr>
          <w:rFonts w:ascii="Times New Roman" w:hAnsi="Times New Roman" w:eastAsia="宋体" w:cs="Times New Roman"/>
          <w:b/>
          <w:sz w:val="21"/>
        </w:rPr>
        <w:object>
          <v:shape id="_x0000_i1028" o:spt="75" type="#_x0000_t75" style="height:304.5pt;width:414.9pt;" o:ole="t" filled="f" o:preferrelative="t" stroked="f" coordsize="21600,21600">
            <v:path/>
            <v:fill on="f" focussize="0,0"/>
            <v:stroke on="f"/>
            <v:imagedata r:id="rId80" o:title=""/>
            <o:lock v:ext="edit" aspectratio="f"/>
            <w10:wrap type="none"/>
            <w10:anchorlock/>
          </v:shape>
          <o:OLEObject Type="Embed" ProgID="Visio.Drawing.11" ShapeID="_x0000_i1028" DrawAspect="Content" ObjectID="_1468075727" r:id="rId79">
            <o:LockedField>false</o:LockedField>
          </o:OLEObject>
        </w:object>
      </w:r>
    </w:p>
    <w:p w14:paraId="082126C5">
      <w:pPr>
        <w:ind w:firstLine="0" w:firstLineChars="0"/>
        <w:jc w:val="center"/>
        <w:rPr>
          <w:rFonts w:ascii="Times New Roman" w:hAnsi="Times New Roman" w:eastAsia="宋体" w:cs="Times New Roman"/>
          <w:b/>
          <w:sz w:val="21"/>
          <w:highlight w:val="none"/>
        </w:rPr>
      </w:pPr>
      <w:r>
        <w:rPr>
          <w:rFonts w:ascii="Times New Roman" w:hAnsi="Times New Roman" w:eastAsia="宋体" w:cs="Times New Roman"/>
          <w:b/>
          <w:sz w:val="21"/>
          <w:highlight w:val="none"/>
        </w:rPr>
        <w:t>图9.1</w:t>
      </w:r>
      <w:r>
        <w:rPr>
          <w:rFonts w:hint="eastAsia" w:cs="Times New Roman"/>
          <w:b/>
          <w:sz w:val="21"/>
          <w:highlight w:val="none"/>
          <w:lang w:val="en-US" w:eastAsia="zh-CN"/>
        </w:rPr>
        <w:t>.1</w:t>
      </w:r>
      <w:r>
        <w:rPr>
          <w:rFonts w:ascii="Times New Roman" w:hAnsi="Times New Roman" w:eastAsia="宋体" w:cs="Times New Roman"/>
          <w:b/>
          <w:sz w:val="21"/>
          <w:highlight w:val="none"/>
        </w:rPr>
        <w:t>-1  应急领导小组组织机构</w:t>
      </w:r>
    </w:p>
    <w:p w14:paraId="353A9808">
      <w:pPr>
        <w:ind w:firstLine="480"/>
        <w:rPr>
          <w:rFonts w:ascii="Times New Roman" w:hAnsi="Times New Roman" w:eastAsia="宋体" w:cs="Times New Roman"/>
        </w:rPr>
      </w:pPr>
      <w:r>
        <w:rPr>
          <w:rFonts w:hint="eastAsia" w:ascii="Times New Roman" w:hAnsi="Times New Roman" w:eastAsia="宋体" w:cs="Times New Roman"/>
        </w:rPr>
        <w:t>（1）组长负责应急预案的启动实施，必要时向上级单位请示启动上级部门应急预案等。</w:t>
      </w:r>
    </w:p>
    <w:p w14:paraId="401AF833">
      <w:pPr>
        <w:ind w:firstLine="480"/>
        <w:rPr>
          <w:rFonts w:ascii="Times New Roman" w:hAnsi="Times New Roman" w:eastAsia="宋体" w:cs="Times New Roman"/>
        </w:rPr>
      </w:pPr>
      <w:r>
        <w:rPr>
          <w:rFonts w:hint="eastAsia" w:ascii="Times New Roman" w:hAnsi="Times New Roman" w:eastAsia="宋体" w:cs="Times New Roman"/>
        </w:rPr>
        <w:t>（2）副组长协助组长工作，在组长不在场的情况下行使组长职责，具体负责应急抢险抢救过程的组织和协调以及事后恢复生产。</w:t>
      </w:r>
    </w:p>
    <w:p w14:paraId="2D656318">
      <w:pPr>
        <w:ind w:firstLine="480"/>
        <w:rPr>
          <w:rFonts w:hint="eastAsia" w:ascii="Times New Roman" w:hAnsi="Times New Roman" w:eastAsia="宋体" w:cs="Times New Roman"/>
          <w:lang w:eastAsia="zh-CN"/>
        </w:rPr>
      </w:pPr>
      <w:r>
        <w:rPr>
          <w:rFonts w:hint="eastAsia" w:ascii="Times New Roman" w:hAnsi="Times New Roman" w:eastAsia="宋体" w:cs="Times New Roman"/>
        </w:rPr>
        <w:t>（3）在事故处理过程中，各成员必须无条件服从组长或副组长的安排，积极协助事故应急的处理。应急处理工作小组成员的手机要24小时保持开机，并向全体员工公布</w:t>
      </w:r>
      <w:r>
        <w:rPr>
          <w:rFonts w:hint="eastAsia" w:cs="Times New Roman"/>
          <w:lang w:eastAsia="zh-CN"/>
        </w:rPr>
        <w:t>。</w:t>
      </w:r>
    </w:p>
    <w:p w14:paraId="063F5AD5">
      <w:pPr>
        <w:pStyle w:val="6"/>
        <w:bidi w:val="0"/>
      </w:pPr>
      <w:r>
        <w:rPr>
          <w:rFonts w:hint="eastAsia"/>
        </w:rPr>
        <w:t>事故应急处置与善后小组</w:t>
      </w:r>
    </w:p>
    <w:p w14:paraId="302FD28D">
      <w:pPr>
        <w:ind w:firstLine="480"/>
        <w:rPr>
          <w:rFonts w:ascii="Times New Roman" w:hAnsi="Times New Roman" w:eastAsia="宋体" w:cs="Times New Roman"/>
        </w:rPr>
      </w:pPr>
      <w:r>
        <w:rPr>
          <w:rFonts w:hint="eastAsia" w:ascii="Times New Roman" w:hAnsi="Times New Roman" w:eastAsia="宋体" w:cs="Times New Roman"/>
        </w:rPr>
        <w:t>事故应急处置与善后小组由几个分项专业小组组成，职责分工明确，事故应急处置与善后小组由几个分项专业小组组成，职责分工明确，由应急救援领导小组成员担任各个小组组长，由应急救援总指挥统一管理。主要包括7个专业小组：应急救援办公室、安全保卫组、事故救援组、医疗救援组、后勤保障组、善后处理组处理组。</w:t>
      </w:r>
    </w:p>
    <w:p w14:paraId="56E3FCC8">
      <w:pPr>
        <w:ind w:firstLine="480"/>
        <w:rPr>
          <w:rFonts w:ascii="Times New Roman" w:hAnsi="Times New Roman" w:eastAsia="宋体" w:cs="Times New Roman"/>
        </w:rPr>
      </w:pPr>
      <w:r>
        <w:rPr>
          <w:rFonts w:hint="eastAsia" w:ascii="Times New Roman" w:hAnsi="Times New Roman" w:eastAsia="宋体" w:cs="Times New Roman"/>
        </w:rPr>
        <w:t>各小组应急救援职责如下：</w:t>
      </w:r>
    </w:p>
    <w:p w14:paraId="4DB68A5D">
      <w:pPr>
        <w:ind w:firstLine="480"/>
        <w:rPr>
          <w:rFonts w:ascii="Times New Roman" w:hAnsi="Times New Roman" w:eastAsia="宋体" w:cs="Times New Roman"/>
        </w:rPr>
      </w:pPr>
      <w:r>
        <w:rPr>
          <w:rFonts w:hint="eastAsia" w:ascii="Times New Roman" w:hAnsi="Times New Roman" w:eastAsia="宋体" w:cs="Times New Roman"/>
        </w:rPr>
        <w:t>应急救援领导小组共设应急救援办公室、医疗救援组、安全保卫组、事故救援组、后勤保障组、善后工作组六个专业处置组。各专业处理组人员组成如下：</w:t>
      </w:r>
    </w:p>
    <w:p w14:paraId="4334F304">
      <w:pPr>
        <w:ind w:firstLine="480"/>
        <w:rPr>
          <w:rFonts w:ascii="Times New Roman" w:hAnsi="Times New Roman" w:eastAsia="宋体" w:cs="Times New Roman"/>
        </w:rPr>
      </w:pPr>
      <w:r>
        <w:rPr>
          <w:rFonts w:hint="eastAsia" w:ascii="Times New Roman" w:hAnsi="Times New Roman" w:eastAsia="宋体" w:cs="Times New Roman"/>
        </w:rPr>
        <w:t>应急救援办公室：项目经理任组长，副组长、组员由各领导班子组成。负责整体协调指挥，统筹规划，及时发现安全问题并予以解决。</w:t>
      </w:r>
    </w:p>
    <w:p w14:paraId="260D524F">
      <w:pPr>
        <w:ind w:firstLine="480"/>
        <w:rPr>
          <w:rFonts w:ascii="Times New Roman" w:hAnsi="Times New Roman" w:eastAsia="宋体" w:cs="Times New Roman"/>
        </w:rPr>
      </w:pPr>
      <w:r>
        <w:rPr>
          <w:rFonts w:hint="eastAsia" w:ascii="Times New Roman" w:hAnsi="Times New Roman" w:eastAsia="宋体" w:cs="Times New Roman"/>
        </w:rPr>
        <w:t>医疗救护组：副总工任组长，财务总监任副组长，负责医疗救护组，由综合办负责具体执行，项目办公室和财务相关人员听从指挥，随时参与医疗救援。</w:t>
      </w:r>
    </w:p>
    <w:p w14:paraId="56D2FC89">
      <w:pPr>
        <w:ind w:firstLine="480"/>
        <w:rPr>
          <w:rFonts w:ascii="Times New Roman" w:hAnsi="Times New Roman" w:eastAsia="宋体" w:cs="Times New Roman"/>
        </w:rPr>
      </w:pPr>
      <w:r>
        <w:rPr>
          <w:rFonts w:hint="eastAsia" w:ascii="Times New Roman" w:hAnsi="Times New Roman" w:eastAsia="宋体" w:cs="Times New Roman"/>
        </w:rPr>
        <w:t>安全保卫组：安全总监</w:t>
      </w:r>
      <w:r>
        <w:rPr>
          <w:rFonts w:hint="eastAsia" w:cs="Times New Roman"/>
          <w:lang w:val="en-US" w:eastAsia="zh-CN"/>
        </w:rPr>
        <w:t>任</w:t>
      </w:r>
      <w:r>
        <w:rPr>
          <w:rFonts w:hint="eastAsia" w:ascii="Times New Roman" w:hAnsi="Times New Roman" w:eastAsia="宋体" w:cs="Times New Roman"/>
        </w:rPr>
        <w:t>组长，成员由现场项目部安全员以及作业队安全员组成。</w:t>
      </w:r>
    </w:p>
    <w:p w14:paraId="4E665416">
      <w:pPr>
        <w:ind w:firstLine="480"/>
        <w:rPr>
          <w:rFonts w:ascii="Times New Roman" w:hAnsi="Times New Roman" w:eastAsia="宋体" w:cs="Times New Roman"/>
        </w:rPr>
      </w:pPr>
      <w:r>
        <w:rPr>
          <w:rFonts w:hint="eastAsia" w:ascii="Times New Roman" w:hAnsi="Times New Roman" w:eastAsia="宋体" w:cs="Times New Roman"/>
        </w:rPr>
        <w:t>事故救援组：生产经理任组长，成员由现场工区负责人，技术员、电工、发生事故作业队负责人带领作业队工人组成，在应急领导小组的领导下进行应急抢险工作。</w:t>
      </w:r>
    </w:p>
    <w:p w14:paraId="0768AC97">
      <w:pPr>
        <w:ind w:firstLine="480"/>
        <w:rPr>
          <w:rFonts w:ascii="Times New Roman" w:hAnsi="Times New Roman" w:eastAsia="宋体" w:cs="Times New Roman"/>
        </w:rPr>
      </w:pPr>
      <w:r>
        <w:rPr>
          <w:rFonts w:hint="eastAsia" w:ascii="Times New Roman" w:hAnsi="Times New Roman" w:eastAsia="宋体" w:cs="Times New Roman"/>
        </w:rPr>
        <w:t>后勤保障组：项目副经理任组长，成员由物资部、综合办公室其他人员组成。</w:t>
      </w:r>
    </w:p>
    <w:p w14:paraId="704B74E9">
      <w:pPr>
        <w:ind w:firstLine="480"/>
        <w:rPr>
          <w:rFonts w:ascii="Times New Roman" w:hAnsi="Times New Roman" w:eastAsia="宋体" w:cs="Times New Roman"/>
        </w:rPr>
      </w:pPr>
      <w:r>
        <w:rPr>
          <w:rFonts w:hint="eastAsia" w:ascii="Times New Roman" w:hAnsi="Times New Roman" w:eastAsia="宋体" w:cs="Times New Roman"/>
        </w:rPr>
        <w:t>善后工作组：项目书记组长，成员由项目财务部、办公室、合约、安全环保及事故单位负责人组成。</w:t>
      </w:r>
    </w:p>
    <w:p w14:paraId="32F51C5E">
      <w:pPr>
        <w:ind w:firstLine="480"/>
        <w:rPr>
          <w:rFonts w:ascii="Times New Roman" w:hAnsi="Times New Roman" w:eastAsia="宋体" w:cs="Times New Roman"/>
        </w:rPr>
      </w:pPr>
      <w:r>
        <w:rPr>
          <w:rFonts w:hint="eastAsia" w:ascii="Times New Roman" w:hAnsi="Times New Roman" w:eastAsia="宋体" w:cs="Times New Roman"/>
        </w:rPr>
        <w:t>应急救援协调领导组组长发布启动本应急预案命令时，各职能组无条件地服从安排，立即投入到应急救援的行列。</w:t>
      </w:r>
    </w:p>
    <w:p w14:paraId="34AFC9E8">
      <w:pPr>
        <w:pStyle w:val="6"/>
        <w:bidi w:val="0"/>
      </w:pPr>
      <w:bookmarkStart w:id="156" w:name="_Toc42677465"/>
      <w:bookmarkStart w:id="157" w:name="_Toc54704689"/>
      <w:bookmarkStart w:id="158" w:name="_Toc46562484"/>
      <w:bookmarkStart w:id="159" w:name="_Toc44508861"/>
      <w:bookmarkStart w:id="160" w:name="_Toc45528899"/>
      <w:bookmarkStart w:id="161" w:name="_Toc46924539"/>
      <w:bookmarkStart w:id="162" w:name="_Toc43458013"/>
      <w:bookmarkStart w:id="163" w:name="_Toc14296"/>
      <w:r>
        <w:rPr>
          <w:rFonts w:hint="eastAsia"/>
        </w:rPr>
        <w:t>应急联络方式</w:t>
      </w:r>
      <w:bookmarkEnd w:id="156"/>
      <w:bookmarkEnd w:id="157"/>
      <w:bookmarkEnd w:id="158"/>
      <w:bookmarkEnd w:id="159"/>
      <w:bookmarkEnd w:id="160"/>
      <w:bookmarkEnd w:id="161"/>
      <w:bookmarkEnd w:id="162"/>
      <w:bookmarkEnd w:id="163"/>
    </w:p>
    <w:p w14:paraId="54B1DB99">
      <w:pPr>
        <w:ind w:firstLine="480"/>
        <w:rPr>
          <w:rFonts w:ascii="宋体" w:hAnsi="宋体" w:eastAsia="宋体" w:cs="Times New Roman"/>
        </w:rPr>
      </w:pPr>
      <w:r>
        <w:rPr>
          <w:rFonts w:ascii="宋体" w:hAnsi="宋体" w:eastAsia="宋体" w:cs="Times New Roman"/>
        </w:rPr>
        <w:t>常用</w:t>
      </w:r>
      <w:r>
        <w:rPr>
          <w:rFonts w:hint="eastAsia" w:ascii="宋体" w:hAnsi="宋体" w:eastAsia="宋体" w:cs="Times New Roman"/>
        </w:rPr>
        <w:t>应急</w:t>
      </w:r>
      <w:r>
        <w:rPr>
          <w:rFonts w:ascii="宋体" w:hAnsi="宋体" w:eastAsia="宋体" w:cs="Times New Roman"/>
        </w:rPr>
        <w:t>电话号码：火警电话：119</w:t>
      </w:r>
      <w:r>
        <w:rPr>
          <w:rFonts w:hint="eastAsia" w:ascii="宋体" w:hAnsi="宋体" w:eastAsia="宋体" w:cs="Times New Roman"/>
        </w:rPr>
        <w:t>，</w:t>
      </w:r>
      <w:r>
        <w:rPr>
          <w:rFonts w:ascii="宋体" w:hAnsi="宋体" w:eastAsia="宋体" w:cs="Times New Roman"/>
        </w:rPr>
        <w:t>急救电话：120</w:t>
      </w:r>
      <w:r>
        <w:rPr>
          <w:rFonts w:hint="eastAsia" w:ascii="宋体" w:hAnsi="宋体" w:eastAsia="宋体" w:cs="Times New Roman"/>
        </w:rPr>
        <w:t>，</w:t>
      </w:r>
      <w:r>
        <w:rPr>
          <w:rFonts w:ascii="宋体" w:hAnsi="宋体" w:eastAsia="宋体" w:cs="Times New Roman"/>
        </w:rPr>
        <w:t>治安电话：110</w:t>
      </w:r>
    </w:p>
    <w:p w14:paraId="59C2D5BF">
      <w:pPr>
        <w:pStyle w:val="5"/>
        <w:bidi w:val="0"/>
      </w:pPr>
      <w:bookmarkStart w:id="164" w:name="_Toc28613979"/>
      <w:bookmarkStart w:id="165" w:name="_Toc117260704"/>
      <w:bookmarkStart w:id="166" w:name="_Toc9735"/>
      <w:bookmarkStart w:id="167" w:name="_Toc40778455"/>
      <w:bookmarkStart w:id="168" w:name="_Toc1874"/>
      <w:bookmarkStart w:id="169" w:name="_Toc31221"/>
      <w:r>
        <w:rPr>
          <w:rFonts w:hint="eastAsia"/>
        </w:rPr>
        <w:t>处置流程</w:t>
      </w:r>
      <w:bookmarkEnd w:id="164"/>
      <w:bookmarkEnd w:id="165"/>
      <w:bookmarkEnd w:id="166"/>
      <w:bookmarkEnd w:id="167"/>
      <w:bookmarkEnd w:id="168"/>
      <w:bookmarkEnd w:id="169"/>
    </w:p>
    <w:p w14:paraId="1DA43122">
      <w:pPr>
        <w:pStyle w:val="6"/>
        <w:bidi w:val="0"/>
      </w:pPr>
      <w:r>
        <w:rPr>
          <w:rFonts w:hint="eastAsia"/>
        </w:rPr>
        <w:t>应急响应程序</w:t>
      </w:r>
    </w:p>
    <w:p w14:paraId="2CF31ED0">
      <w:pPr>
        <w:ind w:firstLine="480"/>
        <w:rPr>
          <w:rFonts w:ascii="Times New Roman" w:hAnsi="Times New Roman" w:eastAsia="宋体" w:cs="Times New Roman"/>
        </w:rPr>
      </w:pPr>
      <w:r>
        <w:rPr>
          <w:rFonts w:hint="eastAsia" w:ascii="Times New Roman" w:hAnsi="Times New Roman" w:eastAsia="宋体" w:cs="Times New Roman"/>
        </w:rPr>
        <w:t>事故应急救援系统的应急响应程序按照过程可分为接报、响应级别的确定、应急启动、救援行动、应急结束与恢复生产等几个过程。</w:t>
      </w:r>
    </w:p>
    <w:p w14:paraId="0189BC67">
      <w:pPr>
        <w:ind w:firstLine="480"/>
        <w:rPr>
          <w:rFonts w:ascii="Times New Roman" w:hAnsi="Times New Roman" w:eastAsia="宋体" w:cs="Times New Roman"/>
        </w:rPr>
      </w:pPr>
      <w:r>
        <w:rPr>
          <w:rFonts w:hint="eastAsia" w:ascii="Times New Roman" w:hAnsi="Times New Roman" w:eastAsia="宋体" w:cs="Times New Roman"/>
        </w:rPr>
        <w:t>（1）三级响应。事故类别为：一般等级以下事故。应急救援及处置由项目部主导和具体实施，分公司协助处理。</w:t>
      </w:r>
    </w:p>
    <w:p w14:paraId="2AC8DC7B">
      <w:pPr>
        <w:ind w:firstLine="480"/>
        <w:rPr>
          <w:rFonts w:ascii="Times New Roman" w:hAnsi="Times New Roman" w:eastAsia="宋体" w:cs="Times New Roman"/>
        </w:rPr>
      </w:pPr>
      <w:r>
        <w:rPr>
          <w:rFonts w:hint="eastAsia" w:ascii="Times New Roman" w:hAnsi="Times New Roman" w:eastAsia="宋体" w:cs="Times New Roman"/>
        </w:rPr>
        <w:t>（2）二级响应。事故类别为：发生重伤事故或者可能造成较大伤害和影响的事故，且事态得以控制，不会造成严重社会影响。应急救援及处置协调由分公司主导，二航局综合协调，项目部具体实施。</w:t>
      </w:r>
    </w:p>
    <w:p w14:paraId="4051D66C">
      <w:pPr>
        <w:ind w:firstLine="480"/>
        <w:rPr>
          <w:rFonts w:ascii="Times New Roman" w:hAnsi="Times New Roman" w:eastAsia="宋体" w:cs="Times New Roman"/>
        </w:rPr>
      </w:pPr>
      <w:r>
        <w:rPr>
          <w:rFonts w:hint="eastAsia" w:ascii="Times New Roman" w:hAnsi="Times New Roman" w:eastAsia="宋体" w:cs="Times New Roman"/>
        </w:rPr>
        <w:t>（3）一级响应。事故类别为：发生较大及以上等级生产安全事故；发生一般等级生产安全事故，但可能造成进一步损失或严重社会影响。应急救援及处置协调由二航局主导，分公司配合，项目部具体实施。</w:t>
      </w:r>
    </w:p>
    <w:p w14:paraId="38A6BAD0">
      <w:pPr>
        <w:pStyle w:val="6"/>
        <w:bidi w:val="0"/>
      </w:pPr>
      <w:r>
        <w:rPr>
          <w:rFonts w:hint="eastAsia"/>
        </w:rPr>
        <w:t>应急处置程序</w:t>
      </w:r>
    </w:p>
    <w:p w14:paraId="1CD55DCC">
      <w:pPr>
        <w:ind w:firstLine="480"/>
        <w:rPr>
          <w:rFonts w:ascii="Times New Roman" w:hAnsi="Times New Roman" w:eastAsia="宋体" w:cs="Times New Roman"/>
        </w:rPr>
      </w:pPr>
      <w:r>
        <w:rPr>
          <w:rFonts w:hint="eastAsia" w:ascii="Times New Roman" w:hAnsi="Times New Roman" w:eastAsia="宋体" w:cs="Times New Roman"/>
        </w:rPr>
        <w:t>施工过程中发生生产安全事故，应急处置流程如下图所示。</w:t>
      </w:r>
    </w:p>
    <w:p w14:paraId="3EA2B46E">
      <w:pPr>
        <w:spacing w:line="240" w:lineRule="auto"/>
        <w:ind w:firstLine="0" w:firstLineChars="0"/>
        <w:jc w:val="center"/>
        <w:rPr>
          <w:rFonts w:ascii="Times New Roman" w:hAnsi="Times New Roman" w:eastAsia="宋体" w:cs="宋体"/>
          <w:b/>
          <w:bCs/>
          <w:kern w:val="0"/>
          <w:sz w:val="21"/>
        </w:rPr>
      </w:pPr>
      <w:r>
        <w:rPr>
          <w:rFonts w:ascii="Times New Roman" w:hAnsi="Times New Roman" w:eastAsia="宋体" w:cs="宋体"/>
          <w:b/>
          <w:bCs/>
          <w:kern w:val="0"/>
          <w:sz w:val="21"/>
        </w:rPr>
        <w:object>
          <v:shape id="_x0000_i1029" o:spt="75" type="#_x0000_t75" style="height:363.5pt;width:374.5pt;" o:ole="t" filled="f" o:preferrelative="t" stroked="f" coordsize="21600,21600">
            <v:path/>
            <v:fill on="f" focussize="0,0"/>
            <v:stroke on="f" joinstyle="miter"/>
            <v:imagedata r:id="rId81" o:title=""/>
            <o:lock v:ext="edit" aspectratio="t"/>
            <w10:wrap type="none"/>
            <w10:anchorlock/>
          </v:shape>
          <o:OLEObject Type="Embed" ProgID="Visio.Drawing.15" ShapeID="_x0000_i1029" DrawAspect="Content" ObjectID="_1468075728">
            <o:LockedField>false</o:LockedField>
          </o:OLEObject>
        </w:object>
      </w:r>
    </w:p>
    <w:p w14:paraId="60A937A2">
      <w:pPr>
        <w:ind w:firstLine="0" w:firstLineChars="0"/>
        <w:jc w:val="center"/>
        <w:rPr>
          <w:rFonts w:ascii="Times New Roman" w:hAnsi="Times New Roman" w:eastAsia="宋体" w:cstheme="majorBidi"/>
          <w:b/>
          <w:sz w:val="21"/>
          <w:szCs w:val="20"/>
        </w:rPr>
      </w:pPr>
      <w:bookmarkStart w:id="170" w:name="_Ref59614388"/>
      <w:r>
        <w:rPr>
          <w:rFonts w:hint="eastAsia" w:ascii="Times New Roman" w:hAnsi="Times New Roman" w:eastAsia="宋体" w:cstheme="majorBidi"/>
          <w:b/>
          <w:sz w:val="21"/>
          <w:szCs w:val="20"/>
        </w:rPr>
        <w:t>图</w:t>
      </w:r>
      <w:r>
        <w:rPr>
          <w:rFonts w:ascii="Times New Roman" w:hAnsi="Times New Roman" w:eastAsia="宋体" w:cstheme="majorBidi"/>
          <w:b/>
          <w:sz w:val="21"/>
          <w:szCs w:val="20"/>
        </w:rPr>
        <w:fldChar w:fldCharType="begin"/>
      </w:r>
      <w:r>
        <w:rPr>
          <w:rFonts w:ascii="Times New Roman" w:hAnsi="Times New Roman" w:eastAsia="宋体" w:cstheme="majorBidi"/>
          <w:b/>
          <w:sz w:val="21"/>
          <w:szCs w:val="20"/>
        </w:rPr>
        <w:instrText xml:space="preserve"> </w:instrText>
      </w:r>
      <w:r>
        <w:rPr>
          <w:rFonts w:hint="eastAsia" w:ascii="Times New Roman" w:hAnsi="Times New Roman" w:eastAsia="宋体" w:cstheme="majorBidi"/>
          <w:b/>
          <w:sz w:val="21"/>
          <w:szCs w:val="20"/>
        </w:rPr>
        <w:instrText xml:space="preserve">STYLEREF 2 \s</w:instrText>
      </w:r>
      <w:r>
        <w:rPr>
          <w:rFonts w:ascii="Times New Roman" w:hAnsi="Times New Roman" w:eastAsia="宋体" w:cstheme="majorBidi"/>
          <w:b/>
          <w:sz w:val="21"/>
          <w:szCs w:val="20"/>
        </w:rPr>
        <w:instrText xml:space="preserve"> </w:instrText>
      </w:r>
      <w:r>
        <w:rPr>
          <w:rFonts w:ascii="Times New Roman" w:hAnsi="Times New Roman" w:eastAsia="宋体" w:cstheme="majorBidi"/>
          <w:b/>
          <w:sz w:val="21"/>
          <w:szCs w:val="20"/>
        </w:rPr>
        <w:fldChar w:fldCharType="separate"/>
      </w:r>
      <w:r>
        <w:rPr>
          <w:rFonts w:ascii="Times New Roman" w:hAnsi="Times New Roman" w:eastAsia="宋体" w:cstheme="majorBidi"/>
          <w:b/>
          <w:sz w:val="21"/>
          <w:szCs w:val="20"/>
        </w:rPr>
        <w:t>9.2</w:t>
      </w:r>
      <w:r>
        <w:rPr>
          <w:rFonts w:ascii="Times New Roman" w:hAnsi="Times New Roman" w:eastAsia="宋体" w:cstheme="majorBidi"/>
          <w:b/>
          <w:sz w:val="21"/>
          <w:szCs w:val="20"/>
        </w:rPr>
        <w:fldChar w:fldCharType="end"/>
      </w:r>
      <w:r>
        <w:rPr>
          <w:rFonts w:ascii="Times New Roman" w:hAnsi="Times New Roman" w:eastAsia="宋体" w:cstheme="majorBidi"/>
          <w:b/>
          <w:sz w:val="21"/>
          <w:szCs w:val="20"/>
        </w:rPr>
        <w:t>.2</w:t>
      </w:r>
      <w:r>
        <w:rPr>
          <w:rFonts w:ascii="Times New Roman" w:hAnsi="Times New Roman" w:eastAsia="宋体" w:cstheme="majorBidi"/>
          <w:b/>
          <w:sz w:val="21"/>
          <w:szCs w:val="20"/>
        </w:rPr>
        <w:noBreakHyphen/>
      </w:r>
      <w:r>
        <w:rPr>
          <w:rFonts w:ascii="Times New Roman" w:hAnsi="Times New Roman" w:eastAsia="宋体" w:cstheme="majorBidi"/>
          <w:b/>
          <w:sz w:val="21"/>
          <w:szCs w:val="20"/>
        </w:rPr>
        <w:fldChar w:fldCharType="begin"/>
      </w:r>
      <w:r>
        <w:rPr>
          <w:rFonts w:ascii="Times New Roman" w:hAnsi="Times New Roman" w:eastAsia="宋体" w:cstheme="majorBidi"/>
          <w:b/>
          <w:sz w:val="21"/>
          <w:szCs w:val="20"/>
        </w:rPr>
        <w:instrText xml:space="preserve"> </w:instrText>
      </w:r>
      <w:r>
        <w:rPr>
          <w:rFonts w:hint="eastAsia" w:ascii="Times New Roman" w:hAnsi="Times New Roman" w:eastAsia="宋体" w:cstheme="majorBidi"/>
          <w:b/>
          <w:sz w:val="21"/>
          <w:szCs w:val="20"/>
        </w:rPr>
        <w:instrText xml:space="preserve">SEQ 图 \* ARABIC \s 2</w:instrText>
      </w:r>
      <w:r>
        <w:rPr>
          <w:rFonts w:ascii="Times New Roman" w:hAnsi="Times New Roman" w:eastAsia="宋体" w:cstheme="majorBidi"/>
          <w:b/>
          <w:sz w:val="21"/>
          <w:szCs w:val="20"/>
        </w:rPr>
        <w:instrText xml:space="preserve"> </w:instrText>
      </w:r>
      <w:r>
        <w:rPr>
          <w:rFonts w:ascii="Times New Roman" w:hAnsi="Times New Roman" w:eastAsia="宋体" w:cstheme="majorBidi"/>
          <w:b/>
          <w:sz w:val="21"/>
          <w:szCs w:val="20"/>
        </w:rPr>
        <w:fldChar w:fldCharType="separate"/>
      </w:r>
      <w:r>
        <w:rPr>
          <w:rFonts w:hint="eastAsia" w:ascii="Times New Roman" w:hAnsi="Times New Roman" w:eastAsia="宋体" w:cstheme="majorBidi"/>
          <w:b/>
          <w:sz w:val="21"/>
          <w:szCs w:val="20"/>
        </w:rPr>
        <w:t>1</w:t>
      </w:r>
      <w:r>
        <w:rPr>
          <w:rFonts w:ascii="Times New Roman" w:hAnsi="Times New Roman" w:eastAsia="宋体" w:cstheme="majorBidi"/>
          <w:b/>
          <w:sz w:val="21"/>
          <w:szCs w:val="20"/>
        </w:rPr>
        <w:fldChar w:fldCharType="end"/>
      </w:r>
      <w:bookmarkEnd w:id="170"/>
      <w:r>
        <w:rPr>
          <w:rFonts w:ascii="Times New Roman" w:hAnsi="Times New Roman" w:eastAsia="宋体" w:cstheme="majorBidi"/>
          <w:b/>
          <w:sz w:val="21"/>
          <w:szCs w:val="20"/>
        </w:rPr>
        <w:t xml:space="preserve"> </w:t>
      </w:r>
      <w:r>
        <w:rPr>
          <w:rFonts w:hint="eastAsia" w:ascii="Times New Roman" w:hAnsi="Times New Roman" w:eastAsia="宋体" w:cstheme="majorBidi"/>
          <w:b/>
          <w:sz w:val="21"/>
          <w:szCs w:val="20"/>
        </w:rPr>
        <w:t>事故应急处置流程</w:t>
      </w:r>
    </w:p>
    <w:p w14:paraId="174B7ED3">
      <w:pPr>
        <w:pStyle w:val="6"/>
        <w:bidi w:val="0"/>
      </w:pPr>
      <w:r>
        <w:rPr>
          <w:rFonts w:hint="eastAsia"/>
        </w:rPr>
        <w:t>事故报告及内容</w:t>
      </w:r>
    </w:p>
    <w:p w14:paraId="040D6CC9">
      <w:pPr>
        <w:pStyle w:val="7"/>
        <w:bidi w:val="0"/>
      </w:pPr>
      <w:r>
        <w:rPr>
          <w:rFonts w:hint="eastAsia"/>
        </w:rPr>
        <w:t>事故内部报告程序</w:t>
      </w:r>
    </w:p>
    <w:p w14:paraId="138FDB2B">
      <w:pPr>
        <w:ind w:firstLine="480"/>
        <w:rPr>
          <w:rFonts w:ascii="Times New Roman" w:hAnsi="Times New Roman" w:eastAsia="宋体" w:cs="Times New Roman"/>
        </w:rPr>
      </w:pPr>
      <w:r>
        <w:rPr>
          <w:rFonts w:hint="eastAsia" w:ascii="Times New Roman" w:hAnsi="Times New Roman" w:eastAsia="宋体" w:cs="Times New Roman"/>
        </w:rPr>
        <w:t>生产安全事故发生后，事故发现人应立即报告现场负责人，现场负责人立即向项目经理报告；现场负责人接报后，应第一时间启动现场处置方案，采取紧急措施抢救伤亡人员，控制事故，防止扩大；项目经理接报后，应当及时根据事故情况，决定是否启动专项应急预案。由事故发生到事故信息传递至公司总部有关负责人，其时限不得超过1小时；逐级上报时限不得超过0.5小时。内部报告程序可越级报告，第一时间接报人要同时告知相关人员。</w:t>
      </w:r>
    </w:p>
    <w:p w14:paraId="4022835E">
      <w:pPr>
        <w:pStyle w:val="7"/>
        <w:bidi w:val="0"/>
      </w:pPr>
      <w:r>
        <w:rPr>
          <w:rFonts w:hint="eastAsia"/>
        </w:rPr>
        <w:t>事故外部报告程序</w:t>
      </w:r>
    </w:p>
    <w:p w14:paraId="0CAD6AB6">
      <w:pPr>
        <w:ind w:firstLine="480"/>
        <w:rPr>
          <w:rFonts w:ascii="Times New Roman" w:hAnsi="Times New Roman" w:eastAsia="宋体" w:cs="Times New Roman"/>
        </w:rPr>
      </w:pPr>
      <w:r>
        <w:rPr>
          <w:rFonts w:hint="eastAsia" w:ascii="Times New Roman" w:hAnsi="Times New Roman" w:eastAsia="宋体" w:cs="Times New Roman"/>
        </w:rPr>
        <w:t>项目应急领导小组仔细了解事故情况，迅速确定事故书面简报材料向分公司报告。分公司总经理、执行总经理或副总经理、安全总监接到事故报告后，根据工程参建单位情况、项目情况等决定自行、授权项目经理在事发1小时内向事发地政府监管部门报告，并及时向公司报告。</w:t>
      </w:r>
    </w:p>
    <w:p w14:paraId="2BD6DB8E">
      <w:pPr>
        <w:pStyle w:val="7"/>
        <w:bidi w:val="0"/>
      </w:pPr>
      <w:r>
        <w:rPr>
          <w:rFonts w:hint="eastAsia"/>
        </w:rPr>
        <w:t>生产安全事故报告内容</w:t>
      </w:r>
    </w:p>
    <w:p w14:paraId="5E512DC5">
      <w:pPr>
        <w:ind w:firstLine="480"/>
        <w:rPr>
          <w:rFonts w:ascii="Times New Roman" w:hAnsi="Times New Roman" w:eastAsia="宋体" w:cs="Times New Roman"/>
        </w:rPr>
      </w:pPr>
      <w:r>
        <w:rPr>
          <w:rFonts w:hint="eastAsia" w:ascii="Times New Roman" w:hAnsi="Times New Roman" w:eastAsia="宋体" w:cs="Times New Roman"/>
        </w:rPr>
        <w:t>生产安全事故报告内容包括：</w:t>
      </w:r>
    </w:p>
    <w:p w14:paraId="07FDFE4A">
      <w:pPr>
        <w:ind w:firstLine="480"/>
        <w:rPr>
          <w:rFonts w:ascii="Times New Roman" w:hAnsi="Times New Roman" w:eastAsia="宋体" w:cs="Times New Roman"/>
        </w:rPr>
      </w:pPr>
      <w:r>
        <w:rPr>
          <w:rFonts w:hint="eastAsia" w:ascii="Times New Roman" w:hAnsi="Times New Roman" w:eastAsia="宋体" w:cs="Times New Roman"/>
        </w:rPr>
        <w:t>（1）事故发生单位概况；</w:t>
      </w:r>
    </w:p>
    <w:p w14:paraId="7501A9DB">
      <w:pPr>
        <w:ind w:firstLine="480"/>
        <w:rPr>
          <w:rFonts w:ascii="Times New Roman" w:hAnsi="Times New Roman" w:eastAsia="宋体" w:cs="Times New Roman"/>
        </w:rPr>
      </w:pPr>
      <w:r>
        <w:rPr>
          <w:rFonts w:hint="eastAsia" w:ascii="Times New Roman" w:hAnsi="Times New Roman" w:eastAsia="宋体" w:cs="Times New Roman"/>
        </w:rPr>
        <w:t>（2）事故发生的时间、地点以及事故现场情况；</w:t>
      </w:r>
    </w:p>
    <w:p w14:paraId="6BD94C76">
      <w:pPr>
        <w:ind w:firstLine="480"/>
        <w:rPr>
          <w:rFonts w:ascii="Times New Roman" w:hAnsi="Times New Roman" w:eastAsia="宋体" w:cs="Times New Roman"/>
        </w:rPr>
      </w:pPr>
      <w:r>
        <w:rPr>
          <w:rFonts w:hint="eastAsia" w:ascii="Times New Roman" w:hAnsi="Times New Roman" w:eastAsia="宋体" w:cs="Times New Roman"/>
        </w:rPr>
        <w:t>（3）事故的简要经过；</w:t>
      </w:r>
    </w:p>
    <w:p w14:paraId="5E65BD2A">
      <w:pPr>
        <w:ind w:firstLine="480"/>
        <w:rPr>
          <w:rFonts w:ascii="Times New Roman" w:hAnsi="Times New Roman" w:eastAsia="宋体" w:cs="Times New Roman"/>
        </w:rPr>
      </w:pPr>
      <w:r>
        <w:rPr>
          <w:rFonts w:hint="eastAsia" w:ascii="Times New Roman" w:hAnsi="Times New Roman" w:eastAsia="宋体" w:cs="Times New Roman"/>
        </w:rPr>
        <w:t>（4）事故已经造成或者可能造成的伤亡人数（包括下落不明的人数）和初步估计的直接经济损失；</w:t>
      </w:r>
    </w:p>
    <w:p w14:paraId="6F062574">
      <w:pPr>
        <w:ind w:firstLine="480"/>
        <w:rPr>
          <w:rFonts w:ascii="Times New Roman" w:hAnsi="Times New Roman" w:eastAsia="宋体" w:cs="Times New Roman"/>
        </w:rPr>
      </w:pPr>
      <w:r>
        <w:rPr>
          <w:rFonts w:hint="eastAsia" w:ascii="Times New Roman" w:hAnsi="Times New Roman" w:eastAsia="宋体" w:cs="Times New Roman"/>
        </w:rPr>
        <w:t>（5）已经采取的措施；</w:t>
      </w:r>
    </w:p>
    <w:p w14:paraId="79420522">
      <w:pPr>
        <w:ind w:firstLine="480"/>
        <w:rPr>
          <w:rFonts w:ascii="Times New Roman" w:hAnsi="Times New Roman" w:eastAsia="宋体" w:cs="Times New Roman"/>
        </w:rPr>
      </w:pPr>
      <w:r>
        <w:rPr>
          <w:rFonts w:hint="eastAsia" w:ascii="Times New Roman" w:hAnsi="Times New Roman" w:eastAsia="宋体" w:cs="Times New Roman"/>
        </w:rPr>
        <w:t>（6）其他应当报告的情况。</w:t>
      </w:r>
    </w:p>
    <w:p w14:paraId="299DBC4B">
      <w:pPr>
        <w:pStyle w:val="5"/>
        <w:bidi w:val="0"/>
      </w:pPr>
      <w:bookmarkStart w:id="171" w:name="_Toc117260705"/>
      <w:bookmarkStart w:id="172" w:name="_Toc40778456"/>
      <w:bookmarkStart w:id="173" w:name="_Toc63185590"/>
      <w:bookmarkStart w:id="174" w:name="_Toc22714"/>
      <w:bookmarkStart w:id="175" w:name="_Toc15761"/>
      <w:r>
        <w:rPr>
          <w:rFonts w:hint="eastAsia"/>
        </w:rPr>
        <w:t>应急处置措施</w:t>
      </w:r>
      <w:bookmarkEnd w:id="171"/>
      <w:bookmarkEnd w:id="172"/>
      <w:bookmarkEnd w:id="173"/>
      <w:bookmarkEnd w:id="174"/>
      <w:bookmarkEnd w:id="175"/>
    </w:p>
    <w:p w14:paraId="42B37C49">
      <w:pPr>
        <w:pStyle w:val="6"/>
        <w:bidi w:val="0"/>
      </w:pPr>
      <w:r>
        <w:rPr>
          <w:rFonts w:hint="eastAsia"/>
        </w:rPr>
        <w:t>塔吊坍塌应急处置措施</w:t>
      </w:r>
    </w:p>
    <w:p w14:paraId="78659F55">
      <w:pPr>
        <w:numPr>
          <w:ilvl w:val="0"/>
          <w:numId w:val="36"/>
        </w:numPr>
        <w:ind w:firstLine="480"/>
        <w:rPr>
          <w:rFonts w:ascii="Times New Roman" w:hAnsi="Times New Roman" w:eastAsia="宋体" w:cs="Times New Roman"/>
        </w:rPr>
      </w:pPr>
      <w:r>
        <w:rPr>
          <w:rFonts w:hint="eastAsia" w:cs="Times New Roman"/>
          <w:lang w:eastAsia="zh-CN"/>
        </w:rPr>
        <w:t>安装</w:t>
      </w:r>
      <w:r>
        <w:rPr>
          <w:rFonts w:hint="eastAsia" w:ascii="Times New Roman" w:hAnsi="Times New Roman" w:eastAsia="宋体" w:cs="Times New Roman"/>
        </w:rPr>
        <w:t>现场发生设备坍塌塌事故，迅速确定事故发生的准确位置、可能波及的范围、损坏的程度、人员伤亡情况等，以根据不同情况进行应急处置。</w:t>
      </w:r>
    </w:p>
    <w:p w14:paraId="276D5FFC">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2</w:t>
      </w:r>
      <w:r>
        <w:rPr>
          <w:rFonts w:hint="eastAsia" w:ascii="Times New Roman" w:hAnsi="Times New Roman" w:eastAsia="宋体" w:cs="Times New Roman"/>
        </w:rPr>
        <w:t>）设置危险警戒区域，严禁与应急抢险无关的人员进入。</w:t>
      </w:r>
    </w:p>
    <w:p w14:paraId="5FAFB79D">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3</w:t>
      </w:r>
      <w:r>
        <w:rPr>
          <w:rFonts w:hint="eastAsia" w:ascii="Times New Roman" w:hAnsi="Times New Roman" w:eastAsia="宋体" w:cs="Times New Roman"/>
        </w:rPr>
        <w:t>）按着救人优先的原则，且在保障人身安全的情况下尽可能地抢救重要财产，并注意做好应急人员的自身安全。</w:t>
      </w:r>
    </w:p>
    <w:p w14:paraId="5EB19D4D">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4</w:t>
      </w:r>
      <w:r>
        <w:rPr>
          <w:rFonts w:hint="eastAsia" w:ascii="Times New Roman" w:hAnsi="Times New Roman" w:eastAsia="宋体" w:cs="Times New Roman"/>
        </w:rPr>
        <w:t>）组织人员尽快解除重物压迫，减少伤员挤压综合症发生，并将其转移至安全地方。</w:t>
      </w:r>
    </w:p>
    <w:p w14:paraId="6B31819A">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5</w:t>
      </w:r>
      <w:r>
        <w:rPr>
          <w:rFonts w:hint="eastAsia" w:ascii="Times New Roman" w:hAnsi="Times New Roman" w:eastAsia="宋体" w:cs="Times New Roman"/>
        </w:rPr>
        <w:t>）对未坍塌部位进行抢修加固或者拆除，封锁周围危险区域，防止进一步坍塌。</w:t>
      </w:r>
    </w:p>
    <w:p w14:paraId="246150FE">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6</w:t>
      </w:r>
      <w:r>
        <w:rPr>
          <w:rFonts w:hint="eastAsia" w:ascii="Times New Roman" w:hAnsi="Times New Roman" w:eastAsia="宋体" w:cs="Times New Roman"/>
        </w:rPr>
        <w:t>）现场急救条件不能满足需求时，必须立即上报当地政府有关部门，并请求必要的支持和帮助。拨打急救电话时，应详细说明事故地点和人员伤害情况，并派人到路口进行接应。</w:t>
      </w:r>
    </w:p>
    <w:p w14:paraId="4C6E73A7">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7</w:t>
      </w:r>
      <w:r>
        <w:rPr>
          <w:rFonts w:hint="eastAsia" w:ascii="Times New Roman" w:hAnsi="Times New Roman" w:eastAsia="宋体" w:cs="Times New Roman"/>
        </w:rPr>
        <w:t>）在没有人员受伤的情况下，应根据实际情况对支架进行加固或拆除，在确保人员生命安全的前提下，组织恢复正常施工秩序。</w:t>
      </w:r>
    </w:p>
    <w:p w14:paraId="1DAFA367">
      <w:pPr>
        <w:pStyle w:val="6"/>
        <w:bidi w:val="0"/>
      </w:pPr>
      <w:r>
        <w:rPr>
          <w:rFonts w:hint="eastAsia"/>
        </w:rPr>
        <w:t>起重伤害应急处置措施</w:t>
      </w:r>
    </w:p>
    <w:p w14:paraId="4C76CD59">
      <w:pPr>
        <w:widowControl w:val="0"/>
        <w:spacing w:line="360" w:lineRule="auto"/>
        <w:ind w:firstLine="480" w:firstLineChars="20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若发生起重伤害事故，发现人应大声呼救，报告现场管理人员。现场管理人员应根据下列实际情况进行处理：</w:t>
      </w:r>
    </w:p>
    <w:p w14:paraId="131A6F61">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1</w:t>
      </w:r>
      <w:r>
        <w:rPr>
          <w:rFonts w:hint="eastAsia" w:ascii="宋体" w:hAnsi="宋体" w:eastAsia="宋体" w:cs="宋体"/>
        </w:rPr>
        <w:t>）起重机倾翻、折断、倒塌</w:t>
      </w:r>
    </w:p>
    <w:p w14:paraId="48130795">
      <w:pPr>
        <w:ind w:firstLine="480"/>
        <w:rPr>
          <w:rFonts w:ascii="宋体" w:hAnsi="宋体" w:eastAsia="宋体" w:cs="宋体"/>
        </w:rPr>
      </w:pPr>
      <w:r>
        <w:rPr>
          <w:rFonts w:hint="eastAsia" w:ascii="Times New Roman" w:hAnsi="Times New Roman" w:eastAsia="宋体" w:cs="Times New Roman"/>
        </w:rPr>
        <w:t>①</w:t>
      </w:r>
      <w:r>
        <w:rPr>
          <w:rFonts w:hint="eastAsia" w:ascii="宋体" w:hAnsi="宋体" w:eastAsia="宋体" w:cs="宋体"/>
        </w:rPr>
        <w:t>、现场警戒和隔离人员应在事故现场用警示标志警戒和隔离适当区域，组织疏散和撤离危险区域的人员并维持秩序，同时应保证紧急救援的通道畅通。</w:t>
      </w:r>
    </w:p>
    <w:p w14:paraId="6ED2A64C">
      <w:pPr>
        <w:ind w:firstLine="480"/>
        <w:rPr>
          <w:rFonts w:ascii="宋体" w:hAnsi="宋体" w:eastAsia="宋体" w:cs="宋体"/>
        </w:rPr>
      </w:pPr>
      <w:r>
        <w:rPr>
          <w:rFonts w:hint="eastAsia" w:ascii="Times New Roman" w:hAnsi="Times New Roman" w:eastAsia="宋体" w:cs="Times New Roman"/>
        </w:rPr>
        <w:t>②</w:t>
      </w:r>
      <w:r>
        <w:rPr>
          <w:rFonts w:hint="eastAsia" w:ascii="宋体" w:hAnsi="宋体" w:eastAsia="宋体" w:cs="宋体"/>
        </w:rPr>
        <w:t>、用有效的通信手段(广播、话筒等)立即通知现场危险区域以内的人员进行疏散和撤离。</w:t>
      </w:r>
    </w:p>
    <w:p w14:paraId="085FE991">
      <w:pPr>
        <w:ind w:firstLine="480"/>
        <w:rPr>
          <w:rFonts w:ascii="宋体" w:hAnsi="宋体" w:eastAsia="宋体" w:cs="宋体"/>
        </w:rPr>
      </w:pPr>
      <w:r>
        <w:rPr>
          <w:rFonts w:hint="eastAsia" w:ascii="Times New Roman" w:hAnsi="Times New Roman" w:eastAsia="宋体" w:cs="Times New Roman"/>
        </w:rPr>
        <w:t>③</w:t>
      </w:r>
      <w:r>
        <w:rPr>
          <w:rFonts w:hint="eastAsia" w:ascii="宋体" w:hAnsi="宋体" w:eastAsia="宋体" w:cs="宋体"/>
        </w:rPr>
        <w:t>、先切断受影响区域内的危险电源、水源、气源，撤离易燃易爆危险品，应由专人负责现场的危险状况(空中物品电缆、电线、锐器、火源等)进行监控，确保施救人员的安全；同时在事故现场根据人员被压情况，用相应的抬升、切割设备移开压住伤员的倒塌物体，尽快抢救出坠落的伤员。</w:t>
      </w:r>
    </w:p>
    <w:p w14:paraId="29E65104">
      <w:pPr>
        <w:ind w:firstLine="480"/>
        <w:rPr>
          <w:rFonts w:ascii="宋体" w:hAnsi="宋体" w:eastAsia="宋体" w:cs="宋体"/>
        </w:rPr>
      </w:pPr>
      <w:r>
        <w:rPr>
          <w:rFonts w:hint="eastAsia" w:ascii="Times New Roman" w:hAnsi="Times New Roman" w:eastAsia="宋体" w:cs="Times New Roman"/>
        </w:rPr>
        <w:t>④</w:t>
      </w:r>
      <w:r>
        <w:rPr>
          <w:rFonts w:hint="eastAsia" w:ascii="宋体" w:hAnsi="宋体" w:eastAsia="宋体" w:cs="宋体"/>
        </w:rPr>
        <w:t>、用止血带、夹板等进行紧急现场抢救，防止伤员过量出血。</w:t>
      </w:r>
    </w:p>
    <w:p w14:paraId="7FF85571">
      <w:pPr>
        <w:ind w:firstLine="480"/>
        <w:rPr>
          <w:rFonts w:ascii="宋体" w:hAnsi="宋体" w:eastAsia="宋体" w:cs="宋体"/>
        </w:rPr>
      </w:pPr>
      <w:r>
        <w:rPr>
          <w:rFonts w:hint="eastAsia" w:ascii="Times New Roman" w:hAnsi="Times New Roman" w:eastAsia="宋体" w:cs="Times New Roman"/>
        </w:rPr>
        <w:t>⑤</w:t>
      </w:r>
      <w:r>
        <w:rPr>
          <w:rFonts w:hint="eastAsia" w:ascii="宋体" w:hAnsi="宋体" w:eastAsia="宋体" w:cs="宋体"/>
        </w:rPr>
        <w:t>、搜救伤员时，如使用大型机械设备，应尽量避免对伤员造成二次伤害。</w:t>
      </w:r>
    </w:p>
    <w:p w14:paraId="16E28D3E">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2</w:t>
      </w:r>
      <w:r>
        <w:rPr>
          <w:rFonts w:hint="eastAsia" w:ascii="宋体" w:hAnsi="宋体" w:eastAsia="宋体" w:cs="宋体"/>
        </w:rPr>
        <w:t>）起重机碰撞挤压</w:t>
      </w:r>
    </w:p>
    <w:p w14:paraId="7CB7D8EA">
      <w:pPr>
        <w:ind w:firstLine="480"/>
        <w:rPr>
          <w:rFonts w:ascii="宋体" w:hAnsi="宋体" w:eastAsia="宋体" w:cs="宋体"/>
        </w:rPr>
      </w:pPr>
      <w:r>
        <w:rPr>
          <w:rFonts w:hint="eastAsia" w:ascii="宋体" w:hAnsi="宋体" w:eastAsia="宋体" w:cs="宋体"/>
        </w:rPr>
        <w:t>起重机在维修、吊装及运行过程中碰撞挤压作业人员时：</w:t>
      </w:r>
    </w:p>
    <w:p w14:paraId="3E50DD02">
      <w:pPr>
        <w:ind w:firstLine="480"/>
        <w:rPr>
          <w:rFonts w:ascii="宋体" w:hAnsi="宋体" w:eastAsia="宋体" w:cs="宋体"/>
        </w:rPr>
      </w:pPr>
      <w:r>
        <w:rPr>
          <w:rFonts w:hint="eastAsia" w:ascii="Times New Roman" w:hAnsi="Times New Roman" w:eastAsia="宋体" w:cs="Times New Roman"/>
        </w:rPr>
        <w:t>①</w:t>
      </w:r>
      <w:r>
        <w:rPr>
          <w:rFonts w:hint="eastAsia" w:ascii="宋体" w:hAnsi="宋体" w:eastAsia="宋体" w:cs="宋体"/>
        </w:rPr>
        <w:t>、立即停机或实施反向运行操作，应急救援现场安排专人监护空中物品或吊具，资源保障组采取防护措施。</w:t>
      </w:r>
    </w:p>
    <w:p w14:paraId="7FE95AED">
      <w:pPr>
        <w:ind w:firstLine="480"/>
        <w:rPr>
          <w:rFonts w:ascii="宋体" w:hAnsi="宋体" w:eastAsia="宋体" w:cs="宋体"/>
        </w:rPr>
      </w:pPr>
      <w:r>
        <w:rPr>
          <w:rFonts w:hint="eastAsia" w:ascii="Times New Roman" w:hAnsi="Times New Roman" w:eastAsia="宋体" w:cs="Times New Roman"/>
        </w:rPr>
        <w:t>②</w:t>
      </w:r>
      <w:r>
        <w:rPr>
          <w:rFonts w:hint="eastAsia" w:ascii="宋体" w:hAnsi="宋体" w:eastAsia="宋体" w:cs="宋体"/>
        </w:rPr>
        <w:t>、抢险救援组抢险人员穿戴必需防护用品(安全帽、防滑鞋等)，进入危险区域救出伤员，若伤员挤压在物件中无法脱身，应采取其他必要的手段(叉车、气割机、千斤顶等)实施救援。</w:t>
      </w:r>
    </w:p>
    <w:p w14:paraId="2DA24247">
      <w:pPr>
        <w:ind w:firstLine="480"/>
        <w:rPr>
          <w:rFonts w:ascii="宋体" w:hAnsi="宋体" w:eastAsia="宋体" w:cs="宋体"/>
        </w:rPr>
      </w:pPr>
      <w:r>
        <w:rPr>
          <w:rFonts w:hint="eastAsia" w:ascii="Times New Roman" w:hAnsi="Times New Roman" w:eastAsia="宋体" w:cs="Times New Roman"/>
        </w:rPr>
        <w:t>③</w:t>
      </w:r>
      <w:r>
        <w:rPr>
          <w:rFonts w:hint="eastAsia" w:ascii="宋体" w:hAnsi="宋体" w:eastAsia="宋体" w:cs="宋体"/>
        </w:rPr>
        <w:t>、医疗救护组人员用止血带、夹板等进行紧急现场抢救，防止伤员过量出血。</w:t>
      </w:r>
    </w:p>
    <w:p w14:paraId="7CBE1CA0">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3</w:t>
      </w:r>
      <w:r>
        <w:rPr>
          <w:rFonts w:hint="eastAsia" w:ascii="宋体" w:hAnsi="宋体" w:eastAsia="宋体" w:cs="宋体"/>
        </w:rPr>
        <w:t>）起重机吊具或吊物伤人</w:t>
      </w:r>
    </w:p>
    <w:p w14:paraId="5D783C5A">
      <w:pPr>
        <w:ind w:firstLine="480"/>
        <w:rPr>
          <w:rFonts w:ascii="宋体" w:hAnsi="宋体" w:eastAsia="宋体" w:cs="宋体"/>
        </w:rPr>
      </w:pPr>
      <w:r>
        <w:rPr>
          <w:rFonts w:hint="eastAsia" w:ascii="Times New Roman" w:hAnsi="Times New Roman" w:eastAsia="宋体" w:cs="Times New Roman"/>
        </w:rPr>
        <w:t>①</w:t>
      </w:r>
      <w:r>
        <w:rPr>
          <w:rFonts w:hint="eastAsia" w:ascii="宋体" w:hAnsi="宋体" w:eastAsia="宋体" w:cs="宋体"/>
        </w:rPr>
        <w:t>、根据现场情况，警戒保卫组对现场进行警戒和隔离，并保证救援通道畅通，避免坠落物伤害继续扩大和无关人员影响现场救援工作。</w:t>
      </w:r>
    </w:p>
    <w:p w14:paraId="006ADB83">
      <w:pPr>
        <w:ind w:firstLine="480"/>
        <w:rPr>
          <w:rFonts w:ascii="宋体" w:hAnsi="宋体" w:eastAsia="宋体" w:cs="宋体"/>
        </w:rPr>
      </w:pPr>
      <w:r>
        <w:rPr>
          <w:rFonts w:hint="eastAsia" w:ascii="Times New Roman" w:hAnsi="Times New Roman" w:eastAsia="宋体" w:cs="Times New Roman"/>
        </w:rPr>
        <w:t>②</w:t>
      </w:r>
      <w:r>
        <w:rPr>
          <w:rFonts w:hint="eastAsia" w:ascii="宋体" w:hAnsi="宋体" w:eastAsia="宋体" w:cs="宋体"/>
        </w:rPr>
        <w:t>、紧急通知危险区域以内的人员撤离和疏散。通信联络组用有效的通信手段(广播、话筒等)立即通知现场危险区域内的人员，警戒保卫组及时组织疏散和撤离危险区域内的人员。</w:t>
      </w:r>
    </w:p>
    <w:p w14:paraId="7AF0044D">
      <w:pPr>
        <w:ind w:firstLine="480"/>
        <w:rPr>
          <w:rFonts w:ascii="宋体" w:hAnsi="宋体" w:eastAsia="宋体" w:cs="宋体"/>
        </w:rPr>
      </w:pPr>
      <w:r>
        <w:rPr>
          <w:rFonts w:hint="eastAsia" w:ascii="Times New Roman" w:hAnsi="Times New Roman" w:eastAsia="宋体" w:cs="Times New Roman"/>
        </w:rPr>
        <w:t>③</w:t>
      </w:r>
      <w:r>
        <w:rPr>
          <w:rFonts w:hint="eastAsia" w:ascii="宋体" w:hAnsi="宋体" w:eastAsia="宋体" w:cs="宋体"/>
        </w:rPr>
        <w:t>、紧急抢险救出伤员。</w:t>
      </w:r>
    </w:p>
    <w:p w14:paraId="6F6BD706">
      <w:pPr>
        <w:ind w:firstLine="480"/>
        <w:rPr>
          <w:rFonts w:ascii="宋体" w:hAnsi="宋体" w:eastAsia="宋体" w:cs="宋体"/>
        </w:rPr>
      </w:pPr>
      <w:r>
        <w:rPr>
          <w:rFonts w:hint="eastAsia" w:ascii="Times New Roman" w:hAnsi="Times New Roman" w:eastAsia="宋体" w:cs="Times New Roman"/>
        </w:rPr>
        <w:t>④</w:t>
      </w:r>
      <w:r>
        <w:rPr>
          <w:rFonts w:hint="eastAsia" w:ascii="宋体" w:hAnsi="宋体" w:eastAsia="宋体" w:cs="宋体"/>
        </w:rPr>
        <w:t>、由抢险救援组专业抢险人员利用必要的设备设施(汽车起重机、叉车、气割机、千斤顶等)移开倒塌物件搜救受伤人员。</w:t>
      </w:r>
    </w:p>
    <w:p w14:paraId="4518106F">
      <w:pPr>
        <w:ind w:firstLine="480"/>
        <w:rPr>
          <w:rFonts w:ascii="宋体" w:hAnsi="宋体" w:eastAsia="宋体" w:cs="宋体"/>
        </w:rPr>
      </w:pPr>
      <w:r>
        <w:rPr>
          <w:rFonts w:hint="eastAsia" w:ascii="Times New Roman" w:hAnsi="Times New Roman" w:eastAsia="宋体" w:cs="Times New Roman"/>
        </w:rPr>
        <w:t>⑤</w:t>
      </w:r>
      <w:r>
        <w:rPr>
          <w:rFonts w:hint="eastAsia" w:ascii="宋体" w:hAnsi="宋体" w:eastAsia="宋体" w:cs="宋体"/>
        </w:rPr>
        <w:t>、医疗救护组运送急救伤员。</w:t>
      </w:r>
    </w:p>
    <w:p w14:paraId="68CC4740">
      <w:pPr>
        <w:ind w:firstLine="480"/>
        <w:rPr>
          <w:rFonts w:ascii="宋体" w:hAnsi="宋体" w:eastAsia="宋体" w:cs="宋体"/>
        </w:rPr>
      </w:pPr>
      <w:r>
        <w:rPr>
          <w:rFonts w:hint="eastAsia" w:ascii="Times New Roman" w:hAnsi="Times New Roman" w:eastAsia="宋体" w:cs="Times New Roman"/>
        </w:rPr>
        <w:t>⑥</w:t>
      </w:r>
      <w:r>
        <w:rPr>
          <w:rFonts w:hint="eastAsia" w:ascii="宋体" w:hAnsi="宋体" w:eastAsia="宋体" w:cs="宋体"/>
        </w:rPr>
        <w:t>、搜救伤员时，一般不宜使用大型机械设备，以免对伤员造成二次伤害。</w:t>
      </w:r>
    </w:p>
    <w:p w14:paraId="10BF3A78">
      <w:pPr>
        <w:pStyle w:val="6"/>
        <w:bidi w:val="0"/>
      </w:pPr>
      <w:r>
        <w:rPr>
          <w:rFonts w:hint="eastAsia"/>
        </w:rPr>
        <w:t>钢丝绳断裂、脱钩应急处置措施</w:t>
      </w:r>
    </w:p>
    <w:p w14:paraId="5AEE2E0E">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（1）吊装前应提前检查钢丝绳、卸扣等，发现钢丝绳存在断丝、断股、锈蚀严重等现象时必须立即更换钢丝绳。</w:t>
      </w:r>
    </w:p>
    <w:p w14:paraId="16EF2387">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（2）大型构件吊装之前必须进行试吊。</w:t>
      </w:r>
    </w:p>
    <w:p w14:paraId="409B41BA">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（3）吊装过程中若发生钢丝绳断裂，但吊物仍悬挂在空中时，首先应该立即停止吊装作业，将吊物缓缓下方至地面，更换钢丝绳检查无误后方可继续吊装。</w:t>
      </w:r>
    </w:p>
    <w:p w14:paraId="7432E8A6">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4）若吊装过程中发生钢丝绳断裂，且吊物已经坠落。应首先排查坠落过程中是否造成人员伤亡，及时将受伤人员转移至安全区域等待救援车辆的到来。然后调来其他起重设备将汽车吊与吊物分离。同时检查吊车、吊物是否存在损坏现象。待确定吊物、吊车均已正常后方可重新安排吊装事宜。</w:t>
      </w:r>
    </w:p>
    <w:p w14:paraId="244BC352">
      <w:pPr>
        <w:pStyle w:val="6"/>
        <w:bidi w:val="0"/>
      </w:pPr>
      <w:r>
        <w:rPr>
          <w:rFonts w:hint="eastAsia"/>
        </w:rPr>
        <w:t>高处坠落应急处置措施</w:t>
      </w:r>
    </w:p>
    <w:p w14:paraId="05253D89">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1</w:t>
      </w:r>
      <w:r>
        <w:rPr>
          <w:rFonts w:hint="eastAsia" w:ascii="宋体" w:hAnsi="宋体" w:eastAsia="宋体" w:cs="宋体"/>
        </w:rPr>
        <w:t>）发现人应大声呼救，报告现场管理人员。现场管理人员，应马上组织抢救伤者，首先观察伤者的受伤情况、部位、伤害性质，如伤员发生休克，应先去除伤员身上的用具和口袋中的硬物。遇呼吸、心跳停止者，应立即进行人工呼吸。处于休克状态的伤员要让其安静、保暖、平卧、少动，并将下肢抬高约20度，尽快送医院进行抢救治疗。应采用担架或硬质木板搬运和转送伤员，避免颈部和躯干前屈或扭转，使脊柱伸直，绝对禁止一个抬肩一个抬腿的搬法，以免造成截瘫。</w:t>
      </w:r>
    </w:p>
    <w:p w14:paraId="192CCF8E">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2</w:t>
      </w:r>
      <w:r>
        <w:rPr>
          <w:rFonts w:hint="eastAsia" w:ascii="宋体" w:hAnsi="宋体" w:eastAsia="宋体" w:cs="宋体"/>
        </w:rPr>
        <w:t>）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医院治疗。</w:t>
      </w:r>
    </w:p>
    <w:p w14:paraId="467B310A">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3</w:t>
      </w:r>
      <w:r>
        <w:rPr>
          <w:rFonts w:hint="eastAsia" w:ascii="宋体" w:hAnsi="宋体" w:eastAsia="宋体" w:cs="宋体"/>
        </w:rPr>
        <w:t>）颌面部伤员首先应保持呼吸道畅通，清除移位的组织碎片、血凝块、口腔分泌物等，同时松解伤员的颈、胸部钮扣。</w:t>
      </w:r>
    </w:p>
    <w:p w14:paraId="67CCE798">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4</w:t>
      </w:r>
      <w:r>
        <w:rPr>
          <w:rFonts w:hint="eastAsia" w:ascii="宋体" w:hAnsi="宋体" w:eastAsia="宋体" w:cs="宋体"/>
        </w:rPr>
        <w:t>）发现脊椎受伤者，创伤处用消毒的纱布或清洁布等覆盖伤口，用绷带或布条包扎。搬运时，将伤者平卧放在担架或硬板上，以免受伤的脊椎移位、断裂造成截瘫，甚至死亡。抢救脊椎受伤者，搬运过程严禁只抬伤者的两肩与两腿或单肩背运。</w:t>
      </w:r>
    </w:p>
    <w:p w14:paraId="4AD0B80C">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5</w:t>
      </w:r>
      <w:r>
        <w:rPr>
          <w:rFonts w:hint="eastAsia" w:ascii="宋体" w:hAnsi="宋体" w:eastAsia="宋体" w:cs="宋体"/>
        </w:rPr>
        <w:t>）发现伤者手足骨折，不要盲目搬动伤者。应在骨折部位用夹板把受伤位置临时固定，使断端不再移位或刺伤肌肉、神经或血管。固定方法：以固定骨折处上下关节为原则，可就地取材，用木板、竹片等。</w:t>
      </w:r>
    </w:p>
    <w:p w14:paraId="6FCED9AA">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6</w:t>
      </w:r>
      <w:r>
        <w:rPr>
          <w:rFonts w:hint="eastAsia" w:ascii="宋体" w:hAnsi="宋体" w:eastAsia="宋体" w:cs="宋体"/>
        </w:rPr>
        <w:t>）复合伤要求平仰卧位，保持呼吸道畅通，解开衣领扣。</w:t>
      </w:r>
    </w:p>
    <w:p w14:paraId="26D81C27">
      <w:pPr>
        <w:ind w:firstLine="480"/>
        <w:rPr>
          <w:rFonts w:ascii="宋体" w:hAnsi="宋体" w:eastAsia="宋体" w:cs="宋体"/>
        </w:rPr>
      </w:pPr>
      <w:r>
        <w:rPr>
          <w:rFonts w:hint="eastAsia" w:ascii="Times New Roman" w:hAnsi="Times New Roman" w:eastAsia="宋体" w:cs="Times New Roman"/>
        </w:rPr>
        <w:t>（7</w:t>
      </w:r>
      <w:r>
        <w:rPr>
          <w:rFonts w:hint="eastAsia" w:ascii="宋体" w:hAnsi="宋体" w:eastAsia="宋体" w:cs="宋体"/>
        </w:rPr>
        <w:t>）遇有创伤性出血的伤员，应迅速包扎止血，使伤员保持在头低脚高的卧位，并注意保暖。及时把伤者送往邻近医院抢救，运送途中应尽量减少颠簸。同时，密切注意伤者的呼吸、脉搏、血压及伤口的情况。</w:t>
      </w:r>
    </w:p>
    <w:p w14:paraId="22ACCAF5">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8</w:t>
      </w:r>
      <w:r>
        <w:rPr>
          <w:rFonts w:hint="eastAsia" w:ascii="宋体" w:hAnsi="宋体" w:eastAsia="宋体" w:cs="宋体"/>
        </w:rPr>
        <w:t>）配合上级主管部门和调查组开展调查处理，并做好伤员及家属善后工作。</w:t>
      </w:r>
    </w:p>
    <w:p w14:paraId="04CA48E7">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9</w:t>
      </w:r>
      <w:r>
        <w:rPr>
          <w:rFonts w:hint="eastAsia" w:ascii="Times New Roman" w:hAnsi="Times New Roman" w:eastAsia="宋体" w:cs="Times New Roman"/>
        </w:rPr>
        <w:t>）高处坠落若掉入水中参照前述淹溺事故应急处置措施。</w:t>
      </w:r>
    </w:p>
    <w:p w14:paraId="100AFAA6">
      <w:pPr>
        <w:pStyle w:val="6"/>
        <w:bidi w:val="0"/>
      </w:pPr>
      <w:r>
        <w:rPr>
          <w:rFonts w:hint="eastAsia"/>
        </w:rPr>
        <w:t>机械伤害应急处置措施</w:t>
      </w:r>
    </w:p>
    <w:p w14:paraId="2B986BC2">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1</w:t>
      </w:r>
      <w:r>
        <w:rPr>
          <w:rFonts w:hint="eastAsia" w:ascii="宋体" w:hAnsi="宋体" w:eastAsia="宋体" w:cs="宋体"/>
        </w:rPr>
        <w:t>）发现人应大声呼救，报告现场管理人员。现场管理人员在医护人员没有来到之前，应检查受伤者的伤势，心跳及呼吸情况，视不同情况采取不同的急救措施。</w:t>
      </w:r>
    </w:p>
    <w:p w14:paraId="225D20BE">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2</w:t>
      </w:r>
      <w:r>
        <w:rPr>
          <w:rFonts w:hint="eastAsia" w:ascii="宋体" w:hAnsi="宋体" w:eastAsia="宋体" w:cs="宋体"/>
        </w:rPr>
        <w:t>）对被机械伤害的伤员，应迅速小心地使伤员脱离伤源，必要时，拆卸机器，移出受伤人员。</w:t>
      </w:r>
    </w:p>
    <w:p w14:paraId="7B59B07C">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3</w:t>
      </w:r>
      <w:r>
        <w:rPr>
          <w:rFonts w:hint="eastAsia" w:ascii="宋体" w:hAnsi="宋体" w:eastAsia="宋体" w:cs="宋体"/>
        </w:rPr>
        <w:t>）对发生休克的伤员，应首先进行抢救。遇有呼吸、心跳停止者，可采取人工呼吸或胸外心使其恢复正常。</w:t>
      </w:r>
    </w:p>
    <w:p w14:paraId="2BFDD25D">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4</w:t>
      </w:r>
      <w:r>
        <w:rPr>
          <w:rFonts w:hint="eastAsia" w:ascii="宋体" w:hAnsi="宋体" w:eastAsia="宋体" w:cs="宋体"/>
        </w:rPr>
        <w:t>）对骨折的伤员，应利用木板、竹片和绳布等捆绑骨折处的上下关节，固定骨折部位，也可将其上肢固定在身侧，下肢与下肢缚在一起。</w:t>
      </w:r>
    </w:p>
    <w:p w14:paraId="2981ECD4">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5</w:t>
      </w:r>
      <w:r>
        <w:rPr>
          <w:rFonts w:hint="eastAsia" w:ascii="宋体" w:hAnsi="宋体" w:eastAsia="宋体" w:cs="宋体"/>
        </w:rPr>
        <w:t>）对伤口出血的伤员，应让其以头低脚高的姿势躺卧，使用消毒纱布或清洁织物覆盖伤口上，用绷带较紧地包扎，以压迫止血，或者选择弹性好的橡皮管、橡皮带或三角巾、毛巾、带状布巾等。对上肢出血者，捆绑在其上臂l/2处，对下肢出血者，捆绑在其在腿上2/3处，并每隔25~40分钟放松一次，每次放松0.5~1分钟。</w:t>
      </w:r>
    </w:p>
    <w:p w14:paraId="55C197DB">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6</w:t>
      </w:r>
      <w:r>
        <w:rPr>
          <w:rFonts w:hint="eastAsia" w:ascii="宋体" w:hAnsi="宋体" w:eastAsia="宋体" w:cs="宋体"/>
        </w:rPr>
        <w:t>）对剧痛难忍者，应让其服用止痛剂和镇痛剂。</w:t>
      </w:r>
    </w:p>
    <w:p w14:paraId="16D15CA0">
      <w:pPr>
        <w:ind w:firstLine="480"/>
        <w:rPr>
          <w:rFonts w:ascii="宋体" w:hAnsi="宋体" w:eastAsia="宋体" w:cs="宋体"/>
        </w:rPr>
      </w:pPr>
      <w:r>
        <w:rPr>
          <w:rFonts w:hint="eastAsia" w:ascii="宋体" w:hAnsi="宋体" w:eastAsia="宋体" w:cs="宋体"/>
        </w:rPr>
        <w:t>（7）采取上述急救措施之后，要根据病情轻重，及时把伤员送往医院治疗，在转达送医途中，应尽量减少颠簸并密切注意伤员的呼吸、脉搏及伤口的情况。</w:t>
      </w:r>
    </w:p>
    <w:p w14:paraId="2B8AB79D">
      <w:pPr>
        <w:pStyle w:val="6"/>
        <w:bidi w:val="0"/>
      </w:pPr>
      <w:r>
        <w:rPr>
          <w:rFonts w:hint="eastAsia"/>
        </w:rPr>
        <w:t>物体打击应急处置措施</w:t>
      </w:r>
    </w:p>
    <w:p w14:paraId="380D7A1A">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rPr>
        <w:t>1</w:t>
      </w:r>
      <w:r>
        <w:rPr>
          <w:rFonts w:hint="eastAsia" w:ascii="宋体" w:hAnsi="宋体" w:eastAsia="宋体" w:cs="宋体"/>
          <w:lang w:bidi="ar"/>
        </w:rPr>
        <w:t>）发现人应大声呼救，报告现场管理人员。现场管理人员在医护人员未到达之前，应根据事故现场的整体情况、位置和伤者的伤情、部位，在排除人为加重伤者伤情的情况下，立即组织人员进行抢救。</w:t>
      </w:r>
    </w:p>
    <w:p w14:paraId="17B16E24">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rPr>
        <w:t>2</w:t>
      </w:r>
      <w:r>
        <w:rPr>
          <w:rFonts w:hint="eastAsia" w:ascii="宋体" w:hAnsi="宋体" w:eastAsia="宋体" w:cs="宋体"/>
          <w:lang w:bidi="ar"/>
        </w:rPr>
        <w:t>）抢救前首先观察伤者的受伤情况、部位、伤害性质，如伤者发生休克，应先处理休克。遇呼吸、心跳停止者，应当进行人工呼吸，胸外心脏挤压（但必须注意骨折的部位）。处于休克状态的伤员要让其安静、保暖、平卧、少动，并将下肢抬高约</w:t>
      </w:r>
      <w:r>
        <w:rPr>
          <w:rFonts w:ascii="Times New Roman" w:hAnsi="Times New Roman" w:eastAsia="宋体" w:cs="Times New Roman"/>
          <w:lang w:bidi="ar"/>
        </w:rPr>
        <w:t>20</w:t>
      </w:r>
      <w:r>
        <w:rPr>
          <w:rFonts w:hint="eastAsia" w:ascii="宋体" w:hAnsi="宋体" w:eastAsia="宋体" w:cs="宋体"/>
          <w:lang w:bidi="ar"/>
        </w:rPr>
        <w:t>度左右，尽快送医院进行抢救治疗。</w:t>
      </w:r>
    </w:p>
    <w:p w14:paraId="664A44EC">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lang w:bidi="ar"/>
        </w:rPr>
        <w:t>3</w:t>
      </w:r>
      <w:r>
        <w:rPr>
          <w:rFonts w:hint="eastAsia" w:ascii="宋体" w:hAnsi="宋体" w:eastAsia="宋体" w:cs="宋体"/>
          <w:lang w:bidi="ar"/>
        </w:rPr>
        <w:t>）出现颅脑外伤，必须维持呼吸道通畅。昏迷者应平卧，面部转向一侧，以防舌根下坠或分泌物、呕吐物吸入，发生喉阻塞。有骨折者，应初步固定后再搬运。偶有凹陷骨折、严重的颅底骨折及严重的脑损伤症状出现，创伤处用消毒的纱布或清洁布等覆盖伤口，用绷带或布条包扎后，及时送就近有条件的医院治疗。</w:t>
      </w:r>
    </w:p>
    <w:p w14:paraId="6EDBABBF">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lang w:bidi="ar"/>
        </w:rPr>
        <w:t>4</w:t>
      </w:r>
      <w:r>
        <w:rPr>
          <w:rFonts w:hint="eastAsia" w:ascii="宋体" w:hAnsi="宋体" w:eastAsia="宋体" w:cs="宋体"/>
          <w:lang w:bidi="ar"/>
        </w:rPr>
        <w:t>）发现脊椎受伤者，创伤处用消毒的纱布或清洁布等覆盖伤口，用绷带或布条包扎后。搬运时，将伤者平卧放在帆布担架或硬板上，以免受伤的脊椎移位、断裂造成截瘫，招致死亡。抢救脊椎受伤者，搬运过程，严禁只抬伤者的两肩与两腿或单肩背运。</w:t>
      </w:r>
    </w:p>
    <w:p w14:paraId="57E535BA">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lang w:bidi="ar"/>
        </w:rPr>
        <w:t>5</w:t>
      </w:r>
      <w:r>
        <w:rPr>
          <w:rFonts w:hint="eastAsia" w:ascii="宋体" w:hAnsi="宋体" w:eastAsia="宋体" w:cs="宋体"/>
          <w:lang w:bidi="ar"/>
        </w:rPr>
        <w:t>）发现伤者手足骨折或其他部位骨折的，不要盲目搬动伤者，应在骨折部位用夹板临时固定，使断端不再移位或刺伤肌肉、神经或血管。</w:t>
      </w:r>
    </w:p>
    <w:p w14:paraId="62AAC114">
      <w:pPr>
        <w:ind w:firstLine="480"/>
        <w:rPr>
          <w:rFonts w:ascii="Times New Roman" w:hAnsi="Times New Roman" w:eastAsia="宋体" w:cs="Times New Roman"/>
        </w:rPr>
      </w:pPr>
      <w:r>
        <w:rPr>
          <w:rFonts w:hint="eastAsia" w:ascii="Times New Roman" w:hAnsi="Times New Roman" w:eastAsia="宋体" w:cs="Times New Roman"/>
          <w:lang w:bidi="ar"/>
        </w:rPr>
        <w:t>（6</w:t>
      </w:r>
      <w:r>
        <w:rPr>
          <w:rFonts w:hint="eastAsia" w:ascii="宋体" w:hAnsi="宋体" w:eastAsia="宋体" w:cs="宋体"/>
          <w:lang w:bidi="ar"/>
        </w:rPr>
        <w:t>）遇有创伤性出血的伤员，应迅速包扎止血，使伤员保持头低脚高的卧位，并注意保暖；若伤员有断肢情况发生应尽早用干净的干布（灭菌敷料）包裹装入塑料袋内，随伤员一起转送。</w:t>
      </w:r>
    </w:p>
    <w:p w14:paraId="032B2655">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lang w:bidi="ar"/>
        </w:rPr>
        <w:t>7</w:t>
      </w:r>
      <w:r>
        <w:rPr>
          <w:rFonts w:hint="eastAsia" w:ascii="宋体" w:hAnsi="宋体" w:eastAsia="宋体" w:cs="宋体"/>
          <w:lang w:bidi="ar"/>
        </w:rPr>
        <w:t>）在施救的同时应尽快送往就近医院；伤者送往医院抢救时，途中尽量减少颠簸，同时，密切注意伤者的呼吸、脉搏、血压及伤口的情况。</w:t>
      </w:r>
    </w:p>
    <w:p w14:paraId="73E79396">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lang w:bidi="ar"/>
        </w:rPr>
        <w:t>8</w:t>
      </w:r>
      <w:r>
        <w:rPr>
          <w:rFonts w:hint="eastAsia" w:ascii="宋体" w:hAnsi="宋体" w:eastAsia="宋体" w:cs="宋体"/>
          <w:lang w:bidi="ar"/>
        </w:rPr>
        <w:t>）如因长方形构件（支架）打击（压倒）致伤，要根据现场的实际情况迅速调动起重机、手提工具等机械设备配合施救。</w:t>
      </w:r>
    </w:p>
    <w:p w14:paraId="775FC7F4">
      <w:pPr>
        <w:pStyle w:val="6"/>
        <w:bidi w:val="0"/>
      </w:pPr>
      <w:r>
        <w:rPr>
          <w:rFonts w:hint="eastAsia"/>
        </w:rPr>
        <w:t>触电事故应急处置措施</w:t>
      </w:r>
    </w:p>
    <w:p w14:paraId="30370120">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lang w:bidi="ar"/>
        </w:rPr>
        <w:t>1</w:t>
      </w:r>
      <w:r>
        <w:rPr>
          <w:rFonts w:hint="eastAsia" w:ascii="宋体" w:hAnsi="宋体" w:eastAsia="宋体" w:cs="宋体"/>
        </w:rPr>
        <w:t>）发现人应大声呼救，报告现场管理人员和电工。同时要根据现场情况，使触电者迅速脱离电源，越快越好。</w:t>
      </w:r>
    </w:p>
    <w:p w14:paraId="3D2A8A63">
      <w:pPr>
        <w:ind w:firstLine="480"/>
        <w:rPr>
          <w:rFonts w:ascii="Times New Roman" w:hAnsi="Times New Roman" w:eastAsia="宋体" w:cs="Times New Roman"/>
          <w:lang w:bidi="ar"/>
        </w:rPr>
      </w:pPr>
      <w:r>
        <w:rPr>
          <w:rFonts w:hint="eastAsia" w:ascii="宋体" w:hAnsi="宋体" w:eastAsia="宋体" w:cs="宋体"/>
        </w:rPr>
        <w:t>（</w:t>
      </w:r>
      <w:r>
        <w:rPr>
          <w:rFonts w:hint="eastAsia" w:ascii="Times New Roman" w:hAnsi="Times New Roman" w:eastAsia="宋体" w:cs="Times New Roman"/>
          <w:lang w:bidi="ar"/>
        </w:rPr>
        <w:t>2</w:t>
      </w:r>
      <w:r>
        <w:rPr>
          <w:rFonts w:hint="eastAsia" w:ascii="宋体" w:hAnsi="宋体" w:eastAsia="宋体" w:cs="宋体"/>
        </w:rPr>
        <w:t>）触电者未脱离电源前，救护人员不准直接用手触及伤员，防止再次触电。</w:t>
      </w:r>
    </w:p>
    <w:p w14:paraId="1270F2BA">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3</w:t>
      </w:r>
      <w:r>
        <w:rPr>
          <w:rFonts w:hint="eastAsia" w:ascii="宋体" w:hAnsi="宋体" w:eastAsia="宋体" w:cs="宋体"/>
        </w:rPr>
        <w:t>）触电为低压时，救护人员应设法迅速切断电源，拉开电源开关或刀闸，拔除电源插头等；或使用绝缘工具、干燥的木棒、木板、绳索等不导电的东西解脱触电者；或抓住触电者干燥而不贴身的衣服，将其拖开，不得碰到金属物体和触电者的裸露身躯；也可戴绝缘手套或将手用干燥衣物等包起绝缘后解脱触电者；救护人员也可站在绝缘垫上或干木板上，绝缘自己进行救护。为使触电者与导电体解脱，最好用一只手进行。如果电流通过触电者入地，并且触电者紧握电线，可设法用干木板塞到身下，与地隔离，也可用干木把斧子或有绝缘柄的钳子等将电线剪断。剪断电线要分相，一根一根地剪断，并尽可能站在绝缘物体或干木板上。</w:t>
      </w:r>
    </w:p>
    <w:p w14:paraId="69CFB583">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4</w:t>
      </w:r>
      <w:r>
        <w:rPr>
          <w:rFonts w:hint="eastAsia" w:ascii="宋体" w:hAnsi="宋体" w:eastAsia="宋体" w:cs="宋体"/>
        </w:rPr>
        <w:t>）如触电为高压时，救护人员应迅速切断电源，或用适合该电压等级的绝缘工具（戴绝缘手套、穿绝缘靴并用绝缘棒）解脱触电者。只有在确认线路已经无电，才可在触电者离开触电导线后，立即就地进行急救。救护人员在抢救过程中应注意保持自身与周围带电部分的安全距离。</w:t>
      </w:r>
    </w:p>
    <w:p w14:paraId="14FF243A">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lang w:bidi="ar"/>
        </w:rPr>
        <w:t>5</w:t>
      </w:r>
      <w:r>
        <w:rPr>
          <w:rFonts w:hint="eastAsia" w:ascii="宋体" w:hAnsi="宋体" w:eastAsia="宋体" w:cs="宋体"/>
        </w:rPr>
        <w:t>）救护触电伤员切除电源时，有时会同时使照明失电，应事故照明、应急灯等临时照明，新照明要符合使用场所防火、防爆要求，但不能因此延误切除电源和进行急救。</w:t>
      </w:r>
    </w:p>
    <w:p w14:paraId="52A767D4">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lang w:bidi="ar"/>
        </w:rPr>
        <w:t>6</w:t>
      </w:r>
      <w:r>
        <w:rPr>
          <w:rFonts w:hint="eastAsia" w:ascii="宋体" w:hAnsi="宋体" w:eastAsia="宋体" w:cs="宋体"/>
        </w:rPr>
        <w:t>）伤员脱离电源后，如神志清醒，应使其就地躺平，严密观察，暂时不要站立或走动；如神志不清，应就地仰面躺平，且确保气道通畅，并用 5s 时间用看、听、试的方法检查受伤情况，看受伤部位，听心跳，试脉搏，呼叫伤员或轻拍其肩部，以判定伤员是否意识丧失，禁止摇动伤员头部呼叫伤员。</w:t>
      </w:r>
    </w:p>
    <w:p w14:paraId="0BE05FAE">
      <w:pPr>
        <w:ind w:firstLine="480"/>
        <w:rPr>
          <w:rFonts w:ascii="宋体" w:hAnsi="宋体" w:eastAsia="宋体" w:cs="宋体"/>
        </w:rPr>
      </w:pPr>
      <w:r>
        <w:rPr>
          <w:rFonts w:hint="eastAsia" w:ascii="Times New Roman" w:hAnsi="Times New Roman" w:eastAsia="宋体" w:cs="Times New Roman"/>
        </w:rPr>
        <w:t>（</w:t>
      </w:r>
      <w:r>
        <w:rPr>
          <w:rFonts w:hint="eastAsia" w:ascii="Times New Roman" w:hAnsi="Times New Roman" w:eastAsia="宋体" w:cs="Times New Roman"/>
          <w:lang w:bidi="ar"/>
        </w:rPr>
        <w:t>7</w:t>
      </w:r>
      <w:r>
        <w:rPr>
          <w:rFonts w:hint="eastAsia" w:ascii="Times New Roman" w:hAnsi="Times New Roman" w:eastAsia="宋体" w:cs="Times New Roman"/>
        </w:rPr>
        <w:t>）</w:t>
      </w:r>
      <w:r>
        <w:rPr>
          <w:rFonts w:hint="eastAsia" w:ascii="宋体" w:hAnsi="宋体" w:eastAsia="宋体" w:cs="宋体"/>
        </w:rPr>
        <w:t>需要抢救的伤员，应立即就地持续抢救。</w:t>
      </w:r>
    </w:p>
    <w:p w14:paraId="59D0A717">
      <w:pPr>
        <w:pStyle w:val="6"/>
        <w:bidi w:val="0"/>
      </w:pPr>
      <w:r>
        <w:rPr>
          <w:rFonts w:hint="eastAsia"/>
        </w:rPr>
        <w:t>火灾事故应急处置措施</w:t>
      </w:r>
    </w:p>
    <w:p w14:paraId="0CDB76B8">
      <w:pPr>
        <w:adjustRightInd w:val="0"/>
        <w:ind w:firstLine="480"/>
        <w:rPr>
          <w:rFonts w:ascii="Times New Roman" w:hAnsi="Times New Roman" w:eastAsia="宋体" w:cs="Times New Roman"/>
        </w:rPr>
      </w:pPr>
      <w:r>
        <w:rPr>
          <w:rFonts w:hint="eastAsia" w:ascii="Times New Roman" w:hAnsi="Times New Roman" w:eastAsia="宋体" w:cs="Times New Roman"/>
        </w:rPr>
        <w:t>事故发生区域：电焊、气割等动火作业点。</w:t>
      </w:r>
    </w:p>
    <w:p w14:paraId="6353E952">
      <w:pPr>
        <w:adjustRightInd w:val="0"/>
        <w:ind w:firstLine="480"/>
        <w:rPr>
          <w:rFonts w:ascii="Times New Roman" w:hAnsi="Times New Roman" w:eastAsia="宋体" w:cs="Times New Roman"/>
        </w:rPr>
      </w:pPr>
      <w:r>
        <w:rPr>
          <w:rFonts w:hint="eastAsia" w:ascii="Times New Roman" w:hAnsi="Times New Roman" w:eastAsia="宋体" w:cs="Times New Roman"/>
        </w:rPr>
        <w:t>（1）现场人员发现火情第一时间及时通知现场负责人，现场负责人接到报告立即联系人员及时赶到火灾地点。</w:t>
      </w:r>
    </w:p>
    <w:p w14:paraId="5F1B8BEE">
      <w:pPr>
        <w:adjustRightInd w:val="0"/>
        <w:ind w:firstLine="480"/>
        <w:rPr>
          <w:rFonts w:ascii="Times New Roman" w:hAnsi="Times New Roman" w:eastAsia="宋体" w:cs="Times New Roman"/>
        </w:rPr>
      </w:pPr>
      <w:r>
        <w:rPr>
          <w:rFonts w:hint="eastAsia" w:ascii="Times New Roman" w:hAnsi="Times New Roman" w:eastAsia="宋体" w:cs="Times New Roman"/>
        </w:rPr>
        <w:t>（2）负责人到达现场后根据火情，按照应急处置措施组织义务消防队和现场人员进行自救。火灾事故超出应急能力时，向社会请求支援。</w:t>
      </w:r>
    </w:p>
    <w:p w14:paraId="1C7FA74D">
      <w:pPr>
        <w:adjustRightInd w:val="0"/>
        <w:ind w:firstLine="480"/>
        <w:rPr>
          <w:rFonts w:ascii="Times New Roman" w:hAnsi="Times New Roman" w:eastAsia="宋体" w:cs="Times New Roman"/>
        </w:rPr>
      </w:pPr>
      <w:r>
        <w:rPr>
          <w:rFonts w:hint="eastAsia" w:ascii="Times New Roman" w:hAnsi="Times New Roman" w:eastAsia="宋体" w:cs="Times New Roman"/>
        </w:rPr>
        <w:t>（3）火灾发生后，现场人员疏散至安全场所，在确保人员安全的前提下组织灭火。人员疏散要及时有序，防止次生事故发生。</w:t>
      </w:r>
    </w:p>
    <w:p w14:paraId="39D157C3">
      <w:pPr>
        <w:adjustRightInd w:val="0"/>
        <w:ind w:firstLine="480"/>
        <w:rPr>
          <w:rFonts w:ascii="Times New Roman" w:hAnsi="Times New Roman" w:eastAsia="宋体" w:cs="Times New Roman"/>
        </w:rPr>
      </w:pPr>
      <w:r>
        <w:rPr>
          <w:rFonts w:hint="eastAsia" w:ascii="Times New Roman" w:hAnsi="Times New Roman" w:eastAsia="宋体" w:cs="Times New Roman"/>
        </w:rPr>
        <w:t>（4）具备救援能力时，疏散和保护物资，减少火灾损失。</w:t>
      </w:r>
    </w:p>
    <w:p w14:paraId="699898F1">
      <w:pPr>
        <w:adjustRightInd w:val="0"/>
        <w:ind w:firstLine="480"/>
        <w:rPr>
          <w:rFonts w:ascii="Times New Roman" w:hAnsi="Times New Roman" w:eastAsia="宋体" w:cs="Times New Roman"/>
        </w:rPr>
      </w:pPr>
      <w:r>
        <w:rPr>
          <w:rFonts w:hint="eastAsia" w:ascii="Times New Roman" w:hAnsi="Times New Roman" w:eastAsia="宋体" w:cs="Times New Roman"/>
        </w:rPr>
        <w:t>（5）当易燃易爆物品有爆炸可能时，首先疏散人员，再采取其他控制措施。</w:t>
      </w:r>
    </w:p>
    <w:p w14:paraId="71449C72">
      <w:pPr>
        <w:adjustRightInd w:val="0"/>
        <w:ind w:firstLine="480"/>
        <w:rPr>
          <w:rFonts w:ascii="Times New Roman" w:hAnsi="Times New Roman" w:eastAsia="宋体" w:cs="Times New Roman"/>
        </w:rPr>
      </w:pPr>
      <w:r>
        <w:rPr>
          <w:rFonts w:hint="eastAsia" w:ascii="Times New Roman" w:hAnsi="Times New Roman" w:eastAsia="宋体" w:cs="Times New Roman"/>
        </w:rPr>
        <w:t>（6）当电气设备发生火灾时，立即将有关设备的电源切断，采取紧急隔离停电措施。在电气设备灭火时，只准许在熟悉该设备带电部分的人员指挥或带领下进行，并使用干式灭火器、二氧化碳、1211灭火器灭火。</w:t>
      </w:r>
    </w:p>
    <w:p w14:paraId="2B4A7AEF">
      <w:pPr>
        <w:adjustRightInd w:val="0"/>
        <w:ind w:firstLine="480"/>
        <w:rPr>
          <w:rFonts w:ascii="Times New Roman" w:hAnsi="Times New Roman" w:eastAsia="宋体" w:cs="Times New Roman"/>
        </w:rPr>
      </w:pPr>
      <w:r>
        <w:rPr>
          <w:rFonts w:hint="eastAsia" w:ascii="Times New Roman" w:hAnsi="Times New Roman" w:eastAsia="宋体" w:cs="Times New Roman"/>
        </w:rPr>
        <w:t>（7）电缆着火燃烧时，立即判明着火电缆所控制的设备，并断开其电源，组织人员用干粉灭火器、1211灭火器或二氧化碳灭火器进行灭火；也可用干燥的砂子或干土覆盖扑灭，不得用水或泡沫灭火器灭火，不得用手直接接触或移动电缆。</w:t>
      </w:r>
    </w:p>
    <w:p w14:paraId="2F5E4544">
      <w:pPr>
        <w:adjustRightInd w:val="0"/>
        <w:ind w:firstLine="480"/>
        <w:rPr>
          <w:rFonts w:ascii="Times New Roman" w:hAnsi="Times New Roman" w:eastAsia="宋体" w:cs="Times New Roman"/>
        </w:rPr>
      </w:pPr>
      <w:r>
        <w:rPr>
          <w:rFonts w:hint="eastAsia" w:ascii="Times New Roman" w:hAnsi="Times New Roman" w:eastAsia="宋体" w:cs="Times New Roman"/>
        </w:rPr>
        <w:t>（8）拨打报警电话时要说明详细地址和受伤人员的性别、主要受伤部位、意识是否清晰等，留下联系电话并保持畅通。报警后由熟悉路况的人到最近的路口等候。</w:t>
      </w:r>
    </w:p>
    <w:p w14:paraId="1D8DF021">
      <w:pPr>
        <w:adjustRightInd w:val="0"/>
        <w:ind w:firstLine="480"/>
        <w:rPr>
          <w:rFonts w:ascii="Times New Roman" w:hAnsi="Times New Roman" w:eastAsia="宋体" w:cs="Times New Roman"/>
        </w:rPr>
      </w:pPr>
      <w:r>
        <w:rPr>
          <w:rFonts w:hint="eastAsia" w:ascii="Times New Roman" w:hAnsi="Times New Roman" w:eastAsia="宋体" w:cs="Times New Roman"/>
        </w:rPr>
        <w:t>（9）拨打119报警时要报告详细单位名称和地点，要说明是什么物质着火和火势大小，留下联系电话并保持畅通。报警后，由熟悉情况的人到离火场最近的路口迎候消防车或指引通道，提供水源位置。</w:t>
      </w:r>
    </w:p>
    <w:p w14:paraId="1C798C49">
      <w:pPr>
        <w:pStyle w:val="6"/>
        <w:bidi w:val="0"/>
      </w:pPr>
      <w:bookmarkStart w:id="176" w:name="_Toc63185592"/>
      <w:bookmarkStart w:id="177" w:name="_Toc40778458"/>
      <w:bookmarkStart w:id="178" w:name="_Toc12896"/>
      <w:r>
        <w:rPr>
          <w:rFonts w:hint="eastAsia"/>
        </w:rPr>
        <w:t>环境污染应急处置措施</w:t>
      </w:r>
    </w:p>
    <w:p w14:paraId="01400A1A">
      <w:pPr>
        <w:ind w:firstLine="480"/>
        <w:rPr>
          <w:rFonts w:ascii="Times New Roman" w:hAnsi="Times New Roman" w:eastAsia="宋体" w:cs="Times New Roman"/>
        </w:rPr>
      </w:pPr>
      <w:r>
        <w:rPr>
          <w:rFonts w:hint="eastAsia" w:ascii="Times New Roman" w:hAnsi="Times New Roman" w:eastAsia="宋体" w:cs="Times New Roman"/>
        </w:rPr>
        <w:t>（1）立即组织人员现场处理被污染区域，在应急救援行动中，快速、有序、有效地实施现场急救，减少事故危害。</w:t>
      </w:r>
    </w:p>
    <w:p w14:paraId="3F8A7B30">
      <w:pPr>
        <w:ind w:firstLine="480"/>
        <w:rPr>
          <w:rFonts w:ascii="Times New Roman" w:hAnsi="Times New Roman" w:eastAsia="宋体" w:cs="Times New Roman"/>
        </w:rPr>
      </w:pPr>
      <w:r>
        <w:rPr>
          <w:rFonts w:hint="eastAsia" w:ascii="Times New Roman" w:hAnsi="Times New Roman" w:eastAsia="宋体" w:cs="Times New Roman"/>
        </w:rPr>
        <w:t>（2）迅速控制事态，并对事故造成的危害进行检测、监测，测定事故的危害区域、危害性质及危害程度。及时控制住造成事故的风险源，防止事故的继续扩展，及时有效进行救援。</w:t>
      </w:r>
    </w:p>
    <w:p w14:paraId="692A1581">
      <w:pPr>
        <w:ind w:firstLine="480"/>
        <w:rPr>
          <w:rFonts w:ascii="Times New Roman" w:hAnsi="Times New Roman" w:eastAsia="宋体" w:cs="Times New Roman"/>
        </w:rPr>
      </w:pPr>
      <w:r>
        <w:rPr>
          <w:rFonts w:hint="eastAsia" w:ascii="Times New Roman" w:hAnsi="Times New Roman" w:eastAsia="宋体" w:cs="Times New Roman"/>
        </w:rPr>
        <w:t>（3）消除危害后果，做好现场的恢复工作。针对事故造成的危害，迅速采取封闭、隔离、处理、监测等措施，防止对人的继续危害和减少对环境的污染程度。</w:t>
      </w:r>
    </w:p>
    <w:p w14:paraId="580D6397">
      <w:pPr>
        <w:adjustRightInd w:val="0"/>
        <w:ind w:firstLine="480"/>
        <w:rPr>
          <w:rFonts w:ascii="Times New Roman" w:hAnsi="Times New Roman" w:eastAsia="宋体" w:cs="Times New Roman"/>
        </w:rPr>
      </w:pPr>
      <w:r>
        <w:rPr>
          <w:rFonts w:hint="eastAsia" w:ascii="Times New Roman" w:hAnsi="Times New Roman" w:eastAsia="宋体" w:cs="Times New Roman"/>
        </w:rPr>
        <w:t>（4）查清事故原因，评价危害程度。及时调查事故发生的原因和事故性质，评估事故的危害范围和危害程度，查明环境污染情况，做好事故调查。</w:t>
      </w:r>
    </w:p>
    <w:p w14:paraId="05B084CC">
      <w:pPr>
        <w:pStyle w:val="5"/>
        <w:bidi w:val="0"/>
      </w:pPr>
      <w:bookmarkStart w:id="179" w:name="_Toc117260706"/>
      <w:bookmarkStart w:id="180" w:name="_Toc12469"/>
      <w:r>
        <w:rPr>
          <w:rFonts w:hint="eastAsia"/>
        </w:rPr>
        <w:t>应急医院及线路图</w:t>
      </w:r>
      <w:bookmarkEnd w:id="176"/>
      <w:bookmarkEnd w:id="177"/>
      <w:bookmarkEnd w:id="178"/>
      <w:bookmarkEnd w:id="179"/>
      <w:bookmarkEnd w:id="180"/>
    </w:p>
    <w:p w14:paraId="0563F0C4">
      <w:pPr>
        <w:ind w:firstLine="480"/>
        <w:rPr>
          <w:rFonts w:hint="eastAsia" w:ascii="Times New Roman" w:hAnsi="Times New Roman" w:eastAsia="宋体" w:cs="Times New Roman"/>
        </w:rPr>
      </w:pPr>
      <w:r>
        <w:rPr>
          <w:rFonts w:hint="eastAsia" w:ascii="Times New Roman" w:hAnsi="Times New Roman" w:eastAsia="宋体" w:cs="Times New Roman"/>
        </w:rPr>
        <w:t>各应急小组成员电话保持24小时处于开机状态。</w:t>
      </w:r>
    </w:p>
    <w:p w14:paraId="66183304">
      <w:pPr>
        <w:ind w:firstLine="480"/>
        <w:rPr>
          <w:rFonts w:hint="eastAsia" w:ascii="Times New Roman" w:hAnsi="Times New Roman" w:eastAsia="宋体" w:cs="Times New Roman"/>
        </w:rPr>
      </w:pPr>
      <w:r>
        <w:rPr>
          <w:rFonts w:hint="eastAsia" w:ascii="Times New Roman" w:hAnsi="Times New Roman" w:eastAsia="宋体" w:cs="Times New Roman"/>
        </w:rPr>
        <w:t>事故发生之后，现场管理人员应第一时间将事故报告到应急组长/副组长处，联络并通过绿色通道将伤员送至指定医院进行救治。</w:t>
      </w:r>
    </w:p>
    <w:p w14:paraId="496A19E9">
      <w:pPr>
        <w:ind w:firstLine="480"/>
        <w:rPr>
          <w:rFonts w:hint="eastAsia" w:ascii="Times New Roman" w:hAnsi="Times New Roman" w:eastAsia="宋体" w:cs="Times New Roman"/>
        </w:rPr>
      </w:pPr>
      <w:r>
        <w:rPr>
          <w:rFonts w:hint="eastAsia" w:ascii="Times New Roman" w:hAnsi="Times New Roman" w:eastAsia="宋体" w:cs="Times New Roman"/>
        </w:rPr>
        <w:t>拨打报警/急救电话时，要尽量说清楚以下几件事：</w:t>
      </w:r>
    </w:p>
    <w:p w14:paraId="0670EA59">
      <w:pPr>
        <w:ind w:firstLine="480"/>
        <w:rPr>
          <w:rFonts w:hint="eastAsia" w:ascii="Times New Roman" w:hAnsi="Times New Roman" w:eastAsia="宋体" w:cs="Times New Roman"/>
        </w:rPr>
      </w:pPr>
      <w:r>
        <w:rPr>
          <w:rFonts w:hint="eastAsia" w:ascii="Times New Roman" w:hAnsi="Times New Roman" w:eastAsia="宋体" w:cs="Times New Roman"/>
        </w:rPr>
        <w:t>（1）说清楚事故发生单位、地点（在什么地方，什么路几号、靠近什么路口、附近有什么特征）、交通线路、联系电话、联系人姓名等。</w:t>
      </w:r>
    </w:p>
    <w:p w14:paraId="34DAFE9F">
      <w:pPr>
        <w:ind w:firstLine="480"/>
        <w:rPr>
          <w:rFonts w:hint="eastAsia" w:ascii="Times New Roman" w:hAnsi="Times New Roman" w:eastAsia="宋体" w:cs="Times New Roman"/>
        </w:rPr>
      </w:pPr>
      <w:r>
        <w:rPr>
          <w:rFonts w:hint="eastAsia" w:ascii="Times New Roman" w:hAnsi="Times New Roman" w:eastAsia="宋体" w:cs="Times New Roman"/>
        </w:rPr>
        <w:t>（2）说明事故受伤人员的数量、伤情、火情和已经采取了哪些抢救措施，以便让救护人员事先做好急救的准备。</w:t>
      </w:r>
    </w:p>
    <w:p w14:paraId="5066ECA2">
      <w:pPr>
        <w:ind w:firstLine="480"/>
        <w:rPr>
          <w:rFonts w:hint="eastAsia" w:ascii="Times New Roman" w:hAnsi="Times New Roman" w:eastAsia="宋体" w:cs="Times New Roman"/>
        </w:rPr>
      </w:pPr>
      <w:r>
        <w:rPr>
          <w:rFonts w:hint="eastAsia" w:ascii="Times New Roman" w:hAnsi="Times New Roman" w:eastAsia="宋体" w:cs="Times New Roman"/>
        </w:rPr>
        <w:t>（3）救援电话还应问清楚，存在什么问题、现场注意事项，如无问题方可挂断电话。并派专人在道路入口处等候接应救护车辆，同时把救护车辆通过道路、场地上的障碍物予以清除，以利救护车辆到达后，能及时进行抢救。</w:t>
      </w:r>
    </w:p>
    <w:p w14:paraId="1790D8A6">
      <w:pPr>
        <w:ind w:firstLine="480"/>
        <w:rPr>
          <w:rFonts w:hint="eastAsia" w:ascii="Times New Roman" w:hAnsi="Times New Roman" w:eastAsia="宋体" w:cs="Times New Roman"/>
        </w:rPr>
      </w:pPr>
      <w:r>
        <w:rPr>
          <w:rFonts w:hint="eastAsia" w:ascii="Times New Roman" w:hAnsi="Times New Roman" w:eastAsia="宋体" w:cs="Times New Roman"/>
        </w:rPr>
        <w:t>（4）本项目指定救治医院为汉川市人民医院，其资料见表</w:t>
      </w:r>
      <w:r>
        <w:rPr>
          <w:rFonts w:hint="eastAsia" w:ascii="Times New Roman" w:hAnsi="Times New Roman" w:eastAsia="宋体" w:cs="Times New Roman"/>
          <w:lang w:val="en-US" w:eastAsia="zh-CN"/>
        </w:rPr>
        <w:t>9.4</w:t>
      </w:r>
      <w:r>
        <w:rPr>
          <w:rFonts w:hint="eastAsia" w:ascii="Times New Roman" w:hAnsi="Times New Roman" w:eastAsia="宋体" w:cs="Times New Roman"/>
        </w:rPr>
        <w:t>-1。救援路线为：金鼓城大道（左转）→→汉长线（右转）→→川汉大道（直行）→→滨湖大道（800米左转）→→人民大道（200米左转）→→到达汉川市人民医院，</w:t>
      </w:r>
      <w:bookmarkStart w:id="181" w:name="_Hlk159534729"/>
      <w:r>
        <w:rPr>
          <w:rFonts w:hint="eastAsia" w:ascii="Times New Roman" w:hAnsi="Times New Roman" w:eastAsia="宋体" w:cs="Times New Roman"/>
        </w:rPr>
        <w:t>救援路线见图</w:t>
      </w:r>
      <w:r>
        <w:rPr>
          <w:rFonts w:hint="eastAsia" w:ascii="Times New Roman" w:hAnsi="Times New Roman" w:eastAsia="宋体" w:cs="Times New Roman"/>
          <w:lang w:val="en-US" w:eastAsia="zh-CN"/>
        </w:rPr>
        <w:t>9.4-1</w:t>
      </w:r>
      <w:r>
        <w:rPr>
          <w:rFonts w:hint="eastAsia" w:ascii="Times New Roman" w:hAnsi="Times New Roman" w:eastAsia="宋体" w:cs="Times New Roman"/>
        </w:rPr>
        <w:t>。</w:t>
      </w:r>
      <w:bookmarkEnd w:id="181"/>
    </w:p>
    <w:p w14:paraId="2AD40AF5">
      <w:pPr>
        <w:pStyle w:val="46"/>
      </w:pPr>
      <w:r>
        <w:t>表</w:t>
      </w:r>
      <w:r>
        <w:rPr>
          <w:rFonts w:hint="eastAsia"/>
          <w:lang w:val="en-US" w:eastAsia="zh-CN"/>
        </w:rPr>
        <w:t>9.4</w:t>
      </w:r>
      <w:r>
        <w:t>-1 医院联系地址表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75"/>
        <w:gridCol w:w="3211"/>
        <w:gridCol w:w="1459"/>
        <w:gridCol w:w="1677"/>
      </w:tblGrid>
      <w:tr w14:paraId="0F19BC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6" w:type="pct"/>
            <w:vAlign w:val="center"/>
          </w:tcPr>
          <w:p w14:paraId="76C16AB1">
            <w:pPr>
              <w:pStyle w:val="15"/>
              <w:rPr>
                <w:b/>
                <w:bCs/>
              </w:rPr>
            </w:pPr>
            <w:bookmarkStart w:id="182" w:name="_Hlk159776053"/>
            <w:r>
              <w:rPr>
                <w:b/>
                <w:bCs/>
              </w:rPr>
              <w:t>医院名称</w:t>
            </w:r>
          </w:p>
        </w:tc>
        <w:tc>
          <w:tcPr>
            <w:tcW w:w="1884" w:type="pct"/>
            <w:vAlign w:val="center"/>
          </w:tcPr>
          <w:p w14:paraId="1FE02CBD">
            <w:pPr>
              <w:pStyle w:val="15"/>
              <w:rPr>
                <w:b/>
                <w:bCs/>
              </w:rPr>
            </w:pPr>
            <w:r>
              <w:rPr>
                <w:b/>
                <w:bCs/>
              </w:rPr>
              <w:t>医院地址</w:t>
            </w:r>
          </w:p>
        </w:tc>
        <w:tc>
          <w:tcPr>
            <w:tcW w:w="856" w:type="pct"/>
            <w:vAlign w:val="center"/>
          </w:tcPr>
          <w:p w14:paraId="208B9EC5">
            <w:pPr>
              <w:pStyle w:val="15"/>
              <w:rPr>
                <w:b/>
                <w:bCs/>
              </w:rPr>
            </w:pPr>
            <w:r>
              <w:rPr>
                <w:b/>
                <w:bCs/>
              </w:rPr>
              <w:t>平均距离</w:t>
            </w:r>
          </w:p>
        </w:tc>
        <w:tc>
          <w:tcPr>
            <w:tcW w:w="984" w:type="pct"/>
            <w:vAlign w:val="center"/>
          </w:tcPr>
          <w:p w14:paraId="6450E51E">
            <w:pPr>
              <w:pStyle w:val="15"/>
              <w:rPr>
                <w:b/>
                <w:bCs/>
              </w:rPr>
            </w:pPr>
            <w:r>
              <w:rPr>
                <w:b/>
                <w:bCs/>
              </w:rPr>
              <w:t>医院电话</w:t>
            </w:r>
          </w:p>
        </w:tc>
      </w:tr>
      <w:tr w14:paraId="01FD86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6" w:type="pct"/>
            <w:vAlign w:val="center"/>
          </w:tcPr>
          <w:p w14:paraId="42BCBCCE">
            <w:pPr>
              <w:pStyle w:val="15"/>
              <w:rPr>
                <w:b w:val="0"/>
                <w:bCs/>
              </w:rPr>
            </w:pPr>
            <w:r>
              <w:rPr>
                <w:b w:val="0"/>
                <w:bCs/>
              </w:rPr>
              <w:t>汉川市人民医院</w:t>
            </w:r>
          </w:p>
        </w:tc>
        <w:tc>
          <w:tcPr>
            <w:tcW w:w="1884" w:type="pct"/>
            <w:vAlign w:val="center"/>
          </w:tcPr>
          <w:p w14:paraId="7F84493F">
            <w:pPr>
              <w:pStyle w:val="15"/>
              <w:rPr>
                <w:b w:val="0"/>
                <w:bCs/>
              </w:rPr>
            </w:pPr>
            <w:r>
              <w:rPr>
                <w:b w:val="0"/>
                <w:bCs/>
              </w:rPr>
              <w:t>孝感市汉川市人民大道特1号</w:t>
            </w:r>
          </w:p>
        </w:tc>
        <w:tc>
          <w:tcPr>
            <w:tcW w:w="856" w:type="pct"/>
            <w:vAlign w:val="center"/>
          </w:tcPr>
          <w:p w14:paraId="66C325E8">
            <w:pPr>
              <w:pStyle w:val="15"/>
              <w:rPr>
                <w:b w:val="0"/>
                <w:bCs/>
              </w:rPr>
            </w:pPr>
            <w:r>
              <w:rPr>
                <w:b w:val="0"/>
                <w:bCs/>
              </w:rPr>
              <w:t>7km</w:t>
            </w:r>
          </w:p>
        </w:tc>
        <w:tc>
          <w:tcPr>
            <w:tcW w:w="984" w:type="pct"/>
            <w:vAlign w:val="center"/>
          </w:tcPr>
          <w:p w14:paraId="7C206F8A">
            <w:pPr>
              <w:pStyle w:val="15"/>
              <w:rPr>
                <w:b w:val="0"/>
                <w:bCs/>
              </w:rPr>
            </w:pPr>
            <w:r>
              <w:rPr>
                <w:b w:val="0"/>
                <w:bCs/>
              </w:rPr>
              <w:t>0712-8282259</w:t>
            </w:r>
          </w:p>
        </w:tc>
      </w:tr>
      <w:bookmarkEnd w:id="182"/>
    </w:tbl>
    <w:p w14:paraId="5E50C5FC">
      <w:pPr>
        <w:pStyle w:val="46"/>
      </w:pPr>
      <w:r>
        <w:drawing>
          <wp:inline distT="0" distB="0" distL="0" distR="0">
            <wp:extent cx="3103245" cy="2880360"/>
            <wp:effectExtent l="0" t="0" r="1905" b="15240"/>
            <wp:docPr id="1929273444" name="图片 192927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73444" name="图片 1929273444"/>
                    <pic:cNvPicPr>
                      <a:picLocks noChangeAspect="1"/>
                    </pic:cNvPicPr>
                  </pic:nvPicPr>
                  <pic:blipFill>
                    <a:blip r:embed="rId82"/>
                    <a:stretch>
                      <a:fillRect/>
                    </a:stretch>
                  </pic:blipFill>
                  <pic:spPr>
                    <a:xfrm>
                      <a:off x="0" y="0"/>
                      <a:ext cx="3103245" cy="2880360"/>
                    </a:xfrm>
                    <a:prstGeom prst="rect">
                      <a:avLst/>
                    </a:prstGeom>
                  </pic:spPr>
                </pic:pic>
              </a:graphicData>
            </a:graphic>
          </wp:inline>
        </w:drawing>
      </w:r>
    </w:p>
    <w:p w14:paraId="5BC8489C">
      <w:pPr>
        <w:pStyle w:val="46"/>
      </w:pPr>
      <w:r>
        <w:t>图</w:t>
      </w:r>
      <w:r>
        <w:rPr>
          <w:rFonts w:hint="eastAsia"/>
          <w:lang w:val="en-US" w:eastAsia="zh-CN"/>
        </w:rPr>
        <w:t>9.4</w:t>
      </w:r>
      <w:r>
        <w:t>-1 救援路线图</w:t>
      </w:r>
    </w:p>
    <w:p w14:paraId="0E4A306D">
      <w:pPr>
        <w:pStyle w:val="5"/>
        <w:bidi w:val="0"/>
      </w:pPr>
      <w:bookmarkStart w:id="183" w:name="_Toc63185591"/>
      <w:bookmarkStart w:id="184" w:name="_Toc117260707"/>
      <w:bookmarkStart w:id="185" w:name="_Toc40778457"/>
      <w:bookmarkStart w:id="186" w:name="_Toc4255"/>
      <w:bookmarkStart w:id="187" w:name="_Toc5330"/>
      <w:bookmarkStart w:id="188" w:name="_Toc1146"/>
      <w:bookmarkStart w:id="189" w:name="_Toc63185593"/>
      <w:bookmarkStart w:id="190" w:name="_Toc40778459"/>
      <w:r>
        <w:rPr>
          <w:rFonts w:hint="eastAsia"/>
        </w:rPr>
        <w:t>应急车辆、物资及设备</w:t>
      </w:r>
      <w:bookmarkEnd w:id="183"/>
      <w:bookmarkEnd w:id="184"/>
      <w:bookmarkEnd w:id="185"/>
      <w:bookmarkEnd w:id="186"/>
      <w:bookmarkEnd w:id="187"/>
    </w:p>
    <w:p w14:paraId="756A8D51">
      <w:pPr>
        <w:ind w:firstLine="480"/>
      </w:pPr>
      <w:bookmarkStart w:id="191" w:name="_Toc117260708"/>
      <w:r>
        <w:t>应急资源的准备是应急救援工作的重要保障，项目部根据潜在事故性质和后果分析，配备足量应急救援中所需的救援机械和设备、交通工具、医疗设备和药品、生活保障物资，具体见表</w:t>
      </w:r>
      <w:r>
        <w:rPr>
          <w:rFonts w:hint="eastAsia"/>
          <w:lang w:val="en-US" w:eastAsia="zh-CN"/>
        </w:rPr>
        <w:t>9.5</w:t>
      </w:r>
      <w:r>
        <w:t>-1。</w:t>
      </w:r>
    </w:p>
    <w:p w14:paraId="13BC65D9">
      <w:pPr>
        <w:pStyle w:val="46"/>
        <w:ind w:firstLine="480"/>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9.5</w:t>
      </w:r>
      <w:r>
        <w:rPr>
          <w:color w:val="000000" w:themeColor="text1"/>
          <w14:textFill>
            <w14:solidFill>
              <w14:schemeClr w14:val="tx1"/>
            </w14:solidFill>
          </w14:textFill>
        </w:rPr>
        <w:t>-1 应急设备、物资保障表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1403"/>
        <w:gridCol w:w="1761"/>
        <w:gridCol w:w="929"/>
        <w:gridCol w:w="929"/>
        <w:gridCol w:w="1641"/>
        <w:gridCol w:w="929"/>
      </w:tblGrid>
      <w:tr w14:paraId="38D4EA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546" w:type="pct"/>
            <w:vAlign w:val="center"/>
          </w:tcPr>
          <w:p w14:paraId="3DFA8FC4">
            <w:pPr>
              <w:pStyle w:val="15"/>
              <w:rPr>
                <w:b w:val="0"/>
                <w:bCs w:val="0"/>
              </w:rPr>
            </w:pPr>
            <w:bookmarkStart w:id="192" w:name="_Hlk159775957"/>
            <w:r>
              <w:rPr>
                <w:b w:val="0"/>
                <w:bCs w:val="0"/>
              </w:rPr>
              <w:t>序号</w:t>
            </w:r>
          </w:p>
        </w:tc>
        <w:tc>
          <w:tcPr>
            <w:tcW w:w="823" w:type="pct"/>
            <w:vAlign w:val="center"/>
          </w:tcPr>
          <w:p w14:paraId="506A1F3B">
            <w:pPr>
              <w:pStyle w:val="15"/>
              <w:rPr>
                <w:b w:val="0"/>
                <w:bCs w:val="0"/>
              </w:rPr>
            </w:pPr>
            <w:r>
              <w:rPr>
                <w:b w:val="0"/>
                <w:bCs w:val="0"/>
              </w:rPr>
              <w:t>类型</w:t>
            </w:r>
          </w:p>
        </w:tc>
        <w:tc>
          <w:tcPr>
            <w:tcW w:w="1033" w:type="pct"/>
            <w:vAlign w:val="center"/>
          </w:tcPr>
          <w:p w14:paraId="123CE9C9">
            <w:pPr>
              <w:pStyle w:val="15"/>
              <w:rPr>
                <w:b w:val="0"/>
                <w:bCs w:val="0"/>
              </w:rPr>
            </w:pPr>
            <w:r>
              <w:rPr>
                <w:b w:val="0"/>
                <w:bCs w:val="0"/>
              </w:rPr>
              <w:t>物资名称</w:t>
            </w:r>
          </w:p>
        </w:tc>
        <w:tc>
          <w:tcPr>
            <w:tcW w:w="545" w:type="pct"/>
            <w:vAlign w:val="center"/>
          </w:tcPr>
          <w:p w14:paraId="45E18535">
            <w:pPr>
              <w:pStyle w:val="15"/>
              <w:rPr>
                <w:b w:val="0"/>
                <w:bCs w:val="0"/>
              </w:rPr>
            </w:pPr>
            <w:r>
              <w:rPr>
                <w:b w:val="0"/>
                <w:bCs w:val="0"/>
              </w:rPr>
              <w:t>单位</w:t>
            </w:r>
          </w:p>
        </w:tc>
        <w:tc>
          <w:tcPr>
            <w:tcW w:w="545" w:type="pct"/>
            <w:vAlign w:val="center"/>
          </w:tcPr>
          <w:p w14:paraId="77C01D24">
            <w:pPr>
              <w:pStyle w:val="15"/>
              <w:rPr>
                <w:b w:val="0"/>
                <w:bCs w:val="0"/>
              </w:rPr>
            </w:pPr>
            <w:r>
              <w:rPr>
                <w:b w:val="0"/>
                <w:bCs w:val="0"/>
              </w:rPr>
              <w:t>数量</w:t>
            </w:r>
          </w:p>
        </w:tc>
        <w:tc>
          <w:tcPr>
            <w:tcW w:w="963" w:type="pct"/>
            <w:vAlign w:val="center"/>
          </w:tcPr>
          <w:p w14:paraId="202AD495">
            <w:pPr>
              <w:pStyle w:val="15"/>
              <w:rPr>
                <w:b w:val="0"/>
                <w:bCs w:val="0"/>
              </w:rPr>
            </w:pPr>
            <w:r>
              <w:rPr>
                <w:b w:val="0"/>
                <w:bCs w:val="0"/>
              </w:rPr>
              <w:t>存放位置</w:t>
            </w:r>
          </w:p>
        </w:tc>
        <w:tc>
          <w:tcPr>
            <w:tcW w:w="545" w:type="pct"/>
            <w:vAlign w:val="center"/>
          </w:tcPr>
          <w:p w14:paraId="262A1E30">
            <w:pPr>
              <w:pStyle w:val="15"/>
              <w:rPr>
                <w:b w:val="0"/>
                <w:bCs w:val="0"/>
              </w:rPr>
            </w:pPr>
            <w:r>
              <w:rPr>
                <w:b w:val="0"/>
                <w:bCs w:val="0"/>
              </w:rPr>
              <w:t>备注</w:t>
            </w:r>
          </w:p>
        </w:tc>
      </w:tr>
      <w:tr w14:paraId="1E8EC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B44AD75">
            <w:pPr>
              <w:pStyle w:val="15"/>
              <w:numPr>
                <w:ilvl w:val="0"/>
                <w:numId w:val="37"/>
              </w:numPr>
              <w:spacing w:line="240" w:lineRule="exact"/>
              <w:rPr>
                <w:b w:val="0"/>
                <w:bCs w:val="0"/>
              </w:rPr>
            </w:pPr>
          </w:p>
        </w:tc>
        <w:tc>
          <w:tcPr>
            <w:tcW w:w="823" w:type="pct"/>
            <w:vAlign w:val="center"/>
          </w:tcPr>
          <w:p w14:paraId="74BF3FE9">
            <w:pPr>
              <w:pStyle w:val="15"/>
              <w:rPr>
                <w:b w:val="0"/>
                <w:bCs w:val="0"/>
              </w:rPr>
            </w:pPr>
            <w:r>
              <w:rPr>
                <w:b w:val="0"/>
                <w:bCs w:val="0"/>
              </w:rPr>
              <w:t>应急车辆</w:t>
            </w:r>
          </w:p>
        </w:tc>
        <w:tc>
          <w:tcPr>
            <w:tcW w:w="1033" w:type="pct"/>
            <w:vAlign w:val="center"/>
          </w:tcPr>
          <w:p w14:paraId="6803C8C0">
            <w:pPr>
              <w:pStyle w:val="15"/>
              <w:rPr>
                <w:b w:val="0"/>
                <w:bCs w:val="0"/>
              </w:rPr>
            </w:pPr>
            <w:r>
              <w:rPr>
                <w:b w:val="0"/>
                <w:bCs w:val="0"/>
              </w:rPr>
              <w:t>小车</w:t>
            </w:r>
          </w:p>
        </w:tc>
        <w:tc>
          <w:tcPr>
            <w:tcW w:w="545" w:type="pct"/>
            <w:vAlign w:val="center"/>
          </w:tcPr>
          <w:p w14:paraId="7439585F">
            <w:pPr>
              <w:pStyle w:val="15"/>
              <w:rPr>
                <w:b w:val="0"/>
                <w:bCs w:val="0"/>
              </w:rPr>
            </w:pPr>
            <w:r>
              <w:rPr>
                <w:b w:val="0"/>
                <w:bCs w:val="0"/>
              </w:rPr>
              <w:t>台</w:t>
            </w:r>
          </w:p>
        </w:tc>
        <w:tc>
          <w:tcPr>
            <w:tcW w:w="545" w:type="pct"/>
            <w:vAlign w:val="center"/>
          </w:tcPr>
          <w:p w14:paraId="5700208F">
            <w:pPr>
              <w:pStyle w:val="15"/>
              <w:rPr>
                <w:b w:val="0"/>
                <w:bCs w:val="0"/>
              </w:rPr>
            </w:pPr>
            <w:r>
              <w:rPr>
                <w:b w:val="0"/>
                <w:bCs w:val="0"/>
              </w:rPr>
              <w:t>2</w:t>
            </w:r>
          </w:p>
        </w:tc>
        <w:tc>
          <w:tcPr>
            <w:tcW w:w="963" w:type="pct"/>
            <w:vAlign w:val="center"/>
          </w:tcPr>
          <w:p w14:paraId="3AEDE517">
            <w:pPr>
              <w:pStyle w:val="15"/>
              <w:rPr>
                <w:b w:val="0"/>
                <w:bCs w:val="0"/>
              </w:rPr>
            </w:pPr>
            <w:r>
              <w:rPr>
                <w:b w:val="0"/>
                <w:bCs w:val="0"/>
              </w:rPr>
              <w:t>项目驻地</w:t>
            </w:r>
          </w:p>
        </w:tc>
        <w:tc>
          <w:tcPr>
            <w:tcW w:w="545" w:type="pct"/>
            <w:vAlign w:val="center"/>
          </w:tcPr>
          <w:p w14:paraId="537A86B6">
            <w:pPr>
              <w:pStyle w:val="15"/>
              <w:rPr>
                <w:b w:val="0"/>
                <w:bCs w:val="0"/>
              </w:rPr>
            </w:pPr>
          </w:p>
        </w:tc>
      </w:tr>
      <w:tr w14:paraId="7F1CD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66AB4B3E">
            <w:pPr>
              <w:pStyle w:val="15"/>
              <w:numPr>
                <w:ilvl w:val="0"/>
                <w:numId w:val="37"/>
              </w:numPr>
              <w:spacing w:line="240" w:lineRule="exact"/>
              <w:rPr>
                <w:b w:val="0"/>
                <w:bCs w:val="0"/>
              </w:rPr>
            </w:pPr>
          </w:p>
        </w:tc>
        <w:tc>
          <w:tcPr>
            <w:tcW w:w="823" w:type="pct"/>
            <w:vMerge w:val="restart"/>
            <w:vAlign w:val="center"/>
          </w:tcPr>
          <w:p w14:paraId="54728754">
            <w:pPr>
              <w:pStyle w:val="15"/>
              <w:rPr>
                <w:b w:val="0"/>
                <w:bCs w:val="0"/>
              </w:rPr>
            </w:pPr>
            <w:r>
              <w:rPr>
                <w:b w:val="0"/>
                <w:bCs w:val="0"/>
              </w:rPr>
              <w:t>应</w:t>
            </w:r>
          </w:p>
          <w:p w14:paraId="48BE7A61">
            <w:pPr>
              <w:pStyle w:val="15"/>
              <w:rPr>
                <w:b w:val="0"/>
                <w:bCs w:val="0"/>
              </w:rPr>
            </w:pPr>
            <w:r>
              <w:rPr>
                <w:b w:val="0"/>
                <w:bCs w:val="0"/>
              </w:rPr>
              <w:t>急</w:t>
            </w:r>
          </w:p>
          <w:p w14:paraId="4E69C569">
            <w:pPr>
              <w:pStyle w:val="15"/>
              <w:rPr>
                <w:b w:val="0"/>
                <w:bCs w:val="0"/>
              </w:rPr>
            </w:pPr>
            <w:r>
              <w:rPr>
                <w:b w:val="0"/>
                <w:bCs w:val="0"/>
              </w:rPr>
              <w:t>设</w:t>
            </w:r>
          </w:p>
          <w:p w14:paraId="4AC735BE">
            <w:pPr>
              <w:pStyle w:val="15"/>
              <w:rPr>
                <w:b w:val="0"/>
                <w:bCs w:val="0"/>
              </w:rPr>
            </w:pPr>
            <w:r>
              <w:rPr>
                <w:b w:val="0"/>
                <w:bCs w:val="0"/>
              </w:rPr>
              <w:t>备</w:t>
            </w:r>
          </w:p>
        </w:tc>
        <w:tc>
          <w:tcPr>
            <w:tcW w:w="1033" w:type="pct"/>
            <w:vAlign w:val="center"/>
          </w:tcPr>
          <w:p w14:paraId="5765A9BE">
            <w:pPr>
              <w:pStyle w:val="15"/>
              <w:rPr>
                <w:b w:val="0"/>
                <w:bCs w:val="0"/>
              </w:rPr>
            </w:pPr>
            <w:r>
              <w:rPr>
                <w:b w:val="0"/>
                <w:bCs w:val="0"/>
              </w:rPr>
              <w:t>吊车</w:t>
            </w:r>
          </w:p>
        </w:tc>
        <w:tc>
          <w:tcPr>
            <w:tcW w:w="545" w:type="pct"/>
            <w:vAlign w:val="center"/>
          </w:tcPr>
          <w:p w14:paraId="722DB131">
            <w:pPr>
              <w:pStyle w:val="15"/>
              <w:rPr>
                <w:b w:val="0"/>
                <w:bCs w:val="0"/>
              </w:rPr>
            </w:pPr>
            <w:r>
              <w:rPr>
                <w:b w:val="0"/>
                <w:bCs w:val="0"/>
              </w:rPr>
              <w:t>台</w:t>
            </w:r>
          </w:p>
        </w:tc>
        <w:tc>
          <w:tcPr>
            <w:tcW w:w="545" w:type="pct"/>
            <w:vAlign w:val="center"/>
          </w:tcPr>
          <w:p w14:paraId="5DF39677">
            <w:pPr>
              <w:pStyle w:val="15"/>
              <w:rPr>
                <w:b w:val="0"/>
                <w:bCs w:val="0"/>
              </w:rPr>
            </w:pPr>
            <w:r>
              <w:rPr>
                <w:b w:val="0"/>
                <w:bCs w:val="0"/>
              </w:rPr>
              <w:t>1</w:t>
            </w:r>
          </w:p>
        </w:tc>
        <w:tc>
          <w:tcPr>
            <w:tcW w:w="963" w:type="pct"/>
            <w:vAlign w:val="center"/>
          </w:tcPr>
          <w:p w14:paraId="64E04233">
            <w:pPr>
              <w:pStyle w:val="15"/>
              <w:rPr>
                <w:b w:val="0"/>
                <w:bCs w:val="0"/>
              </w:rPr>
            </w:pPr>
            <w:r>
              <w:rPr>
                <w:b w:val="0"/>
                <w:bCs w:val="0"/>
              </w:rPr>
              <w:t>施工现场</w:t>
            </w:r>
          </w:p>
        </w:tc>
        <w:tc>
          <w:tcPr>
            <w:tcW w:w="545" w:type="pct"/>
            <w:vAlign w:val="center"/>
          </w:tcPr>
          <w:p w14:paraId="0A5878BF">
            <w:pPr>
              <w:pStyle w:val="15"/>
              <w:rPr>
                <w:b w:val="0"/>
                <w:bCs w:val="0"/>
              </w:rPr>
            </w:pPr>
          </w:p>
        </w:tc>
      </w:tr>
      <w:tr w14:paraId="4CCA4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11AA8623">
            <w:pPr>
              <w:pStyle w:val="15"/>
              <w:numPr>
                <w:ilvl w:val="0"/>
                <w:numId w:val="37"/>
              </w:numPr>
              <w:spacing w:line="240" w:lineRule="exact"/>
              <w:rPr>
                <w:b w:val="0"/>
                <w:bCs w:val="0"/>
              </w:rPr>
            </w:pPr>
          </w:p>
        </w:tc>
        <w:tc>
          <w:tcPr>
            <w:tcW w:w="823" w:type="pct"/>
            <w:vMerge w:val="continue"/>
            <w:vAlign w:val="center"/>
          </w:tcPr>
          <w:p w14:paraId="55E89699">
            <w:pPr>
              <w:pStyle w:val="15"/>
              <w:rPr>
                <w:b w:val="0"/>
                <w:bCs w:val="0"/>
              </w:rPr>
            </w:pPr>
          </w:p>
        </w:tc>
        <w:tc>
          <w:tcPr>
            <w:tcW w:w="1033" w:type="pct"/>
            <w:vAlign w:val="center"/>
          </w:tcPr>
          <w:p w14:paraId="56E65A06">
            <w:pPr>
              <w:pStyle w:val="15"/>
              <w:rPr>
                <w:b w:val="0"/>
                <w:bCs w:val="0"/>
              </w:rPr>
            </w:pPr>
            <w:r>
              <w:rPr>
                <w:b w:val="0"/>
                <w:bCs w:val="0"/>
              </w:rPr>
              <w:t>挖掘机</w:t>
            </w:r>
          </w:p>
        </w:tc>
        <w:tc>
          <w:tcPr>
            <w:tcW w:w="545" w:type="pct"/>
            <w:vAlign w:val="center"/>
          </w:tcPr>
          <w:p w14:paraId="5E188E57">
            <w:pPr>
              <w:pStyle w:val="15"/>
              <w:rPr>
                <w:b w:val="0"/>
                <w:bCs w:val="0"/>
              </w:rPr>
            </w:pPr>
            <w:r>
              <w:rPr>
                <w:b w:val="0"/>
                <w:bCs w:val="0"/>
              </w:rPr>
              <w:t>台</w:t>
            </w:r>
          </w:p>
        </w:tc>
        <w:tc>
          <w:tcPr>
            <w:tcW w:w="545" w:type="pct"/>
            <w:vAlign w:val="center"/>
          </w:tcPr>
          <w:p w14:paraId="6F198A9A">
            <w:pPr>
              <w:pStyle w:val="15"/>
              <w:rPr>
                <w:b w:val="0"/>
                <w:bCs w:val="0"/>
              </w:rPr>
            </w:pPr>
            <w:r>
              <w:rPr>
                <w:b w:val="0"/>
                <w:bCs w:val="0"/>
              </w:rPr>
              <w:t>1</w:t>
            </w:r>
          </w:p>
        </w:tc>
        <w:tc>
          <w:tcPr>
            <w:tcW w:w="963" w:type="pct"/>
            <w:vAlign w:val="center"/>
          </w:tcPr>
          <w:p w14:paraId="41E71E78">
            <w:pPr>
              <w:pStyle w:val="15"/>
              <w:rPr>
                <w:b w:val="0"/>
                <w:bCs w:val="0"/>
              </w:rPr>
            </w:pPr>
            <w:r>
              <w:rPr>
                <w:b w:val="0"/>
                <w:bCs w:val="0"/>
              </w:rPr>
              <w:t>施工现场</w:t>
            </w:r>
          </w:p>
        </w:tc>
        <w:tc>
          <w:tcPr>
            <w:tcW w:w="545" w:type="pct"/>
            <w:vAlign w:val="center"/>
          </w:tcPr>
          <w:p w14:paraId="5A88CA6B">
            <w:pPr>
              <w:pStyle w:val="15"/>
              <w:rPr>
                <w:b w:val="0"/>
                <w:bCs w:val="0"/>
              </w:rPr>
            </w:pPr>
          </w:p>
        </w:tc>
      </w:tr>
      <w:tr w14:paraId="6DE880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0764642A">
            <w:pPr>
              <w:pStyle w:val="15"/>
              <w:numPr>
                <w:ilvl w:val="0"/>
                <w:numId w:val="37"/>
              </w:numPr>
              <w:spacing w:line="240" w:lineRule="exact"/>
              <w:rPr>
                <w:b w:val="0"/>
                <w:bCs w:val="0"/>
              </w:rPr>
            </w:pPr>
          </w:p>
        </w:tc>
        <w:tc>
          <w:tcPr>
            <w:tcW w:w="823" w:type="pct"/>
            <w:vMerge w:val="continue"/>
            <w:vAlign w:val="center"/>
          </w:tcPr>
          <w:p w14:paraId="31634553">
            <w:pPr>
              <w:pStyle w:val="15"/>
              <w:rPr>
                <w:b w:val="0"/>
                <w:bCs w:val="0"/>
              </w:rPr>
            </w:pPr>
          </w:p>
        </w:tc>
        <w:tc>
          <w:tcPr>
            <w:tcW w:w="1033" w:type="pct"/>
            <w:vAlign w:val="center"/>
          </w:tcPr>
          <w:p w14:paraId="48673F1E">
            <w:pPr>
              <w:pStyle w:val="15"/>
              <w:rPr>
                <w:b w:val="0"/>
                <w:bCs w:val="0"/>
              </w:rPr>
            </w:pPr>
            <w:r>
              <w:rPr>
                <w:b w:val="0"/>
                <w:bCs w:val="0"/>
              </w:rPr>
              <w:t>装载机</w:t>
            </w:r>
          </w:p>
        </w:tc>
        <w:tc>
          <w:tcPr>
            <w:tcW w:w="545" w:type="pct"/>
            <w:vAlign w:val="center"/>
          </w:tcPr>
          <w:p w14:paraId="3BED440E">
            <w:pPr>
              <w:pStyle w:val="15"/>
              <w:rPr>
                <w:b w:val="0"/>
                <w:bCs w:val="0"/>
              </w:rPr>
            </w:pPr>
            <w:r>
              <w:rPr>
                <w:b w:val="0"/>
                <w:bCs w:val="0"/>
              </w:rPr>
              <w:t>台</w:t>
            </w:r>
          </w:p>
        </w:tc>
        <w:tc>
          <w:tcPr>
            <w:tcW w:w="545" w:type="pct"/>
            <w:vAlign w:val="center"/>
          </w:tcPr>
          <w:p w14:paraId="1858A4FB">
            <w:pPr>
              <w:pStyle w:val="15"/>
              <w:rPr>
                <w:b w:val="0"/>
                <w:bCs w:val="0"/>
              </w:rPr>
            </w:pPr>
            <w:r>
              <w:rPr>
                <w:b w:val="0"/>
                <w:bCs w:val="0"/>
              </w:rPr>
              <w:t>1</w:t>
            </w:r>
          </w:p>
        </w:tc>
        <w:tc>
          <w:tcPr>
            <w:tcW w:w="963" w:type="pct"/>
            <w:vAlign w:val="center"/>
          </w:tcPr>
          <w:p w14:paraId="1BBDE722">
            <w:pPr>
              <w:pStyle w:val="15"/>
              <w:rPr>
                <w:b w:val="0"/>
                <w:bCs w:val="0"/>
              </w:rPr>
            </w:pPr>
            <w:r>
              <w:rPr>
                <w:b w:val="0"/>
                <w:bCs w:val="0"/>
              </w:rPr>
              <w:t>搅拌站</w:t>
            </w:r>
          </w:p>
        </w:tc>
        <w:tc>
          <w:tcPr>
            <w:tcW w:w="545" w:type="pct"/>
            <w:vAlign w:val="center"/>
          </w:tcPr>
          <w:p w14:paraId="5F58D4CC">
            <w:pPr>
              <w:pStyle w:val="15"/>
              <w:rPr>
                <w:b w:val="0"/>
                <w:bCs w:val="0"/>
              </w:rPr>
            </w:pPr>
          </w:p>
        </w:tc>
      </w:tr>
      <w:tr w14:paraId="762A8C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0BA81199">
            <w:pPr>
              <w:pStyle w:val="15"/>
              <w:numPr>
                <w:ilvl w:val="0"/>
                <w:numId w:val="37"/>
              </w:numPr>
              <w:spacing w:line="240" w:lineRule="exact"/>
              <w:rPr>
                <w:b w:val="0"/>
                <w:bCs w:val="0"/>
              </w:rPr>
            </w:pPr>
          </w:p>
        </w:tc>
        <w:tc>
          <w:tcPr>
            <w:tcW w:w="823" w:type="pct"/>
            <w:vMerge w:val="continue"/>
            <w:vAlign w:val="center"/>
          </w:tcPr>
          <w:p w14:paraId="49B7BEEC">
            <w:pPr>
              <w:pStyle w:val="15"/>
              <w:rPr>
                <w:b w:val="0"/>
                <w:bCs w:val="0"/>
              </w:rPr>
            </w:pPr>
          </w:p>
        </w:tc>
        <w:tc>
          <w:tcPr>
            <w:tcW w:w="1033" w:type="pct"/>
            <w:vAlign w:val="center"/>
          </w:tcPr>
          <w:p w14:paraId="2924413F">
            <w:pPr>
              <w:pStyle w:val="15"/>
              <w:rPr>
                <w:b w:val="0"/>
                <w:bCs w:val="0"/>
              </w:rPr>
            </w:pPr>
            <w:r>
              <w:rPr>
                <w:b w:val="0"/>
                <w:bCs w:val="0"/>
              </w:rPr>
              <w:t>发电机</w:t>
            </w:r>
          </w:p>
        </w:tc>
        <w:tc>
          <w:tcPr>
            <w:tcW w:w="545" w:type="pct"/>
            <w:vAlign w:val="center"/>
          </w:tcPr>
          <w:p w14:paraId="6EE7DBBC">
            <w:pPr>
              <w:pStyle w:val="15"/>
              <w:rPr>
                <w:b w:val="0"/>
                <w:bCs w:val="0"/>
              </w:rPr>
            </w:pPr>
            <w:r>
              <w:rPr>
                <w:b w:val="0"/>
                <w:bCs w:val="0"/>
              </w:rPr>
              <w:t>台</w:t>
            </w:r>
          </w:p>
        </w:tc>
        <w:tc>
          <w:tcPr>
            <w:tcW w:w="545" w:type="pct"/>
            <w:vAlign w:val="center"/>
          </w:tcPr>
          <w:p w14:paraId="4FE5B0EF">
            <w:pPr>
              <w:pStyle w:val="15"/>
              <w:rPr>
                <w:b w:val="0"/>
                <w:bCs w:val="0"/>
              </w:rPr>
            </w:pPr>
            <w:r>
              <w:rPr>
                <w:b w:val="0"/>
                <w:bCs w:val="0"/>
              </w:rPr>
              <w:t>1</w:t>
            </w:r>
          </w:p>
        </w:tc>
        <w:tc>
          <w:tcPr>
            <w:tcW w:w="963" w:type="pct"/>
            <w:vAlign w:val="center"/>
          </w:tcPr>
          <w:p w14:paraId="39C1A18F">
            <w:pPr>
              <w:pStyle w:val="15"/>
              <w:rPr>
                <w:b w:val="0"/>
                <w:bCs w:val="0"/>
              </w:rPr>
            </w:pPr>
            <w:r>
              <w:rPr>
                <w:b w:val="0"/>
                <w:bCs w:val="0"/>
              </w:rPr>
              <w:t>施工现场</w:t>
            </w:r>
          </w:p>
        </w:tc>
        <w:tc>
          <w:tcPr>
            <w:tcW w:w="545" w:type="pct"/>
            <w:vAlign w:val="center"/>
          </w:tcPr>
          <w:p w14:paraId="545FB188">
            <w:pPr>
              <w:pStyle w:val="15"/>
              <w:rPr>
                <w:b w:val="0"/>
                <w:bCs w:val="0"/>
              </w:rPr>
            </w:pPr>
          </w:p>
        </w:tc>
      </w:tr>
      <w:tr w14:paraId="1988D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954E393">
            <w:pPr>
              <w:pStyle w:val="15"/>
              <w:numPr>
                <w:ilvl w:val="0"/>
                <w:numId w:val="37"/>
              </w:numPr>
              <w:spacing w:line="240" w:lineRule="exact"/>
              <w:rPr>
                <w:b w:val="0"/>
                <w:bCs w:val="0"/>
              </w:rPr>
            </w:pPr>
          </w:p>
        </w:tc>
        <w:tc>
          <w:tcPr>
            <w:tcW w:w="823" w:type="pct"/>
            <w:vMerge w:val="restart"/>
            <w:vAlign w:val="center"/>
          </w:tcPr>
          <w:p w14:paraId="7DB65621">
            <w:pPr>
              <w:pStyle w:val="15"/>
              <w:rPr>
                <w:b w:val="0"/>
                <w:bCs w:val="0"/>
              </w:rPr>
            </w:pPr>
            <w:r>
              <w:rPr>
                <w:b w:val="0"/>
                <w:bCs w:val="0"/>
              </w:rPr>
              <w:t>应</w:t>
            </w:r>
          </w:p>
          <w:p w14:paraId="57131A4F">
            <w:pPr>
              <w:pStyle w:val="15"/>
              <w:rPr>
                <w:b w:val="0"/>
                <w:bCs w:val="0"/>
              </w:rPr>
            </w:pPr>
            <w:r>
              <w:rPr>
                <w:b w:val="0"/>
                <w:bCs w:val="0"/>
              </w:rPr>
              <w:t>急</w:t>
            </w:r>
          </w:p>
          <w:p w14:paraId="12E53F50">
            <w:pPr>
              <w:pStyle w:val="15"/>
              <w:rPr>
                <w:b w:val="0"/>
                <w:bCs w:val="0"/>
              </w:rPr>
            </w:pPr>
            <w:r>
              <w:rPr>
                <w:b w:val="0"/>
                <w:bCs w:val="0"/>
              </w:rPr>
              <w:t>物</w:t>
            </w:r>
          </w:p>
          <w:p w14:paraId="7FBAA824">
            <w:pPr>
              <w:pStyle w:val="15"/>
              <w:rPr>
                <w:b w:val="0"/>
                <w:bCs w:val="0"/>
              </w:rPr>
            </w:pPr>
            <w:r>
              <w:rPr>
                <w:b w:val="0"/>
                <w:bCs w:val="0"/>
              </w:rPr>
              <w:t>资</w:t>
            </w:r>
          </w:p>
        </w:tc>
        <w:tc>
          <w:tcPr>
            <w:tcW w:w="1033" w:type="pct"/>
            <w:vAlign w:val="center"/>
          </w:tcPr>
          <w:p w14:paraId="36D1633E">
            <w:pPr>
              <w:pStyle w:val="15"/>
              <w:rPr>
                <w:b w:val="0"/>
                <w:bCs w:val="0"/>
              </w:rPr>
            </w:pPr>
            <w:r>
              <w:rPr>
                <w:b w:val="0"/>
                <w:bCs w:val="0"/>
              </w:rPr>
              <w:t>LED手电筒</w:t>
            </w:r>
          </w:p>
        </w:tc>
        <w:tc>
          <w:tcPr>
            <w:tcW w:w="545" w:type="pct"/>
            <w:vAlign w:val="center"/>
          </w:tcPr>
          <w:p w14:paraId="19D9063C">
            <w:pPr>
              <w:pStyle w:val="15"/>
              <w:rPr>
                <w:b w:val="0"/>
                <w:bCs w:val="0"/>
              </w:rPr>
            </w:pPr>
            <w:r>
              <w:rPr>
                <w:b w:val="0"/>
                <w:bCs w:val="0"/>
              </w:rPr>
              <w:t>个</w:t>
            </w:r>
          </w:p>
        </w:tc>
        <w:tc>
          <w:tcPr>
            <w:tcW w:w="545" w:type="pct"/>
            <w:vAlign w:val="center"/>
          </w:tcPr>
          <w:p w14:paraId="35D0F4EE">
            <w:pPr>
              <w:pStyle w:val="15"/>
              <w:rPr>
                <w:b w:val="0"/>
                <w:bCs w:val="0"/>
              </w:rPr>
            </w:pPr>
            <w:r>
              <w:rPr>
                <w:b w:val="0"/>
                <w:bCs w:val="0"/>
              </w:rPr>
              <w:t>20</w:t>
            </w:r>
          </w:p>
        </w:tc>
        <w:tc>
          <w:tcPr>
            <w:tcW w:w="963" w:type="pct"/>
            <w:vAlign w:val="center"/>
          </w:tcPr>
          <w:p w14:paraId="2C510CBA">
            <w:pPr>
              <w:pStyle w:val="15"/>
              <w:rPr>
                <w:b w:val="0"/>
                <w:bCs w:val="0"/>
              </w:rPr>
            </w:pPr>
            <w:r>
              <w:rPr>
                <w:b w:val="0"/>
                <w:bCs w:val="0"/>
              </w:rPr>
              <w:t>综合办</w:t>
            </w:r>
          </w:p>
        </w:tc>
        <w:tc>
          <w:tcPr>
            <w:tcW w:w="545" w:type="pct"/>
            <w:vAlign w:val="center"/>
          </w:tcPr>
          <w:p w14:paraId="3C62133D">
            <w:pPr>
              <w:pStyle w:val="15"/>
              <w:rPr>
                <w:b w:val="0"/>
                <w:bCs w:val="0"/>
              </w:rPr>
            </w:pPr>
          </w:p>
        </w:tc>
      </w:tr>
      <w:tr w14:paraId="3215F7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3102E27D">
            <w:pPr>
              <w:pStyle w:val="15"/>
              <w:numPr>
                <w:ilvl w:val="0"/>
                <w:numId w:val="37"/>
              </w:numPr>
              <w:spacing w:line="240" w:lineRule="exact"/>
              <w:rPr>
                <w:b w:val="0"/>
                <w:bCs w:val="0"/>
              </w:rPr>
            </w:pPr>
          </w:p>
        </w:tc>
        <w:tc>
          <w:tcPr>
            <w:tcW w:w="823" w:type="pct"/>
            <w:vMerge w:val="continue"/>
            <w:vAlign w:val="center"/>
          </w:tcPr>
          <w:p w14:paraId="56B798C5">
            <w:pPr>
              <w:pStyle w:val="15"/>
              <w:rPr>
                <w:b w:val="0"/>
                <w:bCs w:val="0"/>
              </w:rPr>
            </w:pPr>
          </w:p>
        </w:tc>
        <w:tc>
          <w:tcPr>
            <w:tcW w:w="1033" w:type="pct"/>
            <w:vAlign w:val="center"/>
          </w:tcPr>
          <w:p w14:paraId="5C6CA2B8">
            <w:pPr>
              <w:pStyle w:val="15"/>
              <w:rPr>
                <w:b w:val="0"/>
                <w:bCs w:val="0"/>
              </w:rPr>
            </w:pPr>
            <w:r>
              <w:rPr>
                <w:b w:val="0"/>
                <w:bCs w:val="0"/>
              </w:rPr>
              <w:t>钢丝绳</w:t>
            </w:r>
          </w:p>
        </w:tc>
        <w:tc>
          <w:tcPr>
            <w:tcW w:w="545" w:type="pct"/>
            <w:vAlign w:val="center"/>
          </w:tcPr>
          <w:p w14:paraId="4EAB4EED">
            <w:pPr>
              <w:pStyle w:val="15"/>
              <w:rPr>
                <w:b w:val="0"/>
                <w:bCs w:val="0"/>
              </w:rPr>
            </w:pPr>
            <w:r>
              <w:rPr>
                <w:b w:val="0"/>
                <w:bCs w:val="0"/>
              </w:rPr>
              <w:t>卷</w:t>
            </w:r>
          </w:p>
        </w:tc>
        <w:tc>
          <w:tcPr>
            <w:tcW w:w="545" w:type="pct"/>
            <w:vAlign w:val="center"/>
          </w:tcPr>
          <w:p w14:paraId="1CFFAB06">
            <w:pPr>
              <w:pStyle w:val="15"/>
              <w:rPr>
                <w:b w:val="0"/>
                <w:bCs w:val="0"/>
              </w:rPr>
            </w:pPr>
            <w:r>
              <w:rPr>
                <w:b w:val="0"/>
                <w:bCs w:val="0"/>
              </w:rPr>
              <w:t>1</w:t>
            </w:r>
          </w:p>
        </w:tc>
        <w:tc>
          <w:tcPr>
            <w:tcW w:w="963" w:type="pct"/>
            <w:vAlign w:val="center"/>
          </w:tcPr>
          <w:p w14:paraId="1750BF40">
            <w:pPr>
              <w:pStyle w:val="15"/>
              <w:rPr>
                <w:b w:val="0"/>
                <w:bCs w:val="0"/>
              </w:rPr>
            </w:pPr>
            <w:r>
              <w:rPr>
                <w:b w:val="0"/>
                <w:bCs w:val="0"/>
              </w:rPr>
              <w:t>仓库</w:t>
            </w:r>
          </w:p>
        </w:tc>
        <w:tc>
          <w:tcPr>
            <w:tcW w:w="545" w:type="pct"/>
            <w:vAlign w:val="center"/>
          </w:tcPr>
          <w:p w14:paraId="0FC5CB53">
            <w:pPr>
              <w:pStyle w:val="15"/>
              <w:rPr>
                <w:b w:val="0"/>
                <w:bCs w:val="0"/>
              </w:rPr>
            </w:pPr>
          </w:p>
        </w:tc>
      </w:tr>
      <w:tr w14:paraId="416D18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0FB7A8BA">
            <w:pPr>
              <w:pStyle w:val="15"/>
              <w:numPr>
                <w:ilvl w:val="0"/>
                <w:numId w:val="37"/>
              </w:numPr>
              <w:spacing w:line="240" w:lineRule="exact"/>
              <w:rPr>
                <w:b w:val="0"/>
                <w:bCs w:val="0"/>
              </w:rPr>
            </w:pPr>
          </w:p>
        </w:tc>
        <w:tc>
          <w:tcPr>
            <w:tcW w:w="823" w:type="pct"/>
            <w:vMerge w:val="continue"/>
            <w:vAlign w:val="center"/>
          </w:tcPr>
          <w:p w14:paraId="13D0B054">
            <w:pPr>
              <w:pStyle w:val="15"/>
              <w:rPr>
                <w:b w:val="0"/>
                <w:bCs w:val="0"/>
              </w:rPr>
            </w:pPr>
          </w:p>
        </w:tc>
        <w:tc>
          <w:tcPr>
            <w:tcW w:w="1033" w:type="pct"/>
            <w:vAlign w:val="center"/>
          </w:tcPr>
          <w:p w14:paraId="4809484D">
            <w:pPr>
              <w:pStyle w:val="15"/>
              <w:rPr>
                <w:b w:val="0"/>
                <w:bCs w:val="0"/>
              </w:rPr>
            </w:pPr>
            <w:r>
              <w:rPr>
                <w:b w:val="0"/>
                <w:bCs w:val="0"/>
              </w:rPr>
              <w:t>铁锹</w:t>
            </w:r>
          </w:p>
        </w:tc>
        <w:tc>
          <w:tcPr>
            <w:tcW w:w="545" w:type="pct"/>
            <w:vAlign w:val="center"/>
          </w:tcPr>
          <w:p w14:paraId="27279E3F">
            <w:pPr>
              <w:pStyle w:val="15"/>
              <w:rPr>
                <w:b w:val="0"/>
                <w:bCs w:val="0"/>
              </w:rPr>
            </w:pPr>
            <w:r>
              <w:rPr>
                <w:b w:val="0"/>
                <w:bCs w:val="0"/>
              </w:rPr>
              <w:t>把</w:t>
            </w:r>
          </w:p>
        </w:tc>
        <w:tc>
          <w:tcPr>
            <w:tcW w:w="545" w:type="pct"/>
            <w:vAlign w:val="center"/>
          </w:tcPr>
          <w:p w14:paraId="35EE9C6C">
            <w:pPr>
              <w:pStyle w:val="15"/>
              <w:rPr>
                <w:b w:val="0"/>
                <w:bCs w:val="0"/>
              </w:rPr>
            </w:pPr>
            <w:r>
              <w:rPr>
                <w:b w:val="0"/>
                <w:bCs w:val="0"/>
              </w:rPr>
              <w:t>20</w:t>
            </w:r>
          </w:p>
        </w:tc>
        <w:tc>
          <w:tcPr>
            <w:tcW w:w="963" w:type="pct"/>
            <w:vAlign w:val="center"/>
          </w:tcPr>
          <w:p w14:paraId="1DF3A44B">
            <w:pPr>
              <w:pStyle w:val="15"/>
              <w:rPr>
                <w:b w:val="0"/>
                <w:bCs w:val="0"/>
              </w:rPr>
            </w:pPr>
            <w:r>
              <w:rPr>
                <w:b w:val="0"/>
                <w:bCs w:val="0"/>
              </w:rPr>
              <w:t>仓库</w:t>
            </w:r>
          </w:p>
        </w:tc>
        <w:tc>
          <w:tcPr>
            <w:tcW w:w="545" w:type="pct"/>
            <w:vAlign w:val="center"/>
          </w:tcPr>
          <w:p w14:paraId="26F2888C">
            <w:pPr>
              <w:pStyle w:val="15"/>
              <w:rPr>
                <w:b w:val="0"/>
                <w:bCs w:val="0"/>
              </w:rPr>
            </w:pPr>
          </w:p>
        </w:tc>
      </w:tr>
      <w:tr w14:paraId="45D3B7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11496F8E">
            <w:pPr>
              <w:pStyle w:val="15"/>
              <w:numPr>
                <w:ilvl w:val="0"/>
                <w:numId w:val="37"/>
              </w:numPr>
              <w:spacing w:line="240" w:lineRule="exact"/>
              <w:rPr>
                <w:b w:val="0"/>
                <w:bCs w:val="0"/>
              </w:rPr>
            </w:pPr>
          </w:p>
        </w:tc>
        <w:tc>
          <w:tcPr>
            <w:tcW w:w="823" w:type="pct"/>
            <w:vMerge w:val="continue"/>
            <w:vAlign w:val="center"/>
          </w:tcPr>
          <w:p w14:paraId="4949558E">
            <w:pPr>
              <w:pStyle w:val="15"/>
              <w:rPr>
                <w:b w:val="0"/>
                <w:bCs w:val="0"/>
              </w:rPr>
            </w:pPr>
          </w:p>
        </w:tc>
        <w:tc>
          <w:tcPr>
            <w:tcW w:w="1033" w:type="pct"/>
            <w:vAlign w:val="center"/>
          </w:tcPr>
          <w:p w14:paraId="1D64008E">
            <w:pPr>
              <w:pStyle w:val="15"/>
              <w:rPr>
                <w:b w:val="0"/>
                <w:bCs w:val="0"/>
              </w:rPr>
            </w:pPr>
            <w:r>
              <w:rPr>
                <w:b w:val="0"/>
                <w:bCs w:val="0"/>
              </w:rPr>
              <w:t>编织袋</w:t>
            </w:r>
          </w:p>
        </w:tc>
        <w:tc>
          <w:tcPr>
            <w:tcW w:w="545" w:type="pct"/>
            <w:vAlign w:val="center"/>
          </w:tcPr>
          <w:p w14:paraId="20760481">
            <w:pPr>
              <w:pStyle w:val="15"/>
              <w:rPr>
                <w:b w:val="0"/>
                <w:bCs w:val="0"/>
              </w:rPr>
            </w:pPr>
            <w:r>
              <w:rPr>
                <w:b w:val="0"/>
                <w:bCs w:val="0"/>
              </w:rPr>
              <w:t>条</w:t>
            </w:r>
          </w:p>
        </w:tc>
        <w:tc>
          <w:tcPr>
            <w:tcW w:w="545" w:type="pct"/>
            <w:vAlign w:val="center"/>
          </w:tcPr>
          <w:p w14:paraId="6A979630">
            <w:pPr>
              <w:pStyle w:val="15"/>
              <w:rPr>
                <w:b w:val="0"/>
                <w:bCs w:val="0"/>
              </w:rPr>
            </w:pPr>
            <w:r>
              <w:rPr>
                <w:b w:val="0"/>
                <w:bCs w:val="0"/>
              </w:rPr>
              <w:t>30</w:t>
            </w:r>
          </w:p>
        </w:tc>
        <w:tc>
          <w:tcPr>
            <w:tcW w:w="963" w:type="pct"/>
            <w:vAlign w:val="center"/>
          </w:tcPr>
          <w:p w14:paraId="54699AA9">
            <w:pPr>
              <w:pStyle w:val="15"/>
              <w:rPr>
                <w:b w:val="0"/>
                <w:bCs w:val="0"/>
              </w:rPr>
            </w:pPr>
            <w:r>
              <w:rPr>
                <w:b w:val="0"/>
                <w:bCs w:val="0"/>
              </w:rPr>
              <w:t>仓库</w:t>
            </w:r>
          </w:p>
        </w:tc>
        <w:tc>
          <w:tcPr>
            <w:tcW w:w="545" w:type="pct"/>
            <w:vAlign w:val="center"/>
          </w:tcPr>
          <w:p w14:paraId="725F1C75">
            <w:pPr>
              <w:pStyle w:val="15"/>
              <w:rPr>
                <w:b w:val="0"/>
                <w:bCs w:val="0"/>
              </w:rPr>
            </w:pPr>
          </w:p>
        </w:tc>
      </w:tr>
      <w:tr w14:paraId="449C2B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662A111A">
            <w:pPr>
              <w:pStyle w:val="15"/>
              <w:numPr>
                <w:ilvl w:val="0"/>
                <w:numId w:val="37"/>
              </w:numPr>
              <w:spacing w:line="240" w:lineRule="exact"/>
              <w:rPr>
                <w:b w:val="0"/>
                <w:bCs w:val="0"/>
              </w:rPr>
            </w:pPr>
          </w:p>
        </w:tc>
        <w:tc>
          <w:tcPr>
            <w:tcW w:w="823" w:type="pct"/>
            <w:vMerge w:val="continue"/>
            <w:vAlign w:val="center"/>
          </w:tcPr>
          <w:p w14:paraId="76DF0023">
            <w:pPr>
              <w:pStyle w:val="15"/>
              <w:rPr>
                <w:b w:val="0"/>
                <w:bCs w:val="0"/>
              </w:rPr>
            </w:pPr>
          </w:p>
        </w:tc>
        <w:tc>
          <w:tcPr>
            <w:tcW w:w="1033" w:type="pct"/>
            <w:vAlign w:val="center"/>
          </w:tcPr>
          <w:p w14:paraId="64153BEB">
            <w:pPr>
              <w:pStyle w:val="15"/>
              <w:rPr>
                <w:b w:val="0"/>
                <w:bCs w:val="0"/>
              </w:rPr>
            </w:pPr>
            <w:r>
              <w:rPr>
                <w:b w:val="0"/>
                <w:bCs w:val="0"/>
              </w:rPr>
              <w:t>水泵</w:t>
            </w:r>
          </w:p>
        </w:tc>
        <w:tc>
          <w:tcPr>
            <w:tcW w:w="545" w:type="pct"/>
            <w:vAlign w:val="center"/>
          </w:tcPr>
          <w:p w14:paraId="1DA8944B">
            <w:pPr>
              <w:pStyle w:val="15"/>
              <w:rPr>
                <w:b w:val="0"/>
                <w:bCs w:val="0"/>
              </w:rPr>
            </w:pPr>
            <w:r>
              <w:rPr>
                <w:b w:val="0"/>
                <w:bCs w:val="0"/>
              </w:rPr>
              <w:t>台</w:t>
            </w:r>
          </w:p>
        </w:tc>
        <w:tc>
          <w:tcPr>
            <w:tcW w:w="545" w:type="pct"/>
            <w:vAlign w:val="center"/>
          </w:tcPr>
          <w:p w14:paraId="674DC6A1">
            <w:pPr>
              <w:pStyle w:val="15"/>
              <w:rPr>
                <w:b w:val="0"/>
                <w:bCs w:val="0"/>
              </w:rPr>
            </w:pPr>
            <w:r>
              <w:rPr>
                <w:b w:val="0"/>
                <w:bCs w:val="0"/>
              </w:rPr>
              <w:t>2</w:t>
            </w:r>
          </w:p>
        </w:tc>
        <w:tc>
          <w:tcPr>
            <w:tcW w:w="963" w:type="pct"/>
            <w:vAlign w:val="center"/>
          </w:tcPr>
          <w:p w14:paraId="2DC9EFF9">
            <w:pPr>
              <w:pStyle w:val="15"/>
              <w:rPr>
                <w:b w:val="0"/>
                <w:bCs w:val="0"/>
              </w:rPr>
            </w:pPr>
            <w:r>
              <w:rPr>
                <w:b w:val="0"/>
                <w:bCs w:val="0"/>
              </w:rPr>
              <w:t>仓库</w:t>
            </w:r>
          </w:p>
        </w:tc>
        <w:tc>
          <w:tcPr>
            <w:tcW w:w="545" w:type="pct"/>
            <w:vAlign w:val="center"/>
          </w:tcPr>
          <w:p w14:paraId="3707E2FF">
            <w:pPr>
              <w:pStyle w:val="15"/>
              <w:rPr>
                <w:b w:val="0"/>
                <w:bCs w:val="0"/>
              </w:rPr>
            </w:pPr>
          </w:p>
        </w:tc>
      </w:tr>
      <w:tr w14:paraId="6853A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364459ED">
            <w:pPr>
              <w:pStyle w:val="15"/>
              <w:numPr>
                <w:ilvl w:val="0"/>
                <w:numId w:val="37"/>
              </w:numPr>
              <w:spacing w:line="240" w:lineRule="exact"/>
              <w:rPr>
                <w:b w:val="0"/>
                <w:bCs w:val="0"/>
              </w:rPr>
            </w:pPr>
          </w:p>
        </w:tc>
        <w:tc>
          <w:tcPr>
            <w:tcW w:w="823" w:type="pct"/>
            <w:vMerge w:val="continue"/>
            <w:vAlign w:val="center"/>
          </w:tcPr>
          <w:p w14:paraId="773A96E9">
            <w:pPr>
              <w:pStyle w:val="15"/>
              <w:rPr>
                <w:b w:val="0"/>
                <w:bCs w:val="0"/>
              </w:rPr>
            </w:pPr>
          </w:p>
        </w:tc>
        <w:tc>
          <w:tcPr>
            <w:tcW w:w="1033" w:type="pct"/>
            <w:vAlign w:val="center"/>
          </w:tcPr>
          <w:p w14:paraId="1DBC633B">
            <w:pPr>
              <w:pStyle w:val="15"/>
              <w:rPr>
                <w:b w:val="0"/>
                <w:bCs w:val="0"/>
              </w:rPr>
            </w:pPr>
            <w:r>
              <w:rPr>
                <w:b w:val="0"/>
                <w:bCs w:val="0"/>
              </w:rPr>
              <w:t>水管</w:t>
            </w:r>
          </w:p>
        </w:tc>
        <w:tc>
          <w:tcPr>
            <w:tcW w:w="545" w:type="pct"/>
            <w:vAlign w:val="center"/>
          </w:tcPr>
          <w:p w14:paraId="5F378834">
            <w:pPr>
              <w:pStyle w:val="15"/>
              <w:rPr>
                <w:b w:val="0"/>
                <w:bCs w:val="0"/>
              </w:rPr>
            </w:pPr>
            <w:r>
              <w:rPr>
                <w:b w:val="0"/>
                <w:bCs w:val="0"/>
              </w:rPr>
              <w:t>m</w:t>
            </w:r>
          </w:p>
        </w:tc>
        <w:tc>
          <w:tcPr>
            <w:tcW w:w="545" w:type="pct"/>
            <w:vAlign w:val="center"/>
          </w:tcPr>
          <w:p w14:paraId="70710E73">
            <w:pPr>
              <w:pStyle w:val="15"/>
              <w:rPr>
                <w:b w:val="0"/>
                <w:bCs w:val="0"/>
              </w:rPr>
            </w:pPr>
            <w:r>
              <w:rPr>
                <w:b w:val="0"/>
                <w:bCs w:val="0"/>
              </w:rPr>
              <w:t>10</w:t>
            </w:r>
          </w:p>
        </w:tc>
        <w:tc>
          <w:tcPr>
            <w:tcW w:w="963" w:type="pct"/>
            <w:vAlign w:val="center"/>
          </w:tcPr>
          <w:p w14:paraId="3C4450A2">
            <w:pPr>
              <w:pStyle w:val="15"/>
              <w:rPr>
                <w:b w:val="0"/>
                <w:bCs w:val="0"/>
              </w:rPr>
            </w:pPr>
            <w:r>
              <w:rPr>
                <w:b w:val="0"/>
                <w:bCs w:val="0"/>
              </w:rPr>
              <w:t>仓库、现场</w:t>
            </w:r>
          </w:p>
        </w:tc>
        <w:tc>
          <w:tcPr>
            <w:tcW w:w="545" w:type="pct"/>
            <w:vAlign w:val="center"/>
          </w:tcPr>
          <w:p w14:paraId="23D61E43">
            <w:pPr>
              <w:pStyle w:val="15"/>
              <w:rPr>
                <w:b w:val="0"/>
                <w:bCs w:val="0"/>
              </w:rPr>
            </w:pPr>
          </w:p>
        </w:tc>
      </w:tr>
      <w:tr w14:paraId="7B8E3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6C58B3BE">
            <w:pPr>
              <w:pStyle w:val="15"/>
              <w:numPr>
                <w:ilvl w:val="0"/>
                <w:numId w:val="37"/>
              </w:numPr>
              <w:spacing w:line="240" w:lineRule="exact"/>
              <w:rPr>
                <w:b w:val="0"/>
                <w:bCs w:val="0"/>
              </w:rPr>
            </w:pPr>
          </w:p>
        </w:tc>
        <w:tc>
          <w:tcPr>
            <w:tcW w:w="823" w:type="pct"/>
            <w:vMerge w:val="continue"/>
            <w:vAlign w:val="center"/>
          </w:tcPr>
          <w:p w14:paraId="21F4652E">
            <w:pPr>
              <w:pStyle w:val="15"/>
              <w:rPr>
                <w:b w:val="0"/>
                <w:bCs w:val="0"/>
              </w:rPr>
            </w:pPr>
          </w:p>
        </w:tc>
        <w:tc>
          <w:tcPr>
            <w:tcW w:w="1033" w:type="pct"/>
            <w:vAlign w:val="center"/>
          </w:tcPr>
          <w:p w14:paraId="37DA5194">
            <w:pPr>
              <w:pStyle w:val="15"/>
              <w:rPr>
                <w:b w:val="0"/>
                <w:bCs w:val="0"/>
              </w:rPr>
            </w:pPr>
            <w:r>
              <w:rPr>
                <w:b w:val="0"/>
                <w:bCs w:val="0"/>
              </w:rPr>
              <w:t>电缆</w:t>
            </w:r>
          </w:p>
        </w:tc>
        <w:tc>
          <w:tcPr>
            <w:tcW w:w="545" w:type="pct"/>
            <w:vAlign w:val="center"/>
          </w:tcPr>
          <w:p w14:paraId="4D7879A0">
            <w:pPr>
              <w:pStyle w:val="15"/>
              <w:rPr>
                <w:b w:val="0"/>
                <w:bCs w:val="0"/>
              </w:rPr>
            </w:pPr>
            <w:r>
              <w:rPr>
                <w:b w:val="0"/>
                <w:bCs w:val="0"/>
              </w:rPr>
              <w:t>m</w:t>
            </w:r>
          </w:p>
        </w:tc>
        <w:tc>
          <w:tcPr>
            <w:tcW w:w="545" w:type="pct"/>
            <w:vAlign w:val="center"/>
          </w:tcPr>
          <w:p w14:paraId="21DEC751">
            <w:pPr>
              <w:pStyle w:val="15"/>
              <w:rPr>
                <w:b w:val="0"/>
                <w:bCs w:val="0"/>
              </w:rPr>
            </w:pPr>
            <w:r>
              <w:rPr>
                <w:b w:val="0"/>
                <w:bCs w:val="0"/>
              </w:rPr>
              <w:t>10</w:t>
            </w:r>
          </w:p>
        </w:tc>
        <w:tc>
          <w:tcPr>
            <w:tcW w:w="963" w:type="pct"/>
            <w:vAlign w:val="center"/>
          </w:tcPr>
          <w:p w14:paraId="7A91403F">
            <w:pPr>
              <w:pStyle w:val="15"/>
              <w:rPr>
                <w:b w:val="0"/>
                <w:bCs w:val="0"/>
              </w:rPr>
            </w:pPr>
            <w:r>
              <w:rPr>
                <w:b w:val="0"/>
                <w:bCs w:val="0"/>
              </w:rPr>
              <w:t>仓库</w:t>
            </w:r>
          </w:p>
        </w:tc>
        <w:tc>
          <w:tcPr>
            <w:tcW w:w="545" w:type="pct"/>
            <w:vAlign w:val="center"/>
          </w:tcPr>
          <w:p w14:paraId="315A9837">
            <w:pPr>
              <w:pStyle w:val="15"/>
              <w:rPr>
                <w:b w:val="0"/>
                <w:bCs w:val="0"/>
              </w:rPr>
            </w:pPr>
          </w:p>
        </w:tc>
      </w:tr>
      <w:tr w14:paraId="3A42AD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1AA21F1B">
            <w:pPr>
              <w:pStyle w:val="15"/>
              <w:numPr>
                <w:ilvl w:val="0"/>
                <w:numId w:val="37"/>
              </w:numPr>
              <w:spacing w:line="240" w:lineRule="exact"/>
              <w:rPr>
                <w:b w:val="0"/>
                <w:bCs w:val="0"/>
              </w:rPr>
            </w:pPr>
          </w:p>
        </w:tc>
        <w:tc>
          <w:tcPr>
            <w:tcW w:w="823" w:type="pct"/>
            <w:vMerge w:val="continue"/>
            <w:vAlign w:val="center"/>
          </w:tcPr>
          <w:p w14:paraId="58900FC5">
            <w:pPr>
              <w:pStyle w:val="15"/>
              <w:rPr>
                <w:b w:val="0"/>
                <w:bCs w:val="0"/>
              </w:rPr>
            </w:pPr>
          </w:p>
        </w:tc>
        <w:tc>
          <w:tcPr>
            <w:tcW w:w="1033" w:type="pct"/>
            <w:vAlign w:val="center"/>
          </w:tcPr>
          <w:p w14:paraId="29B9E4EA">
            <w:pPr>
              <w:pStyle w:val="15"/>
              <w:rPr>
                <w:b w:val="0"/>
                <w:bCs w:val="0"/>
              </w:rPr>
            </w:pPr>
            <w:r>
              <w:rPr>
                <w:b w:val="0"/>
                <w:bCs w:val="0"/>
              </w:rPr>
              <w:t>手套</w:t>
            </w:r>
          </w:p>
        </w:tc>
        <w:tc>
          <w:tcPr>
            <w:tcW w:w="545" w:type="pct"/>
            <w:vAlign w:val="center"/>
          </w:tcPr>
          <w:p w14:paraId="5B8FB182">
            <w:pPr>
              <w:pStyle w:val="15"/>
              <w:rPr>
                <w:b w:val="0"/>
                <w:bCs w:val="0"/>
              </w:rPr>
            </w:pPr>
            <w:r>
              <w:rPr>
                <w:b w:val="0"/>
                <w:bCs w:val="0"/>
              </w:rPr>
              <w:t>双</w:t>
            </w:r>
          </w:p>
        </w:tc>
        <w:tc>
          <w:tcPr>
            <w:tcW w:w="545" w:type="pct"/>
            <w:vAlign w:val="center"/>
          </w:tcPr>
          <w:p w14:paraId="3299B386">
            <w:pPr>
              <w:pStyle w:val="15"/>
              <w:rPr>
                <w:b w:val="0"/>
                <w:bCs w:val="0"/>
              </w:rPr>
            </w:pPr>
            <w:r>
              <w:rPr>
                <w:b w:val="0"/>
                <w:bCs w:val="0"/>
              </w:rPr>
              <w:t>100</w:t>
            </w:r>
          </w:p>
        </w:tc>
        <w:tc>
          <w:tcPr>
            <w:tcW w:w="963" w:type="pct"/>
            <w:vAlign w:val="center"/>
          </w:tcPr>
          <w:p w14:paraId="4D88F9B7">
            <w:pPr>
              <w:pStyle w:val="15"/>
              <w:rPr>
                <w:b w:val="0"/>
                <w:bCs w:val="0"/>
              </w:rPr>
            </w:pPr>
            <w:r>
              <w:rPr>
                <w:b w:val="0"/>
                <w:bCs w:val="0"/>
              </w:rPr>
              <w:t>仓库</w:t>
            </w:r>
          </w:p>
        </w:tc>
        <w:tc>
          <w:tcPr>
            <w:tcW w:w="545" w:type="pct"/>
            <w:vAlign w:val="center"/>
          </w:tcPr>
          <w:p w14:paraId="1AE0B9C0">
            <w:pPr>
              <w:pStyle w:val="15"/>
              <w:rPr>
                <w:b w:val="0"/>
                <w:bCs w:val="0"/>
              </w:rPr>
            </w:pPr>
          </w:p>
        </w:tc>
      </w:tr>
      <w:tr w14:paraId="18139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2AFA7A8E">
            <w:pPr>
              <w:pStyle w:val="15"/>
              <w:numPr>
                <w:ilvl w:val="0"/>
                <w:numId w:val="37"/>
              </w:numPr>
              <w:spacing w:line="240" w:lineRule="exact"/>
              <w:rPr>
                <w:b w:val="0"/>
                <w:bCs w:val="0"/>
              </w:rPr>
            </w:pPr>
          </w:p>
        </w:tc>
        <w:tc>
          <w:tcPr>
            <w:tcW w:w="823" w:type="pct"/>
            <w:vMerge w:val="continue"/>
            <w:vAlign w:val="center"/>
          </w:tcPr>
          <w:p w14:paraId="663C5FF1">
            <w:pPr>
              <w:pStyle w:val="15"/>
              <w:rPr>
                <w:b w:val="0"/>
                <w:bCs w:val="0"/>
              </w:rPr>
            </w:pPr>
          </w:p>
        </w:tc>
        <w:tc>
          <w:tcPr>
            <w:tcW w:w="1033" w:type="pct"/>
            <w:vAlign w:val="center"/>
          </w:tcPr>
          <w:p w14:paraId="35398FE5">
            <w:pPr>
              <w:pStyle w:val="15"/>
              <w:rPr>
                <w:b w:val="0"/>
                <w:bCs w:val="0"/>
              </w:rPr>
            </w:pPr>
            <w:r>
              <w:rPr>
                <w:b w:val="0"/>
                <w:bCs w:val="0"/>
              </w:rPr>
              <w:t>石子</w:t>
            </w:r>
          </w:p>
        </w:tc>
        <w:tc>
          <w:tcPr>
            <w:tcW w:w="545" w:type="pct"/>
            <w:vAlign w:val="center"/>
          </w:tcPr>
          <w:p w14:paraId="7C521AE1">
            <w:pPr>
              <w:pStyle w:val="15"/>
              <w:rPr>
                <w:b w:val="0"/>
                <w:bCs w:val="0"/>
              </w:rPr>
            </w:pPr>
            <w:r>
              <w:rPr>
                <w:b w:val="0"/>
                <w:bCs w:val="0"/>
              </w:rPr>
              <w:t>吨</w:t>
            </w:r>
          </w:p>
        </w:tc>
        <w:tc>
          <w:tcPr>
            <w:tcW w:w="545" w:type="pct"/>
            <w:vAlign w:val="center"/>
          </w:tcPr>
          <w:p w14:paraId="74DE3002">
            <w:pPr>
              <w:pStyle w:val="15"/>
              <w:rPr>
                <w:b w:val="0"/>
                <w:bCs w:val="0"/>
              </w:rPr>
            </w:pPr>
            <w:r>
              <w:rPr>
                <w:b w:val="0"/>
                <w:bCs w:val="0"/>
              </w:rPr>
              <w:t>4</w:t>
            </w:r>
          </w:p>
        </w:tc>
        <w:tc>
          <w:tcPr>
            <w:tcW w:w="963" w:type="pct"/>
            <w:vAlign w:val="center"/>
          </w:tcPr>
          <w:p w14:paraId="0AE4A9C0">
            <w:pPr>
              <w:pStyle w:val="15"/>
              <w:rPr>
                <w:b w:val="0"/>
                <w:bCs w:val="0"/>
              </w:rPr>
            </w:pPr>
            <w:r>
              <w:rPr>
                <w:b w:val="0"/>
                <w:bCs w:val="0"/>
              </w:rPr>
              <w:t>搅拌站</w:t>
            </w:r>
          </w:p>
        </w:tc>
        <w:tc>
          <w:tcPr>
            <w:tcW w:w="545" w:type="pct"/>
            <w:vAlign w:val="center"/>
          </w:tcPr>
          <w:p w14:paraId="0150E952">
            <w:pPr>
              <w:pStyle w:val="15"/>
              <w:rPr>
                <w:b w:val="0"/>
                <w:bCs w:val="0"/>
              </w:rPr>
            </w:pPr>
          </w:p>
        </w:tc>
      </w:tr>
      <w:tr w14:paraId="5C5B9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425F123B">
            <w:pPr>
              <w:pStyle w:val="15"/>
              <w:numPr>
                <w:ilvl w:val="0"/>
                <w:numId w:val="37"/>
              </w:numPr>
              <w:spacing w:line="240" w:lineRule="exact"/>
              <w:rPr>
                <w:b w:val="0"/>
                <w:bCs w:val="0"/>
              </w:rPr>
            </w:pPr>
          </w:p>
        </w:tc>
        <w:tc>
          <w:tcPr>
            <w:tcW w:w="823" w:type="pct"/>
            <w:vMerge w:val="continue"/>
            <w:vAlign w:val="center"/>
          </w:tcPr>
          <w:p w14:paraId="544B4C3E">
            <w:pPr>
              <w:pStyle w:val="15"/>
              <w:rPr>
                <w:b w:val="0"/>
                <w:bCs w:val="0"/>
              </w:rPr>
            </w:pPr>
          </w:p>
        </w:tc>
        <w:tc>
          <w:tcPr>
            <w:tcW w:w="1033" w:type="pct"/>
            <w:vAlign w:val="center"/>
          </w:tcPr>
          <w:p w14:paraId="67B8D0C5">
            <w:pPr>
              <w:pStyle w:val="15"/>
              <w:rPr>
                <w:b w:val="0"/>
                <w:bCs w:val="0"/>
              </w:rPr>
            </w:pPr>
            <w:r>
              <w:rPr>
                <w:b w:val="0"/>
                <w:bCs w:val="0"/>
              </w:rPr>
              <w:t>砂</w:t>
            </w:r>
          </w:p>
        </w:tc>
        <w:tc>
          <w:tcPr>
            <w:tcW w:w="545" w:type="pct"/>
            <w:vAlign w:val="center"/>
          </w:tcPr>
          <w:p w14:paraId="382E0523">
            <w:pPr>
              <w:pStyle w:val="15"/>
              <w:rPr>
                <w:b w:val="0"/>
                <w:bCs w:val="0"/>
              </w:rPr>
            </w:pPr>
            <w:r>
              <w:rPr>
                <w:b w:val="0"/>
                <w:bCs w:val="0"/>
              </w:rPr>
              <w:t>吨</w:t>
            </w:r>
          </w:p>
        </w:tc>
        <w:tc>
          <w:tcPr>
            <w:tcW w:w="545" w:type="pct"/>
            <w:vAlign w:val="center"/>
          </w:tcPr>
          <w:p w14:paraId="5887D4F3">
            <w:pPr>
              <w:pStyle w:val="15"/>
              <w:rPr>
                <w:b w:val="0"/>
                <w:bCs w:val="0"/>
              </w:rPr>
            </w:pPr>
            <w:r>
              <w:rPr>
                <w:b w:val="0"/>
                <w:bCs w:val="0"/>
              </w:rPr>
              <w:t>4</w:t>
            </w:r>
          </w:p>
        </w:tc>
        <w:tc>
          <w:tcPr>
            <w:tcW w:w="963" w:type="pct"/>
            <w:vAlign w:val="center"/>
          </w:tcPr>
          <w:p w14:paraId="6E0141D2">
            <w:pPr>
              <w:pStyle w:val="15"/>
              <w:rPr>
                <w:b w:val="0"/>
                <w:bCs w:val="0"/>
              </w:rPr>
            </w:pPr>
            <w:r>
              <w:rPr>
                <w:b w:val="0"/>
                <w:bCs w:val="0"/>
              </w:rPr>
              <w:t>搅拌站</w:t>
            </w:r>
          </w:p>
        </w:tc>
        <w:tc>
          <w:tcPr>
            <w:tcW w:w="545" w:type="pct"/>
            <w:vAlign w:val="center"/>
          </w:tcPr>
          <w:p w14:paraId="4147036F">
            <w:pPr>
              <w:pStyle w:val="15"/>
              <w:rPr>
                <w:b w:val="0"/>
                <w:bCs w:val="0"/>
              </w:rPr>
            </w:pPr>
          </w:p>
        </w:tc>
      </w:tr>
      <w:tr w14:paraId="26DBC4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404082E5">
            <w:pPr>
              <w:pStyle w:val="15"/>
              <w:numPr>
                <w:ilvl w:val="0"/>
                <w:numId w:val="37"/>
              </w:numPr>
              <w:spacing w:line="240" w:lineRule="exact"/>
              <w:rPr>
                <w:b w:val="0"/>
                <w:bCs w:val="0"/>
              </w:rPr>
            </w:pPr>
          </w:p>
        </w:tc>
        <w:tc>
          <w:tcPr>
            <w:tcW w:w="823" w:type="pct"/>
            <w:vMerge w:val="continue"/>
            <w:vAlign w:val="center"/>
          </w:tcPr>
          <w:p w14:paraId="05EA69FB">
            <w:pPr>
              <w:pStyle w:val="15"/>
              <w:rPr>
                <w:b w:val="0"/>
                <w:bCs w:val="0"/>
              </w:rPr>
            </w:pPr>
          </w:p>
        </w:tc>
        <w:tc>
          <w:tcPr>
            <w:tcW w:w="1033" w:type="pct"/>
            <w:vAlign w:val="center"/>
          </w:tcPr>
          <w:p w14:paraId="0CF06D0C">
            <w:pPr>
              <w:pStyle w:val="15"/>
              <w:rPr>
                <w:b w:val="0"/>
                <w:bCs w:val="0"/>
              </w:rPr>
            </w:pPr>
            <w:r>
              <w:rPr>
                <w:b w:val="0"/>
                <w:bCs w:val="0"/>
              </w:rPr>
              <w:t>警戒带</w:t>
            </w:r>
          </w:p>
        </w:tc>
        <w:tc>
          <w:tcPr>
            <w:tcW w:w="545" w:type="pct"/>
            <w:vAlign w:val="center"/>
          </w:tcPr>
          <w:p w14:paraId="7E9414EF">
            <w:pPr>
              <w:pStyle w:val="15"/>
              <w:rPr>
                <w:b w:val="0"/>
                <w:bCs w:val="0"/>
              </w:rPr>
            </w:pPr>
            <w:r>
              <w:rPr>
                <w:b w:val="0"/>
                <w:bCs w:val="0"/>
              </w:rPr>
              <w:t>卷</w:t>
            </w:r>
          </w:p>
        </w:tc>
        <w:tc>
          <w:tcPr>
            <w:tcW w:w="545" w:type="pct"/>
            <w:vAlign w:val="center"/>
          </w:tcPr>
          <w:p w14:paraId="11F42224">
            <w:pPr>
              <w:pStyle w:val="15"/>
              <w:rPr>
                <w:b w:val="0"/>
                <w:bCs w:val="0"/>
              </w:rPr>
            </w:pPr>
            <w:r>
              <w:rPr>
                <w:b w:val="0"/>
                <w:bCs w:val="0"/>
              </w:rPr>
              <w:t>20</w:t>
            </w:r>
          </w:p>
        </w:tc>
        <w:tc>
          <w:tcPr>
            <w:tcW w:w="963" w:type="pct"/>
            <w:vAlign w:val="center"/>
          </w:tcPr>
          <w:p w14:paraId="5DCE88BB">
            <w:pPr>
              <w:pStyle w:val="15"/>
              <w:rPr>
                <w:b w:val="0"/>
                <w:bCs w:val="0"/>
              </w:rPr>
            </w:pPr>
            <w:r>
              <w:rPr>
                <w:b w:val="0"/>
                <w:bCs w:val="0"/>
              </w:rPr>
              <w:t>仓库</w:t>
            </w:r>
          </w:p>
        </w:tc>
        <w:tc>
          <w:tcPr>
            <w:tcW w:w="545" w:type="pct"/>
            <w:vAlign w:val="center"/>
          </w:tcPr>
          <w:p w14:paraId="57605CFA">
            <w:pPr>
              <w:pStyle w:val="15"/>
              <w:rPr>
                <w:b w:val="0"/>
                <w:bCs w:val="0"/>
              </w:rPr>
            </w:pPr>
          </w:p>
        </w:tc>
      </w:tr>
      <w:tr w14:paraId="2A084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7FB2464">
            <w:pPr>
              <w:pStyle w:val="15"/>
              <w:numPr>
                <w:ilvl w:val="0"/>
                <w:numId w:val="37"/>
              </w:numPr>
              <w:spacing w:line="240" w:lineRule="exact"/>
              <w:rPr>
                <w:b w:val="0"/>
                <w:bCs w:val="0"/>
              </w:rPr>
            </w:pPr>
          </w:p>
        </w:tc>
        <w:tc>
          <w:tcPr>
            <w:tcW w:w="823" w:type="pct"/>
            <w:vMerge w:val="continue"/>
            <w:vAlign w:val="center"/>
          </w:tcPr>
          <w:p w14:paraId="58AFFBD9">
            <w:pPr>
              <w:pStyle w:val="15"/>
              <w:rPr>
                <w:b w:val="0"/>
                <w:bCs w:val="0"/>
              </w:rPr>
            </w:pPr>
          </w:p>
        </w:tc>
        <w:tc>
          <w:tcPr>
            <w:tcW w:w="1033" w:type="pct"/>
            <w:vAlign w:val="center"/>
          </w:tcPr>
          <w:p w14:paraId="725DA6C5">
            <w:pPr>
              <w:pStyle w:val="15"/>
              <w:rPr>
                <w:b w:val="0"/>
                <w:bCs w:val="0"/>
              </w:rPr>
            </w:pPr>
            <w:r>
              <w:rPr>
                <w:b w:val="0"/>
                <w:bCs w:val="0"/>
              </w:rPr>
              <w:t>管钳</w:t>
            </w:r>
          </w:p>
        </w:tc>
        <w:tc>
          <w:tcPr>
            <w:tcW w:w="545" w:type="pct"/>
            <w:vAlign w:val="center"/>
          </w:tcPr>
          <w:p w14:paraId="0DD3C5D6">
            <w:pPr>
              <w:pStyle w:val="15"/>
              <w:rPr>
                <w:b w:val="0"/>
                <w:bCs w:val="0"/>
              </w:rPr>
            </w:pPr>
            <w:r>
              <w:rPr>
                <w:b w:val="0"/>
                <w:bCs w:val="0"/>
              </w:rPr>
              <w:t>把</w:t>
            </w:r>
          </w:p>
        </w:tc>
        <w:tc>
          <w:tcPr>
            <w:tcW w:w="545" w:type="pct"/>
            <w:vAlign w:val="center"/>
          </w:tcPr>
          <w:p w14:paraId="1059565F">
            <w:pPr>
              <w:pStyle w:val="15"/>
              <w:rPr>
                <w:b w:val="0"/>
                <w:bCs w:val="0"/>
              </w:rPr>
            </w:pPr>
            <w:r>
              <w:rPr>
                <w:b w:val="0"/>
                <w:bCs w:val="0"/>
              </w:rPr>
              <w:t>2</w:t>
            </w:r>
          </w:p>
        </w:tc>
        <w:tc>
          <w:tcPr>
            <w:tcW w:w="963" w:type="pct"/>
            <w:vAlign w:val="center"/>
          </w:tcPr>
          <w:p w14:paraId="4E5333C2">
            <w:pPr>
              <w:pStyle w:val="15"/>
              <w:rPr>
                <w:b w:val="0"/>
                <w:bCs w:val="0"/>
              </w:rPr>
            </w:pPr>
            <w:r>
              <w:rPr>
                <w:b w:val="0"/>
                <w:bCs w:val="0"/>
              </w:rPr>
              <w:t>物设部</w:t>
            </w:r>
          </w:p>
        </w:tc>
        <w:tc>
          <w:tcPr>
            <w:tcW w:w="545" w:type="pct"/>
            <w:vAlign w:val="center"/>
          </w:tcPr>
          <w:p w14:paraId="68F56A9F">
            <w:pPr>
              <w:pStyle w:val="15"/>
              <w:rPr>
                <w:b w:val="0"/>
                <w:bCs w:val="0"/>
              </w:rPr>
            </w:pPr>
          </w:p>
        </w:tc>
      </w:tr>
      <w:tr w14:paraId="483FBF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1B35E928">
            <w:pPr>
              <w:pStyle w:val="15"/>
              <w:numPr>
                <w:ilvl w:val="0"/>
                <w:numId w:val="37"/>
              </w:numPr>
              <w:spacing w:line="240" w:lineRule="exact"/>
              <w:rPr>
                <w:b w:val="0"/>
                <w:bCs w:val="0"/>
              </w:rPr>
            </w:pPr>
          </w:p>
        </w:tc>
        <w:tc>
          <w:tcPr>
            <w:tcW w:w="823" w:type="pct"/>
            <w:vMerge w:val="continue"/>
            <w:vAlign w:val="center"/>
          </w:tcPr>
          <w:p w14:paraId="7E3E6CA8">
            <w:pPr>
              <w:pStyle w:val="15"/>
              <w:rPr>
                <w:b w:val="0"/>
                <w:bCs w:val="0"/>
              </w:rPr>
            </w:pPr>
          </w:p>
        </w:tc>
        <w:tc>
          <w:tcPr>
            <w:tcW w:w="1033" w:type="pct"/>
            <w:vAlign w:val="center"/>
          </w:tcPr>
          <w:p w14:paraId="3BDB7406">
            <w:pPr>
              <w:pStyle w:val="15"/>
              <w:rPr>
                <w:b w:val="0"/>
                <w:bCs w:val="0"/>
              </w:rPr>
            </w:pPr>
            <w:r>
              <w:rPr>
                <w:b w:val="0"/>
                <w:bCs w:val="0"/>
              </w:rPr>
              <w:t>灭火器</w:t>
            </w:r>
          </w:p>
        </w:tc>
        <w:tc>
          <w:tcPr>
            <w:tcW w:w="545" w:type="pct"/>
            <w:vAlign w:val="center"/>
          </w:tcPr>
          <w:p w14:paraId="6CFEE1EB">
            <w:pPr>
              <w:pStyle w:val="15"/>
              <w:rPr>
                <w:b w:val="0"/>
                <w:bCs w:val="0"/>
              </w:rPr>
            </w:pPr>
            <w:r>
              <w:rPr>
                <w:b w:val="0"/>
                <w:bCs w:val="0"/>
              </w:rPr>
              <w:t>个</w:t>
            </w:r>
          </w:p>
        </w:tc>
        <w:tc>
          <w:tcPr>
            <w:tcW w:w="545" w:type="pct"/>
            <w:vAlign w:val="center"/>
          </w:tcPr>
          <w:p w14:paraId="092DE91D">
            <w:pPr>
              <w:pStyle w:val="15"/>
              <w:rPr>
                <w:b w:val="0"/>
                <w:bCs w:val="0"/>
              </w:rPr>
            </w:pPr>
            <w:r>
              <w:rPr>
                <w:b w:val="0"/>
                <w:bCs w:val="0"/>
              </w:rPr>
              <w:t>17</w:t>
            </w:r>
          </w:p>
        </w:tc>
        <w:tc>
          <w:tcPr>
            <w:tcW w:w="963" w:type="pct"/>
            <w:vAlign w:val="center"/>
          </w:tcPr>
          <w:p w14:paraId="4154B103">
            <w:pPr>
              <w:pStyle w:val="15"/>
              <w:rPr>
                <w:b w:val="0"/>
                <w:bCs w:val="0"/>
              </w:rPr>
            </w:pPr>
            <w:r>
              <w:rPr>
                <w:b w:val="0"/>
                <w:bCs w:val="0"/>
              </w:rPr>
              <w:t>仓库</w:t>
            </w:r>
          </w:p>
        </w:tc>
        <w:tc>
          <w:tcPr>
            <w:tcW w:w="545" w:type="pct"/>
            <w:vAlign w:val="center"/>
          </w:tcPr>
          <w:p w14:paraId="691791C2">
            <w:pPr>
              <w:pStyle w:val="15"/>
              <w:rPr>
                <w:b w:val="0"/>
                <w:bCs w:val="0"/>
              </w:rPr>
            </w:pPr>
          </w:p>
        </w:tc>
      </w:tr>
      <w:tr w14:paraId="586F6C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09808A8">
            <w:pPr>
              <w:pStyle w:val="15"/>
              <w:numPr>
                <w:ilvl w:val="0"/>
                <w:numId w:val="37"/>
              </w:numPr>
              <w:spacing w:line="240" w:lineRule="exact"/>
              <w:rPr>
                <w:b w:val="0"/>
                <w:bCs w:val="0"/>
              </w:rPr>
            </w:pPr>
          </w:p>
        </w:tc>
        <w:tc>
          <w:tcPr>
            <w:tcW w:w="823" w:type="pct"/>
            <w:vMerge w:val="continue"/>
            <w:vAlign w:val="center"/>
          </w:tcPr>
          <w:p w14:paraId="73910725">
            <w:pPr>
              <w:pStyle w:val="15"/>
              <w:rPr>
                <w:b w:val="0"/>
                <w:bCs w:val="0"/>
              </w:rPr>
            </w:pPr>
          </w:p>
        </w:tc>
        <w:tc>
          <w:tcPr>
            <w:tcW w:w="1033" w:type="pct"/>
            <w:vAlign w:val="center"/>
          </w:tcPr>
          <w:p w14:paraId="1DCC08C9">
            <w:pPr>
              <w:pStyle w:val="15"/>
              <w:rPr>
                <w:b w:val="0"/>
                <w:bCs w:val="0"/>
              </w:rPr>
            </w:pPr>
            <w:r>
              <w:rPr>
                <w:b w:val="0"/>
                <w:bCs w:val="0"/>
              </w:rPr>
              <w:t>担架</w:t>
            </w:r>
          </w:p>
        </w:tc>
        <w:tc>
          <w:tcPr>
            <w:tcW w:w="545" w:type="pct"/>
            <w:vAlign w:val="center"/>
          </w:tcPr>
          <w:p w14:paraId="3779C1B0">
            <w:pPr>
              <w:pStyle w:val="15"/>
              <w:rPr>
                <w:b w:val="0"/>
                <w:bCs w:val="0"/>
              </w:rPr>
            </w:pPr>
            <w:r>
              <w:rPr>
                <w:b w:val="0"/>
                <w:bCs w:val="0"/>
              </w:rPr>
              <w:t>个</w:t>
            </w:r>
          </w:p>
        </w:tc>
        <w:tc>
          <w:tcPr>
            <w:tcW w:w="545" w:type="pct"/>
            <w:vAlign w:val="center"/>
          </w:tcPr>
          <w:p w14:paraId="55085F64">
            <w:pPr>
              <w:pStyle w:val="15"/>
              <w:rPr>
                <w:b w:val="0"/>
                <w:bCs w:val="0"/>
              </w:rPr>
            </w:pPr>
            <w:r>
              <w:rPr>
                <w:b w:val="0"/>
                <w:bCs w:val="0"/>
              </w:rPr>
              <w:t>2</w:t>
            </w:r>
          </w:p>
        </w:tc>
        <w:tc>
          <w:tcPr>
            <w:tcW w:w="963" w:type="pct"/>
            <w:vAlign w:val="center"/>
          </w:tcPr>
          <w:p w14:paraId="3D407318">
            <w:pPr>
              <w:pStyle w:val="15"/>
              <w:rPr>
                <w:b w:val="0"/>
                <w:bCs w:val="0"/>
              </w:rPr>
            </w:pPr>
            <w:r>
              <w:rPr>
                <w:b w:val="0"/>
                <w:bCs w:val="0"/>
              </w:rPr>
              <w:t>安全管理部</w:t>
            </w:r>
          </w:p>
        </w:tc>
        <w:tc>
          <w:tcPr>
            <w:tcW w:w="545" w:type="pct"/>
            <w:vAlign w:val="center"/>
          </w:tcPr>
          <w:p w14:paraId="6C8C2B8B">
            <w:pPr>
              <w:pStyle w:val="15"/>
              <w:rPr>
                <w:b w:val="0"/>
                <w:bCs w:val="0"/>
              </w:rPr>
            </w:pPr>
          </w:p>
        </w:tc>
      </w:tr>
      <w:tr w14:paraId="05A9A7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45ADF7AC">
            <w:pPr>
              <w:pStyle w:val="15"/>
              <w:numPr>
                <w:ilvl w:val="0"/>
                <w:numId w:val="37"/>
              </w:numPr>
              <w:spacing w:line="240" w:lineRule="exact"/>
              <w:rPr>
                <w:b w:val="0"/>
                <w:bCs w:val="0"/>
              </w:rPr>
            </w:pPr>
          </w:p>
        </w:tc>
        <w:tc>
          <w:tcPr>
            <w:tcW w:w="823" w:type="pct"/>
            <w:vMerge w:val="continue"/>
            <w:vAlign w:val="center"/>
          </w:tcPr>
          <w:p w14:paraId="3E035D59">
            <w:pPr>
              <w:pStyle w:val="15"/>
              <w:rPr>
                <w:b w:val="0"/>
                <w:bCs w:val="0"/>
              </w:rPr>
            </w:pPr>
          </w:p>
        </w:tc>
        <w:tc>
          <w:tcPr>
            <w:tcW w:w="1033" w:type="pct"/>
            <w:vAlign w:val="center"/>
          </w:tcPr>
          <w:p w14:paraId="2220ED56">
            <w:pPr>
              <w:pStyle w:val="15"/>
              <w:rPr>
                <w:b w:val="0"/>
                <w:bCs w:val="0"/>
              </w:rPr>
            </w:pPr>
            <w:r>
              <w:rPr>
                <w:b w:val="0"/>
                <w:bCs w:val="0"/>
              </w:rPr>
              <w:t>医药箱</w:t>
            </w:r>
          </w:p>
        </w:tc>
        <w:tc>
          <w:tcPr>
            <w:tcW w:w="545" w:type="pct"/>
            <w:vAlign w:val="center"/>
          </w:tcPr>
          <w:p w14:paraId="643DB316">
            <w:pPr>
              <w:pStyle w:val="15"/>
              <w:rPr>
                <w:b w:val="0"/>
                <w:bCs w:val="0"/>
              </w:rPr>
            </w:pPr>
            <w:r>
              <w:rPr>
                <w:b w:val="0"/>
                <w:bCs w:val="0"/>
              </w:rPr>
              <w:t>箱</w:t>
            </w:r>
          </w:p>
        </w:tc>
        <w:tc>
          <w:tcPr>
            <w:tcW w:w="545" w:type="pct"/>
            <w:vAlign w:val="center"/>
          </w:tcPr>
          <w:p w14:paraId="2E0C51B3">
            <w:pPr>
              <w:pStyle w:val="15"/>
              <w:rPr>
                <w:b w:val="0"/>
                <w:bCs w:val="0"/>
              </w:rPr>
            </w:pPr>
            <w:r>
              <w:rPr>
                <w:b w:val="0"/>
                <w:bCs w:val="0"/>
              </w:rPr>
              <w:t>1</w:t>
            </w:r>
          </w:p>
        </w:tc>
        <w:tc>
          <w:tcPr>
            <w:tcW w:w="963" w:type="pct"/>
            <w:vAlign w:val="center"/>
          </w:tcPr>
          <w:p w14:paraId="29A6F96D">
            <w:pPr>
              <w:pStyle w:val="15"/>
              <w:rPr>
                <w:b w:val="0"/>
                <w:bCs w:val="0"/>
              </w:rPr>
            </w:pPr>
            <w:r>
              <w:rPr>
                <w:b w:val="0"/>
                <w:bCs w:val="0"/>
              </w:rPr>
              <w:t>安全管理部</w:t>
            </w:r>
          </w:p>
        </w:tc>
        <w:tc>
          <w:tcPr>
            <w:tcW w:w="545" w:type="pct"/>
            <w:vAlign w:val="center"/>
          </w:tcPr>
          <w:p w14:paraId="05BB8352">
            <w:pPr>
              <w:pStyle w:val="15"/>
              <w:rPr>
                <w:b w:val="0"/>
                <w:bCs w:val="0"/>
              </w:rPr>
            </w:pPr>
          </w:p>
        </w:tc>
      </w:tr>
      <w:tr w14:paraId="4FB115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88C8523">
            <w:pPr>
              <w:pStyle w:val="15"/>
              <w:numPr>
                <w:ilvl w:val="0"/>
                <w:numId w:val="37"/>
              </w:numPr>
              <w:spacing w:line="240" w:lineRule="exact"/>
              <w:rPr>
                <w:b w:val="0"/>
                <w:bCs w:val="0"/>
              </w:rPr>
            </w:pPr>
          </w:p>
        </w:tc>
        <w:tc>
          <w:tcPr>
            <w:tcW w:w="823" w:type="pct"/>
            <w:vMerge w:val="continue"/>
            <w:vAlign w:val="center"/>
          </w:tcPr>
          <w:p w14:paraId="21DC782B">
            <w:pPr>
              <w:pStyle w:val="15"/>
              <w:rPr>
                <w:b w:val="0"/>
                <w:bCs w:val="0"/>
              </w:rPr>
            </w:pPr>
          </w:p>
        </w:tc>
        <w:tc>
          <w:tcPr>
            <w:tcW w:w="1033" w:type="pct"/>
            <w:vAlign w:val="center"/>
          </w:tcPr>
          <w:p w14:paraId="21FAC50B">
            <w:pPr>
              <w:pStyle w:val="15"/>
              <w:rPr>
                <w:b w:val="0"/>
                <w:bCs w:val="0"/>
              </w:rPr>
            </w:pPr>
            <w:r>
              <w:rPr>
                <w:b w:val="0"/>
                <w:bCs w:val="0"/>
              </w:rPr>
              <w:t>铁丝（12#）</w:t>
            </w:r>
          </w:p>
        </w:tc>
        <w:tc>
          <w:tcPr>
            <w:tcW w:w="545" w:type="pct"/>
            <w:vAlign w:val="center"/>
          </w:tcPr>
          <w:p w14:paraId="2C65EC0C">
            <w:pPr>
              <w:pStyle w:val="15"/>
              <w:rPr>
                <w:b w:val="0"/>
                <w:bCs w:val="0"/>
              </w:rPr>
            </w:pPr>
            <w:r>
              <w:rPr>
                <w:b w:val="0"/>
                <w:bCs w:val="0"/>
              </w:rPr>
              <w:t>公斤</w:t>
            </w:r>
          </w:p>
        </w:tc>
        <w:tc>
          <w:tcPr>
            <w:tcW w:w="545" w:type="pct"/>
            <w:vAlign w:val="center"/>
          </w:tcPr>
          <w:p w14:paraId="5D1D52E9">
            <w:pPr>
              <w:pStyle w:val="15"/>
              <w:rPr>
                <w:b w:val="0"/>
                <w:bCs w:val="0"/>
              </w:rPr>
            </w:pPr>
            <w:r>
              <w:rPr>
                <w:b w:val="0"/>
                <w:bCs w:val="0"/>
              </w:rPr>
              <w:t>15</w:t>
            </w:r>
          </w:p>
        </w:tc>
        <w:tc>
          <w:tcPr>
            <w:tcW w:w="963" w:type="pct"/>
            <w:vAlign w:val="center"/>
          </w:tcPr>
          <w:p w14:paraId="4902AA95">
            <w:pPr>
              <w:pStyle w:val="15"/>
              <w:rPr>
                <w:b w:val="0"/>
                <w:bCs w:val="0"/>
              </w:rPr>
            </w:pPr>
            <w:r>
              <w:rPr>
                <w:b w:val="0"/>
                <w:bCs w:val="0"/>
              </w:rPr>
              <w:t>仓库</w:t>
            </w:r>
          </w:p>
        </w:tc>
        <w:tc>
          <w:tcPr>
            <w:tcW w:w="545" w:type="pct"/>
            <w:vAlign w:val="center"/>
          </w:tcPr>
          <w:p w14:paraId="0656EC3A">
            <w:pPr>
              <w:pStyle w:val="15"/>
              <w:rPr>
                <w:b w:val="0"/>
                <w:bCs w:val="0"/>
              </w:rPr>
            </w:pPr>
          </w:p>
        </w:tc>
      </w:tr>
      <w:tr w14:paraId="69394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788600F">
            <w:pPr>
              <w:pStyle w:val="15"/>
              <w:numPr>
                <w:ilvl w:val="0"/>
                <w:numId w:val="37"/>
              </w:numPr>
              <w:spacing w:line="240" w:lineRule="exact"/>
              <w:rPr>
                <w:b w:val="0"/>
                <w:bCs w:val="0"/>
              </w:rPr>
            </w:pPr>
          </w:p>
        </w:tc>
        <w:tc>
          <w:tcPr>
            <w:tcW w:w="823" w:type="pct"/>
            <w:vMerge w:val="continue"/>
            <w:vAlign w:val="center"/>
          </w:tcPr>
          <w:p w14:paraId="25DA014F">
            <w:pPr>
              <w:pStyle w:val="15"/>
              <w:rPr>
                <w:b w:val="0"/>
                <w:bCs w:val="0"/>
              </w:rPr>
            </w:pPr>
          </w:p>
        </w:tc>
        <w:tc>
          <w:tcPr>
            <w:tcW w:w="1033" w:type="pct"/>
            <w:vAlign w:val="center"/>
          </w:tcPr>
          <w:p w14:paraId="3770EFB8">
            <w:pPr>
              <w:pStyle w:val="15"/>
              <w:rPr>
                <w:b w:val="0"/>
                <w:bCs w:val="0"/>
              </w:rPr>
            </w:pPr>
            <w:r>
              <w:rPr>
                <w:b w:val="0"/>
                <w:bCs w:val="0"/>
              </w:rPr>
              <w:t>彩条旗</w:t>
            </w:r>
          </w:p>
        </w:tc>
        <w:tc>
          <w:tcPr>
            <w:tcW w:w="545" w:type="pct"/>
            <w:vAlign w:val="center"/>
          </w:tcPr>
          <w:p w14:paraId="02A92C48">
            <w:pPr>
              <w:pStyle w:val="15"/>
              <w:rPr>
                <w:b w:val="0"/>
                <w:bCs w:val="0"/>
              </w:rPr>
            </w:pPr>
            <w:r>
              <w:rPr>
                <w:b w:val="0"/>
                <w:bCs w:val="0"/>
              </w:rPr>
              <w:t>条</w:t>
            </w:r>
          </w:p>
        </w:tc>
        <w:tc>
          <w:tcPr>
            <w:tcW w:w="545" w:type="pct"/>
            <w:vAlign w:val="center"/>
          </w:tcPr>
          <w:p w14:paraId="2F146FBE">
            <w:pPr>
              <w:pStyle w:val="15"/>
              <w:rPr>
                <w:b w:val="0"/>
                <w:bCs w:val="0"/>
              </w:rPr>
            </w:pPr>
            <w:r>
              <w:rPr>
                <w:b w:val="0"/>
                <w:bCs w:val="0"/>
              </w:rPr>
              <w:t>10</w:t>
            </w:r>
          </w:p>
        </w:tc>
        <w:tc>
          <w:tcPr>
            <w:tcW w:w="963" w:type="pct"/>
            <w:vAlign w:val="center"/>
          </w:tcPr>
          <w:p w14:paraId="3E0F9E99">
            <w:pPr>
              <w:pStyle w:val="15"/>
              <w:rPr>
                <w:b w:val="0"/>
                <w:bCs w:val="0"/>
              </w:rPr>
            </w:pPr>
            <w:r>
              <w:rPr>
                <w:b w:val="0"/>
                <w:bCs w:val="0"/>
              </w:rPr>
              <w:t>仓库</w:t>
            </w:r>
          </w:p>
        </w:tc>
        <w:tc>
          <w:tcPr>
            <w:tcW w:w="545" w:type="pct"/>
            <w:vAlign w:val="center"/>
          </w:tcPr>
          <w:p w14:paraId="78442480">
            <w:pPr>
              <w:pStyle w:val="15"/>
              <w:rPr>
                <w:b w:val="0"/>
                <w:bCs w:val="0"/>
              </w:rPr>
            </w:pPr>
          </w:p>
        </w:tc>
      </w:tr>
      <w:tr w14:paraId="012EAC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5BDB9C1">
            <w:pPr>
              <w:pStyle w:val="15"/>
              <w:numPr>
                <w:ilvl w:val="0"/>
                <w:numId w:val="37"/>
              </w:numPr>
              <w:spacing w:line="240" w:lineRule="exact"/>
              <w:rPr>
                <w:b w:val="0"/>
                <w:bCs w:val="0"/>
              </w:rPr>
            </w:pPr>
          </w:p>
        </w:tc>
        <w:tc>
          <w:tcPr>
            <w:tcW w:w="823" w:type="pct"/>
            <w:vMerge w:val="continue"/>
            <w:vAlign w:val="center"/>
          </w:tcPr>
          <w:p w14:paraId="6A8C1673">
            <w:pPr>
              <w:pStyle w:val="15"/>
              <w:rPr>
                <w:b w:val="0"/>
                <w:bCs w:val="0"/>
              </w:rPr>
            </w:pPr>
          </w:p>
        </w:tc>
        <w:tc>
          <w:tcPr>
            <w:tcW w:w="1033" w:type="pct"/>
            <w:vAlign w:val="center"/>
          </w:tcPr>
          <w:p w14:paraId="1B4624DA">
            <w:pPr>
              <w:pStyle w:val="15"/>
              <w:rPr>
                <w:b w:val="0"/>
                <w:bCs w:val="0"/>
              </w:rPr>
            </w:pPr>
            <w:r>
              <w:rPr>
                <w:b w:val="0"/>
                <w:bCs w:val="0"/>
              </w:rPr>
              <w:t>对讲机</w:t>
            </w:r>
          </w:p>
        </w:tc>
        <w:tc>
          <w:tcPr>
            <w:tcW w:w="545" w:type="pct"/>
            <w:vAlign w:val="center"/>
          </w:tcPr>
          <w:p w14:paraId="6D008853">
            <w:pPr>
              <w:pStyle w:val="15"/>
              <w:rPr>
                <w:b w:val="0"/>
                <w:bCs w:val="0"/>
              </w:rPr>
            </w:pPr>
            <w:r>
              <w:rPr>
                <w:b w:val="0"/>
                <w:bCs w:val="0"/>
              </w:rPr>
              <w:t>部</w:t>
            </w:r>
          </w:p>
        </w:tc>
        <w:tc>
          <w:tcPr>
            <w:tcW w:w="545" w:type="pct"/>
            <w:vAlign w:val="center"/>
          </w:tcPr>
          <w:p w14:paraId="487ABCC8">
            <w:pPr>
              <w:pStyle w:val="15"/>
              <w:rPr>
                <w:b w:val="0"/>
                <w:bCs w:val="0"/>
              </w:rPr>
            </w:pPr>
            <w:r>
              <w:rPr>
                <w:b w:val="0"/>
                <w:bCs w:val="0"/>
              </w:rPr>
              <w:t>10</w:t>
            </w:r>
          </w:p>
        </w:tc>
        <w:tc>
          <w:tcPr>
            <w:tcW w:w="963" w:type="pct"/>
            <w:vAlign w:val="center"/>
          </w:tcPr>
          <w:p w14:paraId="27A91C66">
            <w:pPr>
              <w:pStyle w:val="15"/>
              <w:rPr>
                <w:b w:val="0"/>
                <w:bCs w:val="0"/>
              </w:rPr>
            </w:pPr>
            <w:r>
              <w:rPr>
                <w:b w:val="0"/>
                <w:bCs w:val="0"/>
              </w:rPr>
              <w:t>各部门</w:t>
            </w:r>
          </w:p>
        </w:tc>
        <w:tc>
          <w:tcPr>
            <w:tcW w:w="545" w:type="pct"/>
            <w:vAlign w:val="center"/>
          </w:tcPr>
          <w:p w14:paraId="1DB3436F">
            <w:pPr>
              <w:pStyle w:val="15"/>
              <w:rPr>
                <w:b w:val="0"/>
                <w:bCs w:val="0"/>
              </w:rPr>
            </w:pPr>
          </w:p>
        </w:tc>
      </w:tr>
      <w:tr w14:paraId="19ADDF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76A24666">
            <w:pPr>
              <w:pStyle w:val="15"/>
              <w:numPr>
                <w:ilvl w:val="0"/>
                <w:numId w:val="37"/>
              </w:numPr>
              <w:spacing w:line="240" w:lineRule="exact"/>
              <w:rPr>
                <w:b w:val="0"/>
                <w:bCs w:val="0"/>
              </w:rPr>
            </w:pPr>
          </w:p>
        </w:tc>
        <w:tc>
          <w:tcPr>
            <w:tcW w:w="823" w:type="pct"/>
            <w:vMerge w:val="continue"/>
            <w:vAlign w:val="center"/>
          </w:tcPr>
          <w:p w14:paraId="4A73BF0D">
            <w:pPr>
              <w:pStyle w:val="15"/>
              <w:rPr>
                <w:b w:val="0"/>
                <w:bCs w:val="0"/>
              </w:rPr>
            </w:pPr>
          </w:p>
        </w:tc>
        <w:tc>
          <w:tcPr>
            <w:tcW w:w="1033" w:type="pct"/>
            <w:vAlign w:val="center"/>
          </w:tcPr>
          <w:p w14:paraId="55752ED0">
            <w:pPr>
              <w:pStyle w:val="15"/>
              <w:rPr>
                <w:b w:val="0"/>
                <w:bCs w:val="0"/>
              </w:rPr>
            </w:pPr>
            <w:r>
              <w:rPr>
                <w:b w:val="0"/>
                <w:bCs w:val="0"/>
              </w:rPr>
              <w:t>撬棍</w:t>
            </w:r>
          </w:p>
        </w:tc>
        <w:tc>
          <w:tcPr>
            <w:tcW w:w="545" w:type="pct"/>
            <w:vAlign w:val="center"/>
          </w:tcPr>
          <w:p w14:paraId="0B91BA48">
            <w:pPr>
              <w:pStyle w:val="15"/>
              <w:rPr>
                <w:b w:val="0"/>
                <w:bCs w:val="0"/>
              </w:rPr>
            </w:pPr>
            <w:r>
              <w:rPr>
                <w:b w:val="0"/>
                <w:bCs w:val="0"/>
              </w:rPr>
              <w:t>个</w:t>
            </w:r>
          </w:p>
        </w:tc>
        <w:tc>
          <w:tcPr>
            <w:tcW w:w="545" w:type="pct"/>
            <w:vAlign w:val="center"/>
          </w:tcPr>
          <w:p w14:paraId="70A41207">
            <w:pPr>
              <w:pStyle w:val="15"/>
              <w:rPr>
                <w:b w:val="0"/>
                <w:bCs w:val="0"/>
              </w:rPr>
            </w:pPr>
            <w:r>
              <w:rPr>
                <w:b w:val="0"/>
                <w:bCs w:val="0"/>
              </w:rPr>
              <w:t>2</w:t>
            </w:r>
          </w:p>
        </w:tc>
        <w:tc>
          <w:tcPr>
            <w:tcW w:w="963" w:type="pct"/>
            <w:vAlign w:val="center"/>
          </w:tcPr>
          <w:p w14:paraId="61548762">
            <w:pPr>
              <w:pStyle w:val="15"/>
              <w:rPr>
                <w:b w:val="0"/>
                <w:bCs w:val="0"/>
              </w:rPr>
            </w:pPr>
            <w:r>
              <w:rPr>
                <w:b w:val="0"/>
                <w:bCs w:val="0"/>
              </w:rPr>
              <w:t>仓库</w:t>
            </w:r>
          </w:p>
        </w:tc>
        <w:tc>
          <w:tcPr>
            <w:tcW w:w="545" w:type="pct"/>
            <w:vAlign w:val="center"/>
          </w:tcPr>
          <w:p w14:paraId="02DAA9B9">
            <w:pPr>
              <w:pStyle w:val="15"/>
              <w:rPr>
                <w:b w:val="0"/>
                <w:bCs w:val="0"/>
              </w:rPr>
            </w:pPr>
          </w:p>
        </w:tc>
      </w:tr>
      <w:tr w14:paraId="2891D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3E76FF8C">
            <w:pPr>
              <w:pStyle w:val="15"/>
              <w:numPr>
                <w:ilvl w:val="0"/>
                <w:numId w:val="37"/>
              </w:numPr>
              <w:spacing w:line="240" w:lineRule="exact"/>
              <w:rPr>
                <w:b w:val="0"/>
                <w:bCs w:val="0"/>
              </w:rPr>
            </w:pPr>
          </w:p>
        </w:tc>
        <w:tc>
          <w:tcPr>
            <w:tcW w:w="823" w:type="pct"/>
            <w:vMerge w:val="continue"/>
            <w:vAlign w:val="center"/>
          </w:tcPr>
          <w:p w14:paraId="76367A65">
            <w:pPr>
              <w:pStyle w:val="15"/>
              <w:rPr>
                <w:b w:val="0"/>
                <w:bCs w:val="0"/>
              </w:rPr>
            </w:pPr>
          </w:p>
        </w:tc>
        <w:tc>
          <w:tcPr>
            <w:tcW w:w="1033" w:type="pct"/>
            <w:vAlign w:val="center"/>
          </w:tcPr>
          <w:p w14:paraId="23025B0C">
            <w:pPr>
              <w:pStyle w:val="15"/>
              <w:rPr>
                <w:b w:val="0"/>
                <w:bCs w:val="0"/>
              </w:rPr>
            </w:pPr>
            <w:r>
              <w:rPr>
                <w:b w:val="0"/>
                <w:bCs w:val="0"/>
              </w:rPr>
              <w:t>反光锥桶</w:t>
            </w:r>
          </w:p>
        </w:tc>
        <w:tc>
          <w:tcPr>
            <w:tcW w:w="545" w:type="pct"/>
            <w:vAlign w:val="center"/>
          </w:tcPr>
          <w:p w14:paraId="2C6B93A2">
            <w:pPr>
              <w:pStyle w:val="15"/>
              <w:rPr>
                <w:b w:val="0"/>
                <w:bCs w:val="0"/>
              </w:rPr>
            </w:pPr>
            <w:r>
              <w:rPr>
                <w:b w:val="0"/>
                <w:bCs w:val="0"/>
              </w:rPr>
              <w:t>个</w:t>
            </w:r>
          </w:p>
        </w:tc>
        <w:tc>
          <w:tcPr>
            <w:tcW w:w="545" w:type="pct"/>
            <w:vAlign w:val="center"/>
          </w:tcPr>
          <w:p w14:paraId="360B7123">
            <w:pPr>
              <w:pStyle w:val="15"/>
              <w:rPr>
                <w:b w:val="0"/>
                <w:bCs w:val="0"/>
              </w:rPr>
            </w:pPr>
            <w:r>
              <w:rPr>
                <w:b w:val="0"/>
                <w:bCs w:val="0"/>
              </w:rPr>
              <w:t>40</w:t>
            </w:r>
          </w:p>
        </w:tc>
        <w:tc>
          <w:tcPr>
            <w:tcW w:w="963" w:type="pct"/>
            <w:vAlign w:val="center"/>
          </w:tcPr>
          <w:p w14:paraId="700029E6">
            <w:pPr>
              <w:pStyle w:val="15"/>
              <w:rPr>
                <w:b w:val="0"/>
                <w:bCs w:val="0"/>
              </w:rPr>
            </w:pPr>
            <w:r>
              <w:rPr>
                <w:b w:val="0"/>
                <w:bCs w:val="0"/>
              </w:rPr>
              <w:t>仓库</w:t>
            </w:r>
          </w:p>
        </w:tc>
        <w:tc>
          <w:tcPr>
            <w:tcW w:w="545" w:type="pct"/>
            <w:vAlign w:val="center"/>
          </w:tcPr>
          <w:p w14:paraId="515442C2">
            <w:pPr>
              <w:pStyle w:val="15"/>
              <w:rPr>
                <w:b w:val="0"/>
                <w:bCs w:val="0"/>
              </w:rPr>
            </w:pPr>
          </w:p>
        </w:tc>
      </w:tr>
      <w:tr w14:paraId="68B0E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7ED91321">
            <w:pPr>
              <w:pStyle w:val="15"/>
              <w:numPr>
                <w:ilvl w:val="0"/>
                <w:numId w:val="37"/>
              </w:numPr>
              <w:spacing w:line="240" w:lineRule="exact"/>
              <w:rPr>
                <w:b w:val="0"/>
                <w:bCs w:val="0"/>
              </w:rPr>
            </w:pPr>
          </w:p>
        </w:tc>
        <w:tc>
          <w:tcPr>
            <w:tcW w:w="823" w:type="pct"/>
            <w:vMerge w:val="continue"/>
            <w:vAlign w:val="center"/>
          </w:tcPr>
          <w:p w14:paraId="68BFE507">
            <w:pPr>
              <w:pStyle w:val="15"/>
              <w:rPr>
                <w:b w:val="0"/>
                <w:bCs w:val="0"/>
              </w:rPr>
            </w:pPr>
          </w:p>
        </w:tc>
        <w:tc>
          <w:tcPr>
            <w:tcW w:w="1033" w:type="pct"/>
            <w:vAlign w:val="center"/>
          </w:tcPr>
          <w:p w14:paraId="24C22A1E">
            <w:pPr>
              <w:pStyle w:val="15"/>
              <w:rPr>
                <w:b w:val="0"/>
                <w:bCs w:val="0"/>
              </w:rPr>
            </w:pPr>
            <w:r>
              <w:rPr>
                <w:b w:val="0"/>
                <w:bCs w:val="0"/>
              </w:rPr>
              <w:t>麻绳</w:t>
            </w:r>
          </w:p>
        </w:tc>
        <w:tc>
          <w:tcPr>
            <w:tcW w:w="545" w:type="pct"/>
            <w:vAlign w:val="center"/>
          </w:tcPr>
          <w:p w14:paraId="47D67BF1">
            <w:pPr>
              <w:ind w:firstLine="0" w:firstLineChars="0"/>
              <w:rPr>
                <w:b w:val="0"/>
                <w:bCs w:val="0"/>
              </w:rPr>
            </w:pPr>
            <w:r>
              <w:rPr>
                <w:b w:val="0"/>
                <w:bCs w:val="0"/>
                <w:sz w:val="21"/>
              </w:rPr>
              <w:t>m</w:t>
            </w:r>
          </w:p>
        </w:tc>
        <w:tc>
          <w:tcPr>
            <w:tcW w:w="545" w:type="pct"/>
            <w:vAlign w:val="center"/>
          </w:tcPr>
          <w:p w14:paraId="0A5DAB7D">
            <w:pPr>
              <w:pStyle w:val="15"/>
              <w:rPr>
                <w:b w:val="0"/>
                <w:bCs w:val="0"/>
              </w:rPr>
            </w:pPr>
            <w:r>
              <w:rPr>
                <w:b w:val="0"/>
                <w:bCs w:val="0"/>
              </w:rPr>
              <w:t>10</w:t>
            </w:r>
          </w:p>
        </w:tc>
        <w:tc>
          <w:tcPr>
            <w:tcW w:w="963" w:type="pct"/>
            <w:vAlign w:val="center"/>
          </w:tcPr>
          <w:p w14:paraId="46889335">
            <w:pPr>
              <w:pStyle w:val="15"/>
              <w:rPr>
                <w:b w:val="0"/>
                <w:bCs w:val="0"/>
              </w:rPr>
            </w:pPr>
            <w:r>
              <w:rPr>
                <w:b w:val="0"/>
                <w:bCs w:val="0"/>
              </w:rPr>
              <w:t>仓库</w:t>
            </w:r>
          </w:p>
        </w:tc>
        <w:tc>
          <w:tcPr>
            <w:tcW w:w="545" w:type="pct"/>
            <w:vAlign w:val="center"/>
          </w:tcPr>
          <w:p w14:paraId="008425F5">
            <w:pPr>
              <w:pStyle w:val="15"/>
              <w:rPr>
                <w:b w:val="0"/>
                <w:bCs w:val="0"/>
              </w:rPr>
            </w:pPr>
          </w:p>
        </w:tc>
      </w:tr>
      <w:bookmarkEnd w:id="192"/>
    </w:tbl>
    <w:p w14:paraId="7BDF7614">
      <w:pPr>
        <w:pStyle w:val="5"/>
        <w:bidi w:val="0"/>
      </w:pPr>
      <w:bookmarkStart w:id="193" w:name="_Toc2444"/>
      <w:r>
        <w:rPr>
          <w:rFonts w:hint="eastAsia"/>
        </w:rPr>
        <w:t>事故善后及恢复生产</w:t>
      </w:r>
      <w:bookmarkEnd w:id="188"/>
      <w:bookmarkEnd w:id="189"/>
      <w:bookmarkEnd w:id="190"/>
      <w:bookmarkEnd w:id="191"/>
      <w:bookmarkEnd w:id="193"/>
    </w:p>
    <w:p w14:paraId="17FCA988">
      <w:pPr>
        <w:ind w:firstLine="480"/>
        <w:rPr>
          <w:rFonts w:ascii="Times New Roman" w:hAnsi="Times New Roman" w:eastAsia="宋体" w:cs="Times New Roman"/>
        </w:rPr>
      </w:pPr>
      <w:r>
        <w:rPr>
          <w:rFonts w:hint="eastAsia" w:ascii="Times New Roman" w:hAnsi="Times New Roman" w:eastAsia="宋体" w:cs="Times New Roman"/>
        </w:rPr>
        <w:t>应急领导小组在应急救援工作结束后，对发生人员伤亡、机损事故和财产损失等事故的，遵循下列原则进行处理。</w:t>
      </w:r>
    </w:p>
    <w:p w14:paraId="19EFE4D4">
      <w:pPr>
        <w:ind w:firstLine="480"/>
        <w:rPr>
          <w:rFonts w:ascii="Times New Roman" w:hAnsi="Times New Roman" w:eastAsia="宋体" w:cs="Times New Roman"/>
        </w:rPr>
      </w:pPr>
      <w:r>
        <w:rPr>
          <w:rFonts w:hint="eastAsia" w:ascii="Times New Roman" w:hAnsi="Times New Roman" w:eastAsia="宋体" w:cs="Times New Roman"/>
        </w:rPr>
        <w:t>（1）善后处理</w:t>
      </w:r>
    </w:p>
    <w:p w14:paraId="2B2A03CE">
      <w:pPr>
        <w:ind w:firstLine="480"/>
        <w:rPr>
          <w:rFonts w:ascii="Times New Roman" w:hAnsi="Times New Roman" w:eastAsia="宋体" w:cs="Times New Roman"/>
        </w:rPr>
      </w:pPr>
      <w:r>
        <w:rPr>
          <w:rFonts w:hint="eastAsia" w:ascii="Times New Roman" w:hAnsi="Times New Roman" w:eastAsia="宋体" w:cs="Times New Roman"/>
        </w:rPr>
        <w:t>按国家有关规定，做好事后伤亡家属的接待、安抚和善后处理以及保险赔偿工作，事故现场的处理、恢复等工作。</w:t>
      </w:r>
    </w:p>
    <w:p w14:paraId="5D3EAF1A">
      <w:pPr>
        <w:ind w:firstLine="480"/>
        <w:rPr>
          <w:rFonts w:ascii="Times New Roman" w:hAnsi="Times New Roman" w:eastAsia="宋体" w:cs="Times New Roman"/>
        </w:rPr>
      </w:pPr>
      <w:r>
        <w:rPr>
          <w:rFonts w:hint="eastAsia" w:ascii="Times New Roman" w:hAnsi="Times New Roman" w:eastAsia="宋体" w:cs="Times New Roman"/>
        </w:rPr>
        <w:t>（2）调查分析</w:t>
      </w:r>
    </w:p>
    <w:p w14:paraId="2F0EEF25">
      <w:pPr>
        <w:ind w:firstLine="480"/>
        <w:rPr>
          <w:rFonts w:ascii="Times New Roman" w:hAnsi="Times New Roman" w:eastAsia="宋体" w:cs="Times New Roman"/>
        </w:rPr>
      </w:pPr>
      <w:r>
        <w:rPr>
          <w:rFonts w:hint="eastAsia" w:ascii="Times New Roman" w:hAnsi="Times New Roman" w:eastAsia="宋体" w:cs="Times New Roman"/>
        </w:rPr>
        <w:t>对事故原因调查分析，确定直接原因与间接原因。</w:t>
      </w:r>
    </w:p>
    <w:p w14:paraId="4585C531">
      <w:pPr>
        <w:ind w:firstLine="480"/>
        <w:rPr>
          <w:rFonts w:ascii="Times New Roman" w:hAnsi="Times New Roman" w:eastAsia="宋体" w:cs="Times New Roman"/>
        </w:rPr>
      </w:pPr>
      <w:r>
        <w:rPr>
          <w:rFonts w:hint="eastAsia" w:ascii="Times New Roman" w:hAnsi="Times New Roman" w:eastAsia="宋体" w:cs="Times New Roman"/>
        </w:rPr>
        <w:t>（3）事故处理</w:t>
      </w:r>
    </w:p>
    <w:p w14:paraId="08D40A01">
      <w:pPr>
        <w:widowControl w:val="0"/>
        <w:spacing w:line="360" w:lineRule="auto"/>
        <w:ind w:firstLine="480" w:firstLineChars="200"/>
        <w:jc w:val="left"/>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根据事故调查结果，按“四不放过”原则，对发生事故的责任人或责任部门依照相关法律法规及本单位安全生产管理制度规定，提出事故处理意见。</w:t>
      </w:r>
    </w:p>
    <w:p w14:paraId="33D90821">
      <w:pPr>
        <w:ind w:firstLine="480"/>
        <w:rPr>
          <w:rFonts w:ascii="Times New Roman" w:hAnsi="Times New Roman" w:eastAsia="宋体" w:cs="Times New Roman"/>
        </w:rPr>
      </w:pPr>
      <w:r>
        <w:rPr>
          <w:rFonts w:hint="eastAsia" w:ascii="Times New Roman" w:hAnsi="Times New Roman" w:eastAsia="宋体" w:cs="Times New Roman"/>
        </w:rPr>
        <w:t>（4）事故总结</w:t>
      </w:r>
    </w:p>
    <w:p w14:paraId="2BC68AA2">
      <w:pPr>
        <w:widowControl w:val="0"/>
        <w:spacing w:line="360" w:lineRule="auto"/>
        <w:ind w:firstLine="480" w:firstLineChars="200"/>
        <w:jc w:val="left"/>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事故处理完毕后，认真总结经验教训，完善各项管理工作，提出防范措施，对应急预案进行补充和修改。</w:t>
      </w:r>
    </w:p>
    <w:p w14:paraId="51EC5E7D">
      <w:pPr>
        <w:ind w:firstLine="480"/>
        <w:rPr>
          <w:rFonts w:ascii="Times New Roman" w:hAnsi="Times New Roman" w:eastAsia="宋体" w:cs="Times New Roman"/>
        </w:rPr>
      </w:pPr>
      <w:r>
        <w:rPr>
          <w:rFonts w:hint="eastAsia" w:ascii="Times New Roman" w:hAnsi="Times New Roman" w:eastAsia="宋体" w:cs="Times New Roman"/>
        </w:rPr>
        <w:t>（5）恢复生产</w:t>
      </w:r>
    </w:p>
    <w:p w14:paraId="01386236">
      <w:pPr>
        <w:widowControl/>
        <w:ind w:firstLine="0" w:firstLineChars="0"/>
        <w:jc w:val="left"/>
        <w:rPr>
          <w:rFonts w:ascii="Times New Roman" w:hAnsi="Times New Roman" w:eastAsia="宋体" w:cs="Times New Roman"/>
          <w:b/>
          <w:bCs/>
          <w:color w:val="000000" w:themeColor="text1"/>
          <w:sz w:val="32"/>
          <w:szCs w:val="32"/>
          <w14:textFill>
            <w14:solidFill>
              <w14:schemeClr w14:val="tx1"/>
            </w14:solidFill>
          </w14:textFill>
        </w:rPr>
      </w:pPr>
      <w:r>
        <w:rPr>
          <w:rFonts w:hint="eastAsia" w:ascii="Times New Roman" w:hAnsi="Times New Roman" w:eastAsia="宋体" w:cs="Times New Roman"/>
        </w:rPr>
        <w:t>对现场隐患进行全面排查，整改完毕后报请业主、监理单位审批，同意后方可组织恢复生产工作。</w:t>
      </w:r>
      <w:r>
        <w:rPr>
          <w:rFonts w:ascii="Times New Roman" w:hAnsi="Times New Roman" w:eastAsia="宋体" w:cs="Times New Roman"/>
          <w:color w:val="000000" w:themeColor="text1"/>
          <w14:textFill>
            <w14:solidFill>
              <w14:schemeClr w14:val="tx1"/>
            </w14:solidFill>
          </w14:textFill>
        </w:rPr>
        <w:br w:type="page"/>
      </w:r>
    </w:p>
    <w:bookmarkEnd w:id="96"/>
    <w:p w14:paraId="12B52476">
      <w:pPr>
        <w:pStyle w:val="4"/>
        <w:rPr>
          <w:color w:val="000000" w:themeColor="text1"/>
          <w14:textFill>
            <w14:solidFill>
              <w14:schemeClr w14:val="tx1"/>
            </w14:solidFill>
          </w14:textFill>
        </w:rPr>
      </w:pPr>
      <w:bookmarkStart w:id="194" w:name="_Toc31518"/>
      <w:r>
        <w:rPr>
          <w:rFonts w:hint="eastAsia"/>
          <w:color w:val="000000" w:themeColor="text1"/>
          <w14:textFill>
            <w14:solidFill>
              <w14:schemeClr w14:val="tx1"/>
            </w14:solidFill>
          </w14:textFill>
        </w:rPr>
        <w:t>计算书及相关施工图纸</w:t>
      </w:r>
      <w:bookmarkEnd w:id="194"/>
    </w:p>
    <w:p w14:paraId="46BE7B1A">
      <w:pPr>
        <w:bidi w:val="0"/>
        <w:rPr>
          <w:rFonts w:hint="default"/>
        </w:rPr>
      </w:pPr>
      <w:r>
        <w:rPr>
          <w:rFonts w:hint="default"/>
        </w:rPr>
        <w:t>附件1：</w:t>
      </w:r>
      <w:r>
        <w:rPr>
          <w:rFonts w:hint="eastAsia"/>
          <w:lang w:eastAsia="zh-CN"/>
        </w:rPr>
        <w:t>安装</w:t>
      </w:r>
      <w:r>
        <w:rPr>
          <w:rFonts w:hint="default"/>
        </w:rPr>
        <w:t>单位相关资质及特种作业人员证件</w:t>
      </w:r>
    </w:p>
    <w:p w14:paraId="1C56ED79">
      <w:pPr>
        <w:bidi w:val="0"/>
        <w:rPr>
          <w:rFonts w:hint="default"/>
        </w:rPr>
      </w:pPr>
      <w:r>
        <w:rPr>
          <w:rFonts w:hint="default"/>
        </w:rPr>
        <w:t>附件2：设备产品合格证</w:t>
      </w:r>
    </w:p>
    <w:p w14:paraId="4A921EEA">
      <w:pPr>
        <w:bidi w:val="0"/>
        <w:rPr>
          <w:rFonts w:hint="default"/>
          <w:lang w:val="en-US" w:eastAsia="zh-CN"/>
        </w:rPr>
      </w:pPr>
      <w:r>
        <w:rPr>
          <w:rFonts w:hint="eastAsia"/>
          <w:lang w:val="en-US" w:eastAsia="zh-CN"/>
        </w:rPr>
        <w:t>附件3：XGT6015A-8S平头塔吊安装使用说明书</w:t>
      </w:r>
    </w:p>
    <w:p w14:paraId="6D2CBB1B">
      <w:pPr>
        <w:bidi w:val="0"/>
        <w:rPr>
          <w:rFonts w:hint="default"/>
          <w:lang w:val="en-US" w:eastAsia="zh-CN"/>
        </w:rPr>
      </w:pPr>
      <w:r>
        <w:rPr>
          <w:rFonts w:hint="default"/>
          <w:lang w:val="en-US" w:eastAsia="zh-CN"/>
        </w:rPr>
        <w:t>附件</w:t>
      </w:r>
      <w:r>
        <w:rPr>
          <w:rFonts w:hint="eastAsia"/>
          <w:lang w:val="en-US" w:eastAsia="zh-CN"/>
        </w:rPr>
        <w:t>4</w:t>
      </w:r>
      <w:r>
        <w:rPr>
          <w:rFonts w:hint="default"/>
          <w:lang w:val="en-US" w:eastAsia="zh-CN"/>
        </w:rPr>
        <w:t>：</w:t>
      </w:r>
      <w:r>
        <w:rPr>
          <w:rFonts w:hint="eastAsia"/>
          <w:lang w:val="en-US" w:eastAsia="zh-CN"/>
        </w:rPr>
        <w:t>民乐渠</w:t>
      </w:r>
      <w:r>
        <w:rPr>
          <w:rFonts w:hint="default"/>
          <w:lang w:val="en-US" w:eastAsia="zh-CN"/>
        </w:rPr>
        <w:t>大桥</w:t>
      </w:r>
      <w:r>
        <w:rPr>
          <w:rFonts w:hint="eastAsia"/>
          <w:lang w:val="en-US" w:eastAsia="zh-CN"/>
        </w:rPr>
        <w:t>10#、11#墩</w:t>
      </w:r>
      <w:r>
        <w:rPr>
          <w:rFonts w:hint="default"/>
          <w:lang w:val="en-US" w:eastAsia="zh-CN"/>
        </w:rPr>
        <w:t>塔吊施工步骤图</w:t>
      </w:r>
    </w:p>
    <w:p w14:paraId="7EC22004">
      <w:pPr>
        <w:bidi w:val="0"/>
        <w:rPr>
          <w:rFonts w:hint="default"/>
          <w:lang w:val="en-US" w:eastAsia="zh-CN"/>
        </w:rPr>
      </w:pPr>
      <w:r>
        <w:rPr>
          <w:rFonts w:hint="default"/>
          <w:lang w:val="en-US" w:eastAsia="zh-CN"/>
        </w:rPr>
        <w:t>附件</w:t>
      </w:r>
      <w:r>
        <w:rPr>
          <w:rFonts w:hint="eastAsia"/>
          <w:lang w:val="en-US" w:eastAsia="zh-CN"/>
        </w:rPr>
        <w:t>5</w:t>
      </w:r>
      <w:r>
        <w:rPr>
          <w:rFonts w:hint="default"/>
          <w:lang w:val="en-US" w:eastAsia="zh-CN"/>
        </w:rPr>
        <w:t>：安装单位自检表</w:t>
      </w:r>
    </w:p>
    <w:p w14:paraId="0DF70CD7">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附件</w:t>
      </w:r>
      <w:r>
        <w:rPr>
          <w:rFonts w:hint="eastAsia" w:ascii="Times New Roman" w:hAnsi="Times New Roman" w:eastAsia="宋体" w:cs="Times New Roman"/>
          <w:lang w:val="en-US" w:eastAsia="zh-CN"/>
        </w:rPr>
        <w:t>6</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汽车吊地基承载力计算书</w:t>
      </w:r>
    </w:p>
    <w:p w14:paraId="23E19770">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附件</w:t>
      </w:r>
      <w:r>
        <w:rPr>
          <w:rFonts w:hint="eastAsia" w:ascii="Times New Roman" w:hAnsi="Times New Roman" w:eastAsia="宋体" w:cs="Times New Roman"/>
          <w:lang w:val="en-US" w:eastAsia="zh-CN"/>
        </w:rPr>
        <w:t>7</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塔式起重机基础计算书</w:t>
      </w:r>
    </w:p>
    <w:sectPr>
      <w:headerReference r:id="rId12" w:type="default"/>
      <w:footerReference r:id="rId13"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SJQY">
    <w:altName w:val="宋体"/>
    <w:panose1 w:val="02010600030101010101"/>
    <w:charset w:val="86"/>
    <w:family w:val="auto"/>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56A01">
    <w:pPr>
      <w:pStyle w:val="21"/>
      <w:ind w:firstLine="360"/>
    </w:pPr>
  </w:p>
  <w:p w14:paraId="4162E4A8">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DB5A3">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623AC">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A69C1">
    <w:pPr>
      <w:pStyle w:val="21"/>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03565780"/>
      <w:docPartObj>
        <w:docPartGallery w:val="autotext"/>
      </w:docPartObj>
    </w:sdtPr>
    <w:sdtContent>
      <w:p w14:paraId="792D603D">
        <w:pPr>
          <w:pStyle w:val="21"/>
          <w:ind w:firstLine="480"/>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7FE47">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172ED">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6F78B">
    <w:pPr>
      <w:pStyle w:val="2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E99A2">
    <w:pPr>
      <w:pStyle w:val="22"/>
      <w:jc w:val="both"/>
    </w:pPr>
    <w:bookmarkStart w:id="195" w:name="_Hlk117245116"/>
    <w:bookmarkStart w:id="196" w:name="_Hlk117245115"/>
    <w:bookmarkStart w:id="197" w:name="_Hlk117245117"/>
    <w:bookmarkStart w:id="198" w:name="_Hlk117245114"/>
    <w:r>
      <w:rPr>
        <w:rFonts w:hint="eastAsia"/>
        <w:lang w:val="en-US" w:eastAsia="zh-CN"/>
      </w:rPr>
      <w:t>S109孝感至汉川一级公路汉川段新建工程</w:t>
    </w:r>
    <w:r>
      <w:rPr>
        <w:rFonts w:hint="eastAsia"/>
        <w:lang w:val="en-US" w:eastAsia="zh-CN"/>
      </w:rPr>
      <w:ptab w:relativeTo="margin" w:alignment="right" w:leader="none"/>
    </w:r>
    <w:r>
      <w:rPr>
        <w:rFonts w:hint="eastAsia"/>
        <w:lang w:val="en-US" w:eastAsia="zh-CN"/>
      </w:rPr>
      <w:t>民乐渠大桥主墩</w:t>
    </w:r>
    <w:r>
      <w:rPr>
        <w:rFonts w:hint="eastAsia"/>
        <w:lang w:eastAsia="zh-CN"/>
      </w:rPr>
      <w:t>XGT6015A-8S</w:t>
    </w:r>
    <w:r>
      <w:rPr>
        <w:rFonts w:hint="eastAsia"/>
      </w:rPr>
      <w:t>塔机</w:t>
    </w:r>
    <w:r>
      <w:rPr>
        <w:rFonts w:hint="eastAsia"/>
        <w:lang w:eastAsia="zh-CN"/>
      </w:rPr>
      <w:t>安装</w:t>
    </w:r>
    <w:r>
      <w:rPr>
        <w:rFonts w:hint="eastAsia"/>
      </w:rPr>
      <w:t>专项施工方案</w:t>
    </w:r>
    <w:bookmarkEnd w:id="195"/>
    <w:bookmarkEnd w:id="196"/>
    <w:bookmarkEnd w:id="197"/>
    <w:bookmarkEnd w:id="198"/>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4C77F0"/>
    <w:multiLevelType w:val="singleLevel"/>
    <w:tmpl w:val="874C77F0"/>
    <w:lvl w:ilvl="0" w:tentative="0">
      <w:start w:val="1"/>
      <w:numFmt w:val="decimal"/>
      <w:lvlText w:val="(%1)"/>
      <w:lvlJc w:val="left"/>
      <w:pPr>
        <w:ind w:left="425" w:hanging="425"/>
      </w:pPr>
      <w:rPr>
        <w:rFonts w:hint="default"/>
      </w:rPr>
    </w:lvl>
  </w:abstractNum>
  <w:abstractNum w:abstractNumId="1">
    <w:nsid w:val="B38AA983"/>
    <w:multiLevelType w:val="singleLevel"/>
    <w:tmpl w:val="B38AA983"/>
    <w:lvl w:ilvl="0" w:tentative="0">
      <w:start w:val="1"/>
      <w:numFmt w:val="decimal"/>
      <w:lvlText w:val="%1)"/>
      <w:lvlJc w:val="left"/>
      <w:pPr>
        <w:ind w:left="425" w:hanging="425"/>
      </w:pPr>
      <w:rPr>
        <w:rFonts w:hint="default"/>
      </w:rPr>
    </w:lvl>
  </w:abstractNum>
  <w:abstractNum w:abstractNumId="2">
    <w:nsid w:val="C03A0361"/>
    <w:multiLevelType w:val="singleLevel"/>
    <w:tmpl w:val="C03A0361"/>
    <w:lvl w:ilvl="0" w:tentative="0">
      <w:start w:val="3"/>
      <w:numFmt w:val="decimal"/>
      <w:suff w:val="nothing"/>
      <w:lvlText w:val="%1）"/>
      <w:lvlJc w:val="left"/>
    </w:lvl>
  </w:abstractNum>
  <w:abstractNum w:abstractNumId="3">
    <w:nsid w:val="C6ED7CFC"/>
    <w:multiLevelType w:val="singleLevel"/>
    <w:tmpl w:val="C6ED7CFC"/>
    <w:lvl w:ilvl="0" w:tentative="0">
      <w:start w:val="1"/>
      <w:numFmt w:val="decimal"/>
      <w:lvlText w:val="(%1)"/>
      <w:lvlJc w:val="left"/>
      <w:pPr>
        <w:ind w:left="425" w:hanging="425"/>
      </w:pPr>
      <w:rPr>
        <w:rFonts w:hint="default"/>
      </w:rPr>
    </w:lvl>
  </w:abstractNum>
  <w:abstractNum w:abstractNumId="4">
    <w:nsid w:val="E2616BBC"/>
    <w:multiLevelType w:val="singleLevel"/>
    <w:tmpl w:val="E2616BBC"/>
    <w:lvl w:ilvl="0" w:tentative="0">
      <w:start w:val="1"/>
      <w:numFmt w:val="decimal"/>
      <w:lvlText w:val="%1)"/>
      <w:lvlJc w:val="left"/>
      <w:pPr>
        <w:ind w:left="425" w:hanging="425"/>
      </w:pPr>
      <w:rPr>
        <w:rFonts w:hint="default"/>
      </w:rPr>
    </w:lvl>
  </w:abstractNum>
  <w:abstractNum w:abstractNumId="5">
    <w:nsid w:val="EAE23429"/>
    <w:multiLevelType w:val="singleLevel"/>
    <w:tmpl w:val="EAE23429"/>
    <w:lvl w:ilvl="0" w:tentative="0">
      <w:start w:val="1"/>
      <w:numFmt w:val="decimalEnclosedCircleChinese"/>
      <w:suff w:val="nothing"/>
      <w:lvlText w:val="%1　"/>
      <w:lvlJc w:val="left"/>
      <w:pPr>
        <w:ind w:left="0" w:firstLine="400"/>
      </w:pPr>
      <w:rPr>
        <w:rFonts w:hint="eastAsia"/>
      </w:rPr>
    </w:lvl>
  </w:abstractNum>
  <w:abstractNum w:abstractNumId="6">
    <w:nsid w:val="F04C3115"/>
    <w:multiLevelType w:val="singleLevel"/>
    <w:tmpl w:val="F04C3115"/>
    <w:lvl w:ilvl="0" w:tentative="0">
      <w:start w:val="1"/>
      <w:numFmt w:val="decimalEnclosedCircleChinese"/>
      <w:suff w:val="nothing"/>
      <w:lvlText w:val="%1　"/>
      <w:lvlJc w:val="left"/>
      <w:pPr>
        <w:ind w:left="0" w:firstLine="400"/>
      </w:pPr>
      <w:rPr>
        <w:rFonts w:hint="eastAsia"/>
      </w:rPr>
    </w:lvl>
  </w:abstractNum>
  <w:abstractNum w:abstractNumId="7">
    <w:nsid w:val="07D47F01"/>
    <w:multiLevelType w:val="multilevel"/>
    <w:tmpl w:val="07D47F0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0DD26A86"/>
    <w:multiLevelType w:val="singleLevel"/>
    <w:tmpl w:val="0DD26A86"/>
    <w:lvl w:ilvl="0" w:tentative="0">
      <w:start w:val="1"/>
      <w:numFmt w:val="lowerLetter"/>
      <w:suff w:val="nothing"/>
      <w:lvlText w:val="%1."/>
      <w:lvlJc w:val="left"/>
      <w:pPr>
        <w:ind w:left="425" w:hanging="425"/>
      </w:pPr>
      <w:rPr>
        <w:rFonts w:hint="default"/>
      </w:rPr>
    </w:lvl>
  </w:abstractNum>
  <w:abstractNum w:abstractNumId="9">
    <w:nsid w:val="1567EC35"/>
    <w:multiLevelType w:val="singleLevel"/>
    <w:tmpl w:val="1567EC35"/>
    <w:lvl w:ilvl="0" w:tentative="0">
      <w:start w:val="1"/>
      <w:numFmt w:val="decimal"/>
      <w:suff w:val="nothing"/>
      <w:lvlText w:val="%1"/>
      <w:lvlJc w:val="left"/>
      <w:pPr>
        <w:tabs>
          <w:tab w:val="left" w:pos="0"/>
        </w:tabs>
        <w:ind w:left="0" w:firstLine="0"/>
      </w:pPr>
      <w:rPr>
        <w:rFonts w:hint="default"/>
      </w:rPr>
    </w:lvl>
  </w:abstractNum>
  <w:abstractNum w:abstractNumId="10">
    <w:nsid w:val="166F56DF"/>
    <w:multiLevelType w:val="multilevel"/>
    <w:tmpl w:val="166F56DF"/>
    <w:lvl w:ilvl="0" w:tentative="0">
      <w:start w:val="1"/>
      <w:numFmt w:val="decimal"/>
      <w:pStyle w:val="78"/>
      <w:suff w:val="nothing"/>
      <w:lvlText w:val="（%1）"/>
      <w:lvlJc w:val="left"/>
      <w:pPr>
        <w:ind w:left="0" w:firstLine="400"/>
      </w:pPr>
      <w:rPr>
        <w:rFonts w:hint="default" w:ascii="Times New Roman" w:hAnsi="Times New Roman" w:eastAsia="宋体"/>
        <w:b w:val="0"/>
        <w:i w:val="0"/>
        <w:sz w:val="24"/>
      </w:rPr>
    </w:lvl>
    <w:lvl w:ilvl="1" w:tentative="0">
      <w:start w:val="1"/>
      <w:numFmt w:val="lowerLetter"/>
      <w:lvlText w:val="%2)"/>
      <w:lvlJc w:val="left"/>
      <w:pPr>
        <w:ind w:left="0" w:firstLine="0"/>
      </w:pPr>
      <w:rPr>
        <w:rFonts w:hint="eastAsia"/>
      </w:rPr>
    </w:lvl>
    <w:lvl w:ilvl="2" w:tentative="0">
      <w:start w:val="1"/>
      <w:numFmt w:val="lowerRoman"/>
      <w:lvlText w:val="%3."/>
      <w:lvlJc w:val="right"/>
      <w:pPr>
        <w:ind w:left="0" w:firstLine="0"/>
      </w:pPr>
      <w:rPr>
        <w:rFonts w:hint="eastAsia"/>
      </w:rPr>
    </w:lvl>
    <w:lvl w:ilvl="3" w:tentative="0">
      <w:start w:val="1"/>
      <w:numFmt w:val="decimal"/>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11">
    <w:nsid w:val="192E9B6A"/>
    <w:multiLevelType w:val="singleLevel"/>
    <w:tmpl w:val="192E9B6A"/>
    <w:lvl w:ilvl="0" w:tentative="0">
      <w:start w:val="1"/>
      <w:numFmt w:val="decimalEnclosedCircleChinese"/>
      <w:suff w:val="nothing"/>
      <w:lvlText w:val="%1　"/>
      <w:lvlJc w:val="left"/>
      <w:pPr>
        <w:ind w:left="0" w:firstLine="400"/>
      </w:pPr>
      <w:rPr>
        <w:rFonts w:hint="eastAsia"/>
      </w:rPr>
    </w:lvl>
  </w:abstractNum>
  <w:abstractNum w:abstractNumId="12">
    <w:nsid w:val="1B7B647C"/>
    <w:multiLevelType w:val="multilevel"/>
    <w:tmpl w:val="1B7B647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1CD2714D"/>
    <w:multiLevelType w:val="singleLevel"/>
    <w:tmpl w:val="1CD2714D"/>
    <w:lvl w:ilvl="0" w:tentative="0">
      <w:start w:val="1"/>
      <w:numFmt w:val="decimal"/>
      <w:suff w:val="nothing"/>
      <w:lvlText w:val="(%1)"/>
      <w:lvlJc w:val="left"/>
      <w:pPr>
        <w:ind w:left="425" w:hanging="425"/>
      </w:pPr>
      <w:rPr>
        <w:rFonts w:hint="default"/>
      </w:rPr>
    </w:lvl>
  </w:abstractNum>
  <w:abstractNum w:abstractNumId="14">
    <w:nsid w:val="1F193B45"/>
    <w:multiLevelType w:val="multilevel"/>
    <w:tmpl w:val="1F193B4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212F22A1"/>
    <w:multiLevelType w:val="singleLevel"/>
    <w:tmpl w:val="212F22A1"/>
    <w:lvl w:ilvl="0" w:tentative="0">
      <w:start w:val="1"/>
      <w:numFmt w:val="lowerLetter"/>
      <w:suff w:val="nothing"/>
      <w:lvlText w:val="%1."/>
      <w:lvlJc w:val="left"/>
      <w:pPr>
        <w:ind w:left="425" w:hanging="425"/>
      </w:pPr>
      <w:rPr>
        <w:rFonts w:hint="default"/>
      </w:rPr>
    </w:lvl>
  </w:abstractNum>
  <w:abstractNum w:abstractNumId="16">
    <w:nsid w:val="25EF588F"/>
    <w:multiLevelType w:val="singleLevel"/>
    <w:tmpl w:val="25EF588F"/>
    <w:lvl w:ilvl="0" w:tentative="0">
      <w:start w:val="1"/>
      <w:numFmt w:val="decimal"/>
      <w:lvlText w:val="%1)"/>
      <w:lvlJc w:val="left"/>
      <w:pPr>
        <w:ind w:left="425" w:hanging="425"/>
      </w:pPr>
      <w:rPr>
        <w:rFonts w:hint="default"/>
      </w:rPr>
    </w:lvl>
  </w:abstractNum>
  <w:abstractNum w:abstractNumId="17">
    <w:nsid w:val="2C51228E"/>
    <w:multiLevelType w:val="singleLevel"/>
    <w:tmpl w:val="2C51228E"/>
    <w:lvl w:ilvl="0" w:tentative="0">
      <w:start w:val="1"/>
      <w:numFmt w:val="lowerLetter"/>
      <w:lvlText w:val="%1."/>
      <w:lvlJc w:val="left"/>
      <w:pPr>
        <w:ind w:left="425" w:hanging="425"/>
      </w:pPr>
      <w:rPr>
        <w:rFonts w:hint="default"/>
      </w:rPr>
    </w:lvl>
  </w:abstractNum>
  <w:abstractNum w:abstractNumId="18">
    <w:nsid w:val="2CBFCDB2"/>
    <w:multiLevelType w:val="singleLevel"/>
    <w:tmpl w:val="2CBFCDB2"/>
    <w:lvl w:ilvl="0" w:tentative="0">
      <w:start w:val="1"/>
      <w:numFmt w:val="decimal"/>
      <w:lvlText w:val="%1)"/>
      <w:lvlJc w:val="left"/>
      <w:pPr>
        <w:tabs>
          <w:tab w:val="left" w:pos="312"/>
        </w:tabs>
      </w:pPr>
    </w:lvl>
  </w:abstractNum>
  <w:abstractNum w:abstractNumId="19">
    <w:nsid w:val="367876B8"/>
    <w:multiLevelType w:val="singleLevel"/>
    <w:tmpl w:val="367876B8"/>
    <w:lvl w:ilvl="0" w:tentative="0">
      <w:start w:val="1"/>
      <w:numFmt w:val="decimal"/>
      <w:lvlText w:val="%1)"/>
      <w:lvlJc w:val="left"/>
      <w:pPr>
        <w:ind w:left="425" w:hanging="425"/>
      </w:pPr>
      <w:rPr>
        <w:rFonts w:hint="default"/>
      </w:rPr>
    </w:lvl>
  </w:abstractNum>
  <w:abstractNum w:abstractNumId="20">
    <w:nsid w:val="3D40D917"/>
    <w:multiLevelType w:val="singleLevel"/>
    <w:tmpl w:val="3D40D917"/>
    <w:lvl w:ilvl="0" w:tentative="0">
      <w:start w:val="1"/>
      <w:numFmt w:val="decimal"/>
      <w:suff w:val="nothing"/>
      <w:lvlText w:val="(%1)"/>
      <w:lvlJc w:val="left"/>
      <w:pPr>
        <w:ind w:left="425" w:hanging="425"/>
      </w:pPr>
      <w:rPr>
        <w:rFonts w:hint="default"/>
      </w:rPr>
    </w:lvl>
  </w:abstractNum>
  <w:abstractNum w:abstractNumId="21">
    <w:nsid w:val="433CAED6"/>
    <w:multiLevelType w:val="singleLevel"/>
    <w:tmpl w:val="433CAED6"/>
    <w:lvl w:ilvl="0" w:tentative="0">
      <w:start w:val="1"/>
      <w:numFmt w:val="decimalEnclosedCircleChinese"/>
      <w:suff w:val="nothing"/>
      <w:lvlText w:val="%1　"/>
      <w:lvlJc w:val="left"/>
      <w:pPr>
        <w:ind w:left="0" w:firstLine="400"/>
      </w:pPr>
      <w:rPr>
        <w:rFonts w:hint="eastAsia"/>
      </w:rPr>
    </w:lvl>
  </w:abstractNum>
  <w:abstractNum w:abstractNumId="22">
    <w:nsid w:val="4D4929C9"/>
    <w:multiLevelType w:val="multilevel"/>
    <w:tmpl w:val="4D4929C9"/>
    <w:lvl w:ilvl="0" w:tentative="0">
      <w:start w:val="1"/>
      <w:numFmt w:val="decimal"/>
      <w:pStyle w:val="4"/>
      <w:suff w:val="space"/>
      <w:lvlText w:val="%1"/>
      <w:lvlJc w:val="left"/>
      <w:pPr>
        <w:ind w:left="0" w:firstLine="0"/>
      </w:pPr>
      <w:rPr>
        <w:rFonts w:hint="default" w:ascii="Times New Roman" w:hAnsi="Times New Roman" w:eastAsia="宋体"/>
      </w:rPr>
    </w:lvl>
    <w:lvl w:ilvl="1" w:tentative="0">
      <w:start w:val="1"/>
      <w:numFmt w:val="decimal"/>
      <w:pStyle w:val="5"/>
      <w:isLgl/>
      <w:suff w:val="space"/>
      <w:lvlText w:val="%1.%2"/>
      <w:lvlJc w:val="left"/>
      <w:pPr>
        <w:ind w:left="0" w:firstLine="0"/>
      </w:pPr>
      <w:rPr>
        <w:rFonts w:hint="default" w:ascii="Times New Roman" w:hAnsi="Times New Roman" w:eastAsia="宋体"/>
      </w:rPr>
    </w:lvl>
    <w:lvl w:ilvl="2" w:tentative="0">
      <w:start w:val="1"/>
      <w:numFmt w:val="decimal"/>
      <w:pStyle w:val="6"/>
      <w:isLgl/>
      <w:suff w:val="space"/>
      <w:lvlText w:val="%1.%2.%3"/>
      <w:lvlJc w:val="left"/>
      <w:pPr>
        <w:ind w:left="0" w:firstLine="0"/>
      </w:pPr>
      <w:rPr>
        <w:rFonts w:hint="default" w:ascii="Times New Roman" w:hAnsi="Times New Roman" w:eastAsia="宋体"/>
      </w:rPr>
    </w:lvl>
    <w:lvl w:ilvl="3" w:tentative="0">
      <w:start w:val="1"/>
      <w:numFmt w:val="decimal"/>
      <w:pStyle w:val="7"/>
      <w:isLgl/>
      <w:suff w:val="space"/>
      <w:lvlText w:val="%1.%2.%3.%4"/>
      <w:lvlJc w:val="left"/>
      <w:pPr>
        <w:ind w:left="0" w:firstLine="0"/>
      </w:pPr>
      <w:rPr>
        <w:rFonts w:hint="default" w:ascii="Times New Roman" w:hAnsi="Times New Roman" w:eastAsia="宋体"/>
      </w:rPr>
    </w:lvl>
    <w:lvl w:ilvl="4" w:tentative="0">
      <w:start w:val="1"/>
      <w:numFmt w:val="decimal"/>
      <w:isLgl/>
      <w:lvlText w:val="%1.%2.%3.%4.%5"/>
      <w:lvlJc w:val="left"/>
      <w:pPr>
        <w:ind w:left="0" w:firstLine="0"/>
      </w:pPr>
      <w:rPr>
        <w:rFonts w:hint="default"/>
      </w:rPr>
    </w:lvl>
    <w:lvl w:ilvl="5" w:tentative="0">
      <w:start w:val="1"/>
      <w:numFmt w:val="decimal"/>
      <w:isLgl/>
      <w:lvlText w:val="%1.%2.%3.%4.%5.%6"/>
      <w:lvlJc w:val="left"/>
      <w:pPr>
        <w:ind w:left="0" w:firstLine="0"/>
      </w:pPr>
      <w:rPr>
        <w:rFonts w:hint="default"/>
      </w:rPr>
    </w:lvl>
    <w:lvl w:ilvl="6" w:tentative="0">
      <w:start w:val="1"/>
      <w:numFmt w:val="decimal"/>
      <w:isLgl/>
      <w:lvlText w:val="%1.%2.%3.%4.%5.%6.%7"/>
      <w:lvlJc w:val="left"/>
      <w:pPr>
        <w:ind w:left="0" w:firstLine="0"/>
      </w:pPr>
      <w:rPr>
        <w:rFonts w:hint="default"/>
      </w:rPr>
    </w:lvl>
    <w:lvl w:ilvl="7" w:tentative="0">
      <w:start w:val="1"/>
      <w:numFmt w:val="decimal"/>
      <w:isLgl/>
      <w:lvlText w:val="%1.%2.%3.%4.%5.%6.%7.%8"/>
      <w:lvlJc w:val="left"/>
      <w:pPr>
        <w:ind w:left="0" w:firstLine="0"/>
      </w:pPr>
      <w:rPr>
        <w:rFonts w:hint="default"/>
      </w:rPr>
    </w:lvl>
    <w:lvl w:ilvl="8" w:tentative="0">
      <w:start w:val="1"/>
      <w:numFmt w:val="decimal"/>
      <w:isLgl/>
      <w:lvlText w:val="%1.%2.%3.%4.%5.%6.%7.%8.%9"/>
      <w:lvlJc w:val="left"/>
      <w:pPr>
        <w:ind w:left="0" w:firstLine="0"/>
      </w:pPr>
      <w:rPr>
        <w:rFonts w:hint="default"/>
      </w:rPr>
    </w:lvl>
  </w:abstractNum>
  <w:abstractNum w:abstractNumId="23">
    <w:nsid w:val="50FD5345"/>
    <w:multiLevelType w:val="multilevel"/>
    <w:tmpl w:val="50FD5345"/>
    <w:lvl w:ilvl="0" w:tentative="0">
      <w:start w:val="1"/>
      <w:numFmt w:val="decimal"/>
      <w:pStyle w:val="83"/>
      <w:suff w:val="nothing"/>
      <w:lvlText w:val="%1、"/>
      <w:lvlJc w:val="left"/>
      <w:pPr>
        <w:ind w:left="0" w:firstLine="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9C5A955"/>
    <w:multiLevelType w:val="singleLevel"/>
    <w:tmpl w:val="59C5A955"/>
    <w:lvl w:ilvl="0" w:tentative="0">
      <w:start w:val="1"/>
      <w:numFmt w:val="decimalEnclosedCircleChinese"/>
      <w:suff w:val="nothing"/>
      <w:lvlText w:val="%1　"/>
      <w:lvlJc w:val="left"/>
      <w:pPr>
        <w:ind w:left="0" w:firstLine="400"/>
      </w:pPr>
      <w:rPr>
        <w:rFonts w:hint="eastAsia"/>
      </w:rPr>
    </w:lvl>
  </w:abstractNum>
  <w:abstractNum w:abstractNumId="25">
    <w:nsid w:val="6B5277C9"/>
    <w:multiLevelType w:val="multilevel"/>
    <w:tmpl w:val="6B5277C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6">
    <w:nsid w:val="70F07ABE"/>
    <w:multiLevelType w:val="multilevel"/>
    <w:tmpl w:val="70F07ABE"/>
    <w:lvl w:ilvl="0" w:tentative="0">
      <w:start w:val="1"/>
      <w:numFmt w:val="decimal"/>
      <w:pStyle w:val="88"/>
      <w:suff w:val="nothing"/>
      <w:lvlText w:val="（%1）"/>
      <w:lvlJc w:val="left"/>
      <w:pPr>
        <w:ind w:left="0" w:firstLine="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72AA8BAE"/>
    <w:multiLevelType w:val="singleLevel"/>
    <w:tmpl w:val="72AA8BAE"/>
    <w:lvl w:ilvl="0" w:tentative="0">
      <w:start w:val="1"/>
      <w:numFmt w:val="decimal"/>
      <w:suff w:val="nothing"/>
      <w:lvlText w:val="（%1）"/>
      <w:lvlJc w:val="left"/>
      <w:pPr>
        <w:ind w:left="0" w:firstLine="0"/>
      </w:pPr>
    </w:lvl>
  </w:abstractNum>
  <w:abstractNum w:abstractNumId="28">
    <w:nsid w:val="790C0EF6"/>
    <w:multiLevelType w:val="multilevel"/>
    <w:tmpl w:val="790C0EF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2"/>
  </w:num>
  <w:num w:numId="2">
    <w:abstractNumId w:val="10"/>
  </w:num>
  <w:num w:numId="3">
    <w:abstractNumId w:val="23"/>
  </w:num>
  <w:num w:numId="4">
    <w:abstractNumId w:val="26"/>
  </w:num>
  <w:num w:numId="5">
    <w:abstractNumId w:val="2"/>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3"/>
  </w:num>
  <w:num w:numId="12">
    <w:abstractNumId w:val="1"/>
  </w:num>
  <w:num w:numId="13">
    <w:abstractNumId w:val="5"/>
  </w:num>
  <w:num w:numId="14">
    <w:abstractNumId w:val="21"/>
  </w:num>
  <w:num w:numId="15">
    <w:abstractNumId w:val="11"/>
  </w:num>
  <w:num w:numId="16">
    <w:abstractNumId w:val="24"/>
  </w:num>
  <w:num w:numId="17">
    <w:abstractNumId w:val="6"/>
  </w:num>
  <w:num w:numId="18">
    <w:abstractNumId w:val="4"/>
  </w:num>
  <w:num w:numId="19">
    <w:abstractNumId w:val="15"/>
  </w:num>
  <w:num w:numId="20">
    <w:abstractNumId w:val="8"/>
  </w:num>
  <w:num w:numId="21">
    <w:abstractNumId w:val="17"/>
  </w:num>
  <w:num w:numId="22">
    <w:abstractNumId w:val="0"/>
  </w:num>
  <w:num w:numId="23">
    <w:abstractNumId w:val="19"/>
  </w:num>
  <w:num w:numId="24">
    <w:abstractNumId w:val="20"/>
  </w:num>
  <w:num w:numId="25">
    <w:abstractNumId w:val="16"/>
  </w:num>
  <w:num w:numId="26">
    <w:abstractNumId w:val="13"/>
  </w:num>
  <w:num w:numId="27">
    <w:abstractNumId w:val="26"/>
    <w:lvlOverride w:ilvl="0">
      <w:startOverride w:val="1"/>
    </w:lvlOverride>
  </w:num>
  <w:num w:numId="28">
    <w:abstractNumId w:val="9"/>
  </w:num>
  <w:num w:numId="29">
    <w:abstractNumId w:val="7"/>
  </w:num>
  <w:num w:numId="30">
    <w:abstractNumId w:val="25"/>
  </w:num>
  <w:num w:numId="31">
    <w:abstractNumId w:val="12"/>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27"/>
    <w:lvlOverride w:ilvl="0">
      <w:startOverride w:val="1"/>
    </w:lvlOverride>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xMTExNTU5NTBmODQwYmFiZDBlYjRkYWJiMzliYzcifQ=="/>
  </w:docVars>
  <w:rsids>
    <w:rsidRoot w:val="00172A27"/>
    <w:rsid w:val="00000029"/>
    <w:rsid w:val="00000FB1"/>
    <w:rsid w:val="00001674"/>
    <w:rsid w:val="00001733"/>
    <w:rsid w:val="000023D0"/>
    <w:rsid w:val="00002A38"/>
    <w:rsid w:val="00004093"/>
    <w:rsid w:val="00006A69"/>
    <w:rsid w:val="0001009A"/>
    <w:rsid w:val="000112F2"/>
    <w:rsid w:val="00013146"/>
    <w:rsid w:val="00014B5C"/>
    <w:rsid w:val="00015CD6"/>
    <w:rsid w:val="00016215"/>
    <w:rsid w:val="000162F6"/>
    <w:rsid w:val="00020314"/>
    <w:rsid w:val="0002094E"/>
    <w:rsid w:val="00020FC9"/>
    <w:rsid w:val="000224BA"/>
    <w:rsid w:val="00022A97"/>
    <w:rsid w:val="00023A2A"/>
    <w:rsid w:val="00023CA1"/>
    <w:rsid w:val="00026C8F"/>
    <w:rsid w:val="00026D45"/>
    <w:rsid w:val="00030AC0"/>
    <w:rsid w:val="00031C95"/>
    <w:rsid w:val="00031D21"/>
    <w:rsid w:val="0003233C"/>
    <w:rsid w:val="00033180"/>
    <w:rsid w:val="0003530A"/>
    <w:rsid w:val="00035ADA"/>
    <w:rsid w:val="00036E5D"/>
    <w:rsid w:val="000371B6"/>
    <w:rsid w:val="00037FD6"/>
    <w:rsid w:val="00040668"/>
    <w:rsid w:val="0004324E"/>
    <w:rsid w:val="0004420F"/>
    <w:rsid w:val="00044DC3"/>
    <w:rsid w:val="00047D66"/>
    <w:rsid w:val="00050B82"/>
    <w:rsid w:val="00050EF8"/>
    <w:rsid w:val="000519E3"/>
    <w:rsid w:val="00052555"/>
    <w:rsid w:val="000536F6"/>
    <w:rsid w:val="000539E7"/>
    <w:rsid w:val="00053BC3"/>
    <w:rsid w:val="00055825"/>
    <w:rsid w:val="000562C5"/>
    <w:rsid w:val="0005660D"/>
    <w:rsid w:val="0005680F"/>
    <w:rsid w:val="000606B7"/>
    <w:rsid w:val="00060CA9"/>
    <w:rsid w:val="0006113B"/>
    <w:rsid w:val="00061784"/>
    <w:rsid w:val="00061E6F"/>
    <w:rsid w:val="0006215F"/>
    <w:rsid w:val="0006444E"/>
    <w:rsid w:val="000648C8"/>
    <w:rsid w:val="000648E9"/>
    <w:rsid w:val="00066A51"/>
    <w:rsid w:val="0007002F"/>
    <w:rsid w:val="000720D0"/>
    <w:rsid w:val="00074142"/>
    <w:rsid w:val="0007477E"/>
    <w:rsid w:val="00074E8A"/>
    <w:rsid w:val="00075D30"/>
    <w:rsid w:val="00076518"/>
    <w:rsid w:val="00076CAE"/>
    <w:rsid w:val="00081D85"/>
    <w:rsid w:val="00081F57"/>
    <w:rsid w:val="000827B3"/>
    <w:rsid w:val="00083B51"/>
    <w:rsid w:val="00083B8C"/>
    <w:rsid w:val="0008404A"/>
    <w:rsid w:val="00086CD4"/>
    <w:rsid w:val="0008720E"/>
    <w:rsid w:val="00087327"/>
    <w:rsid w:val="00087972"/>
    <w:rsid w:val="0009010D"/>
    <w:rsid w:val="00090740"/>
    <w:rsid w:val="00091E2A"/>
    <w:rsid w:val="000928B0"/>
    <w:rsid w:val="00092EDF"/>
    <w:rsid w:val="00092F5B"/>
    <w:rsid w:val="00092F62"/>
    <w:rsid w:val="00094315"/>
    <w:rsid w:val="00094857"/>
    <w:rsid w:val="00096844"/>
    <w:rsid w:val="00096AF3"/>
    <w:rsid w:val="000A05C2"/>
    <w:rsid w:val="000A1E1F"/>
    <w:rsid w:val="000A3576"/>
    <w:rsid w:val="000A7CBD"/>
    <w:rsid w:val="000A7CF3"/>
    <w:rsid w:val="000B056D"/>
    <w:rsid w:val="000B3372"/>
    <w:rsid w:val="000B4FC6"/>
    <w:rsid w:val="000B5846"/>
    <w:rsid w:val="000B5B32"/>
    <w:rsid w:val="000B6269"/>
    <w:rsid w:val="000B6DC5"/>
    <w:rsid w:val="000C11EF"/>
    <w:rsid w:val="000C18E8"/>
    <w:rsid w:val="000C2A80"/>
    <w:rsid w:val="000C44DC"/>
    <w:rsid w:val="000C54A9"/>
    <w:rsid w:val="000C5D05"/>
    <w:rsid w:val="000C70E7"/>
    <w:rsid w:val="000D1464"/>
    <w:rsid w:val="000D2515"/>
    <w:rsid w:val="000D3C80"/>
    <w:rsid w:val="000D5128"/>
    <w:rsid w:val="000D564C"/>
    <w:rsid w:val="000D65F4"/>
    <w:rsid w:val="000D77D8"/>
    <w:rsid w:val="000E202B"/>
    <w:rsid w:val="000E20FE"/>
    <w:rsid w:val="000E2245"/>
    <w:rsid w:val="000E2CB7"/>
    <w:rsid w:val="000E2D68"/>
    <w:rsid w:val="000E3D32"/>
    <w:rsid w:val="000E4164"/>
    <w:rsid w:val="000E4487"/>
    <w:rsid w:val="000E4D94"/>
    <w:rsid w:val="000E564B"/>
    <w:rsid w:val="000E6DDB"/>
    <w:rsid w:val="000E6F8D"/>
    <w:rsid w:val="000E7257"/>
    <w:rsid w:val="000E7937"/>
    <w:rsid w:val="000F0B4F"/>
    <w:rsid w:val="000F0DEA"/>
    <w:rsid w:val="000F0E26"/>
    <w:rsid w:val="000F158F"/>
    <w:rsid w:val="000F24B2"/>
    <w:rsid w:val="000F2CB0"/>
    <w:rsid w:val="000F632E"/>
    <w:rsid w:val="000F6AFA"/>
    <w:rsid w:val="000F7ACF"/>
    <w:rsid w:val="0010034F"/>
    <w:rsid w:val="00100E25"/>
    <w:rsid w:val="00103AB9"/>
    <w:rsid w:val="00106402"/>
    <w:rsid w:val="00106E5B"/>
    <w:rsid w:val="001101E7"/>
    <w:rsid w:val="0011046E"/>
    <w:rsid w:val="00111CA8"/>
    <w:rsid w:val="00113105"/>
    <w:rsid w:val="00114114"/>
    <w:rsid w:val="00114184"/>
    <w:rsid w:val="00115533"/>
    <w:rsid w:val="00115643"/>
    <w:rsid w:val="001166E1"/>
    <w:rsid w:val="0012016E"/>
    <w:rsid w:val="0012018E"/>
    <w:rsid w:val="001227EB"/>
    <w:rsid w:val="00123E2B"/>
    <w:rsid w:val="00124D2C"/>
    <w:rsid w:val="001251CE"/>
    <w:rsid w:val="0012580D"/>
    <w:rsid w:val="001258A3"/>
    <w:rsid w:val="001260CF"/>
    <w:rsid w:val="0012646F"/>
    <w:rsid w:val="00131D66"/>
    <w:rsid w:val="001323B5"/>
    <w:rsid w:val="00134709"/>
    <w:rsid w:val="001364D1"/>
    <w:rsid w:val="00136685"/>
    <w:rsid w:val="00136A4C"/>
    <w:rsid w:val="00137D2E"/>
    <w:rsid w:val="001416EC"/>
    <w:rsid w:val="00141887"/>
    <w:rsid w:val="001425E2"/>
    <w:rsid w:val="0014318E"/>
    <w:rsid w:val="001432B1"/>
    <w:rsid w:val="001443A9"/>
    <w:rsid w:val="0014520E"/>
    <w:rsid w:val="00145E2F"/>
    <w:rsid w:val="00146122"/>
    <w:rsid w:val="0014686A"/>
    <w:rsid w:val="00146E46"/>
    <w:rsid w:val="00147618"/>
    <w:rsid w:val="00151B5C"/>
    <w:rsid w:val="00153A38"/>
    <w:rsid w:val="0015503A"/>
    <w:rsid w:val="00155488"/>
    <w:rsid w:val="001554EA"/>
    <w:rsid w:val="00156329"/>
    <w:rsid w:val="001564EE"/>
    <w:rsid w:val="00156818"/>
    <w:rsid w:val="00156B17"/>
    <w:rsid w:val="00160ED4"/>
    <w:rsid w:val="00161DAA"/>
    <w:rsid w:val="001626A4"/>
    <w:rsid w:val="001627FB"/>
    <w:rsid w:val="00163169"/>
    <w:rsid w:val="0016539E"/>
    <w:rsid w:val="0016562A"/>
    <w:rsid w:val="00165787"/>
    <w:rsid w:val="00166473"/>
    <w:rsid w:val="0016739C"/>
    <w:rsid w:val="00167B26"/>
    <w:rsid w:val="00171D44"/>
    <w:rsid w:val="0017269B"/>
    <w:rsid w:val="00172A27"/>
    <w:rsid w:val="00173C2E"/>
    <w:rsid w:val="0017613A"/>
    <w:rsid w:val="00177F75"/>
    <w:rsid w:val="0018190C"/>
    <w:rsid w:val="00182877"/>
    <w:rsid w:val="001829B1"/>
    <w:rsid w:val="00183852"/>
    <w:rsid w:val="00184D18"/>
    <w:rsid w:val="00184DC8"/>
    <w:rsid w:val="00186CB4"/>
    <w:rsid w:val="00187CBB"/>
    <w:rsid w:val="00187EBC"/>
    <w:rsid w:val="0019039B"/>
    <w:rsid w:val="00190497"/>
    <w:rsid w:val="001918EF"/>
    <w:rsid w:val="00191EC0"/>
    <w:rsid w:val="00191F86"/>
    <w:rsid w:val="00192F49"/>
    <w:rsid w:val="001947C3"/>
    <w:rsid w:val="001950EC"/>
    <w:rsid w:val="001A0A9B"/>
    <w:rsid w:val="001A2F59"/>
    <w:rsid w:val="001A3232"/>
    <w:rsid w:val="001A3F83"/>
    <w:rsid w:val="001A4708"/>
    <w:rsid w:val="001A4987"/>
    <w:rsid w:val="001A69A0"/>
    <w:rsid w:val="001A7090"/>
    <w:rsid w:val="001A7237"/>
    <w:rsid w:val="001B1C68"/>
    <w:rsid w:val="001B2580"/>
    <w:rsid w:val="001B27A9"/>
    <w:rsid w:val="001B4049"/>
    <w:rsid w:val="001B7D06"/>
    <w:rsid w:val="001C0ACB"/>
    <w:rsid w:val="001C1421"/>
    <w:rsid w:val="001C1588"/>
    <w:rsid w:val="001C237C"/>
    <w:rsid w:val="001C2F57"/>
    <w:rsid w:val="001C485C"/>
    <w:rsid w:val="001C4C41"/>
    <w:rsid w:val="001C54FD"/>
    <w:rsid w:val="001C6DF3"/>
    <w:rsid w:val="001C6FF2"/>
    <w:rsid w:val="001C7301"/>
    <w:rsid w:val="001C79E0"/>
    <w:rsid w:val="001C7D12"/>
    <w:rsid w:val="001D06D1"/>
    <w:rsid w:val="001D0945"/>
    <w:rsid w:val="001D33A5"/>
    <w:rsid w:val="001D40B3"/>
    <w:rsid w:val="001D45E1"/>
    <w:rsid w:val="001D4EBA"/>
    <w:rsid w:val="001D525D"/>
    <w:rsid w:val="001E12C7"/>
    <w:rsid w:val="001E1E03"/>
    <w:rsid w:val="001E2CB9"/>
    <w:rsid w:val="001E335E"/>
    <w:rsid w:val="001E45BF"/>
    <w:rsid w:val="001E5DAE"/>
    <w:rsid w:val="001E65D2"/>
    <w:rsid w:val="001E6DFF"/>
    <w:rsid w:val="001E7241"/>
    <w:rsid w:val="001F1C73"/>
    <w:rsid w:val="001F1FFB"/>
    <w:rsid w:val="001F2166"/>
    <w:rsid w:val="001F3F8B"/>
    <w:rsid w:val="001F42FD"/>
    <w:rsid w:val="001F5E9B"/>
    <w:rsid w:val="001F6E94"/>
    <w:rsid w:val="002004A3"/>
    <w:rsid w:val="00200AFB"/>
    <w:rsid w:val="0020241C"/>
    <w:rsid w:val="00204600"/>
    <w:rsid w:val="00204AF5"/>
    <w:rsid w:val="002055C2"/>
    <w:rsid w:val="00210A8A"/>
    <w:rsid w:val="00211968"/>
    <w:rsid w:val="00211D13"/>
    <w:rsid w:val="00211D74"/>
    <w:rsid w:val="00215491"/>
    <w:rsid w:val="00215F01"/>
    <w:rsid w:val="002166F6"/>
    <w:rsid w:val="00216E52"/>
    <w:rsid w:val="0022086B"/>
    <w:rsid w:val="00221BFE"/>
    <w:rsid w:val="00225C51"/>
    <w:rsid w:val="00227B19"/>
    <w:rsid w:val="0023197A"/>
    <w:rsid w:val="00234C8B"/>
    <w:rsid w:val="00234F0A"/>
    <w:rsid w:val="00235286"/>
    <w:rsid w:val="00236436"/>
    <w:rsid w:val="00236893"/>
    <w:rsid w:val="00236A11"/>
    <w:rsid w:val="00236DDF"/>
    <w:rsid w:val="00236E65"/>
    <w:rsid w:val="002377F6"/>
    <w:rsid w:val="00240BFD"/>
    <w:rsid w:val="00242906"/>
    <w:rsid w:val="0024379A"/>
    <w:rsid w:val="00243AA0"/>
    <w:rsid w:val="00245D80"/>
    <w:rsid w:val="00247054"/>
    <w:rsid w:val="00250DE8"/>
    <w:rsid w:val="0025388F"/>
    <w:rsid w:val="00253DA0"/>
    <w:rsid w:val="00253ED3"/>
    <w:rsid w:val="00254A40"/>
    <w:rsid w:val="00255940"/>
    <w:rsid w:val="00256414"/>
    <w:rsid w:val="002600D7"/>
    <w:rsid w:val="00260450"/>
    <w:rsid w:val="002617E1"/>
    <w:rsid w:val="00262420"/>
    <w:rsid w:val="0026315E"/>
    <w:rsid w:val="00263532"/>
    <w:rsid w:val="00263D16"/>
    <w:rsid w:val="002644CB"/>
    <w:rsid w:val="002653E4"/>
    <w:rsid w:val="00266216"/>
    <w:rsid w:val="00267E93"/>
    <w:rsid w:val="0027065B"/>
    <w:rsid w:val="00270B34"/>
    <w:rsid w:val="00271476"/>
    <w:rsid w:val="00271BE7"/>
    <w:rsid w:val="00272714"/>
    <w:rsid w:val="00272F5B"/>
    <w:rsid w:val="0027433A"/>
    <w:rsid w:val="00274F1A"/>
    <w:rsid w:val="00275EAA"/>
    <w:rsid w:val="00276B29"/>
    <w:rsid w:val="00277910"/>
    <w:rsid w:val="00277B7B"/>
    <w:rsid w:val="00280570"/>
    <w:rsid w:val="00281D36"/>
    <w:rsid w:val="00282EAD"/>
    <w:rsid w:val="00283CDC"/>
    <w:rsid w:val="0028479A"/>
    <w:rsid w:val="00285396"/>
    <w:rsid w:val="002857C0"/>
    <w:rsid w:val="00286A15"/>
    <w:rsid w:val="00286B5C"/>
    <w:rsid w:val="002873C3"/>
    <w:rsid w:val="0028756C"/>
    <w:rsid w:val="00287A13"/>
    <w:rsid w:val="00287B61"/>
    <w:rsid w:val="0029039B"/>
    <w:rsid w:val="002906FE"/>
    <w:rsid w:val="00291D7F"/>
    <w:rsid w:val="002925B1"/>
    <w:rsid w:val="00292755"/>
    <w:rsid w:val="00295790"/>
    <w:rsid w:val="00295FE2"/>
    <w:rsid w:val="00297E07"/>
    <w:rsid w:val="00297F07"/>
    <w:rsid w:val="002A14EE"/>
    <w:rsid w:val="002A2B58"/>
    <w:rsid w:val="002A4CE4"/>
    <w:rsid w:val="002A7328"/>
    <w:rsid w:val="002A77FF"/>
    <w:rsid w:val="002B0A84"/>
    <w:rsid w:val="002B2559"/>
    <w:rsid w:val="002B2E32"/>
    <w:rsid w:val="002B2FEB"/>
    <w:rsid w:val="002B3482"/>
    <w:rsid w:val="002B4845"/>
    <w:rsid w:val="002B4E54"/>
    <w:rsid w:val="002B68B7"/>
    <w:rsid w:val="002B758B"/>
    <w:rsid w:val="002C1959"/>
    <w:rsid w:val="002C1D98"/>
    <w:rsid w:val="002C2298"/>
    <w:rsid w:val="002C2F67"/>
    <w:rsid w:val="002C36EB"/>
    <w:rsid w:val="002C3FEC"/>
    <w:rsid w:val="002C4392"/>
    <w:rsid w:val="002D003E"/>
    <w:rsid w:val="002D0740"/>
    <w:rsid w:val="002D08C3"/>
    <w:rsid w:val="002D2536"/>
    <w:rsid w:val="002D6250"/>
    <w:rsid w:val="002D6394"/>
    <w:rsid w:val="002D6B96"/>
    <w:rsid w:val="002E0085"/>
    <w:rsid w:val="002E0C8C"/>
    <w:rsid w:val="002E0EE2"/>
    <w:rsid w:val="002E2F58"/>
    <w:rsid w:val="002E30A7"/>
    <w:rsid w:val="002E39A7"/>
    <w:rsid w:val="002E43FC"/>
    <w:rsid w:val="002E451D"/>
    <w:rsid w:val="002E4BF8"/>
    <w:rsid w:val="002E6143"/>
    <w:rsid w:val="002E61C8"/>
    <w:rsid w:val="002F04A0"/>
    <w:rsid w:val="002F2156"/>
    <w:rsid w:val="002F279D"/>
    <w:rsid w:val="002F3117"/>
    <w:rsid w:val="002F4858"/>
    <w:rsid w:val="002F5611"/>
    <w:rsid w:val="002F689E"/>
    <w:rsid w:val="002F7CCE"/>
    <w:rsid w:val="002F7CF9"/>
    <w:rsid w:val="00300E6F"/>
    <w:rsid w:val="003028BE"/>
    <w:rsid w:val="00302988"/>
    <w:rsid w:val="0030352A"/>
    <w:rsid w:val="00303FCB"/>
    <w:rsid w:val="003047D7"/>
    <w:rsid w:val="003066F8"/>
    <w:rsid w:val="0031031A"/>
    <w:rsid w:val="00311D3B"/>
    <w:rsid w:val="00311FEC"/>
    <w:rsid w:val="0031358E"/>
    <w:rsid w:val="00314EED"/>
    <w:rsid w:val="00314FFB"/>
    <w:rsid w:val="003172C9"/>
    <w:rsid w:val="00317438"/>
    <w:rsid w:val="003176D8"/>
    <w:rsid w:val="003212B0"/>
    <w:rsid w:val="003245B6"/>
    <w:rsid w:val="003312D5"/>
    <w:rsid w:val="003319B6"/>
    <w:rsid w:val="00332855"/>
    <w:rsid w:val="0033298B"/>
    <w:rsid w:val="003333BF"/>
    <w:rsid w:val="003340A4"/>
    <w:rsid w:val="003350F1"/>
    <w:rsid w:val="003363A9"/>
    <w:rsid w:val="003367E2"/>
    <w:rsid w:val="00340244"/>
    <w:rsid w:val="00340C42"/>
    <w:rsid w:val="00343174"/>
    <w:rsid w:val="00343B98"/>
    <w:rsid w:val="00344A69"/>
    <w:rsid w:val="00345BE4"/>
    <w:rsid w:val="00347E2C"/>
    <w:rsid w:val="00347E5F"/>
    <w:rsid w:val="00350305"/>
    <w:rsid w:val="0035094D"/>
    <w:rsid w:val="003519B3"/>
    <w:rsid w:val="00351B21"/>
    <w:rsid w:val="003522F2"/>
    <w:rsid w:val="00353774"/>
    <w:rsid w:val="003565F3"/>
    <w:rsid w:val="00356632"/>
    <w:rsid w:val="00357904"/>
    <w:rsid w:val="003603B3"/>
    <w:rsid w:val="00360A33"/>
    <w:rsid w:val="003618C6"/>
    <w:rsid w:val="00361FA9"/>
    <w:rsid w:val="0036383C"/>
    <w:rsid w:val="0036458E"/>
    <w:rsid w:val="00364E2E"/>
    <w:rsid w:val="00365003"/>
    <w:rsid w:val="003657AD"/>
    <w:rsid w:val="00367E97"/>
    <w:rsid w:val="00370C38"/>
    <w:rsid w:val="0037299F"/>
    <w:rsid w:val="003740CC"/>
    <w:rsid w:val="003748F7"/>
    <w:rsid w:val="00375333"/>
    <w:rsid w:val="00375659"/>
    <w:rsid w:val="003767B8"/>
    <w:rsid w:val="003778B1"/>
    <w:rsid w:val="00377AF9"/>
    <w:rsid w:val="00377DD7"/>
    <w:rsid w:val="003821A3"/>
    <w:rsid w:val="003828A6"/>
    <w:rsid w:val="00383701"/>
    <w:rsid w:val="00391022"/>
    <w:rsid w:val="00392157"/>
    <w:rsid w:val="003921C0"/>
    <w:rsid w:val="00393316"/>
    <w:rsid w:val="003934B1"/>
    <w:rsid w:val="003936E5"/>
    <w:rsid w:val="00393A8A"/>
    <w:rsid w:val="003945BC"/>
    <w:rsid w:val="003947D6"/>
    <w:rsid w:val="003966B2"/>
    <w:rsid w:val="00396CF6"/>
    <w:rsid w:val="003A094D"/>
    <w:rsid w:val="003A099C"/>
    <w:rsid w:val="003A305A"/>
    <w:rsid w:val="003A32F7"/>
    <w:rsid w:val="003A4BBF"/>
    <w:rsid w:val="003A6C2E"/>
    <w:rsid w:val="003A6DA4"/>
    <w:rsid w:val="003A7173"/>
    <w:rsid w:val="003A7934"/>
    <w:rsid w:val="003A7A5C"/>
    <w:rsid w:val="003B06A2"/>
    <w:rsid w:val="003B0BC4"/>
    <w:rsid w:val="003B0E80"/>
    <w:rsid w:val="003B0EBD"/>
    <w:rsid w:val="003B3F62"/>
    <w:rsid w:val="003B7DBC"/>
    <w:rsid w:val="003C0CC5"/>
    <w:rsid w:val="003C1DFC"/>
    <w:rsid w:val="003C23A2"/>
    <w:rsid w:val="003C27D5"/>
    <w:rsid w:val="003C3C65"/>
    <w:rsid w:val="003C4585"/>
    <w:rsid w:val="003C72CF"/>
    <w:rsid w:val="003C7477"/>
    <w:rsid w:val="003C7735"/>
    <w:rsid w:val="003D0093"/>
    <w:rsid w:val="003D0852"/>
    <w:rsid w:val="003D0967"/>
    <w:rsid w:val="003D15B6"/>
    <w:rsid w:val="003D3944"/>
    <w:rsid w:val="003D4848"/>
    <w:rsid w:val="003D624F"/>
    <w:rsid w:val="003D7458"/>
    <w:rsid w:val="003E1A51"/>
    <w:rsid w:val="003E367B"/>
    <w:rsid w:val="003E3DD0"/>
    <w:rsid w:val="003E3E75"/>
    <w:rsid w:val="003E4A37"/>
    <w:rsid w:val="003E4AF4"/>
    <w:rsid w:val="003E4DFF"/>
    <w:rsid w:val="003E63B1"/>
    <w:rsid w:val="003E65AF"/>
    <w:rsid w:val="003E71FB"/>
    <w:rsid w:val="003E7B9C"/>
    <w:rsid w:val="003F309A"/>
    <w:rsid w:val="003F3422"/>
    <w:rsid w:val="003F3ACE"/>
    <w:rsid w:val="003F4AD8"/>
    <w:rsid w:val="003F7F48"/>
    <w:rsid w:val="00400280"/>
    <w:rsid w:val="00401784"/>
    <w:rsid w:val="00401D9D"/>
    <w:rsid w:val="00401EBA"/>
    <w:rsid w:val="004031AA"/>
    <w:rsid w:val="004049C4"/>
    <w:rsid w:val="00405FBF"/>
    <w:rsid w:val="00406266"/>
    <w:rsid w:val="004101D4"/>
    <w:rsid w:val="00410293"/>
    <w:rsid w:val="0041117D"/>
    <w:rsid w:val="004122BB"/>
    <w:rsid w:val="00412D71"/>
    <w:rsid w:val="004138FE"/>
    <w:rsid w:val="004218DB"/>
    <w:rsid w:val="004225C7"/>
    <w:rsid w:val="00422C03"/>
    <w:rsid w:val="00423BD6"/>
    <w:rsid w:val="00425E28"/>
    <w:rsid w:val="0042641C"/>
    <w:rsid w:val="00430E85"/>
    <w:rsid w:val="00432E1A"/>
    <w:rsid w:val="00433214"/>
    <w:rsid w:val="00433B7F"/>
    <w:rsid w:val="00435D23"/>
    <w:rsid w:val="00436502"/>
    <w:rsid w:val="00440D12"/>
    <w:rsid w:val="0044142F"/>
    <w:rsid w:val="004416F6"/>
    <w:rsid w:val="0044199A"/>
    <w:rsid w:val="00442CB1"/>
    <w:rsid w:val="00443549"/>
    <w:rsid w:val="00444176"/>
    <w:rsid w:val="00444197"/>
    <w:rsid w:val="00444DEC"/>
    <w:rsid w:val="00446236"/>
    <w:rsid w:val="00446C28"/>
    <w:rsid w:val="00446F69"/>
    <w:rsid w:val="004478F8"/>
    <w:rsid w:val="00447C2F"/>
    <w:rsid w:val="004514F2"/>
    <w:rsid w:val="00451EEE"/>
    <w:rsid w:val="004522D6"/>
    <w:rsid w:val="00452E9D"/>
    <w:rsid w:val="00452FB9"/>
    <w:rsid w:val="00454268"/>
    <w:rsid w:val="00454401"/>
    <w:rsid w:val="004544FA"/>
    <w:rsid w:val="00454F79"/>
    <w:rsid w:val="004557EF"/>
    <w:rsid w:val="0045619D"/>
    <w:rsid w:val="0045676F"/>
    <w:rsid w:val="00462A4C"/>
    <w:rsid w:val="00463C49"/>
    <w:rsid w:val="004642A2"/>
    <w:rsid w:val="004644BC"/>
    <w:rsid w:val="00466173"/>
    <w:rsid w:val="004663D7"/>
    <w:rsid w:val="00467A97"/>
    <w:rsid w:val="00470C3F"/>
    <w:rsid w:val="00472FD7"/>
    <w:rsid w:val="00474598"/>
    <w:rsid w:val="00475452"/>
    <w:rsid w:val="004758DD"/>
    <w:rsid w:val="004759D4"/>
    <w:rsid w:val="004770B2"/>
    <w:rsid w:val="00477F4E"/>
    <w:rsid w:val="004803AE"/>
    <w:rsid w:val="00482C71"/>
    <w:rsid w:val="00482F49"/>
    <w:rsid w:val="004849AB"/>
    <w:rsid w:val="00485635"/>
    <w:rsid w:val="004866C2"/>
    <w:rsid w:val="0048693D"/>
    <w:rsid w:val="00486F8E"/>
    <w:rsid w:val="00487019"/>
    <w:rsid w:val="00487707"/>
    <w:rsid w:val="0049093C"/>
    <w:rsid w:val="004914EF"/>
    <w:rsid w:val="00491BC2"/>
    <w:rsid w:val="00492829"/>
    <w:rsid w:val="00492A38"/>
    <w:rsid w:val="004943CA"/>
    <w:rsid w:val="00495378"/>
    <w:rsid w:val="00497088"/>
    <w:rsid w:val="004A14ED"/>
    <w:rsid w:val="004A3464"/>
    <w:rsid w:val="004A42A0"/>
    <w:rsid w:val="004A46D1"/>
    <w:rsid w:val="004A4F6C"/>
    <w:rsid w:val="004A6E8F"/>
    <w:rsid w:val="004B0003"/>
    <w:rsid w:val="004B13FC"/>
    <w:rsid w:val="004B2777"/>
    <w:rsid w:val="004B402B"/>
    <w:rsid w:val="004B41B1"/>
    <w:rsid w:val="004B7439"/>
    <w:rsid w:val="004B7994"/>
    <w:rsid w:val="004B7D28"/>
    <w:rsid w:val="004C09E7"/>
    <w:rsid w:val="004C0C48"/>
    <w:rsid w:val="004C21D8"/>
    <w:rsid w:val="004C31ED"/>
    <w:rsid w:val="004C36AC"/>
    <w:rsid w:val="004C46B5"/>
    <w:rsid w:val="004C4837"/>
    <w:rsid w:val="004C5582"/>
    <w:rsid w:val="004C69AB"/>
    <w:rsid w:val="004C6F65"/>
    <w:rsid w:val="004C7749"/>
    <w:rsid w:val="004C7E3C"/>
    <w:rsid w:val="004D0B94"/>
    <w:rsid w:val="004D1ADA"/>
    <w:rsid w:val="004D69D7"/>
    <w:rsid w:val="004E0775"/>
    <w:rsid w:val="004E1FC1"/>
    <w:rsid w:val="004E25DA"/>
    <w:rsid w:val="004E5892"/>
    <w:rsid w:val="004E59AA"/>
    <w:rsid w:val="004E617A"/>
    <w:rsid w:val="004E6C74"/>
    <w:rsid w:val="004E775C"/>
    <w:rsid w:val="004F0023"/>
    <w:rsid w:val="004F0236"/>
    <w:rsid w:val="004F26CB"/>
    <w:rsid w:val="004F354A"/>
    <w:rsid w:val="004F3DD5"/>
    <w:rsid w:val="004F61AC"/>
    <w:rsid w:val="004F64B7"/>
    <w:rsid w:val="004F6DB2"/>
    <w:rsid w:val="004F73A6"/>
    <w:rsid w:val="004F7466"/>
    <w:rsid w:val="00500941"/>
    <w:rsid w:val="00503439"/>
    <w:rsid w:val="0050412B"/>
    <w:rsid w:val="00504A80"/>
    <w:rsid w:val="00504CE2"/>
    <w:rsid w:val="00504D7A"/>
    <w:rsid w:val="00505076"/>
    <w:rsid w:val="005051AB"/>
    <w:rsid w:val="005073BC"/>
    <w:rsid w:val="005116F6"/>
    <w:rsid w:val="00511C2E"/>
    <w:rsid w:val="0051244C"/>
    <w:rsid w:val="00513520"/>
    <w:rsid w:val="0051489B"/>
    <w:rsid w:val="005158DC"/>
    <w:rsid w:val="00515A7D"/>
    <w:rsid w:val="00516DD0"/>
    <w:rsid w:val="005176C4"/>
    <w:rsid w:val="00520B52"/>
    <w:rsid w:val="00520B6D"/>
    <w:rsid w:val="005223E1"/>
    <w:rsid w:val="0052369D"/>
    <w:rsid w:val="00524423"/>
    <w:rsid w:val="005253BA"/>
    <w:rsid w:val="005255BF"/>
    <w:rsid w:val="0052649C"/>
    <w:rsid w:val="005308B5"/>
    <w:rsid w:val="00531562"/>
    <w:rsid w:val="0053261F"/>
    <w:rsid w:val="00532FD8"/>
    <w:rsid w:val="00534576"/>
    <w:rsid w:val="005361E1"/>
    <w:rsid w:val="00537788"/>
    <w:rsid w:val="00540E52"/>
    <w:rsid w:val="00541D2E"/>
    <w:rsid w:val="00542258"/>
    <w:rsid w:val="00543991"/>
    <w:rsid w:val="0054477F"/>
    <w:rsid w:val="00545A51"/>
    <w:rsid w:val="00545FF3"/>
    <w:rsid w:val="00546F21"/>
    <w:rsid w:val="00547D4C"/>
    <w:rsid w:val="005509BC"/>
    <w:rsid w:val="00551850"/>
    <w:rsid w:val="00551C1B"/>
    <w:rsid w:val="00551C1D"/>
    <w:rsid w:val="005579E2"/>
    <w:rsid w:val="00560243"/>
    <w:rsid w:val="00560612"/>
    <w:rsid w:val="00560637"/>
    <w:rsid w:val="005607BC"/>
    <w:rsid w:val="00560944"/>
    <w:rsid w:val="00561B79"/>
    <w:rsid w:val="00561CD3"/>
    <w:rsid w:val="0056247D"/>
    <w:rsid w:val="00563490"/>
    <w:rsid w:val="00564D23"/>
    <w:rsid w:val="005676F0"/>
    <w:rsid w:val="0057138F"/>
    <w:rsid w:val="005735A0"/>
    <w:rsid w:val="00573874"/>
    <w:rsid w:val="005749C4"/>
    <w:rsid w:val="00574FA6"/>
    <w:rsid w:val="00575ADD"/>
    <w:rsid w:val="00575AE9"/>
    <w:rsid w:val="005766AF"/>
    <w:rsid w:val="005767BC"/>
    <w:rsid w:val="00577272"/>
    <w:rsid w:val="00583384"/>
    <w:rsid w:val="00584239"/>
    <w:rsid w:val="0058480F"/>
    <w:rsid w:val="00585525"/>
    <w:rsid w:val="005862B5"/>
    <w:rsid w:val="005862C0"/>
    <w:rsid w:val="00587363"/>
    <w:rsid w:val="00590713"/>
    <w:rsid w:val="00590E71"/>
    <w:rsid w:val="00591401"/>
    <w:rsid w:val="0059237A"/>
    <w:rsid w:val="005923C3"/>
    <w:rsid w:val="005930C4"/>
    <w:rsid w:val="005932D4"/>
    <w:rsid w:val="005943FD"/>
    <w:rsid w:val="005945A6"/>
    <w:rsid w:val="0059508A"/>
    <w:rsid w:val="005955A8"/>
    <w:rsid w:val="00595D4B"/>
    <w:rsid w:val="005965AE"/>
    <w:rsid w:val="0059676B"/>
    <w:rsid w:val="005978B7"/>
    <w:rsid w:val="00597A20"/>
    <w:rsid w:val="005A54D1"/>
    <w:rsid w:val="005A5754"/>
    <w:rsid w:val="005A68B5"/>
    <w:rsid w:val="005A6DCE"/>
    <w:rsid w:val="005A6FC2"/>
    <w:rsid w:val="005B250B"/>
    <w:rsid w:val="005B2553"/>
    <w:rsid w:val="005B5583"/>
    <w:rsid w:val="005B73D3"/>
    <w:rsid w:val="005B7A83"/>
    <w:rsid w:val="005C0133"/>
    <w:rsid w:val="005C085F"/>
    <w:rsid w:val="005C1AFD"/>
    <w:rsid w:val="005C27BB"/>
    <w:rsid w:val="005C28DD"/>
    <w:rsid w:val="005C56DB"/>
    <w:rsid w:val="005C5A79"/>
    <w:rsid w:val="005C6965"/>
    <w:rsid w:val="005C7B00"/>
    <w:rsid w:val="005D0BEC"/>
    <w:rsid w:val="005D0E06"/>
    <w:rsid w:val="005D18EF"/>
    <w:rsid w:val="005D1A55"/>
    <w:rsid w:val="005D1F8E"/>
    <w:rsid w:val="005D2EA4"/>
    <w:rsid w:val="005D3085"/>
    <w:rsid w:val="005D4E96"/>
    <w:rsid w:val="005D5012"/>
    <w:rsid w:val="005D5191"/>
    <w:rsid w:val="005D5CC6"/>
    <w:rsid w:val="005D5F92"/>
    <w:rsid w:val="005E0E13"/>
    <w:rsid w:val="005E184E"/>
    <w:rsid w:val="005E2048"/>
    <w:rsid w:val="005E2C66"/>
    <w:rsid w:val="005E2D51"/>
    <w:rsid w:val="005E41A3"/>
    <w:rsid w:val="005E456F"/>
    <w:rsid w:val="005E46B6"/>
    <w:rsid w:val="005E4BAC"/>
    <w:rsid w:val="005E5AE6"/>
    <w:rsid w:val="005E5DF4"/>
    <w:rsid w:val="005E608A"/>
    <w:rsid w:val="005F1020"/>
    <w:rsid w:val="005F18E0"/>
    <w:rsid w:val="005F1F7E"/>
    <w:rsid w:val="005F4027"/>
    <w:rsid w:val="005F6A91"/>
    <w:rsid w:val="005F7928"/>
    <w:rsid w:val="0060055A"/>
    <w:rsid w:val="00601FF9"/>
    <w:rsid w:val="00603A6A"/>
    <w:rsid w:val="00603F52"/>
    <w:rsid w:val="006054CE"/>
    <w:rsid w:val="00605D73"/>
    <w:rsid w:val="00606A3F"/>
    <w:rsid w:val="0060744B"/>
    <w:rsid w:val="00611305"/>
    <w:rsid w:val="00612666"/>
    <w:rsid w:val="00613E25"/>
    <w:rsid w:val="00614210"/>
    <w:rsid w:val="00614F3C"/>
    <w:rsid w:val="00616E78"/>
    <w:rsid w:val="006173D3"/>
    <w:rsid w:val="00617C62"/>
    <w:rsid w:val="00621C86"/>
    <w:rsid w:val="006223FF"/>
    <w:rsid w:val="00623530"/>
    <w:rsid w:val="0062411C"/>
    <w:rsid w:val="00625A0F"/>
    <w:rsid w:val="00627E77"/>
    <w:rsid w:val="00632574"/>
    <w:rsid w:val="00633628"/>
    <w:rsid w:val="0063387B"/>
    <w:rsid w:val="006338CF"/>
    <w:rsid w:val="006341AB"/>
    <w:rsid w:val="006369CF"/>
    <w:rsid w:val="006374F0"/>
    <w:rsid w:val="006376B7"/>
    <w:rsid w:val="00637723"/>
    <w:rsid w:val="006377B3"/>
    <w:rsid w:val="00641A60"/>
    <w:rsid w:val="00641D87"/>
    <w:rsid w:val="00643E57"/>
    <w:rsid w:val="00645364"/>
    <w:rsid w:val="0064557D"/>
    <w:rsid w:val="006504D5"/>
    <w:rsid w:val="006508CB"/>
    <w:rsid w:val="00650CC6"/>
    <w:rsid w:val="006510C8"/>
    <w:rsid w:val="00651C45"/>
    <w:rsid w:val="00651F84"/>
    <w:rsid w:val="006525D8"/>
    <w:rsid w:val="006546DA"/>
    <w:rsid w:val="0065493B"/>
    <w:rsid w:val="006549D3"/>
    <w:rsid w:val="006552B1"/>
    <w:rsid w:val="006554CA"/>
    <w:rsid w:val="00655555"/>
    <w:rsid w:val="00656400"/>
    <w:rsid w:val="006567EE"/>
    <w:rsid w:val="006579B0"/>
    <w:rsid w:val="006600B0"/>
    <w:rsid w:val="00660B2D"/>
    <w:rsid w:val="00664438"/>
    <w:rsid w:val="0066477C"/>
    <w:rsid w:val="00665715"/>
    <w:rsid w:val="0066633B"/>
    <w:rsid w:val="0066687C"/>
    <w:rsid w:val="00667A65"/>
    <w:rsid w:val="00671AAA"/>
    <w:rsid w:val="006746DE"/>
    <w:rsid w:val="006759EA"/>
    <w:rsid w:val="006775D8"/>
    <w:rsid w:val="00677897"/>
    <w:rsid w:val="0067799B"/>
    <w:rsid w:val="00680370"/>
    <w:rsid w:val="00681D77"/>
    <w:rsid w:val="00681F62"/>
    <w:rsid w:val="00683512"/>
    <w:rsid w:val="00684B0E"/>
    <w:rsid w:val="00686F5A"/>
    <w:rsid w:val="0068796B"/>
    <w:rsid w:val="00687988"/>
    <w:rsid w:val="006906C0"/>
    <w:rsid w:val="00690997"/>
    <w:rsid w:val="00690BE1"/>
    <w:rsid w:val="006917FC"/>
    <w:rsid w:val="00692767"/>
    <w:rsid w:val="00692BAB"/>
    <w:rsid w:val="006941AF"/>
    <w:rsid w:val="00696AB0"/>
    <w:rsid w:val="006971B3"/>
    <w:rsid w:val="006973EE"/>
    <w:rsid w:val="00697AB9"/>
    <w:rsid w:val="00697F47"/>
    <w:rsid w:val="006A0FA0"/>
    <w:rsid w:val="006A3136"/>
    <w:rsid w:val="006A522B"/>
    <w:rsid w:val="006A6494"/>
    <w:rsid w:val="006A7213"/>
    <w:rsid w:val="006A753E"/>
    <w:rsid w:val="006A7D81"/>
    <w:rsid w:val="006B244F"/>
    <w:rsid w:val="006B301B"/>
    <w:rsid w:val="006B3580"/>
    <w:rsid w:val="006B3E2E"/>
    <w:rsid w:val="006B3F66"/>
    <w:rsid w:val="006B5224"/>
    <w:rsid w:val="006B534D"/>
    <w:rsid w:val="006B547F"/>
    <w:rsid w:val="006B615F"/>
    <w:rsid w:val="006B6626"/>
    <w:rsid w:val="006B70F1"/>
    <w:rsid w:val="006B724F"/>
    <w:rsid w:val="006C24AE"/>
    <w:rsid w:val="006C29BD"/>
    <w:rsid w:val="006C35A5"/>
    <w:rsid w:val="006C3D01"/>
    <w:rsid w:val="006C46F7"/>
    <w:rsid w:val="006C485A"/>
    <w:rsid w:val="006C518D"/>
    <w:rsid w:val="006C59AC"/>
    <w:rsid w:val="006C6846"/>
    <w:rsid w:val="006C7E4D"/>
    <w:rsid w:val="006D20D3"/>
    <w:rsid w:val="006D4EC3"/>
    <w:rsid w:val="006D60F8"/>
    <w:rsid w:val="006D690C"/>
    <w:rsid w:val="006D79CA"/>
    <w:rsid w:val="006E0F44"/>
    <w:rsid w:val="006E1922"/>
    <w:rsid w:val="006E2649"/>
    <w:rsid w:val="006E29D5"/>
    <w:rsid w:val="006E2BF1"/>
    <w:rsid w:val="006E2E1F"/>
    <w:rsid w:val="006E3103"/>
    <w:rsid w:val="006E3CDA"/>
    <w:rsid w:val="006E4393"/>
    <w:rsid w:val="006E44F6"/>
    <w:rsid w:val="006E6427"/>
    <w:rsid w:val="006E6E83"/>
    <w:rsid w:val="006F078D"/>
    <w:rsid w:val="006F1355"/>
    <w:rsid w:val="006F5070"/>
    <w:rsid w:val="006F580B"/>
    <w:rsid w:val="006F5D46"/>
    <w:rsid w:val="006F5F4A"/>
    <w:rsid w:val="006F6116"/>
    <w:rsid w:val="006F67AA"/>
    <w:rsid w:val="006F6FE2"/>
    <w:rsid w:val="006F7892"/>
    <w:rsid w:val="0070061D"/>
    <w:rsid w:val="007016F8"/>
    <w:rsid w:val="0070181C"/>
    <w:rsid w:val="007021A7"/>
    <w:rsid w:val="00702571"/>
    <w:rsid w:val="00707D10"/>
    <w:rsid w:val="00707EBD"/>
    <w:rsid w:val="007102B9"/>
    <w:rsid w:val="0071089F"/>
    <w:rsid w:val="007127F9"/>
    <w:rsid w:val="0071318A"/>
    <w:rsid w:val="00714732"/>
    <w:rsid w:val="007204CC"/>
    <w:rsid w:val="00721202"/>
    <w:rsid w:val="00722882"/>
    <w:rsid w:val="007228FE"/>
    <w:rsid w:val="00725182"/>
    <w:rsid w:val="0072731E"/>
    <w:rsid w:val="007301C5"/>
    <w:rsid w:val="007305CA"/>
    <w:rsid w:val="00731577"/>
    <w:rsid w:val="0073238A"/>
    <w:rsid w:val="0073242D"/>
    <w:rsid w:val="0073261F"/>
    <w:rsid w:val="0073282E"/>
    <w:rsid w:val="007336BD"/>
    <w:rsid w:val="00733BFB"/>
    <w:rsid w:val="00733DED"/>
    <w:rsid w:val="00736365"/>
    <w:rsid w:val="0073781E"/>
    <w:rsid w:val="007378D5"/>
    <w:rsid w:val="00740864"/>
    <w:rsid w:val="00740A05"/>
    <w:rsid w:val="00740FBD"/>
    <w:rsid w:val="00741F1F"/>
    <w:rsid w:val="00742458"/>
    <w:rsid w:val="007434BF"/>
    <w:rsid w:val="00744E02"/>
    <w:rsid w:val="0074615C"/>
    <w:rsid w:val="007472F2"/>
    <w:rsid w:val="00750252"/>
    <w:rsid w:val="00750FF6"/>
    <w:rsid w:val="0075184F"/>
    <w:rsid w:val="0075304B"/>
    <w:rsid w:val="00753C79"/>
    <w:rsid w:val="00754411"/>
    <w:rsid w:val="00755451"/>
    <w:rsid w:val="0075644C"/>
    <w:rsid w:val="00756AEA"/>
    <w:rsid w:val="0075718A"/>
    <w:rsid w:val="00757873"/>
    <w:rsid w:val="007605BA"/>
    <w:rsid w:val="007617F2"/>
    <w:rsid w:val="00762A84"/>
    <w:rsid w:val="0076392D"/>
    <w:rsid w:val="00767765"/>
    <w:rsid w:val="00770E7B"/>
    <w:rsid w:val="00771622"/>
    <w:rsid w:val="00771DB7"/>
    <w:rsid w:val="007744C6"/>
    <w:rsid w:val="00775C00"/>
    <w:rsid w:val="00775CF3"/>
    <w:rsid w:val="00775FA2"/>
    <w:rsid w:val="00776B11"/>
    <w:rsid w:val="0077726A"/>
    <w:rsid w:val="00777509"/>
    <w:rsid w:val="007778AE"/>
    <w:rsid w:val="00777BC7"/>
    <w:rsid w:val="0078029E"/>
    <w:rsid w:val="00781760"/>
    <w:rsid w:val="00781F92"/>
    <w:rsid w:val="0078393F"/>
    <w:rsid w:val="007845C9"/>
    <w:rsid w:val="007851CF"/>
    <w:rsid w:val="007857AD"/>
    <w:rsid w:val="007857BF"/>
    <w:rsid w:val="00785903"/>
    <w:rsid w:val="00785FDA"/>
    <w:rsid w:val="00786842"/>
    <w:rsid w:val="00786F84"/>
    <w:rsid w:val="00790F46"/>
    <w:rsid w:val="007927DE"/>
    <w:rsid w:val="00792F6A"/>
    <w:rsid w:val="00793760"/>
    <w:rsid w:val="00793FF4"/>
    <w:rsid w:val="007944A3"/>
    <w:rsid w:val="007953CC"/>
    <w:rsid w:val="00796348"/>
    <w:rsid w:val="00797364"/>
    <w:rsid w:val="007A0270"/>
    <w:rsid w:val="007A15FA"/>
    <w:rsid w:val="007A17DF"/>
    <w:rsid w:val="007A2B53"/>
    <w:rsid w:val="007A2B67"/>
    <w:rsid w:val="007A341F"/>
    <w:rsid w:val="007A4A6B"/>
    <w:rsid w:val="007A5A8C"/>
    <w:rsid w:val="007A61B3"/>
    <w:rsid w:val="007A6BD7"/>
    <w:rsid w:val="007A70F5"/>
    <w:rsid w:val="007B0D2C"/>
    <w:rsid w:val="007B1787"/>
    <w:rsid w:val="007B2935"/>
    <w:rsid w:val="007B2A1A"/>
    <w:rsid w:val="007B2A6B"/>
    <w:rsid w:val="007B60AE"/>
    <w:rsid w:val="007B66DE"/>
    <w:rsid w:val="007B691A"/>
    <w:rsid w:val="007B7F79"/>
    <w:rsid w:val="007C0BA9"/>
    <w:rsid w:val="007C0BF5"/>
    <w:rsid w:val="007C0CDE"/>
    <w:rsid w:val="007C51F4"/>
    <w:rsid w:val="007C60D9"/>
    <w:rsid w:val="007C6601"/>
    <w:rsid w:val="007D0F22"/>
    <w:rsid w:val="007D14B5"/>
    <w:rsid w:val="007D1766"/>
    <w:rsid w:val="007D22FF"/>
    <w:rsid w:val="007D3C65"/>
    <w:rsid w:val="007D6600"/>
    <w:rsid w:val="007D7E1E"/>
    <w:rsid w:val="007D7F1E"/>
    <w:rsid w:val="007E0271"/>
    <w:rsid w:val="007E1C70"/>
    <w:rsid w:val="007E24D7"/>
    <w:rsid w:val="007E2A4A"/>
    <w:rsid w:val="007E3653"/>
    <w:rsid w:val="007E5C15"/>
    <w:rsid w:val="007E5D91"/>
    <w:rsid w:val="007E6A0C"/>
    <w:rsid w:val="007E7D7A"/>
    <w:rsid w:val="007F3B04"/>
    <w:rsid w:val="007F3BC8"/>
    <w:rsid w:val="007F44D2"/>
    <w:rsid w:val="007F5D68"/>
    <w:rsid w:val="007F6287"/>
    <w:rsid w:val="007F6416"/>
    <w:rsid w:val="00800F7A"/>
    <w:rsid w:val="008012F4"/>
    <w:rsid w:val="00803520"/>
    <w:rsid w:val="00803E50"/>
    <w:rsid w:val="00804EB3"/>
    <w:rsid w:val="00805241"/>
    <w:rsid w:val="00805EEB"/>
    <w:rsid w:val="0080750F"/>
    <w:rsid w:val="00810AE3"/>
    <w:rsid w:val="00810D44"/>
    <w:rsid w:val="0081178C"/>
    <w:rsid w:val="00811C0F"/>
    <w:rsid w:val="00812151"/>
    <w:rsid w:val="00812F22"/>
    <w:rsid w:val="008138F2"/>
    <w:rsid w:val="0081394D"/>
    <w:rsid w:val="00814533"/>
    <w:rsid w:val="00815172"/>
    <w:rsid w:val="00815F7E"/>
    <w:rsid w:val="00816290"/>
    <w:rsid w:val="008166C5"/>
    <w:rsid w:val="00816956"/>
    <w:rsid w:val="00816995"/>
    <w:rsid w:val="008200BD"/>
    <w:rsid w:val="0082230E"/>
    <w:rsid w:val="00825681"/>
    <w:rsid w:val="008260E7"/>
    <w:rsid w:val="008277F0"/>
    <w:rsid w:val="00830E68"/>
    <w:rsid w:val="00831106"/>
    <w:rsid w:val="0083130F"/>
    <w:rsid w:val="00831FEE"/>
    <w:rsid w:val="00834CE0"/>
    <w:rsid w:val="00835757"/>
    <w:rsid w:val="00836AF1"/>
    <w:rsid w:val="00836D2E"/>
    <w:rsid w:val="00837571"/>
    <w:rsid w:val="00843005"/>
    <w:rsid w:val="008433C2"/>
    <w:rsid w:val="00844767"/>
    <w:rsid w:val="00844A07"/>
    <w:rsid w:val="00846922"/>
    <w:rsid w:val="00846B31"/>
    <w:rsid w:val="00850C97"/>
    <w:rsid w:val="00852DA0"/>
    <w:rsid w:val="00854835"/>
    <w:rsid w:val="00854B44"/>
    <w:rsid w:val="00855219"/>
    <w:rsid w:val="00856BC7"/>
    <w:rsid w:val="008575B2"/>
    <w:rsid w:val="00862C5A"/>
    <w:rsid w:val="008637BB"/>
    <w:rsid w:val="008649DF"/>
    <w:rsid w:val="00865220"/>
    <w:rsid w:val="0087359B"/>
    <w:rsid w:val="00874012"/>
    <w:rsid w:val="00874401"/>
    <w:rsid w:val="008771F5"/>
    <w:rsid w:val="008773BB"/>
    <w:rsid w:val="00883920"/>
    <w:rsid w:val="008843ED"/>
    <w:rsid w:val="008847A0"/>
    <w:rsid w:val="00884919"/>
    <w:rsid w:val="008864E5"/>
    <w:rsid w:val="00886D60"/>
    <w:rsid w:val="00886EF6"/>
    <w:rsid w:val="00887F79"/>
    <w:rsid w:val="00890A33"/>
    <w:rsid w:val="00890CB1"/>
    <w:rsid w:val="00891B75"/>
    <w:rsid w:val="00892107"/>
    <w:rsid w:val="008928BF"/>
    <w:rsid w:val="00892F5D"/>
    <w:rsid w:val="00894CDE"/>
    <w:rsid w:val="008A1B03"/>
    <w:rsid w:val="008A1D03"/>
    <w:rsid w:val="008A2A9D"/>
    <w:rsid w:val="008A3AB2"/>
    <w:rsid w:val="008A3DB2"/>
    <w:rsid w:val="008A4094"/>
    <w:rsid w:val="008A45C9"/>
    <w:rsid w:val="008A6B69"/>
    <w:rsid w:val="008A7985"/>
    <w:rsid w:val="008A7DAB"/>
    <w:rsid w:val="008B16C0"/>
    <w:rsid w:val="008B28ED"/>
    <w:rsid w:val="008B2989"/>
    <w:rsid w:val="008B2D51"/>
    <w:rsid w:val="008B2DBD"/>
    <w:rsid w:val="008B301D"/>
    <w:rsid w:val="008B6EC7"/>
    <w:rsid w:val="008C1872"/>
    <w:rsid w:val="008C3ABC"/>
    <w:rsid w:val="008C3EFA"/>
    <w:rsid w:val="008C41CF"/>
    <w:rsid w:val="008C5172"/>
    <w:rsid w:val="008C587B"/>
    <w:rsid w:val="008C7128"/>
    <w:rsid w:val="008C7CE2"/>
    <w:rsid w:val="008D0721"/>
    <w:rsid w:val="008D19E5"/>
    <w:rsid w:val="008D28FA"/>
    <w:rsid w:val="008D391F"/>
    <w:rsid w:val="008D5231"/>
    <w:rsid w:val="008D67E9"/>
    <w:rsid w:val="008D69B3"/>
    <w:rsid w:val="008E0809"/>
    <w:rsid w:val="008E19CD"/>
    <w:rsid w:val="008E2800"/>
    <w:rsid w:val="008E2CE7"/>
    <w:rsid w:val="008E37B0"/>
    <w:rsid w:val="008E3E10"/>
    <w:rsid w:val="008E5D24"/>
    <w:rsid w:val="008E6CFF"/>
    <w:rsid w:val="008E6F10"/>
    <w:rsid w:val="008E781E"/>
    <w:rsid w:val="008F086A"/>
    <w:rsid w:val="008F1B3A"/>
    <w:rsid w:val="008F2911"/>
    <w:rsid w:val="008F2EE0"/>
    <w:rsid w:val="008F34C6"/>
    <w:rsid w:val="008F38BA"/>
    <w:rsid w:val="008F5FEC"/>
    <w:rsid w:val="008F60A8"/>
    <w:rsid w:val="008F610F"/>
    <w:rsid w:val="008F7D6C"/>
    <w:rsid w:val="00900014"/>
    <w:rsid w:val="0090071C"/>
    <w:rsid w:val="00901C4B"/>
    <w:rsid w:val="00901E01"/>
    <w:rsid w:val="0090205E"/>
    <w:rsid w:val="00902725"/>
    <w:rsid w:val="00902B1C"/>
    <w:rsid w:val="0090335C"/>
    <w:rsid w:val="0090381F"/>
    <w:rsid w:val="00903B10"/>
    <w:rsid w:val="00905236"/>
    <w:rsid w:val="009078C8"/>
    <w:rsid w:val="00910509"/>
    <w:rsid w:val="009109FA"/>
    <w:rsid w:val="00910FB6"/>
    <w:rsid w:val="00912289"/>
    <w:rsid w:val="00912F0F"/>
    <w:rsid w:val="00914FB2"/>
    <w:rsid w:val="009153C8"/>
    <w:rsid w:val="00921812"/>
    <w:rsid w:val="00922657"/>
    <w:rsid w:val="00922D32"/>
    <w:rsid w:val="00923D38"/>
    <w:rsid w:val="00924562"/>
    <w:rsid w:val="009254F3"/>
    <w:rsid w:val="009264BB"/>
    <w:rsid w:val="0093034F"/>
    <w:rsid w:val="00930CC1"/>
    <w:rsid w:val="0093243D"/>
    <w:rsid w:val="00933D54"/>
    <w:rsid w:val="00933FBF"/>
    <w:rsid w:val="00936549"/>
    <w:rsid w:val="009428E7"/>
    <w:rsid w:val="009429D1"/>
    <w:rsid w:val="00942D4F"/>
    <w:rsid w:val="00943235"/>
    <w:rsid w:val="009433B1"/>
    <w:rsid w:val="009449CE"/>
    <w:rsid w:val="00945613"/>
    <w:rsid w:val="00945747"/>
    <w:rsid w:val="00946E9C"/>
    <w:rsid w:val="0095125F"/>
    <w:rsid w:val="0095184E"/>
    <w:rsid w:val="009526A8"/>
    <w:rsid w:val="00953199"/>
    <w:rsid w:val="00953288"/>
    <w:rsid w:val="00953A38"/>
    <w:rsid w:val="0095402F"/>
    <w:rsid w:val="00955B70"/>
    <w:rsid w:val="00960895"/>
    <w:rsid w:val="009610B4"/>
    <w:rsid w:val="00962612"/>
    <w:rsid w:val="009626EB"/>
    <w:rsid w:val="00965237"/>
    <w:rsid w:val="009659A2"/>
    <w:rsid w:val="00965FF4"/>
    <w:rsid w:val="00967B3C"/>
    <w:rsid w:val="0097001F"/>
    <w:rsid w:val="00972190"/>
    <w:rsid w:val="00972784"/>
    <w:rsid w:val="009747CA"/>
    <w:rsid w:val="00974BC2"/>
    <w:rsid w:val="00977656"/>
    <w:rsid w:val="00977732"/>
    <w:rsid w:val="00977768"/>
    <w:rsid w:val="0098023A"/>
    <w:rsid w:val="009804E5"/>
    <w:rsid w:val="00980BAB"/>
    <w:rsid w:val="00982BBC"/>
    <w:rsid w:val="00982C93"/>
    <w:rsid w:val="00984800"/>
    <w:rsid w:val="00984BF4"/>
    <w:rsid w:val="00984D82"/>
    <w:rsid w:val="00985E7D"/>
    <w:rsid w:val="009865A0"/>
    <w:rsid w:val="00986CF2"/>
    <w:rsid w:val="009904FD"/>
    <w:rsid w:val="009913C2"/>
    <w:rsid w:val="0099245B"/>
    <w:rsid w:val="00992AA5"/>
    <w:rsid w:val="00993196"/>
    <w:rsid w:val="00995D18"/>
    <w:rsid w:val="00996942"/>
    <w:rsid w:val="009A04C7"/>
    <w:rsid w:val="009A1A1A"/>
    <w:rsid w:val="009A3939"/>
    <w:rsid w:val="009A576A"/>
    <w:rsid w:val="009A66D7"/>
    <w:rsid w:val="009A7180"/>
    <w:rsid w:val="009B14F2"/>
    <w:rsid w:val="009B2039"/>
    <w:rsid w:val="009B2AC1"/>
    <w:rsid w:val="009B344C"/>
    <w:rsid w:val="009B3A98"/>
    <w:rsid w:val="009B3FAB"/>
    <w:rsid w:val="009B4200"/>
    <w:rsid w:val="009B517B"/>
    <w:rsid w:val="009B559B"/>
    <w:rsid w:val="009B58D9"/>
    <w:rsid w:val="009B5AAB"/>
    <w:rsid w:val="009B66D1"/>
    <w:rsid w:val="009B696B"/>
    <w:rsid w:val="009B735C"/>
    <w:rsid w:val="009C0582"/>
    <w:rsid w:val="009C078D"/>
    <w:rsid w:val="009C373B"/>
    <w:rsid w:val="009C7A1B"/>
    <w:rsid w:val="009C7F07"/>
    <w:rsid w:val="009D102A"/>
    <w:rsid w:val="009D1AC1"/>
    <w:rsid w:val="009D3C47"/>
    <w:rsid w:val="009D44DF"/>
    <w:rsid w:val="009D548E"/>
    <w:rsid w:val="009D7221"/>
    <w:rsid w:val="009D7A90"/>
    <w:rsid w:val="009E1FA7"/>
    <w:rsid w:val="009E23E2"/>
    <w:rsid w:val="009E3E09"/>
    <w:rsid w:val="009E6017"/>
    <w:rsid w:val="009E6B77"/>
    <w:rsid w:val="009E6C9F"/>
    <w:rsid w:val="009F0492"/>
    <w:rsid w:val="009F07B9"/>
    <w:rsid w:val="009F1714"/>
    <w:rsid w:val="009F1732"/>
    <w:rsid w:val="009F1C30"/>
    <w:rsid w:val="009F22B8"/>
    <w:rsid w:val="009F3F97"/>
    <w:rsid w:val="009F4ADA"/>
    <w:rsid w:val="009F5216"/>
    <w:rsid w:val="009F5E2C"/>
    <w:rsid w:val="009F630F"/>
    <w:rsid w:val="009F6CBD"/>
    <w:rsid w:val="009F71A5"/>
    <w:rsid w:val="009F7248"/>
    <w:rsid w:val="00A015D0"/>
    <w:rsid w:val="00A02015"/>
    <w:rsid w:val="00A02942"/>
    <w:rsid w:val="00A041A9"/>
    <w:rsid w:val="00A0492E"/>
    <w:rsid w:val="00A06F9C"/>
    <w:rsid w:val="00A101F6"/>
    <w:rsid w:val="00A10C86"/>
    <w:rsid w:val="00A11696"/>
    <w:rsid w:val="00A121AE"/>
    <w:rsid w:val="00A12D49"/>
    <w:rsid w:val="00A13E0E"/>
    <w:rsid w:val="00A140AC"/>
    <w:rsid w:val="00A14244"/>
    <w:rsid w:val="00A148E6"/>
    <w:rsid w:val="00A14AF9"/>
    <w:rsid w:val="00A15210"/>
    <w:rsid w:val="00A1648C"/>
    <w:rsid w:val="00A16C24"/>
    <w:rsid w:val="00A22259"/>
    <w:rsid w:val="00A22847"/>
    <w:rsid w:val="00A23723"/>
    <w:rsid w:val="00A2482A"/>
    <w:rsid w:val="00A2573B"/>
    <w:rsid w:val="00A262D3"/>
    <w:rsid w:val="00A3094E"/>
    <w:rsid w:val="00A3112E"/>
    <w:rsid w:val="00A31D5C"/>
    <w:rsid w:val="00A31DD6"/>
    <w:rsid w:val="00A321FB"/>
    <w:rsid w:val="00A33EF3"/>
    <w:rsid w:val="00A33FD6"/>
    <w:rsid w:val="00A34B7E"/>
    <w:rsid w:val="00A35DBF"/>
    <w:rsid w:val="00A36394"/>
    <w:rsid w:val="00A36C5F"/>
    <w:rsid w:val="00A3795E"/>
    <w:rsid w:val="00A4061B"/>
    <w:rsid w:val="00A407DA"/>
    <w:rsid w:val="00A40CD8"/>
    <w:rsid w:val="00A40E27"/>
    <w:rsid w:val="00A4301A"/>
    <w:rsid w:val="00A432B3"/>
    <w:rsid w:val="00A442FE"/>
    <w:rsid w:val="00A45CF5"/>
    <w:rsid w:val="00A47055"/>
    <w:rsid w:val="00A50154"/>
    <w:rsid w:val="00A5072B"/>
    <w:rsid w:val="00A50F34"/>
    <w:rsid w:val="00A51056"/>
    <w:rsid w:val="00A5233D"/>
    <w:rsid w:val="00A53954"/>
    <w:rsid w:val="00A54E88"/>
    <w:rsid w:val="00A55D93"/>
    <w:rsid w:val="00A566D6"/>
    <w:rsid w:val="00A57CF1"/>
    <w:rsid w:val="00A66F95"/>
    <w:rsid w:val="00A6736F"/>
    <w:rsid w:val="00A67CE7"/>
    <w:rsid w:val="00A71B1A"/>
    <w:rsid w:val="00A7554E"/>
    <w:rsid w:val="00A770E1"/>
    <w:rsid w:val="00A816B4"/>
    <w:rsid w:val="00A8195B"/>
    <w:rsid w:val="00A8436E"/>
    <w:rsid w:val="00A86F80"/>
    <w:rsid w:val="00A90374"/>
    <w:rsid w:val="00A914A8"/>
    <w:rsid w:val="00A92489"/>
    <w:rsid w:val="00A934A4"/>
    <w:rsid w:val="00A949A3"/>
    <w:rsid w:val="00A97F1C"/>
    <w:rsid w:val="00AA09BD"/>
    <w:rsid w:val="00AA2125"/>
    <w:rsid w:val="00AA43E0"/>
    <w:rsid w:val="00AA6829"/>
    <w:rsid w:val="00AA7EB3"/>
    <w:rsid w:val="00AB03AD"/>
    <w:rsid w:val="00AB1759"/>
    <w:rsid w:val="00AB1ED7"/>
    <w:rsid w:val="00AB274B"/>
    <w:rsid w:val="00AB360F"/>
    <w:rsid w:val="00AB3837"/>
    <w:rsid w:val="00AB3D87"/>
    <w:rsid w:val="00AB49B4"/>
    <w:rsid w:val="00AB62F2"/>
    <w:rsid w:val="00AB7321"/>
    <w:rsid w:val="00AB7863"/>
    <w:rsid w:val="00AB79BC"/>
    <w:rsid w:val="00AB7C4A"/>
    <w:rsid w:val="00AB7C70"/>
    <w:rsid w:val="00AC0A83"/>
    <w:rsid w:val="00AC273A"/>
    <w:rsid w:val="00AC32A6"/>
    <w:rsid w:val="00AC4911"/>
    <w:rsid w:val="00AC5514"/>
    <w:rsid w:val="00AC63E2"/>
    <w:rsid w:val="00AC63EA"/>
    <w:rsid w:val="00AD0B80"/>
    <w:rsid w:val="00AD3A90"/>
    <w:rsid w:val="00AE0607"/>
    <w:rsid w:val="00AE0C07"/>
    <w:rsid w:val="00AE13C6"/>
    <w:rsid w:val="00AE29CA"/>
    <w:rsid w:val="00AE440B"/>
    <w:rsid w:val="00AF01A7"/>
    <w:rsid w:val="00AF0ACD"/>
    <w:rsid w:val="00AF2E0B"/>
    <w:rsid w:val="00AF7859"/>
    <w:rsid w:val="00B01D4B"/>
    <w:rsid w:val="00B03E75"/>
    <w:rsid w:val="00B0452A"/>
    <w:rsid w:val="00B05772"/>
    <w:rsid w:val="00B05A65"/>
    <w:rsid w:val="00B06685"/>
    <w:rsid w:val="00B066BE"/>
    <w:rsid w:val="00B06907"/>
    <w:rsid w:val="00B0780F"/>
    <w:rsid w:val="00B110C1"/>
    <w:rsid w:val="00B1207C"/>
    <w:rsid w:val="00B165FB"/>
    <w:rsid w:val="00B20828"/>
    <w:rsid w:val="00B23B5E"/>
    <w:rsid w:val="00B242C5"/>
    <w:rsid w:val="00B24CBB"/>
    <w:rsid w:val="00B25AAE"/>
    <w:rsid w:val="00B26616"/>
    <w:rsid w:val="00B27907"/>
    <w:rsid w:val="00B34EA1"/>
    <w:rsid w:val="00B4070F"/>
    <w:rsid w:val="00B40B81"/>
    <w:rsid w:val="00B429A8"/>
    <w:rsid w:val="00B46540"/>
    <w:rsid w:val="00B46EAE"/>
    <w:rsid w:val="00B504D4"/>
    <w:rsid w:val="00B507BD"/>
    <w:rsid w:val="00B50802"/>
    <w:rsid w:val="00B50902"/>
    <w:rsid w:val="00B50C55"/>
    <w:rsid w:val="00B52F67"/>
    <w:rsid w:val="00B56CA1"/>
    <w:rsid w:val="00B56E40"/>
    <w:rsid w:val="00B62BF1"/>
    <w:rsid w:val="00B63677"/>
    <w:rsid w:val="00B63B1D"/>
    <w:rsid w:val="00B6467D"/>
    <w:rsid w:val="00B655B9"/>
    <w:rsid w:val="00B65A93"/>
    <w:rsid w:val="00B6663E"/>
    <w:rsid w:val="00B66CA4"/>
    <w:rsid w:val="00B7013E"/>
    <w:rsid w:val="00B7083D"/>
    <w:rsid w:val="00B71767"/>
    <w:rsid w:val="00B72E16"/>
    <w:rsid w:val="00B73C18"/>
    <w:rsid w:val="00B73F73"/>
    <w:rsid w:val="00B74B68"/>
    <w:rsid w:val="00B754CA"/>
    <w:rsid w:val="00B75514"/>
    <w:rsid w:val="00B7587A"/>
    <w:rsid w:val="00B75C3E"/>
    <w:rsid w:val="00B76CFB"/>
    <w:rsid w:val="00B771F6"/>
    <w:rsid w:val="00B779AE"/>
    <w:rsid w:val="00B822AB"/>
    <w:rsid w:val="00B8323B"/>
    <w:rsid w:val="00B848CB"/>
    <w:rsid w:val="00B8512A"/>
    <w:rsid w:val="00B85602"/>
    <w:rsid w:val="00B949F1"/>
    <w:rsid w:val="00B94A7B"/>
    <w:rsid w:val="00B964C7"/>
    <w:rsid w:val="00B96548"/>
    <w:rsid w:val="00B966B8"/>
    <w:rsid w:val="00B97787"/>
    <w:rsid w:val="00BA02CD"/>
    <w:rsid w:val="00BA0809"/>
    <w:rsid w:val="00BA112D"/>
    <w:rsid w:val="00BA16F8"/>
    <w:rsid w:val="00BA2B64"/>
    <w:rsid w:val="00BA3EE7"/>
    <w:rsid w:val="00BA4475"/>
    <w:rsid w:val="00BA4F18"/>
    <w:rsid w:val="00BA6FA5"/>
    <w:rsid w:val="00BB06F5"/>
    <w:rsid w:val="00BB2379"/>
    <w:rsid w:val="00BB2D4A"/>
    <w:rsid w:val="00BB325A"/>
    <w:rsid w:val="00BB3BD7"/>
    <w:rsid w:val="00BB3EB6"/>
    <w:rsid w:val="00BB413C"/>
    <w:rsid w:val="00BB4827"/>
    <w:rsid w:val="00BB5D92"/>
    <w:rsid w:val="00BB65C9"/>
    <w:rsid w:val="00BB6A75"/>
    <w:rsid w:val="00BB7780"/>
    <w:rsid w:val="00BC02E3"/>
    <w:rsid w:val="00BC1EFD"/>
    <w:rsid w:val="00BC3EF9"/>
    <w:rsid w:val="00BC4A51"/>
    <w:rsid w:val="00BC4B6F"/>
    <w:rsid w:val="00BC4BBC"/>
    <w:rsid w:val="00BC4ED3"/>
    <w:rsid w:val="00BC53E8"/>
    <w:rsid w:val="00BC6DA2"/>
    <w:rsid w:val="00BC6DDA"/>
    <w:rsid w:val="00BD293C"/>
    <w:rsid w:val="00BD4903"/>
    <w:rsid w:val="00BD73E1"/>
    <w:rsid w:val="00BD7B0D"/>
    <w:rsid w:val="00BD7B30"/>
    <w:rsid w:val="00BE016A"/>
    <w:rsid w:val="00BE0FD9"/>
    <w:rsid w:val="00BE2AFF"/>
    <w:rsid w:val="00BE365B"/>
    <w:rsid w:val="00BE506E"/>
    <w:rsid w:val="00BE5422"/>
    <w:rsid w:val="00BE5D39"/>
    <w:rsid w:val="00BE67C1"/>
    <w:rsid w:val="00BE74AD"/>
    <w:rsid w:val="00BE7AE2"/>
    <w:rsid w:val="00BE7B53"/>
    <w:rsid w:val="00BF006D"/>
    <w:rsid w:val="00BF1320"/>
    <w:rsid w:val="00BF47A9"/>
    <w:rsid w:val="00BF67E5"/>
    <w:rsid w:val="00BF7B1A"/>
    <w:rsid w:val="00BF7D48"/>
    <w:rsid w:val="00BF7F4E"/>
    <w:rsid w:val="00C0054F"/>
    <w:rsid w:val="00C0104C"/>
    <w:rsid w:val="00C02500"/>
    <w:rsid w:val="00C02CFB"/>
    <w:rsid w:val="00C0407F"/>
    <w:rsid w:val="00C04A6C"/>
    <w:rsid w:val="00C04BE6"/>
    <w:rsid w:val="00C05862"/>
    <w:rsid w:val="00C05B0C"/>
    <w:rsid w:val="00C07F2E"/>
    <w:rsid w:val="00C118F8"/>
    <w:rsid w:val="00C11E4A"/>
    <w:rsid w:val="00C13F97"/>
    <w:rsid w:val="00C141F8"/>
    <w:rsid w:val="00C174E2"/>
    <w:rsid w:val="00C206EF"/>
    <w:rsid w:val="00C20FA2"/>
    <w:rsid w:val="00C21F8A"/>
    <w:rsid w:val="00C222E9"/>
    <w:rsid w:val="00C22765"/>
    <w:rsid w:val="00C22E78"/>
    <w:rsid w:val="00C2312B"/>
    <w:rsid w:val="00C23224"/>
    <w:rsid w:val="00C237BF"/>
    <w:rsid w:val="00C2526A"/>
    <w:rsid w:val="00C25374"/>
    <w:rsid w:val="00C272D3"/>
    <w:rsid w:val="00C31690"/>
    <w:rsid w:val="00C31AA5"/>
    <w:rsid w:val="00C32640"/>
    <w:rsid w:val="00C32D51"/>
    <w:rsid w:val="00C337B4"/>
    <w:rsid w:val="00C3449A"/>
    <w:rsid w:val="00C34E9A"/>
    <w:rsid w:val="00C3519F"/>
    <w:rsid w:val="00C35CAF"/>
    <w:rsid w:val="00C3751B"/>
    <w:rsid w:val="00C377E8"/>
    <w:rsid w:val="00C414C1"/>
    <w:rsid w:val="00C427AB"/>
    <w:rsid w:val="00C42BBF"/>
    <w:rsid w:val="00C42F08"/>
    <w:rsid w:val="00C4434C"/>
    <w:rsid w:val="00C448AA"/>
    <w:rsid w:val="00C46919"/>
    <w:rsid w:val="00C500F5"/>
    <w:rsid w:val="00C534B3"/>
    <w:rsid w:val="00C54072"/>
    <w:rsid w:val="00C55689"/>
    <w:rsid w:val="00C55A12"/>
    <w:rsid w:val="00C57C54"/>
    <w:rsid w:val="00C6049F"/>
    <w:rsid w:val="00C61503"/>
    <w:rsid w:val="00C62BC7"/>
    <w:rsid w:val="00C63EF2"/>
    <w:rsid w:val="00C654D4"/>
    <w:rsid w:val="00C658B0"/>
    <w:rsid w:val="00C67C66"/>
    <w:rsid w:val="00C67D26"/>
    <w:rsid w:val="00C70852"/>
    <w:rsid w:val="00C714A1"/>
    <w:rsid w:val="00C71D7C"/>
    <w:rsid w:val="00C72633"/>
    <w:rsid w:val="00C73B35"/>
    <w:rsid w:val="00C75136"/>
    <w:rsid w:val="00C76057"/>
    <w:rsid w:val="00C771E2"/>
    <w:rsid w:val="00C82374"/>
    <w:rsid w:val="00C82BE3"/>
    <w:rsid w:val="00C82F28"/>
    <w:rsid w:val="00C83488"/>
    <w:rsid w:val="00C844A0"/>
    <w:rsid w:val="00C9197B"/>
    <w:rsid w:val="00C92288"/>
    <w:rsid w:val="00C92B4C"/>
    <w:rsid w:val="00C93D40"/>
    <w:rsid w:val="00C94926"/>
    <w:rsid w:val="00C94E39"/>
    <w:rsid w:val="00C95B43"/>
    <w:rsid w:val="00C96644"/>
    <w:rsid w:val="00C9721A"/>
    <w:rsid w:val="00C979A9"/>
    <w:rsid w:val="00CA0BB4"/>
    <w:rsid w:val="00CA15FF"/>
    <w:rsid w:val="00CA208E"/>
    <w:rsid w:val="00CA272B"/>
    <w:rsid w:val="00CA2B80"/>
    <w:rsid w:val="00CA4FC2"/>
    <w:rsid w:val="00CA546E"/>
    <w:rsid w:val="00CA598B"/>
    <w:rsid w:val="00CA5C86"/>
    <w:rsid w:val="00CA6D7D"/>
    <w:rsid w:val="00CA6D94"/>
    <w:rsid w:val="00CA7AEE"/>
    <w:rsid w:val="00CB00A2"/>
    <w:rsid w:val="00CB00B5"/>
    <w:rsid w:val="00CB12A9"/>
    <w:rsid w:val="00CB19FF"/>
    <w:rsid w:val="00CB28E0"/>
    <w:rsid w:val="00CB2E0F"/>
    <w:rsid w:val="00CB2FC6"/>
    <w:rsid w:val="00CB3289"/>
    <w:rsid w:val="00CB7243"/>
    <w:rsid w:val="00CB73EB"/>
    <w:rsid w:val="00CB7636"/>
    <w:rsid w:val="00CB7A8C"/>
    <w:rsid w:val="00CC10E4"/>
    <w:rsid w:val="00CC1189"/>
    <w:rsid w:val="00CC19F5"/>
    <w:rsid w:val="00CC1CC1"/>
    <w:rsid w:val="00CC1E2B"/>
    <w:rsid w:val="00CC1FD6"/>
    <w:rsid w:val="00CC20F3"/>
    <w:rsid w:val="00CC3B20"/>
    <w:rsid w:val="00CC51DB"/>
    <w:rsid w:val="00CC6873"/>
    <w:rsid w:val="00CC74EF"/>
    <w:rsid w:val="00CD02D0"/>
    <w:rsid w:val="00CD085E"/>
    <w:rsid w:val="00CD1112"/>
    <w:rsid w:val="00CD1BF2"/>
    <w:rsid w:val="00CD412E"/>
    <w:rsid w:val="00CD465E"/>
    <w:rsid w:val="00CD644D"/>
    <w:rsid w:val="00CD6E2A"/>
    <w:rsid w:val="00CD6EBB"/>
    <w:rsid w:val="00CE21BE"/>
    <w:rsid w:val="00CE28CD"/>
    <w:rsid w:val="00CE4A47"/>
    <w:rsid w:val="00CE529F"/>
    <w:rsid w:val="00CE58FE"/>
    <w:rsid w:val="00CE60EB"/>
    <w:rsid w:val="00CE65DA"/>
    <w:rsid w:val="00CE72F1"/>
    <w:rsid w:val="00CF2407"/>
    <w:rsid w:val="00CF5D12"/>
    <w:rsid w:val="00CF5E74"/>
    <w:rsid w:val="00CF6FA4"/>
    <w:rsid w:val="00CF7EB8"/>
    <w:rsid w:val="00D00EC4"/>
    <w:rsid w:val="00D029FE"/>
    <w:rsid w:val="00D05B9A"/>
    <w:rsid w:val="00D06936"/>
    <w:rsid w:val="00D10301"/>
    <w:rsid w:val="00D107B7"/>
    <w:rsid w:val="00D113D2"/>
    <w:rsid w:val="00D113D6"/>
    <w:rsid w:val="00D1261C"/>
    <w:rsid w:val="00D13D25"/>
    <w:rsid w:val="00D13E12"/>
    <w:rsid w:val="00D14C4C"/>
    <w:rsid w:val="00D15C1B"/>
    <w:rsid w:val="00D16540"/>
    <w:rsid w:val="00D20D3B"/>
    <w:rsid w:val="00D20DE7"/>
    <w:rsid w:val="00D22A85"/>
    <w:rsid w:val="00D25BA7"/>
    <w:rsid w:val="00D26219"/>
    <w:rsid w:val="00D26779"/>
    <w:rsid w:val="00D31695"/>
    <w:rsid w:val="00D31A91"/>
    <w:rsid w:val="00D329C2"/>
    <w:rsid w:val="00D33E66"/>
    <w:rsid w:val="00D37AF2"/>
    <w:rsid w:val="00D40A1B"/>
    <w:rsid w:val="00D41AAF"/>
    <w:rsid w:val="00D42F77"/>
    <w:rsid w:val="00D43971"/>
    <w:rsid w:val="00D445AF"/>
    <w:rsid w:val="00D46606"/>
    <w:rsid w:val="00D4736F"/>
    <w:rsid w:val="00D477A5"/>
    <w:rsid w:val="00D525D9"/>
    <w:rsid w:val="00D5282F"/>
    <w:rsid w:val="00D52A72"/>
    <w:rsid w:val="00D53842"/>
    <w:rsid w:val="00D53F0E"/>
    <w:rsid w:val="00D542FA"/>
    <w:rsid w:val="00D55F83"/>
    <w:rsid w:val="00D62374"/>
    <w:rsid w:val="00D657AB"/>
    <w:rsid w:val="00D66453"/>
    <w:rsid w:val="00D67FC1"/>
    <w:rsid w:val="00D70024"/>
    <w:rsid w:val="00D72D90"/>
    <w:rsid w:val="00D7468A"/>
    <w:rsid w:val="00D74AB3"/>
    <w:rsid w:val="00D76E13"/>
    <w:rsid w:val="00D8000D"/>
    <w:rsid w:val="00D80332"/>
    <w:rsid w:val="00D80EBA"/>
    <w:rsid w:val="00D81782"/>
    <w:rsid w:val="00D829FD"/>
    <w:rsid w:val="00D82FBA"/>
    <w:rsid w:val="00D84677"/>
    <w:rsid w:val="00D846E2"/>
    <w:rsid w:val="00D85A33"/>
    <w:rsid w:val="00D86541"/>
    <w:rsid w:val="00D86812"/>
    <w:rsid w:val="00D8754F"/>
    <w:rsid w:val="00D90CF5"/>
    <w:rsid w:val="00D90D39"/>
    <w:rsid w:val="00D92518"/>
    <w:rsid w:val="00D9380C"/>
    <w:rsid w:val="00D93BA4"/>
    <w:rsid w:val="00D94E2D"/>
    <w:rsid w:val="00D967B0"/>
    <w:rsid w:val="00D9752F"/>
    <w:rsid w:val="00DA0490"/>
    <w:rsid w:val="00DA0CAF"/>
    <w:rsid w:val="00DA1924"/>
    <w:rsid w:val="00DA1E99"/>
    <w:rsid w:val="00DA29A2"/>
    <w:rsid w:val="00DA2E5A"/>
    <w:rsid w:val="00DA2FD9"/>
    <w:rsid w:val="00DA3581"/>
    <w:rsid w:val="00DA4996"/>
    <w:rsid w:val="00DA4E0A"/>
    <w:rsid w:val="00DA64ED"/>
    <w:rsid w:val="00DA7CE0"/>
    <w:rsid w:val="00DB01FC"/>
    <w:rsid w:val="00DB052B"/>
    <w:rsid w:val="00DB112C"/>
    <w:rsid w:val="00DB1588"/>
    <w:rsid w:val="00DB1E4D"/>
    <w:rsid w:val="00DB2BBF"/>
    <w:rsid w:val="00DB3A57"/>
    <w:rsid w:val="00DB6D28"/>
    <w:rsid w:val="00DB7C90"/>
    <w:rsid w:val="00DC11C4"/>
    <w:rsid w:val="00DC2A96"/>
    <w:rsid w:val="00DC30A1"/>
    <w:rsid w:val="00DC3685"/>
    <w:rsid w:val="00DC4890"/>
    <w:rsid w:val="00DC7D04"/>
    <w:rsid w:val="00DD19FC"/>
    <w:rsid w:val="00DD255C"/>
    <w:rsid w:val="00DD2B3F"/>
    <w:rsid w:val="00DD4081"/>
    <w:rsid w:val="00DD468E"/>
    <w:rsid w:val="00DD4A27"/>
    <w:rsid w:val="00DD6222"/>
    <w:rsid w:val="00DD68C6"/>
    <w:rsid w:val="00DD7806"/>
    <w:rsid w:val="00DE17BE"/>
    <w:rsid w:val="00DE20EB"/>
    <w:rsid w:val="00DE25F5"/>
    <w:rsid w:val="00DE3B11"/>
    <w:rsid w:val="00DE485A"/>
    <w:rsid w:val="00DE6113"/>
    <w:rsid w:val="00DE6A29"/>
    <w:rsid w:val="00DE73C6"/>
    <w:rsid w:val="00DF0AAC"/>
    <w:rsid w:val="00DF0B24"/>
    <w:rsid w:val="00DF0B9C"/>
    <w:rsid w:val="00DF4578"/>
    <w:rsid w:val="00DF4C88"/>
    <w:rsid w:val="00DF58E4"/>
    <w:rsid w:val="00DF61B3"/>
    <w:rsid w:val="00DF61BE"/>
    <w:rsid w:val="00DF6F03"/>
    <w:rsid w:val="00E00578"/>
    <w:rsid w:val="00E005F1"/>
    <w:rsid w:val="00E00BEC"/>
    <w:rsid w:val="00E01E31"/>
    <w:rsid w:val="00E01F3D"/>
    <w:rsid w:val="00E03A6A"/>
    <w:rsid w:val="00E052E2"/>
    <w:rsid w:val="00E05676"/>
    <w:rsid w:val="00E06150"/>
    <w:rsid w:val="00E06D69"/>
    <w:rsid w:val="00E11D98"/>
    <w:rsid w:val="00E12C70"/>
    <w:rsid w:val="00E13739"/>
    <w:rsid w:val="00E13FBA"/>
    <w:rsid w:val="00E14B8B"/>
    <w:rsid w:val="00E1537D"/>
    <w:rsid w:val="00E17AC4"/>
    <w:rsid w:val="00E222F8"/>
    <w:rsid w:val="00E22687"/>
    <w:rsid w:val="00E22DE9"/>
    <w:rsid w:val="00E22DEE"/>
    <w:rsid w:val="00E23954"/>
    <w:rsid w:val="00E23DB3"/>
    <w:rsid w:val="00E24E91"/>
    <w:rsid w:val="00E25C49"/>
    <w:rsid w:val="00E263A8"/>
    <w:rsid w:val="00E263FF"/>
    <w:rsid w:val="00E27C2B"/>
    <w:rsid w:val="00E30617"/>
    <w:rsid w:val="00E31EAD"/>
    <w:rsid w:val="00E31F84"/>
    <w:rsid w:val="00E33580"/>
    <w:rsid w:val="00E3379B"/>
    <w:rsid w:val="00E33FE5"/>
    <w:rsid w:val="00E35883"/>
    <w:rsid w:val="00E35EEB"/>
    <w:rsid w:val="00E35FF7"/>
    <w:rsid w:val="00E41101"/>
    <w:rsid w:val="00E43AC8"/>
    <w:rsid w:val="00E44819"/>
    <w:rsid w:val="00E4490F"/>
    <w:rsid w:val="00E44C01"/>
    <w:rsid w:val="00E45EE7"/>
    <w:rsid w:val="00E46520"/>
    <w:rsid w:val="00E4685F"/>
    <w:rsid w:val="00E5123B"/>
    <w:rsid w:val="00E51F21"/>
    <w:rsid w:val="00E53D8A"/>
    <w:rsid w:val="00E5485E"/>
    <w:rsid w:val="00E54C98"/>
    <w:rsid w:val="00E54F07"/>
    <w:rsid w:val="00E5557E"/>
    <w:rsid w:val="00E62975"/>
    <w:rsid w:val="00E62A96"/>
    <w:rsid w:val="00E64A94"/>
    <w:rsid w:val="00E66AC1"/>
    <w:rsid w:val="00E6766D"/>
    <w:rsid w:val="00E67793"/>
    <w:rsid w:val="00E707C0"/>
    <w:rsid w:val="00E71469"/>
    <w:rsid w:val="00E72433"/>
    <w:rsid w:val="00E72CAA"/>
    <w:rsid w:val="00E72E73"/>
    <w:rsid w:val="00E72F59"/>
    <w:rsid w:val="00E747CD"/>
    <w:rsid w:val="00E77569"/>
    <w:rsid w:val="00E80331"/>
    <w:rsid w:val="00E819DA"/>
    <w:rsid w:val="00E843CC"/>
    <w:rsid w:val="00E84CD0"/>
    <w:rsid w:val="00E8626E"/>
    <w:rsid w:val="00E867AF"/>
    <w:rsid w:val="00E87DAE"/>
    <w:rsid w:val="00E9298E"/>
    <w:rsid w:val="00E95D21"/>
    <w:rsid w:val="00E95F56"/>
    <w:rsid w:val="00E96313"/>
    <w:rsid w:val="00E974AE"/>
    <w:rsid w:val="00EA0257"/>
    <w:rsid w:val="00EA03EF"/>
    <w:rsid w:val="00EA1390"/>
    <w:rsid w:val="00EA145C"/>
    <w:rsid w:val="00EA16FF"/>
    <w:rsid w:val="00EA24D3"/>
    <w:rsid w:val="00EA4267"/>
    <w:rsid w:val="00EA46A0"/>
    <w:rsid w:val="00EA51AC"/>
    <w:rsid w:val="00EA5507"/>
    <w:rsid w:val="00EA5BA7"/>
    <w:rsid w:val="00EA6C18"/>
    <w:rsid w:val="00EA718A"/>
    <w:rsid w:val="00EA7699"/>
    <w:rsid w:val="00EA77A4"/>
    <w:rsid w:val="00EB00D9"/>
    <w:rsid w:val="00EB04FC"/>
    <w:rsid w:val="00EB062F"/>
    <w:rsid w:val="00EB188A"/>
    <w:rsid w:val="00EB2001"/>
    <w:rsid w:val="00EB4483"/>
    <w:rsid w:val="00EB4AB9"/>
    <w:rsid w:val="00EB5641"/>
    <w:rsid w:val="00EB6126"/>
    <w:rsid w:val="00EB655B"/>
    <w:rsid w:val="00EC02AE"/>
    <w:rsid w:val="00EC1013"/>
    <w:rsid w:val="00EC2559"/>
    <w:rsid w:val="00EC275A"/>
    <w:rsid w:val="00EC2891"/>
    <w:rsid w:val="00EC3C8F"/>
    <w:rsid w:val="00EC4779"/>
    <w:rsid w:val="00EC661A"/>
    <w:rsid w:val="00EC671A"/>
    <w:rsid w:val="00EC73E6"/>
    <w:rsid w:val="00ED2CB2"/>
    <w:rsid w:val="00ED2D89"/>
    <w:rsid w:val="00ED3F2C"/>
    <w:rsid w:val="00ED7B5A"/>
    <w:rsid w:val="00EE22DD"/>
    <w:rsid w:val="00EE24CC"/>
    <w:rsid w:val="00EE2A05"/>
    <w:rsid w:val="00EE3996"/>
    <w:rsid w:val="00EE39FC"/>
    <w:rsid w:val="00EE3FFF"/>
    <w:rsid w:val="00EE4743"/>
    <w:rsid w:val="00EE4C69"/>
    <w:rsid w:val="00EE62C1"/>
    <w:rsid w:val="00EE7836"/>
    <w:rsid w:val="00EF13DD"/>
    <w:rsid w:val="00EF20AF"/>
    <w:rsid w:val="00EF21CF"/>
    <w:rsid w:val="00EF2D05"/>
    <w:rsid w:val="00EF34C5"/>
    <w:rsid w:val="00EF4AA4"/>
    <w:rsid w:val="00F00EC2"/>
    <w:rsid w:val="00F02D12"/>
    <w:rsid w:val="00F03A44"/>
    <w:rsid w:val="00F04AD4"/>
    <w:rsid w:val="00F05AD4"/>
    <w:rsid w:val="00F068C5"/>
    <w:rsid w:val="00F068C7"/>
    <w:rsid w:val="00F07411"/>
    <w:rsid w:val="00F07BF0"/>
    <w:rsid w:val="00F112AD"/>
    <w:rsid w:val="00F11E66"/>
    <w:rsid w:val="00F12038"/>
    <w:rsid w:val="00F12268"/>
    <w:rsid w:val="00F129DB"/>
    <w:rsid w:val="00F14A6F"/>
    <w:rsid w:val="00F14C64"/>
    <w:rsid w:val="00F172CC"/>
    <w:rsid w:val="00F1794E"/>
    <w:rsid w:val="00F203BA"/>
    <w:rsid w:val="00F2059D"/>
    <w:rsid w:val="00F20AE4"/>
    <w:rsid w:val="00F21BB9"/>
    <w:rsid w:val="00F23A01"/>
    <w:rsid w:val="00F25E64"/>
    <w:rsid w:val="00F2769F"/>
    <w:rsid w:val="00F3357F"/>
    <w:rsid w:val="00F35757"/>
    <w:rsid w:val="00F35BF3"/>
    <w:rsid w:val="00F36082"/>
    <w:rsid w:val="00F36146"/>
    <w:rsid w:val="00F37262"/>
    <w:rsid w:val="00F404F3"/>
    <w:rsid w:val="00F40808"/>
    <w:rsid w:val="00F40A91"/>
    <w:rsid w:val="00F4345D"/>
    <w:rsid w:val="00F44638"/>
    <w:rsid w:val="00F45032"/>
    <w:rsid w:val="00F4514C"/>
    <w:rsid w:val="00F451EA"/>
    <w:rsid w:val="00F457D2"/>
    <w:rsid w:val="00F4797C"/>
    <w:rsid w:val="00F539A9"/>
    <w:rsid w:val="00F54776"/>
    <w:rsid w:val="00F555C9"/>
    <w:rsid w:val="00F56D9B"/>
    <w:rsid w:val="00F57F24"/>
    <w:rsid w:val="00F60C4F"/>
    <w:rsid w:val="00F61B97"/>
    <w:rsid w:val="00F62F15"/>
    <w:rsid w:val="00F62F89"/>
    <w:rsid w:val="00F632CF"/>
    <w:rsid w:val="00F63753"/>
    <w:rsid w:val="00F63C45"/>
    <w:rsid w:val="00F66D1D"/>
    <w:rsid w:val="00F66F34"/>
    <w:rsid w:val="00F7044A"/>
    <w:rsid w:val="00F71079"/>
    <w:rsid w:val="00F74C8F"/>
    <w:rsid w:val="00F8113E"/>
    <w:rsid w:val="00F81E07"/>
    <w:rsid w:val="00F820AA"/>
    <w:rsid w:val="00F82548"/>
    <w:rsid w:val="00F861E7"/>
    <w:rsid w:val="00F87C26"/>
    <w:rsid w:val="00F902AC"/>
    <w:rsid w:val="00F91470"/>
    <w:rsid w:val="00F92DCF"/>
    <w:rsid w:val="00F933FF"/>
    <w:rsid w:val="00F93E49"/>
    <w:rsid w:val="00F94115"/>
    <w:rsid w:val="00F94777"/>
    <w:rsid w:val="00F958E2"/>
    <w:rsid w:val="00F96FE3"/>
    <w:rsid w:val="00F97D4D"/>
    <w:rsid w:val="00FA0692"/>
    <w:rsid w:val="00FA2CBD"/>
    <w:rsid w:val="00FA3A4A"/>
    <w:rsid w:val="00FA3D61"/>
    <w:rsid w:val="00FA4991"/>
    <w:rsid w:val="00FA50F3"/>
    <w:rsid w:val="00FA5404"/>
    <w:rsid w:val="00FA5C1A"/>
    <w:rsid w:val="00FA6278"/>
    <w:rsid w:val="00FB02F7"/>
    <w:rsid w:val="00FB0553"/>
    <w:rsid w:val="00FB0DD7"/>
    <w:rsid w:val="00FB1F25"/>
    <w:rsid w:val="00FB28B1"/>
    <w:rsid w:val="00FB43D8"/>
    <w:rsid w:val="00FB5DB8"/>
    <w:rsid w:val="00FB6865"/>
    <w:rsid w:val="00FC0071"/>
    <w:rsid w:val="00FC23EF"/>
    <w:rsid w:val="00FC3A65"/>
    <w:rsid w:val="00FC430F"/>
    <w:rsid w:val="00FC5A53"/>
    <w:rsid w:val="00FC6D2A"/>
    <w:rsid w:val="00FD23E7"/>
    <w:rsid w:val="00FD4060"/>
    <w:rsid w:val="00FD4753"/>
    <w:rsid w:val="00FD5A1D"/>
    <w:rsid w:val="00FD70E4"/>
    <w:rsid w:val="00FD7266"/>
    <w:rsid w:val="00FD7E46"/>
    <w:rsid w:val="00FE022A"/>
    <w:rsid w:val="00FE12CB"/>
    <w:rsid w:val="00FE1718"/>
    <w:rsid w:val="00FE1BBC"/>
    <w:rsid w:val="00FE260D"/>
    <w:rsid w:val="00FE4AD9"/>
    <w:rsid w:val="00FE51EC"/>
    <w:rsid w:val="00FE5998"/>
    <w:rsid w:val="00FF0699"/>
    <w:rsid w:val="00FF0C32"/>
    <w:rsid w:val="00FF125E"/>
    <w:rsid w:val="00FF230A"/>
    <w:rsid w:val="00FF23C0"/>
    <w:rsid w:val="00FF3719"/>
    <w:rsid w:val="00FF4361"/>
    <w:rsid w:val="00FF46ED"/>
    <w:rsid w:val="00FF5618"/>
    <w:rsid w:val="00FF7953"/>
    <w:rsid w:val="00FF7ED9"/>
    <w:rsid w:val="01D518C1"/>
    <w:rsid w:val="02CF6B0B"/>
    <w:rsid w:val="038843FF"/>
    <w:rsid w:val="03B37404"/>
    <w:rsid w:val="044367B0"/>
    <w:rsid w:val="048F6BA5"/>
    <w:rsid w:val="05211E61"/>
    <w:rsid w:val="058F6EA0"/>
    <w:rsid w:val="05E5600D"/>
    <w:rsid w:val="067601CC"/>
    <w:rsid w:val="070B300A"/>
    <w:rsid w:val="092E4433"/>
    <w:rsid w:val="09E7414B"/>
    <w:rsid w:val="09F9205B"/>
    <w:rsid w:val="0AD16353"/>
    <w:rsid w:val="0B85614E"/>
    <w:rsid w:val="0BB83A54"/>
    <w:rsid w:val="0DBB2E4B"/>
    <w:rsid w:val="0E8D65A6"/>
    <w:rsid w:val="0FA02DE0"/>
    <w:rsid w:val="116B5255"/>
    <w:rsid w:val="13301502"/>
    <w:rsid w:val="13540072"/>
    <w:rsid w:val="1356467D"/>
    <w:rsid w:val="153674A4"/>
    <w:rsid w:val="16EF5E73"/>
    <w:rsid w:val="17944956"/>
    <w:rsid w:val="17FC7920"/>
    <w:rsid w:val="1C014D84"/>
    <w:rsid w:val="1CA878CC"/>
    <w:rsid w:val="1D232140"/>
    <w:rsid w:val="1E342E58"/>
    <w:rsid w:val="1E3E386E"/>
    <w:rsid w:val="1E5F5CBE"/>
    <w:rsid w:val="1E87478F"/>
    <w:rsid w:val="1EEB4AED"/>
    <w:rsid w:val="1EEF0DDB"/>
    <w:rsid w:val="1F8F534D"/>
    <w:rsid w:val="1FC3227C"/>
    <w:rsid w:val="1FC42B64"/>
    <w:rsid w:val="21CA5B44"/>
    <w:rsid w:val="23D55480"/>
    <w:rsid w:val="26D17A7F"/>
    <w:rsid w:val="27C45A95"/>
    <w:rsid w:val="295A404C"/>
    <w:rsid w:val="2A9B71EF"/>
    <w:rsid w:val="2AC33130"/>
    <w:rsid w:val="2ADD37D7"/>
    <w:rsid w:val="2B1A6F1C"/>
    <w:rsid w:val="2BBA12BD"/>
    <w:rsid w:val="2CAD5165"/>
    <w:rsid w:val="2E9660CE"/>
    <w:rsid w:val="2F994EB0"/>
    <w:rsid w:val="30144EC2"/>
    <w:rsid w:val="315259DE"/>
    <w:rsid w:val="3156044E"/>
    <w:rsid w:val="320D12CC"/>
    <w:rsid w:val="32337693"/>
    <w:rsid w:val="333C43C8"/>
    <w:rsid w:val="339B7340"/>
    <w:rsid w:val="33C80504"/>
    <w:rsid w:val="348E47AF"/>
    <w:rsid w:val="351C2041"/>
    <w:rsid w:val="357806D6"/>
    <w:rsid w:val="35952AEC"/>
    <w:rsid w:val="365C0720"/>
    <w:rsid w:val="36F04F29"/>
    <w:rsid w:val="38E5211B"/>
    <w:rsid w:val="39205BF2"/>
    <w:rsid w:val="39AB02EF"/>
    <w:rsid w:val="39F02B60"/>
    <w:rsid w:val="3C424C38"/>
    <w:rsid w:val="3D727E9E"/>
    <w:rsid w:val="3E26436F"/>
    <w:rsid w:val="3E8C32E0"/>
    <w:rsid w:val="3EB5522B"/>
    <w:rsid w:val="3EEB6733"/>
    <w:rsid w:val="424109D0"/>
    <w:rsid w:val="42990C13"/>
    <w:rsid w:val="436A002C"/>
    <w:rsid w:val="43AA0EDA"/>
    <w:rsid w:val="45822FCF"/>
    <w:rsid w:val="458D7893"/>
    <w:rsid w:val="4690622E"/>
    <w:rsid w:val="47E06278"/>
    <w:rsid w:val="47E40B80"/>
    <w:rsid w:val="487E50B2"/>
    <w:rsid w:val="49725D2E"/>
    <w:rsid w:val="4ADA6548"/>
    <w:rsid w:val="4D297313"/>
    <w:rsid w:val="4DE6145D"/>
    <w:rsid w:val="4E4667F5"/>
    <w:rsid w:val="4EAF55F6"/>
    <w:rsid w:val="4FCB1C0C"/>
    <w:rsid w:val="504A7CCC"/>
    <w:rsid w:val="510846F1"/>
    <w:rsid w:val="51FB09CD"/>
    <w:rsid w:val="520D74BE"/>
    <w:rsid w:val="522115EF"/>
    <w:rsid w:val="522377D2"/>
    <w:rsid w:val="523F1387"/>
    <w:rsid w:val="524C61D8"/>
    <w:rsid w:val="541615DB"/>
    <w:rsid w:val="559578B1"/>
    <w:rsid w:val="55D83684"/>
    <w:rsid w:val="570B7614"/>
    <w:rsid w:val="57D367F9"/>
    <w:rsid w:val="5898359F"/>
    <w:rsid w:val="589917F1"/>
    <w:rsid w:val="58DE7204"/>
    <w:rsid w:val="595414F4"/>
    <w:rsid w:val="59AD3E0E"/>
    <w:rsid w:val="59F35F3A"/>
    <w:rsid w:val="5A4C5F01"/>
    <w:rsid w:val="5AB665E6"/>
    <w:rsid w:val="5B31071A"/>
    <w:rsid w:val="5BD81791"/>
    <w:rsid w:val="5CD728E8"/>
    <w:rsid w:val="5DA121AB"/>
    <w:rsid w:val="5E632A16"/>
    <w:rsid w:val="5E884949"/>
    <w:rsid w:val="5E9706DB"/>
    <w:rsid w:val="5F444C55"/>
    <w:rsid w:val="5F7A7D2B"/>
    <w:rsid w:val="5FAD7930"/>
    <w:rsid w:val="60025F65"/>
    <w:rsid w:val="60121E89"/>
    <w:rsid w:val="602073C7"/>
    <w:rsid w:val="60C213F0"/>
    <w:rsid w:val="615D6511"/>
    <w:rsid w:val="619066B6"/>
    <w:rsid w:val="619E1C26"/>
    <w:rsid w:val="61BB2845"/>
    <w:rsid w:val="61D513C0"/>
    <w:rsid w:val="62D96C8E"/>
    <w:rsid w:val="634D3D9C"/>
    <w:rsid w:val="63E04B73"/>
    <w:rsid w:val="64D85DCB"/>
    <w:rsid w:val="653359CE"/>
    <w:rsid w:val="66676BB6"/>
    <w:rsid w:val="66AD7951"/>
    <w:rsid w:val="681177DB"/>
    <w:rsid w:val="688F2159"/>
    <w:rsid w:val="68C0684E"/>
    <w:rsid w:val="69285423"/>
    <w:rsid w:val="698E1C93"/>
    <w:rsid w:val="6A7D0052"/>
    <w:rsid w:val="6B4D2763"/>
    <w:rsid w:val="6BA918F3"/>
    <w:rsid w:val="6C705F6D"/>
    <w:rsid w:val="6CB63DFD"/>
    <w:rsid w:val="6D170987"/>
    <w:rsid w:val="6D974E7D"/>
    <w:rsid w:val="6DA877B4"/>
    <w:rsid w:val="6E405E13"/>
    <w:rsid w:val="70DB1624"/>
    <w:rsid w:val="711035E7"/>
    <w:rsid w:val="718F158B"/>
    <w:rsid w:val="71FC3013"/>
    <w:rsid w:val="72050B2B"/>
    <w:rsid w:val="722A72ED"/>
    <w:rsid w:val="741414C3"/>
    <w:rsid w:val="752F79B0"/>
    <w:rsid w:val="777573D2"/>
    <w:rsid w:val="778B00FF"/>
    <w:rsid w:val="77A318EC"/>
    <w:rsid w:val="796A56EA"/>
    <w:rsid w:val="7A4F103F"/>
    <w:rsid w:val="7B600A11"/>
    <w:rsid w:val="7C27086C"/>
    <w:rsid w:val="7C553E59"/>
    <w:rsid w:val="7CA841F5"/>
    <w:rsid w:val="7CAD1877"/>
    <w:rsid w:val="7CBC133A"/>
    <w:rsid w:val="7D882B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4">
    <w:name w:val="heading 1"/>
    <w:basedOn w:val="1"/>
    <w:next w:val="1"/>
    <w:link w:val="36"/>
    <w:qFormat/>
    <w:uiPriority w:val="9"/>
    <w:pPr>
      <w:keepNext/>
      <w:keepLines/>
      <w:numPr>
        <w:ilvl w:val="0"/>
        <w:numId w:val="1"/>
      </w:numPr>
      <w:tabs>
        <w:tab w:val="left" w:pos="0"/>
      </w:tabs>
      <w:ind w:firstLineChars="0"/>
      <w:jc w:val="center"/>
      <w:outlineLvl w:val="0"/>
    </w:pPr>
    <w:rPr>
      <w:b/>
      <w:bCs/>
      <w:kern w:val="44"/>
      <w:sz w:val="32"/>
      <w:szCs w:val="44"/>
    </w:rPr>
  </w:style>
  <w:style w:type="paragraph" w:styleId="5">
    <w:name w:val="heading 2"/>
    <w:basedOn w:val="1"/>
    <w:next w:val="1"/>
    <w:link w:val="37"/>
    <w:unhideWhenUsed/>
    <w:qFormat/>
    <w:uiPriority w:val="9"/>
    <w:pPr>
      <w:keepNext/>
      <w:keepLines/>
      <w:numPr>
        <w:ilvl w:val="1"/>
        <w:numId w:val="1"/>
      </w:numPr>
      <w:tabs>
        <w:tab w:val="left" w:pos="0"/>
      </w:tabs>
      <w:ind w:firstLineChars="0"/>
      <w:jc w:val="left"/>
      <w:outlineLvl w:val="1"/>
    </w:pPr>
    <w:rPr>
      <w:rFonts w:cstheme="majorBidi"/>
      <w:b/>
      <w:bCs/>
      <w:sz w:val="28"/>
      <w:szCs w:val="32"/>
    </w:rPr>
  </w:style>
  <w:style w:type="paragraph" w:styleId="6">
    <w:name w:val="heading 3"/>
    <w:basedOn w:val="5"/>
    <w:next w:val="1"/>
    <w:link w:val="38"/>
    <w:unhideWhenUsed/>
    <w:qFormat/>
    <w:uiPriority w:val="9"/>
    <w:pPr>
      <w:numPr>
        <w:ilvl w:val="2"/>
      </w:numPr>
      <w:outlineLvl w:val="2"/>
    </w:pPr>
    <w:rPr>
      <w:sz w:val="24"/>
    </w:rPr>
  </w:style>
  <w:style w:type="paragraph" w:styleId="7">
    <w:name w:val="heading 4"/>
    <w:basedOn w:val="8"/>
    <w:next w:val="1"/>
    <w:link w:val="39"/>
    <w:unhideWhenUsed/>
    <w:qFormat/>
    <w:uiPriority w:val="9"/>
    <w:pPr>
      <w:numPr>
        <w:ilvl w:val="3"/>
        <w:numId w:val="1"/>
      </w:numPr>
      <w:tabs>
        <w:tab w:val="left" w:pos="0"/>
      </w:tabs>
      <w:outlineLvl w:val="3"/>
    </w:pPr>
    <w:rPr>
      <w:rFonts w:eastAsiaTheme="majorEastAsia"/>
      <w:bCs w:val="0"/>
      <w:szCs w:val="28"/>
    </w:rPr>
  </w:style>
  <w:style w:type="paragraph" w:styleId="9">
    <w:name w:val="heading 5"/>
    <w:basedOn w:val="1"/>
    <w:next w:val="1"/>
    <w:link w:val="40"/>
    <w:unhideWhenUsed/>
    <w:qFormat/>
    <w:uiPriority w:val="9"/>
    <w:pPr>
      <w:keepNext/>
      <w:keepLines/>
      <w:outlineLvl w:val="4"/>
    </w:pPr>
    <w:rPr>
      <w:bCs/>
      <w:szCs w:val="28"/>
    </w:rPr>
  </w:style>
  <w:style w:type="paragraph" w:styleId="10">
    <w:name w:val="heading 6"/>
    <w:basedOn w:val="1"/>
    <w:next w:val="1"/>
    <w:link w:val="90"/>
    <w:semiHidden/>
    <w:unhideWhenUsed/>
    <w:qFormat/>
    <w:uiPriority w:val="9"/>
    <w:pPr>
      <w:keepNext/>
      <w:keepLines/>
      <w:outlineLvl w:val="5"/>
    </w:pPr>
    <w:rPr>
      <w:rFonts w:ascii="Arial" w:hAnsi="Arial"/>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3"/>
    <w:link w:val="59"/>
    <w:semiHidden/>
    <w:unhideWhenUsed/>
    <w:qFormat/>
    <w:uiPriority w:val="99"/>
    <w:pPr>
      <w:spacing w:after="120"/>
      <w:ind w:left="420" w:leftChars="200"/>
    </w:pPr>
  </w:style>
  <w:style w:type="paragraph" w:customStyle="1" w:styleId="3">
    <w:name w:val="样式 正文文本缩进正文文本缩进 Char + Times New Roman"/>
    <w:basedOn w:val="1"/>
    <w:autoRedefine/>
    <w:qFormat/>
    <w:uiPriority w:val="0"/>
    <w:pPr>
      <w:spacing w:line="300" w:lineRule="auto"/>
      <w:ind w:firstLine="480" w:firstLineChars="200"/>
    </w:pPr>
    <w:rPr>
      <w:rFonts w:asciiTheme="majorEastAsia" w:hAnsiTheme="majorEastAsia" w:eastAsiaTheme="majorEastAsia"/>
      <w:sz w:val="24"/>
    </w:rPr>
  </w:style>
  <w:style w:type="paragraph" w:customStyle="1" w:styleId="8">
    <w:name w:val="基准-无缩进"/>
    <w:basedOn w:val="6"/>
    <w:link w:val="64"/>
    <w:qFormat/>
    <w:uiPriority w:val="0"/>
    <w:pPr>
      <w:numPr>
        <w:ilvl w:val="0"/>
        <w:numId w:val="0"/>
      </w:numPr>
    </w:pPr>
  </w:style>
  <w:style w:type="paragraph" w:styleId="11">
    <w:name w:val="Normal Indent"/>
    <w:basedOn w:val="1"/>
    <w:next w:val="12"/>
    <w:unhideWhenUsed/>
    <w:qFormat/>
    <w:uiPriority w:val="99"/>
    <w:pPr>
      <w:ind w:firstLine="420"/>
    </w:pPr>
    <w:rPr>
      <w:rFonts w:hint="eastAsia"/>
    </w:rPr>
  </w:style>
  <w:style w:type="paragraph" w:styleId="12">
    <w:name w:val="Body Text First Indent"/>
    <w:basedOn w:val="13"/>
    <w:next w:val="1"/>
    <w:link w:val="91"/>
    <w:unhideWhenUsed/>
    <w:qFormat/>
    <w:uiPriority w:val="99"/>
    <w:pPr>
      <w:spacing w:before="154"/>
      <w:ind w:left="121" w:firstLine="420" w:firstLineChars="100"/>
    </w:pPr>
    <w:rPr>
      <w:rFonts w:hint="eastAsia" w:ascii="仿宋" w:hAnsi="仿宋" w:eastAsia="仿宋"/>
      <w:szCs w:val="21"/>
    </w:rPr>
  </w:style>
  <w:style w:type="paragraph" w:styleId="13">
    <w:name w:val="Body Text"/>
    <w:basedOn w:val="1"/>
    <w:next w:val="1"/>
    <w:link w:val="121"/>
    <w:unhideWhenUsed/>
    <w:qFormat/>
    <w:uiPriority w:val="99"/>
    <w:pPr>
      <w:ind w:firstLine="560"/>
    </w:pPr>
    <w:rPr>
      <w:szCs w:val="24"/>
    </w:rPr>
  </w:style>
  <w:style w:type="paragraph" w:styleId="14">
    <w:name w:val="caption"/>
    <w:basedOn w:val="1"/>
    <w:next w:val="15"/>
    <w:link w:val="55"/>
    <w:unhideWhenUsed/>
    <w:qFormat/>
    <w:uiPriority w:val="35"/>
    <w:pPr>
      <w:spacing w:line="240" w:lineRule="auto"/>
      <w:jc w:val="center"/>
    </w:pPr>
    <w:rPr>
      <w:rFonts w:ascii="Arial" w:hAnsi="Arial"/>
      <w:b/>
      <w:sz w:val="21"/>
    </w:rPr>
  </w:style>
  <w:style w:type="paragraph" w:customStyle="1" w:styleId="15">
    <w:name w:val="表内文字"/>
    <w:basedOn w:val="16"/>
    <w:next w:val="1"/>
    <w:link w:val="115"/>
    <w:qFormat/>
    <w:uiPriority w:val="0"/>
    <w:pPr>
      <w:spacing w:line="240" w:lineRule="auto"/>
      <w:ind w:firstLine="0" w:firstLineChars="0"/>
      <w:jc w:val="center"/>
    </w:pPr>
    <w:rPr>
      <w:sz w:val="21"/>
    </w:rPr>
  </w:style>
  <w:style w:type="paragraph" w:customStyle="1" w:styleId="16">
    <w:name w:val="图表名称"/>
    <w:basedOn w:val="1"/>
    <w:qFormat/>
    <w:uiPriority w:val="0"/>
    <w:pPr>
      <w:ind w:firstLine="480"/>
      <w:jc w:val="center"/>
    </w:pPr>
    <w:rPr>
      <w:b/>
      <w:sz w:val="21"/>
    </w:rPr>
  </w:style>
  <w:style w:type="paragraph" w:styleId="17">
    <w:name w:val="annotation text"/>
    <w:basedOn w:val="1"/>
    <w:link w:val="72"/>
    <w:unhideWhenUsed/>
    <w:qFormat/>
    <w:uiPriority w:val="99"/>
    <w:pPr>
      <w:jc w:val="left"/>
    </w:pPr>
  </w:style>
  <w:style w:type="paragraph" w:styleId="18">
    <w:name w:val="toc 3"/>
    <w:basedOn w:val="1"/>
    <w:next w:val="1"/>
    <w:unhideWhenUsed/>
    <w:qFormat/>
    <w:uiPriority w:val="39"/>
    <w:pPr>
      <w:ind w:left="840" w:leftChars="400"/>
    </w:pPr>
  </w:style>
  <w:style w:type="paragraph" w:styleId="19">
    <w:name w:val="Plain Text"/>
    <w:basedOn w:val="1"/>
    <w:link w:val="62"/>
    <w:qFormat/>
    <w:uiPriority w:val="0"/>
    <w:pPr>
      <w:ind w:firstLine="1044"/>
    </w:pPr>
    <w:rPr>
      <w:rFonts w:ascii="宋体" w:hAnsi="Courier New" w:eastAsia="仿宋_GB2312" w:cs="Courier New"/>
    </w:rPr>
  </w:style>
  <w:style w:type="paragraph" w:styleId="20">
    <w:name w:val="Balloon Text"/>
    <w:basedOn w:val="1"/>
    <w:link w:val="74"/>
    <w:qFormat/>
    <w:uiPriority w:val="0"/>
    <w:pPr>
      <w:spacing w:line="240" w:lineRule="auto"/>
    </w:pPr>
    <w:rPr>
      <w:sz w:val="18"/>
      <w:szCs w:val="18"/>
    </w:rPr>
  </w:style>
  <w:style w:type="paragraph" w:styleId="21">
    <w:name w:val="footer"/>
    <w:basedOn w:val="1"/>
    <w:link w:val="42"/>
    <w:unhideWhenUsed/>
    <w:qFormat/>
    <w:uiPriority w:val="99"/>
    <w:pPr>
      <w:tabs>
        <w:tab w:val="center" w:pos="4153"/>
        <w:tab w:val="right" w:pos="8306"/>
      </w:tabs>
      <w:snapToGrid w:val="0"/>
      <w:ind w:firstLine="0" w:firstLineChars="0"/>
      <w:jc w:val="center"/>
    </w:pPr>
    <w:rPr>
      <w:sz w:val="18"/>
      <w:szCs w:val="18"/>
    </w:rPr>
  </w:style>
  <w:style w:type="paragraph" w:styleId="22">
    <w:name w:val="header"/>
    <w:basedOn w:val="1"/>
    <w:link w:val="43"/>
    <w:unhideWhenUsed/>
    <w:qFormat/>
    <w:uiPriority w:val="99"/>
    <w:pPr>
      <w:pBdr>
        <w:bottom w:val="single" w:color="auto" w:sz="6" w:space="1"/>
      </w:pBdr>
      <w:tabs>
        <w:tab w:val="center" w:pos="4153"/>
        <w:tab w:val="right" w:pos="8306"/>
      </w:tabs>
      <w:snapToGrid w:val="0"/>
      <w:spacing w:line="240" w:lineRule="auto"/>
      <w:ind w:firstLine="0" w:firstLineChars="0"/>
      <w:jc w:val="center"/>
    </w:pPr>
    <w:rPr>
      <w:rFonts w:eastAsia="楷体"/>
      <w:sz w:val="18"/>
      <w:szCs w:val="18"/>
    </w:rPr>
  </w:style>
  <w:style w:type="paragraph" w:styleId="23">
    <w:name w:val="toc 1"/>
    <w:basedOn w:val="1"/>
    <w:next w:val="1"/>
    <w:unhideWhenUsed/>
    <w:qFormat/>
    <w:uiPriority w:val="39"/>
    <w:pPr>
      <w:tabs>
        <w:tab w:val="right" w:leader="dot" w:pos="9060"/>
      </w:tabs>
      <w:ind w:firstLine="0" w:firstLineChars="0"/>
      <w:jc w:val="center"/>
    </w:pPr>
    <w:rPr>
      <w:b/>
      <w:sz w:val="28"/>
    </w:rPr>
  </w:style>
  <w:style w:type="paragraph" w:styleId="24">
    <w:name w:val="Subtitle"/>
    <w:basedOn w:val="1"/>
    <w:next w:val="1"/>
    <w:link w:val="44"/>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25">
    <w:name w:val="toc 2"/>
    <w:basedOn w:val="1"/>
    <w:next w:val="1"/>
    <w:unhideWhenUsed/>
    <w:qFormat/>
    <w:uiPriority w:val="39"/>
    <w:pPr>
      <w:tabs>
        <w:tab w:val="right" w:leader="dot" w:pos="9060"/>
      </w:tabs>
      <w:ind w:firstLine="560"/>
      <w:jc w:val="center"/>
    </w:pPr>
    <w:rPr>
      <w:sz w:val="28"/>
    </w:rPr>
  </w:style>
  <w:style w:type="paragraph" w:styleId="26">
    <w:name w:val="Normal (Web)"/>
    <w:basedOn w:val="1"/>
    <w:qFormat/>
    <w:uiPriority w:val="0"/>
  </w:style>
  <w:style w:type="paragraph" w:styleId="27">
    <w:name w:val="Title"/>
    <w:basedOn w:val="1"/>
    <w:next w:val="1"/>
    <w:link w:val="87"/>
    <w:qFormat/>
    <w:uiPriority w:val="10"/>
    <w:pPr>
      <w:spacing w:before="240" w:after="60"/>
      <w:jc w:val="center"/>
      <w:outlineLvl w:val="0"/>
    </w:pPr>
    <w:rPr>
      <w:rFonts w:asciiTheme="majorHAnsi" w:hAnsiTheme="majorHAnsi" w:eastAsiaTheme="majorEastAsia" w:cstheme="majorBidi"/>
      <w:b/>
      <w:bCs/>
      <w:sz w:val="32"/>
      <w:szCs w:val="32"/>
    </w:rPr>
  </w:style>
  <w:style w:type="paragraph" w:styleId="28">
    <w:name w:val="annotation subject"/>
    <w:basedOn w:val="17"/>
    <w:next w:val="17"/>
    <w:link w:val="73"/>
    <w:semiHidden/>
    <w:unhideWhenUsed/>
    <w:qFormat/>
    <w:uiPriority w:val="99"/>
    <w:rPr>
      <w:b/>
      <w:bCs/>
    </w:rPr>
  </w:style>
  <w:style w:type="paragraph" w:styleId="29">
    <w:name w:val="Body Text First Indent 2"/>
    <w:basedOn w:val="13"/>
    <w:next w:val="13"/>
    <w:link w:val="60"/>
    <w:qFormat/>
    <w:uiPriority w:val="0"/>
    <w:pPr>
      <w:ind w:firstLine="420"/>
    </w:pPr>
    <w:rPr>
      <w:rFonts w:eastAsia="仿宋_GB2312"/>
      <w:szCs w:val="22"/>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FollowedHyperlink"/>
    <w:basedOn w:val="32"/>
    <w:semiHidden/>
    <w:unhideWhenUsed/>
    <w:qFormat/>
    <w:uiPriority w:val="99"/>
    <w:rPr>
      <w:color w:val="800080" w:themeColor="followedHyperlink"/>
      <w:u w:val="single"/>
      <w14:textFill>
        <w14:solidFill>
          <w14:schemeClr w14:val="folHlink"/>
        </w14:solidFill>
      </w14:textFill>
    </w:rPr>
  </w:style>
  <w:style w:type="character" w:styleId="34">
    <w:name w:val="Hyperlink"/>
    <w:basedOn w:val="32"/>
    <w:unhideWhenUsed/>
    <w:qFormat/>
    <w:uiPriority w:val="99"/>
    <w:rPr>
      <w:color w:val="0000FF" w:themeColor="hyperlink"/>
      <w:u w:val="single"/>
      <w14:textFill>
        <w14:solidFill>
          <w14:schemeClr w14:val="hlink"/>
        </w14:solidFill>
      </w14:textFill>
    </w:rPr>
  </w:style>
  <w:style w:type="character" w:styleId="35">
    <w:name w:val="annotation reference"/>
    <w:basedOn w:val="32"/>
    <w:semiHidden/>
    <w:unhideWhenUsed/>
    <w:qFormat/>
    <w:uiPriority w:val="99"/>
    <w:rPr>
      <w:sz w:val="21"/>
      <w:szCs w:val="21"/>
    </w:rPr>
  </w:style>
  <w:style w:type="character" w:customStyle="1" w:styleId="36">
    <w:name w:val="标题 1 字符"/>
    <w:basedOn w:val="32"/>
    <w:link w:val="4"/>
    <w:qFormat/>
    <w:uiPriority w:val="9"/>
    <w:rPr>
      <w:rFonts w:ascii="Times New Roman" w:hAnsi="Times New Roman" w:cs="Times New Roman"/>
      <w:b/>
      <w:bCs/>
      <w:kern w:val="44"/>
      <w:sz w:val="32"/>
      <w:szCs w:val="44"/>
    </w:rPr>
  </w:style>
  <w:style w:type="character" w:customStyle="1" w:styleId="37">
    <w:name w:val="标题 2 字符"/>
    <w:basedOn w:val="32"/>
    <w:link w:val="5"/>
    <w:qFormat/>
    <w:uiPriority w:val="9"/>
    <w:rPr>
      <w:rFonts w:ascii="Times New Roman" w:hAnsi="Times New Roman" w:cstheme="majorBidi"/>
      <w:b/>
      <w:bCs/>
      <w:kern w:val="2"/>
      <w:sz w:val="28"/>
      <w:szCs w:val="32"/>
    </w:rPr>
  </w:style>
  <w:style w:type="character" w:customStyle="1" w:styleId="38">
    <w:name w:val="标题 3 字符"/>
    <w:basedOn w:val="32"/>
    <w:link w:val="6"/>
    <w:qFormat/>
    <w:uiPriority w:val="9"/>
    <w:rPr>
      <w:rFonts w:ascii="Times New Roman" w:hAnsi="Times New Roman" w:cstheme="majorBidi"/>
      <w:b/>
      <w:bCs/>
      <w:kern w:val="2"/>
      <w:sz w:val="24"/>
      <w:szCs w:val="32"/>
    </w:rPr>
  </w:style>
  <w:style w:type="character" w:customStyle="1" w:styleId="39">
    <w:name w:val="标题 4 字符"/>
    <w:basedOn w:val="32"/>
    <w:link w:val="7"/>
    <w:qFormat/>
    <w:uiPriority w:val="9"/>
    <w:rPr>
      <w:rFonts w:ascii="Times New Roman" w:hAnsi="Times New Roman" w:eastAsiaTheme="majorEastAsia" w:cstheme="majorBidi"/>
      <w:b/>
      <w:kern w:val="2"/>
      <w:sz w:val="24"/>
      <w:szCs w:val="28"/>
    </w:rPr>
  </w:style>
  <w:style w:type="character" w:customStyle="1" w:styleId="40">
    <w:name w:val="标题 5 字符"/>
    <w:basedOn w:val="32"/>
    <w:link w:val="9"/>
    <w:qFormat/>
    <w:uiPriority w:val="9"/>
    <w:rPr>
      <w:rFonts w:ascii="Times New Roman" w:hAnsi="Times New Roman" w:eastAsia="宋体" w:cs="Times New Roman"/>
      <w:bCs/>
      <w:sz w:val="24"/>
      <w:szCs w:val="28"/>
    </w:rPr>
  </w:style>
  <w:style w:type="character" w:customStyle="1" w:styleId="41">
    <w:name w:val="正文文本 字符"/>
    <w:qFormat/>
    <w:uiPriority w:val="99"/>
    <w:rPr>
      <w:rFonts w:ascii="Times New Roman" w:hAnsi="Times New Roman" w:eastAsia="宋体" w:cs="Times New Roman"/>
      <w:kern w:val="2"/>
      <w:sz w:val="24"/>
      <w:szCs w:val="24"/>
    </w:rPr>
  </w:style>
  <w:style w:type="character" w:customStyle="1" w:styleId="42">
    <w:name w:val="页脚 字符"/>
    <w:basedOn w:val="32"/>
    <w:link w:val="21"/>
    <w:qFormat/>
    <w:uiPriority w:val="99"/>
    <w:rPr>
      <w:rFonts w:ascii="Times New Roman" w:hAnsi="Times New Roman"/>
      <w:kern w:val="2"/>
      <w:sz w:val="18"/>
      <w:szCs w:val="18"/>
    </w:rPr>
  </w:style>
  <w:style w:type="character" w:customStyle="1" w:styleId="43">
    <w:name w:val="页眉 字符"/>
    <w:basedOn w:val="32"/>
    <w:link w:val="22"/>
    <w:qFormat/>
    <w:uiPriority w:val="99"/>
    <w:rPr>
      <w:rFonts w:ascii="Times New Roman" w:hAnsi="Times New Roman" w:eastAsia="楷体"/>
      <w:kern w:val="2"/>
      <w:sz w:val="18"/>
      <w:szCs w:val="18"/>
    </w:rPr>
  </w:style>
  <w:style w:type="character" w:customStyle="1" w:styleId="44">
    <w:name w:val="副标题 字符"/>
    <w:basedOn w:val="32"/>
    <w:link w:val="24"/>
    <w:qFormat/>
    <w:uiPriority w:val="11"/>
    <w:rPr>
      <w:rFonts w:eastAsia="宋体" w:asciiTheme="majorHAnsi" w:hAnsiTheme="majorHAnsi" w:cstheme="majorBidi"/>
      <w:b/>
      <w:bCs/>
      <w:kern w:val="28"/>
      <w:sz w:val="32"/>
      <w:szCs w:val="32"/>
    </w:rPr>
  </w:style>
  <w:style w:type="paragraph" w:customStyle="1" w:styleId="45">
    <w:name w:val="封面标题"/>
    <w:basedOn w:val="1"/>
    <w:next w:val="1"/>
    <w:link w:val="67"/>
    <w:qFormat/>
    <w:uiPriority w:val="0"/>
    <w:pPr>
      <w:ind w:firstLine="0" w:firstLineChars="0"/>
      <w:jc w:val="center"/>
    </w:pPr>
    <w:rPr>
      <w:b/>
      <w:sz w:val="32"/>
    </w:rPr>
  </w:style>
  <w:style w:type="paragraph" w:customStyle="1" w:styleId="46">
    <w:name w:val="图表标题"/>
    <w:basedOn w:val="47"/>
    <w:link w:val="49"/>
    <w:qFormat/>
    <w:uiPriority w:val="0"/>
    <w:pPr>
      <w:ind w:firstLine="0" w:firstLineChars="0"/>
      <w:jc w:val="center"/>
    </w:pPr>
    <w:rPr>
      <w:rFonts w:eastAsia="宋体"/>
      <w:b/>
      <w:sz w:val="21"/>
    </w:rPr>
  </w:style>
  <w:style w:type="paragraph" w:customStyle="1" w:styleId="47">
    <w:name w:val="正文部分"/>
    <w:basedOn w:val="1"/>
    <w:link w:val="48"/>
    <w:qFormat/>
    <w:uiPriority w:val="0"/>
    <w:rPr>
      <w:rFonts w:eastAsia="仿宋_GB2312"/>
      <w:szCs w:val="22"/>
    </w:rPr>
  </w:style>
  <w:style w:type="character" w:customStyle="1" w:styleId="48">
    <w:name w:val="正文部分 Char"/>
    <w:link w:val="47"/>
    <w:qFormat/>
    <w:uiPriority w:val="0"/>
    <w:rPr>
      <w:rFonts w:ascii="Times New Roman" w:hAnsi="Times New Roman" w:eastAsia="仿宋_GB2312" w:cs="Times New Roman"/>
      <w:kern w:val="2"/>
      <w:sz w:val="24"/>
      <w:szCs w:val="22"/>
    </w:rPr>
  </w:style>
  <w:style w:type="character" w:customStyle="1" w:styleId="49">
    <w:name w:val="图表标题 Char"/>
    <w:link w:val="46"/>
    <w:qFormat/>
    <w:uiPriority w:val="0"/>
    <w:rPr>
      <w:rFonts w:ascii="Times New Roman" w:hAnsi="Times New Roman"/>
      <w:b/>
      <w:kern w:val="2"/>
      <w:sz w:val="21"/>
      <w:szCs w:val="22"/>
    </w:rPr>
  </w:style>
  <w:style w:type="paragraph" w:customStyle="1" w:styleId="50">
    <w:name w:val="样式 宋体 四号 行距: 固定值 25 磅"/>
    <w:basedOn w:val="1"/>
    <w:qFormat/>
    <w:uiPriority w:val="0"/>
    <w:pPr>
      <w:spacing w:line="440" w:lineRule="exact"/>
    </w:pPr>
    <w:rPr>
      <w:rFonts w:ascii="宋体" w:hAnsi="宋体" w:eastAsia="仿宋_GB2312"/>
      <w:szCs w:val="20"/>
    </w:rPr>
  </w:style>
  <w:style w:type="character" w:customStyle="1" w:styleId="51">
    <w:name w:val="图表文字 Char"/>
    <w:link w:val="52"/>
    <w:qFormat/>
    <w:uiPriority w:val="0"/>
    <w:rPr>
      <w:rFonts w:ascii="Times New Roman" w:hAnsi="Times New Roman" w:eastAsia="宋体" w:cs="宋体"/>
      <w:color w:val="000000"/>
      <w:sz w:val="21"/>
      <w:szCs w:val="24"/>
    </w:rPr>
  </w:style>
  <w:style w:type="paragraph" w:customStyle="1" w:styleId="52">
    <w:name w:val="图表文字"/>
    <w:basedOn w:val="53"/>
    <w:link w:val="51"/>
    <w:qFormat/>
    <w:uiPriority w:val="0"/>
    <w:pPr>
      <w:jc w:val="center"/>
    </w:pPr>
    <w:rPr>
      <w:rFonts w:ascii="Times New Roman" w:hAnsi="Times New Roman" w:eastAsia="宋体" w:cs="宋体"/>
      <w:color w:val="000000"/>
      <w:sz w:val="21"/>
      <w:szCs w:val="24"/>
      <w:lang w:val="en-US" w:eastAsia="zh-CN" w:bidi="ar-SA"/>
    </w:rPr>
  </w:style>
  <w:style w:type="paragraph" w:styleId="53">
    <w:name w:val="No Spacing"/>
    <w:qFormat/>
    <w:uiPriority w:val="1"/>
    <w:pPr>
      <w:widowControl w:val="0"/>
      <w:spacing w:line="360" w:lineRule="auto"/>
      <w:jc w:val="center"/>
    </w:pPr>
    <w:rPr>
      <w:rFonts w:ascii="黑体" w:hAnsi="黑体" w:eastAsia="黑体" w:cs="Times New Roman"/>
      <w:sz w:val="21"/>
      <w:lang w:val="en-US" w:eastAsia="zh-CN" w:bidi="ar-SA"/>
    </w:rPr>
  </w:style>
  <w:style w:type="character" w:customStyle="1" w:styleId="54">
    <w:name w:val="fontstyle01"/>
    <w:basedOn w:val="32"/>
    <w:qFormat/>
    <w:uiPriority w:val="0"/>
    <w:rPr>
      <w:rFonts w:hint="eastAsia" w:ascii="宋体" w:hAnsi="宋体" w:eastAsia="宋体"/>
      <w:color w:val="000000"/>
      <w:sz w:val="48"/>
      <w:szCs w:val="48"/>
    </w:rPr>
  </w:style>
  <w:style w:type="character" w:customStyle="1" w:styleId="55">
    <w:name w:val="题注 字符"/>
    <w:link w:val="14"/>
    <w:qFormat/>
    <w:uiPriority w:val="35"/>
    <w:rPr>
      <w:rFonts w:ascii="Arial" w:hAnsi="Arial" w:eastAsia="宋体" w:cs="Times New Roman"/>
      <w:b/>
      <w:kern w:val="2"/>
      <w:sz w:val="21"/>
      <w:szCs w:val="21"/>
    </w:rPr>
  </w:style>
  <w:style w:type="paragraph" w:customStyle="1" w:styleId="56">
    <w:name w:val="表格文字"/>
    <w:basedOn w:val="1"/>
    <w:qFormat/>
    <w:uiPriority w:val="0"/>
    <w:pPr>
      <w:ind w:firstLine="0" w:firstLineChars="0"/>
      <w:jc w:val="center"/>
    </w:pPr>
    <w:rPr>
      <w:rFonts w:hint="eastAsia" w:eastAsia="仿宋"/>
      <w:sz w:val="18"/>
      <w:szCs w:val="18"/>
    </w:rPr>
  </w:style>
  <w:style w:type="paragraph" w:customStyle="1" w:styleId="57">
    <w:name w:val="Table Paragraph"/>
    <w:basedOn w:val="1"/>
    <w:qFormat/>
    <w:uiPriority w:val="1"/>
    <w:pPr>
      <w:jc w:val="center"/>
    </w:pPr>
    <w:rPr>
      <w:rFonts w:ascii="宋体" w:hAnsi="宋体" w:cs="宋体"/>
    </w:rPr>
  </w:style>
  <w:style w:type="paragraph" w:customStyle="1" w:styleId="58">
    <w:name w:val="表格正文"/>
    <w:basedOn w:val="1"/>
    <w:qFormat/>
    <w:uiPriority w:val="0"/>
    <w:pPr>
      <w:spacing w:line="240" w:lineRule="auto"/>
      <w:ind w:firstLine="0" w:firstLineChars="0"/>
      <w:jc w:val="center"/>
    </w:pPr>
    <w:rPr>
      <w:color w:val="000000"/>
      <w:sz w:val="21"/>
      <w:szCs w:val="20"/>
    </w:rPr>
  </w:style>
  <w:style w:type="character" w:customStyle="1" w:styleId="59">
    <w:name w:val="正文文本缩进 字符"/>
    <w:basedOn w:val="32"/>
    <w:link w:val="2"/>
    <w:semiHidden/>
    <w:qFormat/>
    <w:uiPriority w:val="99"/>
    <w:rPr>
      <w:rFonts w:ascii="Times New Roman" w:hAnsi="Times New Roman" w:eastAsia="宋体" w:cs="Times New Roman"/>
      <w:kern w:val="2"/>
      <w:sz w:val="24"/>
      <w:szCs w:val="21"/>
    </w:rPr>
  </w:style>
  <w:style w:type="character" w:customStyle="1" w:styleId="60">
    <w:name w:val="正文文本首行缩进 2 字符"/>
    <w:basedOn w:val="59"/>
    <w:link w:val="29"/>
    <w:qFormat/>
    <w:uiPriority w:val="0"/>
    <w:rPr>
      <w:rFonts w:ascii="Times New Roman" w:hAnsi="Times New Roman" w:eastAsia="仿宋_GB2312" w:cs="Times New Roman"/>
      <w:kern w:val="2"/>
      <w:sz w:val="24"/>
      <w:szCs w:val="22"/>
    </w:rPr>
  </w:style>
  <w:style w:type="paragraph" w:customStyle="1" w:styleId="61">
    <w:name w:val="!正文仿小四"/>
    <w:basedOn w:val="1"/>
    <w:qFormat/>
    <w:uiPriority w:val="0"/>
    <w:pPr>
      <w:jc w:val="left"/>
    </w:pPr>
    <w:rPr>
      <w:rFonts w:eastAsia="仿宋_GB2312"/>
      <w:szCs w:val="22"/>
    </w:rPr>
  </w:style>
  <w:style w:type="character" w:customStyle="1" w:styleId="62">
    <w:name w:val="纯文本 字符"/>
    <w:basedOn w:val="32"/>
    <w:link w:val="19"/>
    <w:qFormat/>
    <w:uiPriority w:val="0"/>
    <w:rPr>
      <w:rFonts w:ascii="宋体" w:hAnsi="Courier New" w:eastAsia="仿宋_GB2312" w:cs="Courier New"/>
      <w:kern w:val="2"/>
      <w:sz w:val="24"/>
      <w:szCs w:val="21"/>
    </w:rPr>
  </w:style>
  <w:style w:type="paragraph" w:styleId="63">
    <w:name w:val="List Paragraph"/>
    <w:basedOn w:val="1"/>
    <w:qFormat/>
    <w:uiPriority w:val="99"/>
    <w:pPr>
      <w:ind w:firstLine="420"/>
    </w:pPr>
  </w:style>
  <w:style w:type="character" w:customStyle="1" w:styleId="64">
    <w:name w:val="基准-无缩进 Char"/>
    <w:basedOn w:val="38"/>
    <w:link w:val="8"/>
    <w:qFormat/>
    <w:uiPriority w:val="0"/>
    <w:rPr>
      <w:rFonts w:ascii="Times New Roman" w:hAnsi="Times New Roman" w:eastAsia="宋体" w:cs="Times New Roman"/>
      <w:kern w:val="2"/>
      <w:sz w:val="24"/>
      <w:szCs w:val="32"/>
    </w:rPr>
  </w:style>
  <w:style w:type="paragraph" w:customStyle="1" w:styleId="65">
    <w:name w:val="单位及日期"/>
    <w:basedOn w:val="45"/>
    <w:link w:val="68"/>
    <w:qFormat/>
    <w:uiPriority w:val="0"/>
    <w:rPr>
      <w:sz w:val="28"/>
    </w:rPr>
  </w:style>
  <w:style w:type="paragraph" w:customStyle="1" w:styleId="66">
    <w:name w:val="校审"/>
    <w:basedOn w:val="1"/>
    <w:link w:val="69"/>
    <w:qFormat/>
    <w:uiPriority w:val="0"/>
    <w:pPr>
      <w:ind w:firstLine="0" w:firstLineChars="0"/>
      <w:jc w:val="left"/>
    </w:pPr>
    <w:rPr>
      <w:bCs/>
      <w:color w:val="000000" w:themeColor="text1"/>
      <w:sz w:val="28"/>
      <w:szCs w:val="28"/>
      <w14:textFill>
        <w14:solidFill>
          <w14:schemeClr w14:val="tx1"/>
        </w14:solidFill>
      </w14:textFill>
    </w:rPr>
  </w:style>
  <w:style w:type="character" w:customStyle="1" w:styleId="67">
    <w:name w:val="封面标题 Char"/>
    <w:basedOn w:val="32"/>
    <w:link w:val="45"/>
    <w:qFormat/>
    <w:uiPriority w:val="0"/>
    <w:rPr>
      <w:rFonts w:ascii="Times New Roman" w:hAnsi="Times New Roman"/>
      <w:b/>
      <w:kern w:val="2"/>
      <w:sz w:val="32"/>
      <w:szCs w:val="21"/>
    </w:rPr>
  </w:style>
  <w:style w:type="character" w:customStyle="1" w:styleId="68">
    <w:name w:val="单位及日期 Char"/>
    <w:basedOn w:val="67"/>
    <w:link w:val="65"/>
    <w:qFormat/>
    <w:uiPriority w:val="0"/>
    <w:rPr>
      <w:rFonts w:ascii="Times New Roman" w:hAnsi="Times New Roman"/>
      <w:kern w:val="2"/>
      <w:sz w:val="28"/>
      <w:szCs w:val="21"/>
    </w:rPr>
  </w:style>
  <w:style w:type="character" w:customStyle="1" w:styleId="69">
    <w:name w:val="校审 Char"/>
    <w:basedOn w:val="32"/>
    <w:link w:val="66"/>
    <w:qFormat/>
    <w:uiPriority w:val="0"/>
    <w:rPr>
      <w:rFonts w:ascii="Times New Roman" w:hAnsi="Times New Roman"/>
      <w:bCs/>
      <w:color w:val="000000" w:themeColor="text1"/>
      <w:kern w:val="2"/>
      <w:sz w:val="28"/>
      <w:szCs w:val="28"/>
      <w14:textFill>
        <w14:solidFill>
          <w14:schemeClr w14:val="tx1"/>
        </w14:solidFill>
      </w14:textFill>
    </w:rPr>
  </w:style>
  <w:style w:type="table" w:customStyle="1" w:styleId="70">
    <w:name w:val="网格型浅色1"/>
    <w:basedOn w:val="3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71">
    <w:name w:val="方案表格"/>
    <w:basedOn w:val="30"/>
    <w:qFormat/>
    <w:uiPriority w:val="99"/>
    <w:pPr>
      <w:jc w:val="center"/>
    </w:pPr>
    <w:rPr>
      <w:rFonts w:ascii="Times New Roman" w:hAnsi="Times New Roman"/>
      <w:sz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character" w:customStyle="1" w:styleId="72">
    <w:name w:val="批注文字 字符"/>
    <w:basedOn w:val="32"/>
    <w:link w:val="17"/>
    <w:qFormat/>
    <w:uiPriority w:val="99"/>
    <w:rPr>
      <w:rFonts w:ascii="Times New Roman" w:hAnsi="Times New Roman"/>
      <w:kern w:val="2"/>
      <w:sz w:val="24"/>
      <w:szCs w:val="21"/>
    </w:rPr>
  </w:style>
  <w:style w:type="character" w:customStyle="1" w:styleId="73">
    <w:name w:val="批注主题 字符"/>
    <w:basedOn w:val="72"/>
    <w:link w:val="28"/>
    <w:semiHidden/>
    <w:qFormat/>
    <w:uiPriority w:val="99"/>
    <w:rPr>
      <w:rFonts w:ascii="Times New Roman" w:hAnsi="Times New Roman"/>
      <w:b/>
      <w:bCs/>
      <w:kern w:val="2"/>
      <w:sz w:val="24"/>
      <w:szCs w:val="21"/>
    </w:rPr>
  </w:style>
  <w:style w:type="character" w:customStyle="1" w:styleId="74">
    <w:name w:val="批注框文本 字符"/>
    <w:basedOn w:val="32"/>
    <w:link w:val="20"/>
    <w:qFormat/>
    <w:uiPriority w:val="0"/>
    <w:rPr>
      <w:rFonts w:ascii="Times New Roman" w:hAnsi="Times New Roman"/>
      <w:kern w:val="2"/>
      <w:sz w:val="18"/>
      <w:szCs w:val="18"/>
    </w:rPr>
  </w:style>
  <w:style w:type="paragraph" w:customStyle="1" w:styleId="75">
    <w:name w:val="正文C"/>
    <w:basedOn w:val="1"/>
    <w:link w:val="76"/>
    <w:qFormat/>
    <w:uiPriority w:val="0"/>
    <w:pPr>
      <w:widowControl/>
      <w:adjustRightInd w:val="0"/>
      <w:snapToGrid w:val="0"/>
      <w:jc w:val="left"/>
    </w:pPr>
    <w:rPr>
      <w:rFonts w:ascii="宋体" w:hAnsi="宋体" w:cs="宋体"/>
      <w:color w:val="4F6228" w:themeColor="accent3" w:themeShade="80"/>
      <w:kern w:val="0"/>
      <w:szCs w:val="24"/>
    </w:rPr>
  </w:style>
  <w:style w:type="character" w:customStyle="1" w:styleId="76">
    <w:name w:val="正文C Char"/>
    <w:link w:val="75"/>
    <w:qFormat/>
    <w:uiPriority w:val="0"/>
    <w:rPr>
      <w:rFonts w:ascii="宋体" w:hAnsi="宋体" w:cs="宋体"/>
      <w:color w:val="4F6228" w:themeColor="accent3" w:themeShade="80"/>
      <w:sz w:val="24"/>
      <w:szCs w:val="24"/>
    </w:rPr>
  </w:style>
  <w:style w:type="paragraph" w:customStyle="1" w:styleId="77">
    <w:name w:val="标题3"/>
    <w:basedOn w:val="1"/>
    <w:qFormat/>
    <w:uiPriority w:val="0"/>
    <w:pPr>
      <w:spacing w:before="20" w:after="20"/>
      <w:ind w:firstLine="100" w:firstLineChars="100"/>
      <w:jc w:val="left"/>
      <w:outlineLvl w:val="2"/>
    </w:pPr>
    <w:rPr>
      <w:rFonts w:ascii="宋体" w:hAnsi="宋体" w:eastAsia="仿宋"/>
      <w:b/>
      <w:bCs/>
      <w:color w:val="000000"/>
      <w:szCs w:val="24"/>
    </w:rPr>
  </w:style>
  <w:style w:type="paragraph" w:customStyle="1" w:styleId="78">
    <w:name w:val="5级带编号正文"/>
    <w:basedOn w:val="1"/>
    <w:link w:val="80"/>
    <w:qFormat/>
    <w:uiPriority w:val="0"/>
    <w:pPr>
      <w:numPr>
        <w:ilvl w:val="0"/>
        <w:numId w:val="2"/>
      </w:numPr>
      <w:ind w:firstLine="0" w:firstLineChars="0"/>
    </w:pPr>
  </w:style>
  <w:style w:type="paragraph" w:customStyle="1" w:styleId="79">
    <w:name w:val="表格"/>
    <w:basedOn w:val="1"/>
    <w:link w:val="123"/>
    <w:qFormat/>
    <w:uiPriority w:val="0"/>
    <w:pPr>
      <w:adjustRightInd w:val="0"/>
      <w:snapToGrid w:val="0"/>
      <w:spacing w:line="500" w:lineRule="exact"/>
      <w:jc w:val="center"/>
    </w:pPr>
    <w:rPr>
      <w:rFonts w:ascii="仿宋" w:hAnsi="Calibri" w:eastAsia="仿宋"/>
      <w:b/>
      <w:sz w:val="21"/>
      <w:szCs w:val="20"/>
    </w:rPr>
  </w:style>
  <w:style w:type="character" w:customStyle="1" w:styleId="80">
    <w:name w:val="5级带编号正文 字符"/>
    <w:basedOn w:val="76"/>
    <w:link w:val="78"/>
    <w:qFormat/>
    <w:uiPriority w:val="0"/>
    <w:rPr>
      <w:rFonts w:ascii="Times New Roman" w:hAnsi="Times New Roman" w:cs="Times New Roman"/>
      <w:color w:val="4F6228" w:themeColor="accent3" w:themeShade="80"/>
      <w:kern w:val="2"/>
      <w:sz w:val="24"/>
      <w:szCs w:val="21"/>
    </w:rPr>
  </w:style>
  <w:style w:type="paragraph" w:customStyle="1" w:styleId="81">
    <w:name w:val="正文B"/>
    <w:basedOn w:val="1"/>
    <w:link w:val="82"/>
    <w:qFormat/>
    <w:uiPriority w:val="0"/>
    <w:pPr>
      <w:ind w:firstLine="560"/>
    </w:pPr>
    <w:rPr>
      <w:rFonts w:ascii="宋体" w:hAnsi="宋体" w:eastAsia="黑体" w:cs="宋体"/>
      <w:color w:val="FF0000"/>
      <w:kern w:val="0"/>
      <w:szCs w:val="24"/>
    </w:rPr>
  </w:style>
  <w:style w:type="character" w:customStyle="1" w:styleId="82">
    <w:name w:val="正文B Char"/>
    <w:link w:val="81"/>
    <w:qFormat/>
    <w:uiPriority w:val="0"/>
    <w:rPr>
      <w:rFonts w:ascii="宋体" w:hAnsi="宋体" w:eastAsia="黑体" w:cs="宋体"/>
      <w:color w:val="FF0000"/>
      <w:sz w:val="24"/>
      <w:szCs w:val="24"/>
    </w:rPr>
  </w:style>
  <w:style w:type="paragraph" w:customStyle="1" w:styleId="83">
    <w:name w:val="6级带编号正文"/>
    <w:basedOn w:val="1"/>
    <w:link w:val="84"/>
    <w:qFormat/>
    <w:uiPriority w:val="0"/>
    <w:pPr>
      <w:numPr>
        <w:ilvl w:val="0"/>
        <w:numId w:val="3"/>
      </w:numPr>
      <w:ind w:firstLineChars="0"/>
    </w:pPr>
    <w:rPr>
      <w:color w:val="000000" w:themeColor="text1"/>
      <w14:textFill>
        <w14:solidFill>
          <w14:schemeClr w14:val="tx1"/>
        </w14:solidFill>
      </w14:textFill>
    </w:rPr>
  </w:style>
  <w:style w:type="character" w:customStyle="1" w:styleId="84">
    <w:name w:val="6级带编号正文 字符"/>
    <w:basedOn w:val="32"/>
    <w:link w:val="83"/>
    <w:qFormat/>
    <w:uiPriority w:val="0"/>
    <w:rPr>
      <w:rFonts w:ascii="Times New Roman" w:hAnsi="Times New Roman" w:cs="Times New Roman"/>
      <w:color w:val="000000" w:themeColor="text1"/>
      <w:kern w:val="2"/>
      <w:sz w:val="24"/>
      <w:szCs w:val="21"/>
      <w14:textFill>
        <w14:solidFill>
          <w14:schemeClr w14:val="tx1"/>
        </w14:solidFill>
      </w14:textFill>
    </w:rPr>
  </w:style>
  <w:style w:type="paragraph" w:customStyle="1" w:styleId="85">
    <w:name w:val="71表格五号"/>
    <w:basedOn w:val="1"/>
    <w:qFormat/>
    <w:uiPriority w:val="0"/>
    <w:pPr>
      <w:adjustRightInd w:val="0"/>
      <w:snapToGrid w:val="0"/>
      <w:spacing w:line="300" w:lineRule="auto"/>
      <w:ind w:firstLine="0" w:firstLineChars="0"/>
      <w:jc w:val="center"/>
    </w:pPr>
    <w:rPr>
      <w:rFonts w:cs="宋体"/>
      <w:snapToGrid w:val="0"/>
      <w:kern w:val="0"/>
      <w:sz w:val="21"/>
    </w:rPr>
  </w:style>
  <w:style w:type="paragraph" w:customStyle="1" w:styleId="86">
    <w:name w:val="80标题图片"/>
    <w:basedOn w:val="1"/>
    <w:next w:val="1"/>
    <w:qFormat/>
    <w:uiPriority w:val="0"/>
    <w:pPr>
      <w:tabs>
        <w:tab w:val="left" w:pos="0"/>
        <w:tab w:val="left" w:pos="2973"/>
        <w:tab w:val="left" w:pos="3540"/>
        <w:tab w:val="left" w:pos="3681"/>
        <w:tab w:val="left" w:pos="4107"/>
      </w:tabs>
      <w:adjustRightInd w:val="0"/>
      <w:snapToGrid w:val="0"/>
      <w:spacing w:after="120" w:line="430" w:lineRule="exact"/>
      <w:ind w:left="3687" w:firstLine="0" w:firstLineChars="0"/>
      <w:jc w:val="center"/>
    </w:pPr>
    <w:rPr>
      <w:rFonts w:ascii="宋体" w:hAnsi="宋体" w:cs="宋体"/>
      <w:b/>
      <w:kern w:val="0"/>
      <w:sz w:val="21"/>
    </w:rPr>
  </w:style>
  <w:style w:type="character" w:customStyle="1" w:styleId="87">
    <w:name w:val="标题 字符"/>
    <w:basedOn w:val="32"/>
    <w:link w:val="27"/>
    <w:qFormat/>
    <w:uiPriority w:val="10"/>
    <w:rPr>
      <w:rFonts w:asciiTheme="majorHAnsi" w:hAnsiTheme="majorHAnsi" w:eastAsiaTheme="majorEastAsia" w:cstheme="majorBidi"/>
      <w:b/>
      <w:bCs/>
      <w:kern w:val="2"/>
      <w:sz w:val="32"/>
      <w:szCs w:val="32"/>
    </w:rPr>
  </w:style>
  <w:style w:type="paragraph" w:customStyle="1" w:styleId="88">
    <w:name w:val="带编号正文"/>
    <w:basedOn w:val="1"/>
    <w:link w:val="89"/>
    <w:qFormat/>
    <w:uiPriority w:val="0"/>
    <w:pPr>
      <w:numPr>
        <w:ilvl w:val="0"/>
        <w:numId w:val="4"/>
      </w:numPr>
      <w:ind w:firstLineChars="0"/>
    </w:pPr>
  </w:style>
  <w:style w:type="character" w:customStyle="1" w:styleId="89">
    <w:name w:val="带编号正文 字符"/>
    <w:basedOn w:val="32"/>
    <w:link w:val="88"/>
    <w:qFormat/>
    <w:uiPriority w:val="0"/>
    <w:rPr>
      <w:rFonts w:ascii="Times New Roman" w:hAnsi="Times New Roman" w:cs="Times New Roman"/>
      <w:kern w:val="2"/>
      <w:sz w:val="24"/>
      <w:szCs w:val="21"/>
    </w:rPr>
  </w:style>
  <w:style w:type="character" w:customStyle="1" w:styleId="90">
    <w:name w:val="标题 6 字符"/>
    <w:basedOn w:val="32"/>
    <w:link w:val="10"/>
    <w:semiHidden/>
    <w:qFormat/>
    <w:uiPriority w:val="9"/>
    <w:rPr>
      <w:rFonts w:ascii="Arial" w:hAnsi="Arial"/>
      <w:kern w:val="2"/>
      <w:sz w:val="24"/>
      <w:szCs w:val="21"/>
    </w:rPr>
  </w:style>
  <w:style w:type="character" w:customStyle="1" w:styleId="91">
    <w:name w:val="正文文本首行缩进 字符"/>
    <w:basedOn w:val="41"/>
    <w:link w:val="12"/>
    <w:qFormat/>
    <w:uiPriority w:val="99"/>
    <w:rPr>
      <w:rFonts w:ascii="仿宋" w:hAnsi="仿宋" w:eastAsia="仿宋" w:cs="Times New Roman"/>
      <w:kern w:val="2"/>
      <w:sz w:val="24"/>
      <w:szCs w:val="21"/>
    </w:rPr>
  </w:style>
  <w:style w:type="paragraph" w:customStyle="1" w:styleId="92">
    <w:name w:val="小干表内"/>
    <w:basedOn w:val="1"/>
    <w:qFormat/>
    <w:uiPriority w:val="99"/>
    <w:pPr>
      <w:spacing w:line="240" w:lineRule="auto"/>
      <w:ind w:firstLine="0" w:firstLineChars="0"/>
      <w:jc w:val="left"/>
    </w:pPr>
    <w:rPr>
      <w:rFonts w:ascii="宋体" w:hAnsi="宋体" w:cs="黑体" w:eastAsiaTheme="minorEastAsia"/>
      <w:sz w:val="21"/>
      <w:szCs w:val="22"/>
    </w:rPr>
  </w:style>
  <w:style w:type="paragraph" w:customStyle="1" w:styleId="93">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94">
    <w:name w:val="表中字"/>
    <w:basedOn w:val="1"/>
    <w:next w:val="1"/>
    <w:qFormat/>
    <w:uiPriority w:val="99"/>
    <w:pPr>
      <w:adjustRightInd w:val="0"/>
      <w:snapToGrid w:val="0"/>
      <w:spacing w:line="240" w:lineRule="auto"/>
      <w:ind w:firstLine="0" w:firstLineChars="0"/>
      <w:jc w:val="center"/>
    </w:pPr>
    <w:rPr>
      <w:sz w:val="21"/>
      <w:szCs w:val="22"/>
    </w:rPr>
  </w:style>
  <w:style w:type="table" w:customStyle="1" w:styleId="95">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96">
    <w:name w:val="72表格小五"/>
    <w:basedOn w:val="1"/>
    <w:qFormat/>
    <w:uiPriority w:val="0"/>
    <w:pPr>
      <w:adjustRightInd w:val="0"/>
      <w:snapToGrid w:val="0"/>
      <w:spacing w:line="240" w:lineRule="auto"/>
      <w:ind w:firstLine="0" w:firstLineChars="0"/>
      <w:jc w:val="center"/>
    </w:pPr>
    <w:rPr>
      <w:rFonts w:ascii="宋体" w:hAnsi="宋体" w:cs="宋体"/>
      <w:snapToGrid w:val="0"/>
      <w:kern w:val="0"/>
      <w:sz w:val="18"/>
      <w:szCs w:val="18"/>
    </w:rPr>
  </w:style>
  <w:style w:type="paragraph" w:customStyle="1" w:styleId="97">
    <w:name w:val="表格小五"/>
    <w:basedOn w:val="1"/>
    <w:qFormat/>
    <w:uiPriority w:val="0"/>
    <w:pPr>
      <w:adjustRightInd w:val="0"/>
      <w:snapToGrid w:val="0"/>
      <w:spacing w:line="240" w:lineRule="auto"/>
      <w:ind w:firstLine="0" w:firstLineChars="0"/>
      <w:jc w:val="center"/>
    </w:pPr>
    <w:rPr>
      <w:rFonts w:ascii="宋体" w:hAnsi="宋体" w:cs="宋体"/>
      <w:snapToGrid w:val="0"/>
      <w:kern w:val="0"/>
      <w:sz w:val="18"/>
      <w:szCs w:val="18"/>
    </w:rPr>
  </w:style>
  <w:style w:type="paragraph" w:customStyle="1" w:styleId="98">
    <w:name w:val="带编号"/>
    <w:basedOn w:val="88"/>
    <w:link w:val="99"/>
    <w:qFormat/>
    <w:uiPriority w:val="0"/>
    <w:pPr>
      <w:numPr>
        <w:numId w:val="0"/>
      </w:numPr>
      <w:ind w:firstLine="480" w:firstLineChars="200"/>
    </w:pPr>
  </w:style>
  <w:style w:type="character" w:customStyle="1" w:styleId="99">
    <w:name w:val="带编号 字符"/>
    <w:basedOn w:val="89"/>
    <w:link w:val="98"/>
    <w:qFormat/>
    <w:uiPriority w:val="0"/>
    <w:rPr>
      <w:rFonts w:ascii="Times New Roman" w:hAnsi="Times New Roman" w:cs="Times New Roman"/>
      <w:kern w:val="2"/>
      <w:sz w:val="24"/>
      <w:szCs w:val="21"/>
    </w:rPr>
  </w:style>
  <w:style w:type="paragraph" w:customStyle="1" w:styleId="100">
    <w:name w:val="（1）"/>
    <w:basedOn w:val="88"/>
    <w:link w:val="101"/>
    <w:qFormat/>
    <w:uiPriority w:val="0"/>
    <w:pPr>
      <w:numPr>
        <w:ilvl w:val="0"/>
        <w:numId w:val="0"/>
      </w:numPr>
      <w:ind w:firstLine="480" w:firstLineChars="200"/>
    </w:pPr>
  </w:style>
  <w:style w:type="character" w:customStyle="1" w:styleId="101">
    <w:name w:val="（1） 字符"/>
    <w:basedOn w:val="89"/>
    <w:link w:val="100"/>
    <w:qFormat/>
    <w:uiPriority w:val="0"/>
    <w:rPr>
      <w:rFonts w:ascii="Times New Roman" w:hAnsi="Times New Roman" w:cs="Times New Roman"/>
      <w:kern w:val="2"/>
      <w:sz w:val="24"/>
      <w:szCs w:val="21"/>
    </w:rPr>
  </w:style>
  <w:style w:type="paragraph" w:customStyle="1" w:styleId="102">
    <w:name w:val="正文2.13"/>
    <w:basedOn w:val="1"/>
    <w:qFormat/>
    <w:uiPriority w:val="99"/>
    <w:pPr>
      <w:topLinePunct/>
      <w:adjustRightInd w:val="0"/>
      <w:snapToGrid w:val="0"/>
    </w:pPr>
    <w:rPr>
      <w:rFonts w:ascii="Calibri" w:hAnsi="Calibri" w:eastAsia="仿宋_GB2312"/>
      <w:szCs w:val="24"/>
    </w:rPr>
  </w:style>
  <w:style w:type="paragraph" w:customStyle="1" w:styleId="103">
    <w:name w:val="正文1"/>
    <w:basedOn w:val="1"/>
    <w:link w:val="116"/>
    <w:qFormat/>
    <w:uiPriority w:val="0"/>
    <w:pPr>
      <w:adjustRightInd w:val="0"/>
      <w:snapToGrid w:val="0"/>
      <w:jc w:val="left"/>
    </w:pPr>
    <w:rPr>
      <w:rFonts w:ascii="Calibri" w:hAnsi="Calibri"/>
      <w:kern w:val="0"/>
      <w:szCs w:val="24"/>
    </w:rPr>
  </w:style>
  <w:style w:type="paragraph" w:customStyle="1" w:styleId="104">
    <w:name w:val="公式"/>
    <w:basedOn w:val="2"/>
    <w:next w:val="12"/>
    <w:link w:val="105"/>
    <w:qFormat/>
    <w:uiPriority w:val="0"/>
    <w:pPr>
      <w:tabs>
        <w:tab w:val="left" w:pos="360"/>
      </w:tabs>
      <w:spacing w:after="0"/>
      <w:ind w:left="0" w:leftChars="0" w:firstLine="0" w:firstLineChars="0"/>
      <w:jc w:val="center"/>
    </w:pPr>
    <w:rPr>
      <w:rFonts w:eastAsia="仿宋"/>
      <w:szCs w:val="22"/>
    </w:rPr>
  </w:style>
  <w:style w:type="character" w:customStyle="1" w:styleId="105">
    <w:name w:val="公式 字符"/>
    <w:basedOn w:val="59"/>
    <w:link w:val="104"/>
    <w:qFormat/>
    <w:uiPriority w:val="0"/>
    <w:rPr>
      <w:rFonts w:ascii="Times New Roman" w:hAnsi="Times New Roman" w:eastAsia="仿宋" w:cs="Times New Roman"/>
      <w:kern w:val="2"/>
      <w:sz w:val="24"/>
      <w:szCs w:val="22"/>
    </w:rPr>
  </w:style>
  <w:style w:type="paragraph" w:customStyle="1" w:styleId="106">
    <w:name w:val="正文文本不缩进"/>
    <w:basedOn w:val="2"/>
    <w:link w:val="107"/>
    <w:qFormat/>
    <w:uiPriority w:val="0"/>
    <w:pPr>
      <w:tabs>
        <w:tab w:val="left" w:pos="360"/>
      </w:tabs>
      <w:spacing w:after="0"/>
      <w:ind w:left="0" w:leftChars="0" w:firstLine="0" w:firstLineChars="0"/>
    </w:pPr>
    <w:rPr>
      <w:rFonts w:eastAsia="仿宋"/>
      <w:szCs w:val="22"/>
    </w:rPr>
  </w:style>
  <w:style w:type="character" w:customStyle="1" w:styleId="107">
    <w:name w:val="正文文本不缩进 字符"/>
    <w:basedOn w:val="59"/>
    <w:link w:val="106"/>
    <w:qFormat/>
    <w:uiPriority w:val="0"/>
    <w:rPr>
      <w:rFonts w:ascii="Times New Roman" w:hAnsi="Times New Roman" w:eastAsia="仿宋" w:cs="Times New Roman"/>
      <w:kern w:val="2"/>
      <w:sz w:val="24"/>
      <w:szCs w:val="22"/>
    </w:rPr>
  </w:style>
  <w:style w:type="paragraph" w:customStyle="1" w:styleId="108">
    <w:name w:val="图表头"/>
    <w:basedOn w:val="1"/>
    <w:next w:val="52"/>
    <w:link w:val="109"/>
    <w:qFormat/>
    <w:uiPriority w:val="0"/>
    <w:pPr>
      <w:ind w:firstLine="0" w:firstLineChars="0"/>
      <w:jc w:val="center"/>
    </w:pPr>
    <w:rPr>
      <w:rFonts w:eastAsia="仿宋"/>
      <w:b/>
      <w:sz w:val="21"/>
      <w:szCs w:val="18"/>
    </w:rPr>
  </w:style>
  <w:style w:type="character" w:customStyle="1" w:styleId="109">
    <w:name w:val="图表头 字符"/>
    <w:basedOn w:val="32"/>
    <w:link w:val="108"/>
    <w:qFormat/>
    <w:uiPriority w:val="0"/>
    <w:rPr>
      <w:rFonts w:ascii="Times New Roman" w:hAnsi="Times New Roman" w:eastAsia="仿宋"/>
      <w:b/>
      <w:kern w:val="2"/>
      <w:sz w:val="21"/>
      <w:szCs w:val="18"/>
    </w:rPr>
  </w:style>
  <w:style w:type="character" w:customStyle="1" w:styleId="110">
    <w:name w:val="图表文字 字符"/>
    <w:qFormat/>
    <w:uiPriority w:val="0"/>
    <w:rPr>
      <w:rFonts w:ascii="Times New Roman" w:hAnsi="Times New Roman" w:eastAsia="宋体" w:cs="宋体"/>
      <w:b/>
      <w:bCs/>
      <w:sz w:val="21"/>
      <w:szCs w:val="21"/>
    </w:rPr>
  </w:style>
  <w:style w:type="paragraph" w:customStyle="1" w:styleId="111">
    <w:name w:val="修订1"/>
    <w:hidden/>
    <w:semiHidden/>
    <w:qFormat/>
    <w:uiPriority w:val="99"/>
    <w:rPr>
      <w:rFonts w:ascii="Times New Roman" w:hAnsi="Times New Roman" w:eastAsia="宋体" w:cs="Times New Roman"/>
      <w:kern w:val="2"/>
      <w:sz w:val="24"/>
      <w:szCs w:val="21"/>
      <w:lang w:val="en-US" w:eastAsia="zh-CN" w:bidi="ar-SA"/>
    </w:rPr>
  </w:style>
  <w:style w:type="paragraph" w:customStyle="1" w:styleId="112">
    <w:name w:val="A正文格式11-16"/>
    <w:basedOn w:val="1"/>
    <w:link w:val="113"/>
    <w:qFormat/>
    <w:uiPriority w:val="0"/>
    <w:pPr>
      <w:adjustRightInd w:val="0"/>
      <w:snapToGrid w:val="0"/>
    </w:pPr>
    <w:rPr>
      <w:szCs w:val="24"/>
    </w:rPr>
  </w:style>
  <w:style w:type="character" w:customStyle="1" w:styleId="113">
    <w:name w:val="A正文格式11-16 字符"/>
    <w:link w:val="112"/>
    <w:qFormat/>
    <w:uiPriority w:val="0"/>
    <w:rPr>
      <w:rFonts w:ascii="Times New Roman" w:hAnsi="Times New Roman"/>
      <w:kern w:val="2"/>
      <w:sz w:val="24"/>
      <w:szCs w:val="24"/>
    </w:rPr>
  </w:style>
  <w:style w:type="character" w:customStyle="1" w:styleId="114">
    <w:name w:val="NormalCharacter"/>
    <w:semiHidden/>
    <w:qFormat/>
    <w:uiPriority w:val="0"/>
  </w:style>
  <w:style w:type="character" w:customStyle="1" w:styleId="115">
    <w:name w:val="表内文字 Char"/>
    <w:link w:val="15"/>
    <w:qFormat/>
    <w:uiPriority w:val="0"/>
    <w:rPr>
      <w:rFonts w:ascii="Times New Roman" w:hAnsi="Times New Roman"/>
      <w:kern w:val="2"/>
      <w:sz w:val="21"/>
      <w:szCs w:val="21"/>
    </w:rPr>
  </w:style>
  <w:style w:type="character" w:customStyle="1" w:styleId="116">
    <w:name w:val="正文1 字符"/>
    <w:basedOn w:val="32"/>
    <w:link w:val="103"/>
    <w:qFormat/>
    <w:uiPriority w:val="0"/>
    <w:rPr>
      <w:sz w:val="24"/>
      <w:szCs w:val="24"/>
    </w:rPr>
  </w:style>
  <w:style w:type="table" w:customStyle="1" w:styleId="117">
    <w:name w:val="样式1"/>
    <w:basedOn w:val="30"/>
    <w:qFormat/>
    <w:uiPriority w:val="99"/>
    <w:pPr>
      <w:jc w:val="center"/>
      <w:textAlignment w:val="center"/>
    </w:pPr>
    <w:rPr>
      <w:rFonts w:eastAsia="仿宋_GB2312"/>
      <w:kern w:val="2"/>
      <w:sz w:val="21"/>
      <w:szCs w:val="22"/>
    </w:rPr>
    <w:tblPr>
      <w:jc w:val="center"/>
      <w:tblBorders>
        <w:top w:val="double" w:color="0000FF" w:sz="2" w:space="0"/>
        <w:left w:val="double" w:color="0000FF" w:sz="2" w:space="0"/>
        <w:bottom w:val="double" w:color="0000FF" w:sz="2" w:space="0"/>
        <w:right w:val="double" w:color="0000FF" w:sz="2" w:space="0"/>
        <w:insideH w:val="single" w:color="0000FF" w:sz="2" w:space="0"/>
        <w:insideV w:val="single" w:color="0000FF" w:sz="2" w:space="0"/>
      </w:tblBorders>
      <w:tblCellMar>
        <w:left w:w="85" w:type="dxa"/>
        <w:right w:w="85" w:type="dxa"/>
      </w:tblCellMar>
    </w:tblPr>
    <w:trPr>
      <w:jc w:val="center"/>
    </w:trPr>
    <w:tcPr>
      <w:shd w:val="clear" w:color="auto" w:fill="CCFFCC"/>
      <w:vAlign w:val="center"/>
    </w:tcPr>
    <w:tblStylePr w:type="firstRow">
      <w:pPr>
        <w:jc w:val="center"/>
      </w:pPr>
      <w:rPr>
        <w:rFonts w:eastAsia="楷体"/>
        <w:b/>
        <w:i w:val="0"/>
        <w:sz w:val="21"/>
      </w:rPr>
      <w:tblPr>
        <w:jc w:val="center"/>
      </w:tblPr>
      <w:trPr>
        <w:jc w:val="center"/>
      </w:trPr>
    </w:tblStylePr>
    <w:tblStylePr w:type="lastRow">
      <w:pPr>
        <w:jc w:val="both"/>
      </w:pPr>
      <w:rPr>
        <w:rFonts w:eastAsia="楷体"/>
        <w:sz w:val="21"/>
      </w:rPr>
      <w:tcPr>
        <w:vAlign w:val="top"/>
      </w:tcPr>
    </w:tblStylePr>
  </w:style>
  <w:style w:type="paragraph" w:customStyle="1" w:styleId="118">
    <w:name w:val="图表正文"/>
    <w:basedOn w:val="1"/>
    <w:next w:val="119"/>
    <w:qFormat/>
    <w:uiPriority w:val="0"/>
    <w:pPr>
      <w:spacing w:line="240" w:lineRule="auto"/>
      <w:ind w:firstLine="0" w:firstLineChars="0"/>
      <w:jc w:val="center"/>
    </w:pPr>
    <w:rPr>
      <w:sz w:val="21"/>
      <w:szCs w:val="22"/>
    </w:rPr>
  </w:style>
  <w:style w:type="paragraph" w:customStyle="1" w:styleId="119">
    <w:name w:val="正文编写"/>
    <w:basedOn w:val="1"/>
    <w:qFormat/>
    <w:uiPriority w:val="0"/>
    <w:rPr>
      <w:rFonts w:asciiTheme="minorHAnsi" w:hAnsiTheme="minorHAnsi" w:eastAsiaTheme="minorEastAsia" w:cstheme="minorBidi"/>
      <w:kern w:val="0"/>
      <w:sz w:val="20"/>
      <w:szCs w:val="20"/>
    </w:rPr>
  </w:style>
  <w:style w:type="paragraph" w:customStyle="1" w:styleId="120">
    <w:name w:val="Default"/>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character" w:customStyle="1" w:styleId="121">
    <w:name w:val="正文文本 字符1"/>
    <w:link w:val="13"/>
    <w:qFormat/>
    <w:uiPriority w:val="0"/>
    <w:rPr>
      <w:rFonts w:eastAsia="宋体"/>
      <w:kern w:val="2"/>
      <w:sz w:val="28"/>
      <w:szCs w:val="24"/>
      <w:lang w:val="en-US" w:eastAsia="zh-CN" w:bidi="ar-SA"/>
    </w:rPr>
  </w:style>
  <w:style w:type="paragraph" w:customStyle="1" w:styleId="122">
    <w:name w:val="msolistparagraph"/>
    <w:basedOn w:val="1"/>
    <w:qFormat/>
    <w:uiPriority w:val="0"/>
    <w:pPr>
      <w:ind w:firstLine="420"/>
    </w:pPr>
  </w:style>
  <w:style w:type="character" w:customStyle="1" w:styleId="123">
    <w:name w:val="表格 字符"/>
    <w:link w:val="79"/>
    <w:qFormat/>
    <w:uiPriority w:val="0"/>
    <w:rPr>
      <w:rFonts w:ascii="仿宋" w:eastAsia="仿宋" w:cs="Times New Roman"/>
      <w:b/>
      <w:kern w:val="2"/>
      <w:sz w:val="21"/>
    </w:rPr>
  </w:style>
  <w:style w:type="paragraph" w:customStyle="1" w:styleId="124">
    <w:name w:val="L图表标题"/>
    <w:basedOn w:val="14"/>
    <w:qFormat/>
    <w:uiPriority w:val="0"/>
    <w:rPr>
      <w:rFonts w:ascii="Times New Roman" w:hAnsi="Times New Roman"/>
    </w:rPr>
  </w:style>
  <w:style w:type="paragraph" w:customStyle="1" w:styleId="125">
    <w:name w:val="题注—图片"/>
    <w:basedOn w:val="14"/>
    <w:next w:val="1"/>
    <w:link w:val="127"/>
    <w:qFormat/>
    <w:locked/>
    <w:uiPriority w:val="0"/>
    <w:pPr>
      <w:spacing w:line="360" w:lineRule="auto"/>
      <w:ind w:firstLine="0" w:firstLineChars="0"/>
    </w:pPr>
    <w:rPr>
      <w:rFonts w:ascii="Times New Roman" w:hAnsi="Times New Roman"/>
    </w:rPr>
  </w:style>
  <w:style w:type="paragraph" w:customStyle="1" w:styleId="126">
    <w:name w:val="图片"/>
    <w:basedOn w:val="14"/>
    <w:next w:val="125"/>
    <w:link w:val="128"/>
    <w:qFormat/>
    <w:locked/>
    <w:uiPriority w:val="0"/>
    <w:pPr>
      <w:keepNext/>
      <w:ind w:firstLine="0" w:firstLineChars="0"/>
    </w:pPr>
    <w:rPr>
      <w:rFonts w:ascii="Times New Roman" w:hAnsi="Times New Roman"/>
      <w:sz w:val="24"/>
    </w:rPr>
  </w:style>
  <w:style w:type="character" w:customStyle="1" w:styleId="127">
    <w:name w:val="题注—图片 字符"/>
    <w:basedOn w:val="32"/>
    <w:link w:val="125"/>
    <w:qFormat/>
    <w:uiPriority w:val="0"/>
    <w:rPr>
      <w:rFonts w:ascii="Times New Roman" w:hAnsi="Times New Roman" w:cs="Times New Roman"/>
      <w:b/>
      <w:kern w:val="2"/>
      <w:sz w:val="21"/>
      <w:szCs w:val="21"/>
    </w:rPr>
  </w:style>
  <w:style w:type="character" w:customStyle="1" w:styleId="128">
    <w:name w:val="图片 字符"/>
    <w:basedOn w:val="32"/>
    <w:link w:val="126"/>
    <w:qFormat/>
    <w:uiPriority w:val="0"/>
    <w:rPr>
      <w:rFonts w:ascii="Times New Roman" w:hAnsi="Times New Roman" w:cs="Times New Roman"/>
      <w:b/>
      <w:kern w:val="2"/>
      <w:sz w:val="24"/>
      <w:szCs w:val="21"/>
    </w:rPr>
  </w:style>
  <w:style w:type="table" w:customStyle="1" w:styleId="129">
    <w:name w:val="网格型1"/>
    <w:basedOn w:val="30"/>
    <w:qFormat/>
    <w:uiPriority w:val="0"/>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
    <w:name w:val="网格型浅色11"/>
    <w:basedOn w:val="30"/>
    <w:qFormat/>
    <w:uiPriority w:val="40"/>
    <w:rPr>
      <w:rFonts w:cs="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31">
    <w:name w:val="方案表格1"/>
    <w:basedOn w:val="30"/>
    <w:qFormat/>
    <w:uiPriority w:val="99"/>
    <w:pPr>
      <w:jc w:val="center"/>
    </w:pPr>
    <w:rPr>
      <w:rFonts w:ascii="Times New Roman" w:hAnsi="Times New Roman" w:cs="Times New Roman"/>
      <w:sz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table" w:customStyle="1" w:styleId="132">
    <w:name w:val="样式11"/>
    <w:basedOn w:val="30"/>
    <w:qFormat/>
    <w:uiPriority w:val="99"/>
    <w:pPr>
      <w:jc w:val="center"/>
      <w:textAlignment w:val="center"/>
    </w:pPr>
    <w:rPr>
      <w:rFonts w:eastAsia="仿宋_GB2312" w:cs="Times New Roman"/>
      <w:kern w:val="2"/>
      <w:sz w:val="21"/>
      <w:szCs w:val="22"/>
    </w:rPr>
    <w:tblPr>
      <w:jc w:val="center"/>
      <w:tblBorders>
        <w:top w:val="double" w:color="0000FF" w:sz="2" w:space="0"/>
        <w:left w:val="double" w:color="0000FF" w:sz="2" w:space="0"/>
        <w:bottom w:val="double" w:color="0000FF" w:sz="2" w:space="0"/>
        <w:right w:val="double" w:color="0000FF" w:sz="2" w:space="0"/>
        <w:insideH w:val="single" w:color="0000FF" w:sz="2" w:space="0"/>
        <w:insideV w:val="single" w:color="0000FF" w:sz="2" w:space="0"/>
      </w:tblBorders>
      <w:tblCellMar>
        <w:left w:w="85" w:type="dxa"/>
        <w:right w:w="85" w:type="dxa"/>
      </w:tblCellMar>
    </w:tblPr>
    <w:trPr>
      <w:jc w:val="center"/>
    </w:trPr>
    <w:tcPr>
      <w:shd w:val="clear" w:color="auto" w:fill="CCFFCC"/>
      <w:vAlign w:val="center"/>
    </w:tcPr>
    <w:tblStylePr w:type="firstRow">
      <w:pPr>
        <w:jc w:val="center"/>
      </w:pPr>
      <w:rPr>
        <w:rFonts w:eastAsia="楷体"/>
        <w:b/>
        <w:i w:val="0"/>
        <w:sz w:val="21"/>
      </w:rPr>
      <w:tblPr>
        <w:jc w:val="center"/>
      </w:tblPr>
      <w:trPr>
        <w:jc w:val="center"/>
      </w:trPr>
    </w:tblStylePr>
    <w:tblStylePr w:type="lastRow">
      <w:pPr>
        <w:jc w:val="both"/>
      </w:pPr>
      <w:rPr>
        <w:rFonts w:eastAsia="楷体"/>
        <w:sz w:val="21"/>
      </w:rPr>
      <w:tcPr>
        <w:vAlign w:val="top"/>
      </w:tcPr>
    </w:tblStylePr>
  </w:style>
  <w:style w:type="table" w:customStyle="1" w:styleId="133">
    <w:name w:val="样式15"/>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paragraph" w:customStyle="1" w:styleId="134">
    <w:name w:val="表头-模板"/>
    <w:qFormat/>
    <w:uiPriority w:val="0"/>
    <w:pPr>
      <w:widowControl w:val="0"/>
      <w:spacing w:line="240" w:lineRule="auto"/>
      <w:ind w:firstLine="0" w:firstLineChars="0"/>
      <w:jc w:val="center"/>
    </w:pPr>
    <w:rPr>
      <w:rFonts w:hint="eastAsia" w:ascii="Times New Roman" w:hAnsi="Times New Roman" w:eastAsia="宋体" w:cs="Times New Roman"/>
      <w:b/>
      <w:kern w:val="2"/>
      <w:sz w:val="21"/>
      <w:szCs w:val="21"/>
      <w:lang w:val="en-US" w:eastAsia="zh-CN" w:bidi="ar-SA"/>
    </w:rPr>
  </w:style>
  <w:style w:type="paragraph" w:customStyle="1" w:styleId="135">
    <w:name w:val="表格正文-模板"/>
    <w:qFormat/>
    <w:uiPriority w:val="0"/>
    <w:pPr>
      <w:widowControl w:val="0"/>
      <w:spacing w:line="240" w:lineRule="auto"/>
      <w:ind w:firstLine="0" w:firstLineChars="0"/>
      <w:jc w:val="both"/>
    </w:pPr>
    <w:rPr>
      <w:rFonts w:ascii="Times New Roman" w:hAnsi="Times New Roman" w:eastAsia="宋体" w:cs="Times New Roman"/>
      <w:kern w:val="2"/>
      <w:sz w:val="21"/>
      <w:szCs w:val="21"/>
      <w:lang w:val="en-US" w:eastAsia="zh-CN" w:bidi="ar-SA"/>
    </w:rPr>
  </w:style>
  <w:style w:type="table" w:customStyle="1" w:styleId="136">
    <w:name w:val="表格标准"/>
    <w:basedOn w:val="30"/>
    <w:qFormat/>
    <w:uiPriority w:val="99"/>
    <w:pPr>
      <w:jc w:val="center"/>
    </w:pPr>
    <w:rPr>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paragraph" w:customStyle="1" w:styleId="137">
    <w:name w:val="表头"/>
    <w:next w:val="1"/>
    <w:qFormat/>
    <w:uiPriority w:val="1"/>
    <w:pPr>
      <w:keepNext/>
      <w:spacing w:line="360" w:lineRule="auto"/>
      <w:jc w:val="center"/>
    </w:pPr>
    <w:rPr>
      <w:rFonts w:ascii="Times New Roman" w:hAnsi="Times New Roman" w:eastAsia="宋体" w:cstheme="minorBidi"/>
      <w:b/>
      <w:kern w:val="2"/>
      <w:sz w:val="21"/>
      <w:szCs w:val="22"/>
      <w:lang w:val="en-US" w:eastAsia="zh-CN" w:bidi="ar-SA"/>
    </w:rPr>
  </w:style>
  <w:style w:type="character" w:customStyle="1" w:styleId="138">
    <w:name w:val="font11"/>
    <w:basedOn w:val="32"/>
    <w:qFormat/>
    <w:uiPriority w:val="0"/>
    <w:rPr>
      <w:rFonts w:hint="eastAsia" w:ascii="宋体" w:hAnsi="宋体" w:eastAsia="宋体" w:cs="宋体"/>
      <w:color w:val="000000"/>
      <w:sz w:val="21"/>
      <w:szCs w:val="21"/>
      <w:u w:val="none"/>
    </w:rPr>
  </w:style>
  <w:style w:type="paragraph" w:customStyle="1" w:styleId="139">
    <w:name w:val="燕矶表格文字"/>
    <w:basedOn w:val="1"/>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5" Type="http://schemas.openxmlformats.org/officeDocument/2006/relationships/fontTable" Target="fontTable.xml"/><Relationship Id="rId84" Type="http://schemas.openxmlformats.org/officeDocument/2006/relationships/customXml" Target="../customXml/item1.xml"/><Relationship Id="rId83" Type="http://schemas.openxmlformats.org/officeDocument/2006/relationships/numbering" Target="numbering.xml"/><Relationship Id="rId82" Type="http://schemas.openxmlformats.org/officeDocument/2006/relationships/image" Target="media/image65.png"/><Relationship Id="rId81" Type="http://schemas.openxmlformats.org/officeDocument/2006/relationships/image" Target="media/image64.emf"/><Relationship Id="rId80" Type="http://schemas.openxmlformats.org/officeDocument/2006/relationships/image" Target="media/image63.emf"/><Relationship Id="rId8" Type="http://schemas.openxmlformats.org/officeDocument/2006/relationships/footer" Target="footer1.xml"/><Relationship Id="rId79" Type="http://schemas.openxmlformats.org/officeDocument/2006/relationships/oleObject" Target="embeddings/oleObject3.bin"/><Relationship Id="rId78" Type="http://schemas.openxmlformats.org/officeDocument/2006/relationships/image" Target="media/image62.emf"/><Relationship Id="rId77" Type="http://schemas.openxmlformats.org/officeDocument/2006/relationships/oleObject" Target="embeddings/oleObject2.bin"/><Relationship Id="rId76" Type="http://schemas.openxmlformats.org/officeDocument/2006/relationships/image" Target="media/image61.emf"/><Relationship Id="rId75" Type="http://schemas.openxmlformats.org/officeDocument/2006/relationships/oleObject" Target="embeddings/oleObject1.bin"/><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header" Target="header3.xml"/><Relationship Id="rId69" Type="http://schemas.openxmlformats.org/officeDocument/2006/relationships/image" Target="media/image55.png"/><Relationship Id="rId68" Type="http://schemas.openxmlformats.org/officeDocument/2006/relationships/image" Target="media/image54.png"/><Relationship Id="rId67" Type="http://schemas.openxmlformats.org/officeDocument/2006/relationships/image" Target="media/image53.png"/><Relationship Id="rId66" Type="http://schemas.openxmlformats.org/officeDocument/2006/relationships/image" Target="media/image52.png"/><Relationship Id="rId65" Type="http://schemas.openxmlformats.org/officeDocument/2006/relationships/image" Target="media/image51.png"/><Relationship Id="rId64" Type="http://schemas.openxmlformats.org/officeDocument/2006/relationships/image" Target="media/image50.png"/><Relationship Id="rId63" Type="http://schemas.openxmlformats.org/officeDocument/2006/relationships/image" Target="media/image49.png"/><Relationship Id="rId62" Type="http://schemas.openxmlformats.org/officeDocument/2006/relationships/image" Target="media/image48.png"/><Relationship Id="rId61" Type="http://schemas.openxmlformats.org/officeDocument/2006/relationships/image" Target="media/image47.png"/><Relationship Id="rId60" Type="http://schemas.openxmlformats.org/officeDocument/2006/relationships/image" Target="media/image46.png"/><Relationship Id="rId6" Type="http://schemas.openxmlformats.org/officeDocument/2006/relationships/header" Target="header2.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86996-2DA6-4D25-B8C1-0B664425521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95</Pages>
  <Words>45097</Words>
  <Characters>49782</Characters>
  <Lines>417</Lines>
  <Paragraphs>117</Paragraphs>
  <TotalTime>676</TotalTime>
  <ScaleCrop>false</ScaleCrop>
  <LinksUpToDate>false</LinksUpToDate>
  <CharactersWithSpaces>60805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2021-03-19T00:49:00Z</dcterms:created>
  <dc:creator>Haifeng Zhu</dc:creator>
  <cp:lastModifiedBy>杭州渝港机械施工有限公司</cp:lastModifiedBy>
  <cp:lastPrinted>2022-07-11T03:31:00Z</cp:lastPrinted>
  <dcterms:modified xsi:type="dcterms:W3CDTF">2025-02-28T00:42:54Z</dcterms:modified>
  <cp:revision>1330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MTWinEqns">
    <vt:bool>true</vt:bool>
  </property>
  <property fmtid="{D5CDD505-2E9C-101B-9397-08002B2CF9AE}" pid="4" name="ICV">
    <vt:lpwstr>4B26EBA91AB14BEF8282F4C6D297604F_13</vt:lpwstr>
  </property>
  <property fmtid="{D5CDD505-2E9C-101B-9397-08002B2CF9AE}" pid="5" name="KSOTemplateDocerSaveRecord">
    <vt:lpwstr>eyJoZGlkIjoiYjNhNmFhNjMwYzJiZmY0YzA5ZjEwOTY2YWYzYjdmYTAiLCJ1c2VySWQiOiIyMDEyMTQ5OSJ9</vt:lpwstr>
  </property>
</Properties>
</file>