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3472E0">
      <w:pPr>
        <w:ind w:firstLine="0" w:firstLineChars="0"/>
        <w:jc w:val="center"/>
        <w:rPr>
          <w:rFonts w:ascii="黑体" w:hAnsi="黑体" w:eastAsia="黑体" w:cs="黑体"/>
          <w:bCs/>
          <w:sz w:val="40"/>
          <w:szCs w:val="40"/>
        </w:rPr>
      </w:pPr>
    </w:p>
    <w:p w14:paraId="7006E194">
      <w:pPr>
        <w:pStyle w:val="16"/>
        <w:rPr>
          <w:lang w:val="zh-CN"/>
        </w:rPr>
      </w:pPr>
      <w:r>
        <w:rPr>
          <w:rFonts w:hint="eastAsia"/>
        </w:rPr>
        <w:t>新建合肥至武汉高速铁路湖北段</w:t>
      </w:r>
    </w:p>
    <w:p w14:paraId="24E1A0D4">
      <w:pPr>
        <w:pStyle w:val="16"/>
        <w:rPr>
          <w:rFonts w:ascii="黑体" w:hAnsi="黑体" w:eastAsia="黑体" w:cs="黑体"/>
          <w:bCs/>
          <w:sz w:val="72"/>
          <w:szCs w:val="72"/>
          <w:lang w:val="zh-CN"/>
        </w:rPr>
      </w:pPr>
      <w:r>
        <w:rPr>
          <w:rFonts w:hint="eastAsia"/>
          <w:sz w:val="72"/>
          <w:szCs w:val="72"/>
          <w:lang w:eastAsia="zh-CN"/>
        </w:rPr>
        <w:t>XGT6015A-8S</w:t>
      </w:r>
      <w:r>
        <w:rPr>
          <w:rFonts w:hint="eastAsia"/>
          <w:sz w:val="72"/>
          <w:szCs w:val="72"/>
        </w:rPr>
        <w:t>塔式起重机安拆专项施工方案</w:t>
      </w:r>
    </w:p>
    <w:p w14:paraId="7EE3A8D2">
      <w:pPr>
        <w:pStyle w:val="16"/>
        <w:rPr>
          <w:lang w:val="zh-CN"/>
        </w:rPr>
      </w:pPr>
    </w:p>
    <w:p w14:paraId="7ED08F40">
      <w:pPr>
        <w:spacing w:line="240" w:lineRule="auto"/>
        <w:ind w:firstLine="0" w:firstLineChars="0"/>
        <w:jc w:val="center"/>
        <w:rPr>
          <w:rFonts w:ascii="仿宋_GB2312"/>
        </w:rPr>
      </w:pPr>
      <w:r>
        <w:rPr>
          <w:rFonts w:ascii="黑体" w:hAnsi="黑体" w:eastAsia="黑体" w:cs="楷体_GB2312"/>
          <w:sz w:val="32"/>
          <w:szCs w:val="32"/>
        </w:rPr>
        <w:drawing>
          <wp:inline distT="0" distB="0" distL="0" distR="0">
            <wp:extent cx="3273425" cy="2910840"/>
            <wp:effectExtent l="0" t="0" r="3175" b="3810"/>
            <wp:docPr id="168252363" name="图片 1" descr="18-19VI基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2363" name="图片 1" descr="18-19VI基础"/>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73425" cy="2910840"/>
                    </a:xfrm>
                    <a:prstGeom prst="rect">
                      <a:avLst/>
                    </a:prstGeom>
                    <a:noFill/>
                    <a:ln>
                      <a:noFill/>
                    </a:ln>
                    <a:effectLst/>
                  </pic:spPr>
                </pic:pic>
              </a:graphicData>
            </a:graphic>
          </wp:inline>
        </w:drawing>
      </w:r>
    </w:p>
    <w:p w14:paraId="299C52AC">
      <w:pPr>
        <w:ind w:firstLine="560"/>
        <w:rPr>
          <w:rFonts w:ascii="仿宋_GB2312" w:hAnsi="宋体"/>
        </w:rPr>
      </w:pPr>
    </w:p>
    <w:p w14:paraId="6D1C4CB9">
      <w:pPr>
        <w:pStyle w:val="11"/>
        <w:ind w:firstLine="560"/>
        <w:rPr>
          <w:rFonts w:hint="default" w:ascii="仿宋_GB2312" w:hAnsi="宋体"/>
        </w:rPr>
      </w:pPr>
    </w:p>
    <w:p w14:paraId="71B856E8">
      <w:pPr>
        <w:ind w:firstLine="560"/>
        <w:rPr>
          <w:rFonts w:ascii="仿宋_GB2312" w:hAnsi="宋体"/>
        </w:rPr>
      </w:pPr>
    </w:p>
    <w:p w14:paraId="1AD131F7">
      <w:pPr>
        <w:ind w:firstLine="0" w:firstLineChars="0"/>
        <w:jc w:val="center"/>
        <w:rPr>
          <w:rFonts w:ascii="宋体" w:hAnsi="宋体"/>
          <w:sz w:val="32"/>
          <w:szCs w:val="32"/>
        </w:rPr>
      </w:pPr>
      <w:r>
        <w:rPr>
          <w:rFonts w:hint="eastAsia" w:ascii="宋体" w:hAnsi="宋体"/>
          <w:sz w:val="32"/>
          <w:szCs w:val="32"/>
        </w:rPr>
        <w:t>中铁大桥局集团有限公司</w:t>
      </w:r>
    </w:p>
    <w:p w14:paraId="66769A9C">
      <w:pPr>
        <w:ind w:firstLine="0" w:firstLineChars="0"/>
        <w:jc w:val="center"/>
        <w:rPr>
          <w:rFonts w:ascii="宋体" w:hAnsi="宋体"/>
          <w:sz w:val="32"/>
          <w:szCs w:val="32"/>
        </w:rPr>
      </w:pPr>
      <w:r>
        <w:rPr>
          <w:rFonts w:hint="eastAsia" w:ascii="宋体" w:hAnsi="宋体"/>
          <w:sz w:val="32"/>
          <w:szCs w:val="32"/>
        </w:rPr>
        <w:t>新建合武高铁湖北段HWZQ-4标项目经理部</w:t>
      </w:r>
    </w:p>
    <w:p w14:paraId="6F163041">
      <w:pPr>
        <w:ind w:firstLine="0" w:firstLineChars="0"/>
        <w:jc w:val="center"/>
        <w:rPr>
          <w:rFonts w:ascii="宋体" w:hAnsi="宋体"/>
          <w:color w:val="000000"/>
          <w:sz w:val="32"/>
          <w:szCs w:val="32"/>
        </w:rPr>
      </w:pPr>
      <w:r>
        <w:rPr>
          <w:rFonts w:hint="eastAsia" w:ascii="宋体" w:hAnsi="宋体"/>
          <w:color w:val="000000"/>
          <w:sz w:val="32"/>
          <w:szCs w:val="32"/>
        </w:rPr>
        <w:t>二〇二</w:t>
      </w:r>
      <w:r>
        <w:rPr>
          <w:rFonts w:hint="eastAsia" w:ascii="宋体" w:hAnsi="宋体"/>
          <w:color w:val="000000"/>
          <w:sz w:val="32"/>
          <w:szCs w:val="32"/>
          <w:lang w:eastAsia="zh-CN"/>
        </w:rPr>
        <w:t>五</w:t>
      </w:r>
      <w:r>
        <w:rPr>
          <w:rFonts w:hint="eastAsia" w:ascii="宋体" w:hAnsi="宋体"/>
          <w:color w:val="000000"/>
          <w:sz w:val="32"/>
          <w:szCs w:val="32"/>
        </w:rPr>
        <w:t>年一月</w:t>
      </w:r>
    </w:p>
    <w:p w14:paraId="164156CF">
      <w:pPr>
        <w:pStyle w:val="16"/>
        <w:spacing w:line="480" w:lineRule="auto"/>
        <w:sectPr>
          <w:headerReference r:id="rId5" w:type="default"/>
          <w:pgSz w:w="11906" w:h="16838"/>
          <w:pgMar w:top="1417" w:right="1304" w:bottom="1417" w:left="1587" w:header="850" w:footer="992" w:gutter="0"/>
          <w:pgBorders>
            <w:top w:val="none" w:sz="0" w:space="0"/>
            <w:left w:val="none" w:sz="0" w:space="0"/>
            <w:bottom w:val="none" w:sz="0" w:space="0"/>
            <w:right w:val="none" w:sz="0" w:space="0"/>
          </w:pgBorders>
          <w:pgNumType w:start="1"/>
          <w:cols w:space="720" w:num="1"/>
          <w:docGrid w:type="lines" w:linePitch="312" w:charSpace="0"/>
        </w:sectPr>
      </w:pPr>
    </w:p>
    <w:p w14:paraId="626C1DAE">
      <w:pPr>
        <w:pStyle w:val="16"/>
        <w:spacing w:line="480" w:lineRule="auto"/>
        <w:rPr>
          <w:sz w:val="32"/>
          <w:szCs w:val="32"/>
        </w:rPr>
        <w:sectPr>
          <w:footerReference r:id="rId6" w:type="default"/>
          <w:pgSz w:w="11906" w:h="16838"/>
          <w:pgMar w:top="1417" w:right="1304" w:bottom="1417" w:left="1587" w:header="850" w:footer="992" w:gutter="0"/>
          <w:pgBorders>
            <w:top w:val="none" w:sz="0" w:space="0"/>
            <w:left w:val="none" w:sz="0" w:space="0"/>
            <w:bottom w:val="none" w:sz="0" w:space="0"/>
            <w:right w:val="none" w:sz="0" w:space="0"/>
          </w:pgBorders>
          <w:pgNumType w:start="1"/>
          <w:cols w:space="720" w:num="1"/>
          <w:docGrid w:type="lines" w:linePitch="312" w:charSpace="0"/>
        </w:sectPr>
      </w:pPr>
    </w:p>
    <w:p w14:paraId="17B78C81">
      <w:pPr>
        <w:pStyle w:val="16"/>
        <w:spacing w:line="480" w:lineRule="auto"/>
        <w:rPr>
          <w:sz w:val="32"/>
          <w:szCs w:val="32"/>
        </w:rPr>
      </w:pPr>
    </w:p>
    <w:p w14:paraId="272052F7">
      <w:pPr>
        <w:pStyle w:val="16"/>
        <w:spacing w:line="480" w:lineRule="auto"/>
        <w:rPr>
          <w:b w:val="0"/>
          <w:sz w:val="48"/>
          <w:szCs w:val="48"/>
        </w:rPr>
      </w:pPr>
      <w:r>
        <w:rPr>
          <w:rFonts w:hint="eastAsia"/>
          <w:sz w:val="48"/>
          <w:szCs w:val="48"/>
        </w:rPr>
        <w:t>新建合肥至武汉高速铁路湖北段</w:t>
      </w:r>
    </w:p>
    <w:p w14:paraId="6DD43558">
      <w:pPr>
        <w:pStyle w:val="16"/>
        <w:rPr>
          <w:sz w:val="72"/>
          <w:szCs w:val="72"/>
        </w:rPr>
      </w:pPr>
      <w:r>
        <w:rPr>
          <w:rFonts w:hint="eastAsia"/>
          <w:sz w:val="72"/>
          <w:szCs w:val="72"/>
          <w:lang w:eastAsia="zh-CN"/>
        </w:rPr>
        <w:t>XGT6015A-8S</w:t>
      </w:r>
      <w:r>
        <w:rPr>
          <w:rFonts w:hint="eastAsia"/>
          <w:sz w:val="72"/>
          <w:szCs w:val="72"/>
        </w:rPr>
        <w:t>塔式起重机安拆专项施工方案</w:t>
      </w:r>
    </w:p>
    <w:p w14:paraId="010F523B">
      <w:pPr>
        <w:pStyle w:val="16"/>
        <w:rPr>
          <w:sz w:val="32"/>
          <w:szCs w:val="32"/>
        </w:rPr>
      </w:pPr>
    </w:p>
    <w:p w14:paraId="43D24C38">
      <w:pPr>
        <w:pStyle w:val="16"/>
        <w:rPr>
          <w:sz w:val="32"/>
          <w:szCs w:val="32"/>
        </w:rPr>
      </w:pPr>
    </w:p>
    <w:p w14:paraId="75C2CF51">
      <w:pPr>
        <w:pStyle w:val="16"/>
        <w:rPr>
          <w:sz w:val="32"/>
          <w:szCs w:val="32"/>
        </w:rPr>
      </w:pPr>
    </w:p>
    <w:p w14:paraId="4D984CF6">
      <w:pPr>
        <w:pStyle w:val="16"/>
        <w:spacing w:line="480" w:lineRule="auto"/>
        <w:ind w:firstLine="2409" w:firstLineChars="750"/>
        <w:jc w:val="left"/>
        <w:rPr>
          <w:sz w:val="32"/>
          <w:szCs w:val="32"/>
        </w:rPr>
      </w:pPr>
      <w:r>
        <w:rPr>
          <w:rFonts w:hint="eastAsia"/>
          <w:sz w:val="32"/>
          <w:szCs w:val="32"/>
        </w:rPr>
        <w:t xml:space="preserve">编    制：  </w:t>
      </w:r>
    </w:p>
    <w:p w14:paraId="03A01E60">
      <w:pPr>
        <w:pStyle w:val="16"/>
        <w:spacing w:line="480" w:lineRule="auto"/>
        <w:ind w:firstLine="2409" w:firstLineChars="750"/>
        <w:jc w:val="left"/>
        <w:rPr>
          <w:sz w:val="32"/>
          <w:szCs w:val="32"/>
        </w:rPr>
      </w:pPr>
      <w:r>
        <w:rPr>
          <w:rFonts w:hint="eastAsia"/>
          <w:sz w:val="32"/>
          <w:szCs w:val="32"/>
        </w:rPr>
        <w:t>审    核：</w:t>
      </w:r>
    </w:p>
    <w:p w14:paraId="30B9E905">
      <w:pPr>
        <w:pStyle w:val="16"/>
        <w:spacing w:line="480" w:lineRule="auto"/>
        <w:ind w:firstLine="2409" w:firstLineChars="750"/>
        <w:jc w:val="left"/>
        <w:rPr>
          <w:sz w:val="32"/>
          <w:szCs w:val="32"/>
        </w:rPr>
      </w:pPr>
      <w:r>
        <w:rPr>
          <w:rFonts w:hint="eastAsia"/>
          <w:sz w:val="32"/>
          <w:szCs w:val="32"/>
        </w:rPr>
        <w:t>审    批：</w:t>
      </w:r>
    </w:p>
    <w:p w14:paraId="7A3AA50A">
      <w:pPr>
        <w:pStyle w:val="16"/>
        <w:spacing w:line="480" w:lineRule="auto"/>
        <w:rPr>
          <w:sz w:val="32"/>
          <w:szCs w:val="32"/>
        </w:rPr>
      </w:pPr>
    </w:p>
    <w:p w14:paraId="3BBEF680">
      <w:pPr>
        <w:pStyle w:val="16"/>
        <w:spacing w:line="480" w:lineRule="auto"/>
        <w:rPr>
          <w:sz w:val="32"/>
          <w:szCs w:val="32"/>
        </w:rPr>
      </w:pPr>
    </w:p>
    <w:p w14:paraId="2133E92D">
      <w:pPr>
        <w:pStyle w:val="16"/>
        <w:spacing w:line="480" w:lineRule="auto"/>
        <w:rPr>
          <w:sz w:val="32"/>
          <w:szCs w:val="32"/>
        </w:rPr>
      </w:pPr>
    </w:p>
    <w:p w14:paraId="36DA7CF9">
      <w:pPr>
        <w:spacing w:line="240" w:lineRule="auto"/>
        <w:ind w:firstLine="0" w:firstLineChars="0"/>
        <w:jc w:val="center"/>
        <w:rPr>
          <w:rFonts w:ascii="宋体" w:hAnsi="宋体"/>
          <w:sz w:val="32"/>
          <w:szCs w:val="32"/>
        </w:rPr>
      </w:pPr>
      <w:r>
        <w:rPr>
          <w:rFonts w:hint="eastAsia" w:ascii="宋体" w:hAnsi="宋体"/>
          <w:sz w:val="32"/>
          <w:szCs w:val="32"/>
        </w:rPr>
        <w:t>中铁大桥局集团有限公司</w:t>
      </w:r>
    </w:p>
    <w:p w14:paraId="76F93E89">
      <w:pPr>
        <w:ind w:firstLine="0" w:firstLineChars="0"/>
        <w:jc w:val="center"/>
        <w:rPr>
          <w:rFonts w:ascii="宋体" w:hAnsi="宋体"/>
          <w:sz w:val="32"/>
          <w:szCs w:val="32"/>
        </w:rPr>
      </w:pPr>
      <w:r>
        <w:rPr>
          <w:rFonts w:hint="eastAsia" w:ascii="宋体" w:hAnsi="宋体"/>
          <w:sz w:val="32"/>
          <w:szCs w:val="32"/>
        </w:rPr>
        <w:t>新建合武高铁湖北段HWZQ-4标项目经理部</w:t>
      </w:r>
    </w:p>
    <w:p w14:paraId="52E1050E">
      <w:pPr>
        <w:ind w:firstLine="0" w:firstLineChars="0"/>
        <w:jc w:val="center"/>
        <w:rPr>
          <w:rFonts w:ascii="宋体" w:hAnsi="宋体"/>
          <w:sz w:val="32"/>
          <w:szCs w:val="32"/>
        </w:rPr>
      </w:pPr>
      <w:r>
        <w:rPr>
          <w:rFonts w:hint="eastAsia" w:ascii="宋体" w:hAnsi="宋体"/>
          <w:sz w:val="32"/>
          <w:szCs w:val="32"/>
        </w:rPr>
        <w:t>二〇二</w:t>
      </w:r>
      <w:r>
        <w:rPr>
          <w:rFonts w:hint="eastAsia" w:ascii="宋体" w:hAnsi="宋体"/>
          <w:sz w:val="32"/>
          <w:szCs w:val="32"/>
          <w:lang w:eastAsia="zh-CN"/>
        </w:rPr>
        <w:t>五</w:t>
      </w:r>
      <w:r>
        <w:rPr>
          <w:rFonts w:hint="eastAsia" w:ascii="宋体" w:hAnsi="宋体"/>
          <w:sz w:val="32"/>
          <w:szCs w:val="32"/>
        </w:rPr>
        <w:t>年</w:t>
      </w:r>
      <w:r>
        <w:rPr>
          <w:rFonts w:hint="eastAsia" w:ascii="宋体" w:hAnsi="宋体"/>
          <w:color w:val="000000"/>
          <w:sz w:val="32"/>
          <w:szCs w:val="32"/>
        </w:rPr>
        <w:t>一</w:t>
      </w:r>
      <w:r>
        <w:rPr>
          <w:rFonts w:hint="eastAsia" w:ascii="宋体" w:hAnsi="宋体"/>
          <w:sz w:val="32"/>
          <w:szCs w:val="32"/>
        </w:rPr>
        <w:t>月</w:t>
      </w:r>
    </w:p>
    <w:p w14:paraId="1D8BCA85">
      <w:pPr>
        <w:ind w:firstLine="0" w:firstLineChars="0"/>
        <w:jc w:val="center"/>
        <w:rPr>
          <w:rFonts w:ascii="宋体" w:hAnsi="宋体"/>
          <w:sz w:val="32"/>
          <w:szCs w:val="32"/>
        </w:rPr>
      </w:pPr>
    </w:p>
    <w:p w14:paraId="18CDC6B3">
      <w:pPr>
        <w:spacing w:line="240" w:lineRule="auto"/>
        <w:ind w:firstLine="0" w:firstLineChars="0"/>
        <w:jc w:val="both"/>
        <w:rPr>
          <w:rFonts w:hint="eastAsia"/>
          <w:color w:val="000000"/>
          <w:sz w:val="32"/>
          <w:szCs w:val="32"/>
        </w:rPr>
      </w:pPr>
      <w:bookmarkStart w:id="0" w:name="_Toc21598"/>
      <w:bookmarkStart w:id="1" w:name="_Toc13551"/>
      <w:bookmarkStart w:id="2" w:name="_Toc21072"/>
      <w:bookmarkStart w:id="3" w:name="_Toc16713"/>
      <w:bookmarkStart w:id="4" w:name="_Toc21301"/>
      <w:bookmarkStart w:id="5" w:name="_Toc28390"/>
      <w:bookmarkStart w:id="6" w:name="_Toc14401"/>
      <w:bookmarkStart w:id="7" w:name="_Toc29686"/>
      <w:bookmarkStart w:id="8" w:name="_Toc20191"/>
      <w:bookmarkStart w:id="9" w:name="_Toc1815"/>
      <w:bookmarkStart w:id="10" w:name="_Toc23028"/>
      <w:bookmarkStart w:id="11" w:name="_Toc18989"/>
      <w:bookmarkStart w:id="12" w:name="_Toc4691"/>
      <w:bookmarkStart w:id="13" w:name="_Toc2628"/>
      <w:bookmarkStart w:id="14" w:name="_Toc19165"/>
    </w:p>
    <w:p w14:paraId="4A85D199">
      <w:pPr>
        <w:spacing w:line="240" w:lineRule="auto"/>
        <w:ind w:firstLine="0" w:firstLineChars="0"/>
        <w:jc w:val="both"/>
        <w:rPr>
          <w:rFonts w:hint="eastAsia"/>
          <w:color w:val="000000"/>
          <w:sz w:val="32"/>
          <w:szCs w:val="32"/>
        </w:rPr>
      </w:pPr>
    </w:p>
    <w:p w14:paraId="7D72C010">
      <w:pPr>
        <w:spacing w:line="240" w:lineRule="auto"/>
        <w:ind w:firstLine="0" w:firstLineChars="0"/>
        <w:jc w:val="both"/>
        <w:rPr>
          <w:rFonts w:hint="eastAsia"/>
          <w:color w:val="000000"/>
          <w:sz w:val="32"/>
          <w:szCs w:val="32"/>
        </w:rPr>
      </w:pPr>
    </w:p>
    <w:p w14:paraId="5A2D0F60">
      <w:pPr>
        <w:spacing w:line="240" w:lineRule="auto"/>
        <w:ind w:firstLine="0" w:firstLineChars="0"/>
        <w:jc w:val="both"/>
        <w:rPr>
          <w:rFonts w:hint="eastAsia"/>
          <w:color w:val="000000"/>
          <w:sz w:val="32"/>
          <w:szCs w:val="32"/>
        </w:rPr>
      </w:pPr>
    </w:p>
    <w:p w14:paraId="214C876F">
      <w:pPr>
        <w:spacing w:line="240" w:lineRule="auto"/>
        <w:ind w:firstLine="0" w:firstLineChars="0"/>
        <w:jc w:val="both"/>
        <w:rPr>
          <w:rFonts w:hint="eastAsia"/>
          <w:color w:val="000000"/>
          <w:sz w:val="32"/>
          <w:szCs w:val="32"/>
        </w:rPr>
      </w:pPr>
    </w:p>
    <w:p w14:paraId="1BDF6C5F">
      <w:pPr>
        <w:spacing w:line="240" w:lineRule="auto"/>
        <w:ind w:firstLine="0" w:firstLineChars="0"/>
        <w:jc w:val="both"/>
        <w:rPr>
          <w:rFonts w:hint="eastAsia"/>
          <w:color w:val="000000"/>
          <w:sz w:val="32"/>
          <w:szCs w:val="32"/>
        </w:rPr>
      </w:pPr>
    </w:p>
    <w:p w14:paraId="7BE1F44C">
      <w:pPr>
        <w:spacing w:line="240" w:lineRule="auto"/>
        <w:ind w:firstLine="0" w:firstLineChars="0"/>
        <w:jc w:val="both"/>
        <w:rPr>
          <w:rFonts w:hint="eastAsia"/>
          <w:color w:val="000000"/>
          <w:sz w:val="32"/>
          <w:szCs w:val="32"/>
        </w:rPr>
      </w:pPr>
    </w:p>
    <w:p w14:paraId="14615806">
      <w:pPr>
        <w:spacing w:line="240" w:lineRule="auto"/>
        <w:ind w:firstLine="0" w:firstLineChars="0"/>
        <w:jc w:val="both"/>
        <w:rPr>
          <w:rFonts w:hint="eastAsia"/>
          <w:color w:val="000000"/>
          <w:sz w:val="32"/>
          <w:szCs w:val="32"/>
        </w:rPr>
      </w:pPr>
    </w:p>
    <w:p w14:paraId="7001D606">
      <w:pPr>
        <w:spacing w:line="240" w:lineRule="auto"/>
        <w:ind w:firstLine="0" w:firstLineChars="0"/>
        <w:jc w:val="both"/>
        <w:rPr>
          <w:rFonts w:hint="eastAsia"/>
          <w:color w:val="000000"/>
          <w:sz w:val="32"/>
          <w:szCs w:val="32"/>
        </w:rPr>
      </w:pPr>
    </w:p>
    <w:p w14:paraId="72BC0438">
      <w:pPr>
        <w:spacing w:line="240" w:lineRule="auto"/>
        <w:ind w:firstLine="0" w:firstLineChars="0"/>
        <w:jc w:val="both"/>
        <w:rPr>
          <w:rFonts w:hint="eastAsia"/>
          <w:color w:val="000000"/>
          <w:sz w:val="32"/>
          <w:szCs w:val="32"/>
        </w:rPr>
        <w:sectPr>
          <w:footerReference r:id="rId7" w:type="default"/>
          <w:pgSz w:w="11906" w:h="16838"/>
          <w:pgMar w:top="1417" w:right="1304" w:bottom="1417" w:left="1587" w:header="850" w:footer="992" w:gutter="0"/>
          <w:pgBorders>
            <w:top w:val="none" w:sz="0" w:space="0"/>
            <w:left w:val="none" w:sz="0" w:space="0"/>
            <w:bottom w:val="none" w:sz="0" w:space="0"/>
            <w:right w:val="none" w:sz="0" w:space="0"/>
          </w:pgBorders>
          <w:pgNumType w:start="1"/>
          <w:cols w:space="720" w:num="1"/>
          <w:docGrid w:type="lines" w:linePitch="312" w:charSpace="0"/>
        </w:sectPr>
      </w:pPr>
      <w:bookmarkStart w:id="633" w:name="_GoBack"/>
      <w:bookmarkEnd w:id="633"/>
    </w:p>
    <w:p w14:paraId="10F3545E">
      <w:pPr>
        <w:spacing w:line="240" w:lineRule="auto"/>
        <w:ind w:firstLine="0" w:firstLineChars="0"/>
        <w:jc w:val="center"/>
        <w:rPr>
          <w:color w:val="000000"/>
          <w:sz w:val="32"/>
          <w:szCs w:val="32"/>
        </w:rPr>
      </w:pPr>
      <w:r>
        <w:rPr>
          <w:rFonts w:hint="eastAsia"/>
          <w:color w:val="000000"/>
          <w:sz w:val="32"/>
          <w:szCs w:val="32"/>
        </w:rPr>
        <w:t>目录</w:t>
      </w:r>
    </w:p>
    <w:p w14:paraId="13BCE839">
      <w:pPr>
        <w:pStyle w:val="27"/>
        <w:tabs>
          <w:tab w:val="right" w:leader="dot" w:pos="9015"/>
        </w:tabs>
      </w:pPr>
      <w:r>
        <w:rPr>
          <w:rFonts w:hint="eastAsia"/>
          <w:color w:val="000000"/>
        </w:rPr>
        <w:fldChar w:fldCharType="begin"/>
      </w:r>
      <w:r>
        <w:rPr>
          <w:rFonts w:hint="eastAsia"/>
          <w:color w:val="000000"/>
        </w:rPr>
        <w:instrText xml:space="preserve">TOC \o "1-2" \h \u </w:instrText>
      </w:r>
      <w:r>
        <w:rPr>
          <w:rFonts w:hint="eastAsia"/>
          <w:color w:val="000000"/>
        </w:rPr>
        <w:fldChar w:fldCharType="separate"/>
      </w:r>
      <w:r>
        <w:rPr>
          <w:rFonts w:hint="eastAsia"/>
          <w:color w:val="000000"/>
        </w:rPr>
        <w:fldChar w:fldCharType="begin"/>
      </w:r>
      <w:r>
        <w:rPr>
          <w:rFonts w:hint="eastAsia"/>
        </w:rPr>
        <w:instrText xml:space="preserve"> HYPERLINK \l _Toc8118 </w:instrText>
      </w:r>
      <w:r>
        <w:rPr>
          <w:rFonts w:hint="eastAsia"/>
        </w:rPr>
        <w:fldChar w:fldCharType="separate"/>
      </w:r>
      <w:r>
        <w:rPr>
          <w:rFonts w:hint="eastAsia"/>
        </w:rPr>
        <w:t>第一章 编制说明</w:t>
      </w:r>
      <w:r>
        <w:tab/>
      </w:r>
      <w:r>
        <w:fldChar w:fldCharType="begin"/>
      </w:r>
      <w:r>
        <w:instrText xml:space="preserve"> PAGEREF _Toc8118 \h </w:instrText>
      </w:r>
      <w:r>
        <w:fldChar w:fldCharType="separate"/>
      </w:r>
      <w:r>
        <w:t>4</w:t>
      </w:r>
      <w:r>
        <w:fldChar w:fldCharType="end"/>
      </w:r>
      <w:r>
        <w:rPr>
          <w:rFonts w:hint="eastAsia"/>
          <w:color w:val="000000"/>
        </w:rPr>
        <w:fldChar w:fldCharType="end"/>
      </w:r>
    </w:p>
    <w:p w14:paraId="4AF454EC">
      <w:pPr>
        <w:pStyle w:val="32"/>
        <w:tabs>
          <w:tab w:val="right" w:leader="dot" w:pos="9015"/>
        </w:tabs>
      </w:pPr>
      <w:r>
        <w:rPr>
          <w:rFonts w:hint="eastAsia"/>
          <w:color w:val="000000"/>
        </w:rPr>
        <w:fldChar w:fldCharType="begin"/>
      </w:r>
      <w:r>
        <w:rPr>
          <w:rFonts w:hint="eastAsia"/>
        </w:rPr>
        <w:instrText xml:space="preserve"> HYPERLINK \l _Toc14240 </w:instrText>
      </w:r>
      <w:r>
        <w:rPr>
          <w:rFonts w:hint="eastAsia"/>
        </w:rPr>
        <w:fldChar w:fldCharType="separate"/>
      </w:r>
      <w:r>
        <w:rPr>
          <w:rFonts w:hint="eastAsia"/>
        </w:rPr>
        <w:t>1</w:t>
      </w:r>
      <w:r>
        <w:t>.1编制依据</w:t>
      </w:r>
      <w:r>
        <w:tab/>
      </w:r>
      <w:r>
        <w:fldChar w:fldCharType="begin"/>
      </w:r>
      <w:r>
        <w:instrText xml:space="preserve"> PAGEREF _Toc14240 \h </w:instrText>
      </w:r>
      <w:r>
        <w:fldChar w:fldCharType="separate"/>
      </w:r>
      <w:r>
        <w:t>4</w:t>
      </w:r>
      <w:r>
        <w:fldChar w:fldCharType="end"/>
      </w:r>
      <w:r>
        <w:rPr>
          <w:rFonts w:hint="eastAsia"/>
          <w:color w:val="000000"/>
        </w:rPr>
        <w:fldChar w:fldCharType="end"/>
      </w:r>
    </w:p>
    <w:p w14:paraId="7A24FB79">
      <w:pPr>
        <w:pStyle w:val="32"/>
        <w:tabs>
          <w:tab w:val="right" w:leader="dot" w:pos="9015"/>
        </w:tabs>
      </w:pPr>
      <w:r>
        <w:rPr>
          <w:rFonts w:hint="eastAsia"/>
          <w:color w:val="000000"/>
        </w:rPr>
        <w:fldChar w:fldCharType="begin"/>
      </w:r>
      <w:r>
        <w:rPr>
          <w:rFonts w:hint="eastAsia"/>
        </w:rPr>
        <w:instrText xml:space="preserve"> HYPERLINK \l _Toc7848 </w:instrText>
      </w:r>
      <w:r>
        <w:rPr>
          <w:rFonts w:hint="eastAsia"/>
        </w:rPr>
        <w:fldChar w:fldCharType="separate"/>
      </w:r>
      <w:r>
        <w:rPr>
          <w:rFonts w:hint="eastAsia"/>
        </w:rPr>
        <w:t>1.2 编制原则</w:t>
      </w:r>
      <w:r>
        <w:tab/>
      </w:r>
      <w:r>
        <w:fldChar w:fldCharType="begin"/>
      </w:r>
      <w:r>
        <w:instrText xml:space="preserve"> PAGEREF _Toc7848 \h </w:instrText>
      </w:r>
      <w:r>
        <w:fldChar w:fldCharType="separate"/>
      </w:r>
      <w:r>
        <w:t>4</w:t>
      </w:r>
      <w:r>
        <w:fldChar w:fldCharType="end"/>
      </w:r>
      <w:r>
        <w:rPr>
          <w:rFonts w:hint="eastAsia"/>
          <w:color w:val="000000"/>
        </w:rPr>
        <w:fldChar w:fldCharType="end"/>
      </w:r>
    </w:p>
    <w:p w14:paraId="1AFD7CCE">
      <w:pPr>
        <w:pStyle w:val="32"/>
        <w:tabs>
          <w:tab w:val="right" w:leader="dot" w:pos="9015"/>
        </w:tabs>
      </w:pPr>
      <w:r>
        <w:rPr>
          <w:rFonts w:hint="eastAsia"/>
          <w:color w:val="000000"/>
        </w:rPr>
        <w:fldChar w:fldCharType="begin"/>
      </w:r>
      <w:r>
        <w:rPr>
          <w:rFonts w:hint="eastAsia"/>
        </w:rPr>
        <w:instrText xml:space="preserve"> HYPERLINK \l _Toc7277 </w:instrText>
      </w:r>
      <w:r>
        <w:rPr>
          <w:rFonts w:hint="eastAsia"/>
        </w:rPr>
        <w:fldChar w:fldCharType="separate"/>
      </w:r>
      <w:r>
        <w:rPr>
          <w:rFonts w:hint="eastAsia"/>
        </w:rPr>
        <w:t>1.3 编制范围</w:t>
      </w:r>
      <w:r>
        <w:tab/>
      </w:r>
      <w:r>
        <w:fldChar w:fldCharType="begin"/>
      </w:r>
      <w:r>
        <w:instrText xml:space="preserve"> PAGEREF _Toc7277 \h </w:instrText>
      </w:r>
      <w:r>
        <w:fldChar w:fldCharType="separate"/>
      </w:r>
      <w:r>
        <w:t>5</w:t>
      </w:r>
      <w:r>
        <w:fldChar w:fldCharType="end"/>
      </w:r>
      <w:r>
        <w:rPr>
          <w:rFonts w:hint="eastAsia"/>
          <w:color w:val="000000"/>
        </w:rPr>
        <w:fldChar w:fldCharType="end"/>
      </w:r>
    </w:p>
    <w:p w14:paraId="2A775FD2">
      <w:pPr>
        <w:pStyle w:val="27"/>
        <w:tabs>
          <w:tab w:val="right" w:leader="dot" w:pos="9015"/>
        </w:tabs>
      </w:pPr>
      <w:r>
        <w:rPr>
          <w:rFonts w:hint="eastAsia"/>
          <w:color w:val="000000"/>
        </w:rPr>
        <w:fldChar w:fldCharType="begin"/>
      </w:r>
      <w:r>
        <w:rPr>
          <w:rFonts w:hint="eastAsia"/>
        </w:rPr>
        <w:instrText xml:space="preserve"> HYPERLINK \l _Toc3314 </w:instrText>
      </w:r>
      <w:r>
        <w:rPr>
          <w:rFonts w:hint="eastAsia"/>
        </w:rPr>
        <w:fldChar w:fldCharType="separate"/>
      </w:r>
      <w:r>
        <w:rPr>
          <w:rFonts w:hint="eastAsia"/>
        </w:rPr>
        <w:t>第二章 工程概况</w:t>
      </w:r>
      <w:r>
        <w:tab/>
      </w:r>
      <w:r>
        <w:fldChar w:fldCharType="begin"/>
      </w:r>
      <w:r>
        <w:instrText xml:space="preserve"> PAGEREF _Toc3314 \h </w:instrText>
      </w:r>
      <w:r>
        <w:fldChar w:fldCharType="separate"/>
      </w:r>
      <w:r>
        <w:t>6</w:t>
      </w:r>
      <w:r>
        <w:fldChar w:fldCharType="end"/>
      </w:r>
      <w:r>
        <w:rPr>
          <w:rFonts w:hint="eastAsia"/>
          <w:color w:val="000000"/>
        </w:rPr>
        <w:fldChar w:fldCharType="end"/>
      </w:r>
    </w:p>
    <w:p w14:paraId="25B845C2">
      <w:pPr>
        <w:pStyle w:val="32"/>
        <w:tabs>
          <w:tab w:val="right" w:leader="dot" w:pos="9015"/>
        </w:tabs>
      </w:pPr>
      <w:r>
        <w:rPr>
          <w:rFonts w:hint="eastAsia"/>
          <w:color w:val="000000"/>
        </w:rPr>
        <w:fldChar w:fldCharType="begin"/>
      </w:r>
      <w:r>
        <w:rPr>
          <w:rFonts w:hint="eastAsia"/>
        </w:rPr>
        <w:instrText xml:space="preserve"> HYPERLINK \l _Toc13968 </w:instrText>
      </w:r>
      <w:r>
        <w:rPr>
          <w:rFonts w:hint="eastAsia"/>
        </w:rPr>
        <w:fldChar w:fldCharType="separate"/>
      </w:r>
      <w:r>
        <w:rPr>
          <w:rFonts w:hint="eastAsia"/>
        </w:rPr>
        <w:t>2.1 工程概况</w:t>
      </w:r>
      <w:r>
        <w:tab/>
      </w:r>
      <w:r>
        <w:fldChar w:fldCharType="begin"/>
      </w:r>
      <w:r>
        <w:instrText xml:space="preserve"> PAGEREF _Toc13968 \h </w:instrText>
      </w:r>
      <w:r>
        <w:fldChar w:fldCharType="separate"/>
      </w:r>
      <w:r>
        <w:t>6</w:t>
      </w:r>
      <w:r>
        <w:fldChar w:fldCharType="end"/>
      </w:r>
      <w:r>
        <w:rPr>
          <w:rFonts w:hint="eastAsia"/>
          <w:color w:val="000000"/>
        </w:rPr>
        <w:fldChar w:fldCharType="end"/>
      </w:r>
    </w:p>
    <w:p w14:paraId="69366427">
      <w:pPr>
        <w:pStyle w:val="32"/>
        <w:tabs>
          <w:tab w:val="right" w:leader="dot" w:pos="9015"/>
        </w:tabs>
      </w:pPr>
      <w:r>
        <w:rPr>
          <w:rFonts w:hint="eastAsia"/>
          <w:color w:val="000000"/>
        </w:rPr>
        <w:fldChar w:fldCharType="begin"/>
      </w:r>
      <w:r>
        <w:rPr>
          <w:rFonts w:hint="eastAsia"/>
        </w:rPr>
        <w:instrText xml:space="preserve"> HYPERLINK \l _Toc24097 </w:instrText>
      </w:r>
      <w:r>
        <w:rPr>
          <w:rFonts w:hint="eastAsia"/>
        </w:rPr>
        <w:fldChar w:fldCharType="separate"/>
      </w:r>
      <w:r>
        <w:rPr>
          <w:rFonts w:hint="eastAsia"/>
        </w:rPr>
        <w:t>2.2 塔机布置</w:t>
      </w:r>
      <w:r>
        <w:tab/>
      </w:r>
      <w:r>
        <w:fldChar w:fldCharType="begin"/>
      </w:r>
      <w:r>
        <w:instrText xml:space="preserve"> PAGEREF _Toc24097 \h </w:instrText>
      </w:r>
      <w:r>
        <w:fldChar w:fldCharType="separate"/>
      </w:r>
      <w:r>
        <w:t>8</w:t>
      </w:r>
      <w:r>
        <w:fldChar w:fldCharType="end"/>
      </w:r>
      <w:r>
        <w:rPr>
          <w:rFonts w:hint="eastAsia"/>
          <w:color w:val="000000"/>
        </w:rPr>
        <w:fldChar w:fldCharType="end"/>
      </w:r>
    </w:p>
    <w:p w14:paraId="024BA455">
      <w:pPr>
        <w:pStyle w:val="27"/>
        <w:tabs>
          <w:tab w:val="right" w:leader="dot" w:pos="9015"/>
        </w:tabs>
      </w:pPr>
      <w:r>
        <w:rPr>
          <w:rFonts w:hint="eastAsia"/>
          <w:color w:val="000000"/>
        </w:rPr>
        <w:fldChar w:fldCharType="begin"/>
      </w:r>
      <w:r>
        <w:rPr>
          <w:rFonts w:hint="eastAsia"/>
        </w:rPr>
        <w:instrText xml:space="preserve"> HYPERLINK \l _Toc30817 </w:instrText>
      </w:r>
      <w:r>
        <w:rPr>
          <w:rFonts w:hint="eastAsia"/>
        </w:rPr>
        <w:fldChar w:fldCharType="separate"/>
      </w:r>
      <w:r>
        <w:rPr>
          <w:rFonts w:hint="eastAsia"/>
        </w:rPr>
        <w:t>第三章 所选用塔式起重机型号与性能</w:t>
      </w:r>
      <w:r>
        <w:tab/>
      </w:r>
      <w:r>
        <w:fldChar w:fldCharType="begin"/>
      </w:r>
      <w:r>
        <w:instrText xml:space="preserve"> PAGEREF _Toc30817 \h </w:instrText>
      </w:r>
      <w:r>
        <w:fldChar w:fldCharType="separate"/>
      </w:r>
      <w:r>
        <w:t>12</w:t>
      </w:r>
      <w:r>
        <w:fldChar w:fldCharType="end"/>
      </w:r>
      <w:r>
        <w:rPr>
          <w:rFonts w:hint="eastAsia"/>
          <w:color w:val="000000"/>
        </w:rPr>
        <w:fldChar w:fldCharType="end"/>
      </w:r>
    </w:p>
    <w:p w14:paraId="50AA7C40">
      <w:pPr>
        <w:pStyle w:val="32"/>
        <w:tabs>
          <w:tab w:val="right" w:leader="dot" w:pos="9015"/>
        </w:tabs>
      </w:pPr>
      <w:r>
        <w:rPr>
          <w:rFonts w:hint="eastAsia"/>
          <w:color w:val="000000"/>
        </w:rPr>
        <w:fldChar w:fldCharType="begin"/>
      </w:r>
      <w:r>
        <w:rPr>
          <w:rFonts w:hint="eastAsia"/>
        </w:rPr>
        <w:instrText xml:space="preserve"> HYPERLINK \l _Toc15418 </w:instrText>
      </w:r>
      <w:r>
        <w:rPr>
          <w:rFonts w:hint="eastAsia"/>
        </w:rPr>
        <w:fldChar w:fldCharType="separate"/>
      </w:r>
      <w:r>
        <w:rPr>
          <w:rFonts w:hint="eastAsia" w:ascii="Times New Roman" w:hAnsi="Times New Roman"/>
          <w:szCs w:val="28"/>
        </w:rPr>
        <w:t>3.1塔机型号</w:t>
      </w:r>
      <w:r>
        <w:tab/>
      </w:r>
      <w:r>
        <w:fldChar w:fldCharType="begin"/>
      </w:r>
      <w:r>
        <w:instrText xml:space="preserve"> PAGEREF _Toc15418 \h </w:instrText>
      </w:r>
      <w:r>
        <w:fldChar w:fldCharType="separate"/>
      </w:r>
      <w:r>
        <w:t>12</w:t>
      </w:r>
      <w:r>
        <w:fldChar w:fldCharType="end"/>
      </w:r>
      <w:r>
        <w:rPr>
          <w:rFonts w:hint="eastAsia"/>
          <w:color w:val="000000"/>
        </w:rPr>
        <w:fldChar w:fldCharType="end"/>
      </w:r>
    </w:p>
    <w:p w14:paraId="794AA5A6">
      <w:pPr>
        <w:pStyle w:val="32"/>
        <w:tabs>
          <w:tab w:val="right" w:leader="dot" w:pos="9015"/>
        </w:tabs>
      </w:pPr>
      <w:r>
        <w:rPr>
          <w:rFonts w:hint="eastAsia"/>
          <w:color w:val="000000"/>
        </w:rPr>
        <w:fldChar w:fldCharType="begin"/>
      </w:r>
      <w:r>
        <w:rPr>
          <w:rFonts w:hint="eastAsia"/>
        </w:rPr>
        <w:instrText xml:space="preserve"> HYPERLINK \l _Toc10389 </w:instrText>
      </w:r>
      <w:r>
        <w:rPr>
          <w:rFonts w:hint="eastAsia"/>
        </w:rPr>
        <w:fldChar w:fldCharType="separate"/>
      </w:r>
      <w:r>
        <w:rPr>
          <w:rFonts w:hint="eastAsia" w:ascii="Times New Roman" w:hAnsi="Times New Roman"/>
          <w:szCs w:val="28"/>
        </w:rPr>
        <w:t>3.2塔机性能与参数</w:t>
      </w:r>
      <w:r>
        <w:tab/>
      </w:r>
      <w:r>
        <w:fldChar w:fldCharType="begin"/>
      </w:r>
      <w:r>
        <w:instrText xml:space="preserve"> PAGEREF _Toc10389 \h </w:instrText>
      </w:r>
      <w:r>
        <w:fldChar w:fldCharType="separate"/>
      </w:r>
      <w:r>
        <w:t>12</w:t>
      </w:r>
      <w:r>
        <w:fldChar w:fldCharType="end"/>
      </w:r>
      <w:r>
        <w:rPr>
          <w:rFonts w:hint="eastAsia"/>
          <w:color w:val="000000"/>
        </w:rPr>
        <w:fldChar w:fldCharType="end"/>
      </w:r>
    </w:p>
    <w:p w14:paraId="3D6238F5">
      <w:pPr>
        <w:pStyle w:val="32"/>
        <w:tabs>
          <w:tab w:val="right" w:leader="dot" w:pos="9015"/>
        </w:tabs>
      </w:pPr>
      <w:r>
        <w:rPr>
          <w:rFonts w:hint="eastAsia"/>
          <w:color w:val="000000"/>
        </w:rPr>
        <w:fldChar w:fldCharType="begin"/>
      </w:r>
      <w:r>
        <w:rPr>
          <w:rFonts w:hint="eastAsia"/>
        </w:rPr>
        <w:instrText xml:space="preserve"> HYPERLINK \l _Toc11454 </w:instrText>
      </w:r>
      <w:r>
        <w:rPr>
          <w:rFonts w:hint="eastAsia"/>
        </w:rPr>
        <w:fldChar w:fldCharType="separate"/>
      </w:r>
      <w:r>
        <w:rPr>
          <w:rFonts w:hint="eastAsia" w:ascii="Times New Roman" w:hAnsi="Times New Roman"/>
          <w:szCs w:val="28"/>
        </w:rPr>
        <w:t>3.3防雷接地</w:t>
      </w:r>
      <w:r>
        <w:tab/>
      </w:r>
      <w:r>
        <w:fldChar w:fldCharType="begin"/>
      </w:r>
      <w:r>
        <w:instrText xml:space="preserve"> PAGEREF _Toc11454 \h </w:instrText>
      </w:r>
      <w:r>
        <w:fldChar w:fldCharType="separate"/>
      </w:r>
      <w:r>
        <w:t>14</w:t>
      </w:r>
      <w:r>
        <w:fldChar w:fldCharType="end"/>
      </w:r>
      <w:r>
        <w:rPr>
          <w:rFonts w:hint="eastAsia"/>
          <w:color w:val="000000"/>
        </w:rPr>
        <w:fldChar w:fldCharType="end"/>
      </w:r>
    </w:p>
    <w:p w14:paraId="0A35FD81">
      <w:pPr>
        <w:pStyle w:val="32"/>
        <w:tabs>
          <w:tab w:val="right" w:leader="dot" w:pos="9015"/>
        </w:tabs>
      </w:pPr>
      <w:r>
        <w:rPr>
          <w:rFonts w:hint="eastAsia"/>
          <w:color w:val="000000"/>
        </w:rPr>
        <w:fldChar w:fldCharType="begin"/>
      </w:r>
      <w:r>
        <w:rPr>
          <w:rFonts w:hint="eastAsia"/>
        </w:rPr>
        <w:instrText xml:space="preserve"> HYPERLINK \l _Toc12744 </w:instrText>
      </w:r>
      <w:r>
        <w:rPr>
          <w:rFonts w:hint="eastAsia"/>
        </w:rPr>
        <w:fldChar w:fldCharType="separate"/>
      </w:r>
      <w:r>
        <w:rPr>
          <w:rFonts w:hint="eastAsia" w:ascii="Times New Roman" w:hAnsi="Times New Roman"/>
          <w:szCs w:val="28"/>
        </w:rPr>
        <w:t>3.4塔机基础</w:t>
      </w:r>
      <w:r>
        <w:tab/>
      </w:r>
      <w:r>
        <w:fldChar w:fldCharType="begin"/>
      </w:r>
      <w:r>
        <w:instrText xml:space="preserve"> PAGEREF _Toc12744 \h </w:instrText>
      </w:r>
      <w:r>
        <w:fldChar w:fldCharType="separate"/>
      </w:r>
      <w:r>
        <w:t>14</w:t>
      </w:r>
      <w:r>
        <w:fldChar w:fldCharType="end"/>
      </w:r>
      <w:r>
        <w:rPr>
          <w:rFonts w:hint="eastAsia"/>
          <w:color w:val="000000"/>
        </w:rPr>
        <w:fldChar w:fldCharType="end"/>
      </w:r>
    </w:p>
    <w:p w14:paraId="77C9DF8D">
      <w:pPr>
        <w:pStyle w:val="27"/>
        <w:tabs>
          <w:tab w:val="right" w:leader="dot" w:pos="9015"/>
        </w:tabs>
      </w:pPr>
      <w:r>
        <w:rPr>
          <w:rFonts w:hint="eastAsia"/>
          <w:color w:val="000000"/>
        </w:rPr>
        <w:fldChar w:fldCharType="begin"/>
      </w:r>
      <w:r>
        <w:rPr>
          <w:rFonts w:hint="eastAsia"/>
        </w:rPr>
        <w:instrText xml:space="preserve"> HYPERLINK \l _Toc26255 </w:instrText>
      </w:r>
      <w:r>
        <w:rPr>
          <w:rFonts w:hint="eastAsia"/>
        </w:rPr>
        <w:fldChar w:fldCharType="separate"/>
      </w:r>
      <w:r>
        <w:rPr>
          <w:rFonts w:hint="eastAsia"/>
        </w:rPr>
        <w:t>第四章 施工技术方案</w:t>
      </w:r>
      <w:r>
        <w:tab/>
      </w:r>
      <w:r>
        <w:fldChar w:fldCharType="begin"/>
      </w:r>
      <w:r>
        <w:instrText xml:space="preserve"> PAGEREF _Toc26255 \h </w:instrText>
      </w:r>
      <w:r>
        <w:fldChar w:fldCharType="separate"/>
      </w:r>
      <w:r>
        <w:t>16</w:t>
      </w:r>
      <w:r>
        <w:fldChar w:fldCharType="end"/>
      </w:r>
      <w:r>
        <w:rPr>
          <w:rFonts w:hint="eastAsia"/>
          <w:color w:val="000000"/>
        </w:rPr>
        <w:fldChar w:fldCharType="end"/>
      </w:r>
    </w:p>
    <w:p w14:paraId="188B5472">
      <w:pPr>
        <w:pStyle w:val="32"/>
        <w:tabs>
          <w:tab w:val="right" w:leader="dot" w:pos="9015"/>
        </w:tabs>
      </w:pPr>
      <w:r>
        <w:rPr>
          <w:rFonts w:hint="eastAsia"/>
          <w:color w:val="000000"/>
        </w:rPr>
        <w:fldChar w:fldCharType="begin"/>
      </w:r>
      <w:r>
        <w:rPr>
          <w:rFonts w:hint="eastAsia"/>
        </w:rPr>
        <w:instrText xml:space="preserve"> HYPERLINK \l _Toc21302 </w:instrText>
      </w:r>
      <w:r>
        <w:rPr>
          <w:rFonts w:hint="eastAsia"/>
        </w:rPr>
        <w:fldChar w:fldCharType="separate"/>
      </w:r>
      <w:r>
        <w:rPr>
          <w:rFonts w:hint="eastAsia"/>
        </w:rPr>
        <w:t>4.1 组织机构</w:t>
      </w:r>
      <w:r>
        <w:tab/>
      </w:r>
      <w:r>
        <w:fldChar w:fldCharType="begin"/>
      </w:r>
      <w:r>
        <w:instrText xml:space="preserve"> PAGEREF _Toc21302 \h </w:instrText>
      </w:r>
      <w:r>
        <w:fldChar w:fldCharType="separate"/>
      </w:r>
      <w:r>
        <w:t>16</w:t>
      </w:r>
      <w:r>
        <w:fldChar w:fldCharType="end"/>
      </w:r>
      <w:r>
        <w:rPr>
          <w:rFonts w:hint="eastAsia"/>
          <w:color w:val="000000"/>
        </w:rPr>
        <w:fldChar w:fldCharType="end"/>
      </w:r>
    </w:p>
    <w:p w14:paraId="07C245D8">
      <w:pPr>
        <w:pStyle w:val="32"/>
        <w:tabs>
          <w:tab w:val="right" w:leader="dot" w:pos="9015"/>
        </w:tabs>
      </w:pPr>
      <w:r>
        <w:rPr>
          <w:rFonts w:hint="eastAsia"/>
          <w:color w:val="000000"/>
        </w:rPr>
        <w:fldChar w:fldCharType="begin"/>
      </w:r>
      <w:r>
        <w:rPr>
          <w:rFonts w:hint="eastAsia"/>
        </w:rPr>
        <w:instrText xml:space="preserve"> HYPERLINK \l _Toc10295 </w:instrText>
      </w:r>
      <w:r>
        <w:rPr>
          <w:rFonts w:hint="eastAsia"/>
        </w:rPr>
        <w:fldChar w:fldCharType="separate"/>
      </w:r>
      <w:r>
        <w:rPr>
          <w:rFonts w:hint="eastAsia"/>
        </w:rPr>
        <w:t>4.2 工期计划</w:t>
      </w:r>
      <w:r>
        <w:tab/>
      </w:r>
      <w:r>
        <w:fldChar w:fldCharType="begin"/>
      </w:r>
      <w:r>
        <w:instrText xml:space="preserve"> PAGEREF _Toc10295 \h </w:instrText>
      </w:r>
      <w:r>
        <w:fldChar w:fldCharType="separate"/>
      </w:r>
      <w:r>
        <w:t>17</w:t>
      </w:r>
      <w:r>
        <w:fldChar w:fldCharType="end"/>
      </w:r>
      <w:r>
        <w:rPr>
          <w:rFonts w:hint="eastAsia"/>
          <w:color w:val="000000"/>
        </w:rPr>
        <w:fldChar w:fldCharType="end"/>
      </w:r>
    </w:p>
    <w:p w14:paraId="0E5069F6">
      <w:pPr>
        <w:pStyle w:val="32"/>
        <w:tabs>
          <w:tab w:val="right" w:leader="dot" w:pos="9015"/>
        </w:tabs>
      </w:pPr>
      <w:r>
        <w:rPr>
          <w:rFonts w:hint="eastAsia"/>
          <w:color w:val="000000"/>
        </w:rPr>
        <w:fldChar w:fldCharType="begin"/>
      </w:r>
      <w:r>
        <w:rPr>
          <w:rFonts w:hint="eastAsia"/>
        </w:rPr>
        <w:instrText xml:space="preserve"> HYPERLINK \l _Toc25732 </w:instrText>
      </w:r>
      <w:r>
        <w:rPr>
          <w:rFonts w:hint="eastAsia"/>
        </w:rPr>
        <w:fldChar w:fldCharType="separate"/>
      </w:r>
      <w:r>
        <w:rPr>
          <w:rFonts w:hint="eastAsia"/>
        </w:rPr>
        <w:t>4.3资源配置</w:t>
      </w:r>
      <w:r>
        <w:tab/>
      </w:r>
      <w:r>
        <w:fldChar w:fldCharType="begin"/>
      </w:r>
      <w:r>
        <w:instrText xml:space="preserve"> PAGEREF _Toc25732 \h </w:instrText>
      </w:r>
      <w:r>
        <w:fldChar w:fldCharType="separate"/>
      </w:r>
      <w:r>
        <w:t>17</w:t>
      </w:r>
      <w:r>
        <w:fldChar w:fldCharType="end"/>
      </w:r>
      <w:r>
        <w:rPr>
          <w:rFonts w:hint="eastAsia"/>
          <w:color w:val="000000"/>
        </w:rPr>
        <w:fldChar w:fldCharType="end"/>
      </w:r>
    </w:p>
    <w:p w14:paraId="14816560">
      <w:pPr>
        <w:pStyle w:val="32"/>
        <w:tabs>
          <w:tab w:val="right" w:leader="dot" w:pos="9015"/>
        </w:tabs>
      </w:pPr>
      <w:r>
        <w:rPr>
          <w:rFonts w:hint="eastAsia"/>
          <w:color w:val="000000"/>
        </w:rPr>
        <w:fldChar w:fldCharType="begin"/>
      </w:r>
      <w:r>
        <w:rPr>
          <w:rFonts w:hint="eastAsia"/>
        </w:rPr>
        <w:instrText xml:space="preserve"> HYPERLINK \l _Toc6429 </w:instrText>
      </w:r>
      <w:r>
        <w:rPr>
          <w:rFonts w:hint="eastAsia"/>
        </w:rPr>
        <w:fldChar w:fldCharType="separate"/>
      </w:r>
      <w:r>
        <w:rPr>
          <w:rFonts w:hint="eastAsia"/>
        </w:rPr>
        <w:t xml:space="preserve">4.4 </w:t>
      </w:r>
      <w:r>
        <w:t>安装</w:t>
      </w:r>
      <w:r>
        <w:rPr>
          <w:rFonts w:hint="eastAsia"/>
        </w:rPr>
        <w:t>起重机械</w:t>
      </w:r>
      <w:r>
        <w:t>设备的型号、性能及</w:t>
      </w:r>
      <w:r>
        <w:rPr>
          <w:rFonts w:hint="eastAsia"/>
        </w:rPr>
        <w:t>起吊能力验算</w:t>
      </w:r>
      <w:r>
        <w:tab/>
      </w:r>
      <w:r>
        <w:fldChar w:fldCharType="begin"/>
      </w:r>
      <w:r>
        <w:instrText xml:space="preserve"> PAGEREF _Toc6429 \h </w:instrText>
      </w:r>
      <w:r>
        <w:fldChar w:fldCharType="separate"/>
      </w:r>
      <w:r>
        <w:t>19</w:t>
      </w:r>
      <w:r>
        <w:fldChar w:fldCharType="end"/>
      </w:r>
      <w:r>
        <w:rPr>
          <w:rFonts w:hint="eastAsia"/>
          <w:color w:val="000000"/>
        </w:rPr>
        <w:fldChar w:fldCharType="end"/>
      </w:r>
    </w:p>
    <w:p w14:paraId="14E82342">
      <w:pPr>
        <w:pStyle w:val="27"/>
        <w:tabs>
          <w:tab w:val="right" w:leader="dot" w:pos="9015"/>
        </w:tabs>
      </w:pPr>
      <w:r>
        <w:rPr>
          <w:rFonts w:hint="eastAsia"/>
          <w:color w:val="000000"/>
        </w:rPr>
        <w:fldChar w:fldCharType="begin"/>
      </w:r>
      <w:r>
        <w:rPr>
          <w:rFonts w:hint="eastAsia"/>
        </w:rPr>
        <w:instrText xml:space="preserve"> HYPERLINK \l _Toc11397 </w:instrText>
      </w:r>
      <w:r>
        <w:rPr>
          <w:rFonts w:hint="eastAsia"/>
        </w:rPr>
        <w:fldChar w:fldCharType="separate"/>
      </w:r>
      <w:r>
        <w:rPr>
          <w:rFonts w:hint="eastAsia"/>
        </w:rPr>
        <w:t>第五章 XGT6015A-8S安装施工方案</w:t>
      </w:r>
      <w:r>
        <w:tab/>
      </w:r>
      <w:r>
        <w:fldChar w:fldCharType="begin"/>
      </w:r>
      <w:r>
        <w:instrText xml:space="preserve"> PAGEREF _Toc11397 \h </w:instrText>
      </w:r>
      <w:r>
        <w:fldChar w:fldCharType="separate"/>
      </w:r>
      <w:r>
        <w:t>27</w:t>
      </w:r>
      <w:r>
        <w:fldChar w:fldCharType="end"/>
      </w:r>
      <w:r>
        <w:rPr>
          <w:rFonts w:hint="eastAsia"/>
          <w:color w:val="000000"/>
        </w:rPr>
        <w:fldChar w:fldCharType="end"/>
      </w:r>
    </w:p>
    <w:p w14:paraId="0413515D">
      <w:pPr>
        <w:pStyle w:val="32"/>
        <w:tabs>
          <w:tab w:val="right" w:leader="dot" w:pos="9015"/>
        </w:tabs>
      </w:pPr>
      <w:r>
        <w:rPr>
          <w:rFonts w:hint="eastAsia"/>
          <w:color w:val="000000"/>
        </w:rPr>
        <w:fldChar w:fldCharType="begin"/>
      </w:r>
      <w:r>
        <w:rPr>
          <w:rFonts w:hint="eastAsia"/>
        </w:rPr>
        <w:instrText xml:space="preserve"> HYPERLINK \l _Toc21929 </w:instrText>
      </w:r>
      <w:r>
        <w:rPr>
          <w:rFonts w:hint="eastAsia"/>
        </w:rPr>
        <w:fldChar w:fldCharType="separate"/>
      </w:r>
      <w:r>
        <w:rPr>
          <w:rFonts w:hint="eastAsia"/>
        </w:rPr>
        <w:t>5.1塔机安装流程</w:t>
      </w:r>
      <w:r>
        <w:tab/>
      </w:r>
      <w:r>
        <w:fldChar w:fldCharType="begin"/>
      </w:r>
      <w:r>
        <w:instrText xml:space="preserve"> PAGEREF _Toc21929 \h </w:instrText>
      </w:r>
      <w:r>
        <w:fldChar w:fldCharType="separate"/>
      </w:r>
      <w:r>
        <w:t>27</w:t>
      </w:r>
      <w:r>
        <w:fldChar w:fldCharType="end"/>
      </w:r>
      <w:r>
        <w:rPr>
          <w:rFonts w:hint="eastAsia"/>
          <w:color w:val="000000"/>
        </w:rPr>
        <w:fldChar w:fldCharType="end"/>
      </w:r>
    </w:p>
    <w:p w14:paraId="0C3E9A48">
      <w:pPr>
        <w:pStyle w:val="32"/>
        <w:tabs>
          <w:tab w:val="right" w:leader="dot" w:pos="9015"/>
        </w:tabs>
      </w:pPr>
      <w:r>
        <w:rPr>
          <w:rFonts w:hint="eastAsia"/>
          <w:color w:val="000000"/>
        </w:rPr>
        <w:fldChar w:fldCharType="begin"/>
      </w:r>
      <w:r>
        <w:rPr>
          <w:rFonts w:hint="eastAsia"/>
        </w:rPr>
        <w:instrText xml:space="preserve"> HYPERLINK \l _Toc2901 </w:instrText>
      </w:r>
      <w:r>
        <w:rPr>
          <w:rFonts w:hint="eastAsia"/>
        </w:rPr>
        <w:fldChar w:fldCharType="separate"/>
      </w:r>
      <w:r>
        <w:rPr>
          <w:rFonts w:hint="eastAsia"/>
        </w:rPr>
        <w:t>5.2安装前准备工作</w:t>
      </w:r>
      <w:r>
        <w:tab/>
      </w:r>
      <w:r>
        <w:fldChar w:fldCharType="begin"/>
      </w:r>
      <w:r>
        <w:instrText xml:space="preserve"> PAGEREF _Toc2901 \h </w:instrText>
      </w:r>
      <w:r>
        <w:fldChar w:fldCharType="separate"/>
      </w:r>
      <w:r>
        <w:t>27</w:t>
      </w:r>
      <w:r>
        <w:fldChar w:fldCharType="end"/>
      </w:r>
      <w:r>
        <w:rPr>
          <w:rFonts w:hint="eastAsia"/>
          <w:color w:val="000000"/>
        </w:rPr>
        <w:fldChar w:fldCharType="end"/>
      </w:r>
    </w:p>
    <w:p w14:paraId="5838C8CB">
      <w:pPr>
        <w:pStyle w:val="32"/>
        <w:tabs>
          <w:tab w:val="right" w:leader="dot" w:pos="9015"/>
        </w:tabs>
      </w:pPr>
      <w:r>
        <w:rPr>
          <w:rFonts w:hint="eastAsia"/>
          <w:color w:val="000000"/>
        </w:rPr>
        <w:fldChar w:fldCharType="begin"/>
      </w:r>
      <w:r>
        <w:rPr>
          <w:rFonts w:hint="eastAsia"/>
        </w:rPr>
        <w:instrText xml:space="preserve"> HYPERLINK \l _Toc1399 </w:instrText>
      </w:r>
      <w:r>
        <w:rPr>
          <w:rFonts w:hint="eastAsia"/>
        </w:rPr>
        <w:fldChar w:fldCharType="separate"/>
      </w:r>
      <w:r>
        <w:rPr>
          <w:rFonts w:hint="eastAsia"/>
        </w:rPr>
        <w:t>5.3 XGT6015A-8S塔机主机安装过程</w:t>
      </w:r>
      <w:r>
        <w:tab/>
      </w:r>
      <w:r>
        <w:fldChar w:fldCharType="begin"/>
      </w:r>
      <w:r>
        <w:instrText xml:space="preserve"> PAGEREF _Toc1399 \h </w:instrText>
      </w:r>
      <w:r>
        <w:fldChar w:fldCharType="separate"/>
      </w:r>
      <w:r>
        <w:t>28</w:t>
      </w:r>
      <w:r>
        <w:fldChar w:fldCharType="end"/>
      </w:r>
      <w:r>
        <w:rPr>
          <w:rFonts w:hint="eastAsia"/>
          <w:color w:val="000000"/>
        </w:rPr>
        <w:fldChar w:fldCharType="end"/>
      </w:r>
    </w:p>
    <w:p w14:paraId="521CCBD0">
      <w:pPr>
        <w:pStyle w:val="32"/>
        <w:tabs>
          <w:tab w:val="right" w:leader="dot" w:pos="9015"/>
        </w:tabs>
      </w:pPr>
      <w:r>
        <w:rPr>
          <w:rFonts w:hint="eastAsia"/>
          <w:color w:val="000000"/>
        </w:rPr>
        <w:fldChar w:fldCharType="begin"/>
      </w:r>
      <w:r>
        <w:rPr>
          <w:rFonts w:hint="eastAsia"/>
        </w:rPr>
        <w:instrText xml:space="preserve"> HYPERLINK \l _Toc31313 </w:instrText>
      </w:r>
      <w:r>
        <w:rPr>
          <w:rFonts w:hint="eastAsia"/>
        </w:rPr>
        <w:fldChar w:fldCharType="separate"/>
      </w:r>
      <w:r>
        <w:rPr>
          <w:rFonts w:hint="eastAsia"/>
        </w:rPr>
        <w:t>5.4 顶升加节</w:t>
      </w:r>
      <w:r>
        <w:tab/>
      </w:r>
      <w:r>
        <w:fldChar w:fldCharType="begin"/>
      </w:r>
      <w:r>
        <w:instrText xml:space="preserve"> PAGEREF _Toc31313 \h </w:instrText>
      </w:r>
      <w:r>
        <w:fldChar w:fldCharType="separate"/>
      </w:r>
      <w:r>
        <w:t>45</w:t>
      </w:r>
      <w:r>
        <w:fldChar w:fldCharType="end"/>
      </w:r>
      <w:r>
        <w:rPr>
          <w:rFonts w:hint="eastAsia"/>
          <w:color w:val="000000"/>
        </w:rPr>
        <w:fldChar w:fldCharType="end"/>
      </w:r>
    </w:p>
    <w:p w14:paraId="6C923B52">
      <w:pPr>
        <w:pStyle w:val="27"/>
        <w:tabs>
          <w:tab w:val="right" w:leader="dot" w:pos="9015"/>
        </w:tabs>
      </w:pPr>
      <w:r>
        <w:rPr>
          <w:rFonts w:hint="eastAsia"/>
          <w:color w:val="000000"/>
        </w:rPr>
        <w:fldChar w:fldCharType="begin"/>
      </w:r>
      <w:r>
        <w:rPr>
          <w:rFonts w:hint="eastAsia"/>
        </w:rPr>
        <w:instrText xml:space="preserve"> HYPERLINK \l _Toc5108 </w:instrText>
      </w:r>
      <w:r>
        <w:rPr>
          <w:rFonts w:hint="eastAsia"/>
        </w:rPr>
        <w:fldChar w:fldCharType="separate"/>
      </w:r>
      <w:r>
        <w:rPr>
          <w:rFonts w:hint="eastAsia"/>
        </w:rPr>
        <w:t>第六章 XGT6015A-8S塔机拆除施工方案</w:t>
      </w:r>
      <w:r>
        <w:tab/>
      </w:r>
      <w:r>
        <w:fldChar w:fldCharType="begin"/>
      </w:r>
      <w:r>
        <w:instrText xml:space="preserve"> PAGEREF _Toc5108 \h </w:instrText>
      </w:r>
      <w:r>
        <w:fldChar w:fldCharType="separate"/>
      </w:r>
      <w:r>
        <w:t>53</w:t>
      </w:r>
      <w:r>
        <w:fldChar w:fldCharType="end"/>
      </w:r>
      <w:r>
        <w:rPr>
          <w:rFonts w:hint="eastAsia"/>
          <w:color w:val="000000"/>
        </w:rPr>
        <w:fldChar w:fldCharType="end"/>
      </w:r>
    </w:p>
    <w:p w14:paraId="0ABAB900">
      <w:pPr>
        <w:pStyle w:val="32"/>
        <w:tabs>
          <w:tab w:val="right" w:leader="dot" w:pos="9015"/>
        </w:tabs>
      </w:pPr>
      <w:r>
        <w:rPr>
          <w:rFonts w:hint="eastAsia"/>
          <w:color w:val="000000"/>
        </w:rPr>
        <w:fldChar w:fldCharType="begin"/>
      </w:r>
      <w:r>
        <w:rPr>
          <w:rFonts w:hint="eastAsia"/>
        </w:rPr>
        <w:instrText xml:space="preserve"> HYPERLINK \l _Toc14504 </w:instrText>
      </w:r>
      <w:r>
        <w:rPr>
          <w:rFonts w:hint="eastAsia"/>
        </w:rPr>
        <w:fldChar w:fldCharType="separate"/>
      </w:r>
      <w:r>
        <w:rPr>
          <w:rFonts w:hint="eastAsia"/>
        </w:rPr>
        <w:t>6.1拆塔前的准备工作</w:t>
      </w:r>
      <w:r>
        <w:tab/>
      </w:r>
      <w:r>
        <w:fldChar w:fldCharType="begin"/>
      </w:r>
      <w:r>
        <w:instrText xml:space="preserve"> PAGEREF _Toc14504 \h </w:instrText>
      </w:r>
      <w:r>
        <w:fldChar w:fldCharType="separate"/>
      </w:r>
      <w:r>
        <w:t>53</w:t>
      </w:r>
      <w:r>
        <w:fldChar w:fldCharType="end"/>
      </w:r>
      <w:r>
        <w:rPr>
          <w:rFonts w:hint="eastAsia"/>
          <w:color w:val="000000"/>
        </w:rPr>
        <w:fldChar w:fldCharType="end"/>
      </w:r>
    </w:p>
    <w:p w14:paraId="42E955B3">
      <w:pPr>
        <w:pStyle w:val="32"/>
        <w:tabs>
          <w:tab w:val="right" w:leader="dot" w:pos="9015"/>
        </w:tabs>
      </w:pPr>
      <w:r>
        <w:rPr>
          <w:rFonts w:hint="eastAsia"/>
          <w:color w:val="000000"/>
        </w:rPr>
        <w:fldChar w:fldCharType="begin"/>
      </w:r>
      <w:r>
        <w:rPr>
          <w:rFonts w:hint="eastAsia"/>
        </w:rPr>
        <w:instrText xml:space="preserve"> HYPERLINK \l _Toc10019 </w:instrText>
      </w:r>
      <w:r>
        <w:rPr>
          <w:rFonts w:hint="eastAsia"/>
        </w:rPr>
        <w:fldChar w:fldCharType="separate"/>
      </w:r>
      <w:r>
        <w:rPr>
          <w:rFonts w:hint="eastAsia"/>
        </w:rPr>
        <w:t>6.2拆塔注意事项</w:t>
      </w:r>
      <w:r>
        <w:tab/>
      </w:r>
      <w:r>
        <w:fldChar w:fldCharType="begin"/>
      </w:r>
      <w:r>
        <w:instrText xml:space="preserve"> PAGEREF _Toc10019 \h </w:instrText>
      </w:r>
      <w:r>
        <w:fldChar w:fldCharType="separate"/>
      </w:r>
      <w:r>
        <w:t>53</w:t>
      </w:r>
      <w:r>
        <w:fldChar w:fldCharType="end"/>
      </w:r>
      <w:r>
        <w:rPr>
          <w:rFonts w:hint="eastAsia"/>
          <w:color w:val="000000"/>
        </w:rPr>
        <w:fldChar w:fldCharType="end"/>
      </w:r>
    </w:p>
    <w:p w14:paraId="0E095174">
      <w:pPr>
        <w:pStyle w:val="32"/>
        <w:tabs>
          <w:tab w:val="right" w:leader="dot" w:pos="9015"/>
        </w:tabs>
      </w:pPr>
      <w:r>
        <w:rPr>
          <w:rFonts w:hint="eastAsia"/>
          <w:color w:val="000000"/>
        </w:rPr>
        <w:fldChar w:fldCharType="begin"/>
      </w:r>
      <w:r>
        <w:rPr>
          <w:rFonts w:hint="eastAsia"/>
        </w:rPr>
        <w:instrText xml:space="preserve"> HYPERLINK \l _Toc29084 </w:instrText>
      </w:r>
      <w:r>
        <w:rPr>
          <w:rFonts w:hint="eastAsia"/>
        </w:rPr>
        <w:fldChar w:fldCharType="separate"/>
      </w:r>
      <w:r>
        <w:rPr>
          <w:rFonts w:hint="eastAsia"/>
        </w:rPr>
        <w:t>6.3拆除总工序</w:t>
      </w:r>
      <w:r>
        <w:tab/>
      </w:r>
      <w:r>
        <w:fldChar w:fldCharType="begin"/>
      </w:r>
      <w:r>
        <w:instrText xml:space="preserve"> PAGEREF _Toc29084 \h </w:instrText>
      </w:r>
      <w:r>
        <w:fldChar w:fldCharType="separate"/>
      </w:r>
      <w:r>
        <w:t>54</w:t>
      </w:r>
      <w:r>
        <w:fldChar w:fldCharType="end"/>
      </w:r>
      <w:r>
        <w:rPr>
          <w:rFonts w:hint="eastAsia"/>
          <w:color w:val="000000"/>
        </w:rPr>
        <w:fldChar w:fldCharType="end"/>
      </w:r>
    </w:p>
    <w:p w14:paraId="7E35FFF5">
      <w:pPr>
        <w:pStyle w:val="32"/>
        <w:tabs>
          <w:tab w:val="right" w:leader="dot" w:pos="9015"/>
        </w:tabs>
      </w:pPr>
      <w:r>
        <w:rPr>
          <w:rFonts w:hint="eastAsia"/>
          <w:color w:val="000000"/>
        </w:rPr>
        <w:fldChar w:fldCharType="begin"/>
      </w:r>
      <w:r>
        <w:rPr>
          <w:rFonts w:hint="eastAsia"/>
        </w:rPr>
        <w:instrText xml:space="preserve"> HYPERLINK \l _Toc3425 </w:instrText>
      </w:r>
      <w:r>
        <w:rPr>
          <w:rFonts w:hint="eastAsia"/>
        </w:rPr>
        <w:fldChar w:fldCharType="separate"/>
      </w:r>
      <w:r>
        <w:rPr>
          <w:rFonts w:hint="eastAsia"/>
        </w:rPr>
        <w:t>6.4 拆塔</w:t>
      </w:r>
      <w:r>
        <w:tab/>
      </w:r>
      <w:r>
        <w:fldChar w:fldCharType="begin"/>
      </w:r>
      <w:r>
        <w:instrText xml:space="preserve"> PAGEREF _Toc3425 \h </w:instrText>
      </w:r>
      <w:r>
        <w:fldChar w:fldCharType="separate"/>
      </w:r>
      <w:r>
        <w:t>54</w:t>
      </w:r>
      <w:r>
        <w:fldChar w:fldCharType="end"/>
      </w:r>
      <w:r>
        <w:rPr>
          <w:rFonts w:hint="eastAsia"/>
          <w:color w:val="000000"/>
        </w:rPr>
        <w:fldChar w:fldCharType="end"/>
      </w:r>
    </w:p>
    <w:p w14:paraId="36097FC6">
      <w:pPr>
        <w:pStyle w:val="27"/>
        <w:tabs>
          <w:tab w:val="right" w:leader="dot" w:pos="9015"/>
        </w:tabs>
      </w:pPr>
      <w:r>
        <w:rPr>
          <w:rFonts w:hint="eastAsia"/>
          <w:color w:val="000000"/>
        </w:rPr>
        <w:fldChar w:fldCharType="begin"/>
      </w:r>
      <w:r>
        <w:rPr>
          <w:rFonts w:hint="eastAsia"/>
        </w:rPr>
        <w:instrText xml:space="preserve"> HYPERLINK \l _Toc20912 </w:instrText>
      </w:r>
      <w:r>
        <w:rPr>
          <w:rFonts w:hint="eastAsia"/>
        </w:rPr>
        <w:fldChar w:fldCharType="separate"/>
      </w:r>
      <w:r>
        <w:rPr>
          <w:rFonts w:hint="eastAsia"/>
        </w:rPr>
        <w:t>第七章 危险源辨识与分析</w:t>
      </w:r>
      <w:r>
        <w:tab/>
      </w:r>
      <w:r>
        <w:fldChar w:fldCharType="begin"/>
      </w:r>
      <w:r>
        <w:instrText xml:space="preserve"> PAGEREF _Toc20912 \h </w:instrText>
      </w:r>
      <w:r>
        <w:fldChar w:fldCharType="separate"/>
      </w:r>
      <w:r>
        <w:t>57</w:t>
      </w:r>
      <w:r>
        <w:fldChar w:fldCharType="end"/>
      </w:r>
      <w:r>
        <w:rPr>
          <w:rFonts w:hint="eastAsia"/>
          <w:color w:val="000000"/>
        </w:rPr>
        <w:fldChar w:fldCharType="end"/>
      </w:r>
    </w:p>
    <w:p w14:paraId="393F5753">
      <w:pPr>
        <w:pStyle w:val="32"/>
        <w:tabs>
          <w:tab w:val="right" w:leader="dot" w:pos="9015"/>
        </w:tabs>
      </w:pPr>
      <w:r>
        <w:rPr>
          <w:rFonts w:hint="eastAsia"/>
          <w:color w:val="000000"/>
        </w:rPr>
        <w:fldChar w:fldCharType="begin"/>
      </w:r>
      <w:r>
        <w:rPr>
          <w:rFonts w:hint="eastAsia"/>
        </w:rPr>
        <w:instrText xml:space="preserve"> HYPERLINK \l _Toc25177 </w:instrText>
      </w:r>
      <w:r>
        <w:rPr>
          <w:rFonts w:hint="eastAsia"/>
        </w:rPr>
        <w:fldChar w:fldCharType="separate"/>
      </w:r>
      <w:r>
        <w:rPr>
          <w:rFonts w:hint="eastAsia"/>
        </w:rPr>
        <w:t>7.</w:t>
      </w:r>
      <w:r>
        <w:t>1</w:t>
      </w:r>
      <w:r>
        <w:rPr>
          <w:rFonts w:hint="eastAsia"/>
        </w:rPr>
        <w:t>危险因素辨识</w:t>
      </w:r>
      <w:r>
        <w:tab/>
      </w:r>
      <w:r>
        <w:fldChar w:fldCharType="begin"/>
      </w:r>
      <w:r>
        <w:instrText xml:space="preserve"> PAGEREF _Toc25177 \h </w:instrText>
      </w:r>
      <w:r>
        <w:fldChar w:fldCharType="separate"/>
      </w:r>
      <w:r>
        <w:t>57</w:t>
      </w:r>
      <w:r>
        <w:fldChar w:fldCharType="end"/>
      </w:r>
      <w:r>
        <w:rPr>
          <w:rFonts w:hint="eastAsia"/>
          <w:color w:val="000000"/>
        </w:rPr>
        <w:fldChar w:fldCharType="end"/>
      </w:r>
    </w:p>
    <w:p w14:paraId="51F9C496">
      <w:pPr>
        <w:pStyle w:val="32"/>
        <w:tabs>
          <w:tab w:val="right" w:leader="dot" w:pos="9015"/>
        </w:tabs>
      </w:pPr>
      <w:r>
        <w:rPr>
          <w:rFonts w:hint="eastAsia"/>
          <w:color w:val="000000"/>
        </w:rPr>
        <w:fldChar w:fldCharType="begin"/>
      </w:r>
      <w:r>
        <w:rPr>
          <w:rFonts w:hint="eastAsia"/>
        </w:rPr>
        <w:instrText xml:space="preserve"> HYPERLINK \l _Toc27215 </w:instrText>
      </w:r>
      <w:r>
        <w:rPr>
          <w:rFonts w:hint="eastAsia"/>
        </w:rPr>
        <w:fldChar w:fldCharType="separate"/>
      </w:r>
      <w:r>
        <w:rPr>
          <w:rFonts w:hint="eastAsia"/>
        </w:rPr>
        <w:t>7.</w:t>
      </w:r>
      <w:r>
        <w:t>2</w:t>
      </w:r>
      <w:r>
        <w:rPr>
          <w:rFonts w:hint="eastAsia"/>
        </w:rPr>
        <w:t>危险因素分析</w:t>
      </w:r>
      <w:r>
        <w:tab/>
      </w:r>
      <w:r>
        <w:fldChar w:fldCharType="begin"/>
      </w:r>
      <w:r>
        <w:instrText xml:space="preserve"> PAGEREF _Toc27215 \h </w:instrText>
      </w:r>
      <w:r>
        <w:fldChar w:fldCharType="separate"/>
      </w:r>
      <w:r>
        <w:t>59</w:t>
      </w:r>
      <w:r>
        <w:fldChar w:fldCharType="end"/>
      </w:r>
      <w:r>
        <w:rPr>
          <w:rFonts w:hint="eastAsia"/>
          <w:color w:val="000000"/>
        </w:rPr>
        <w:fldChar w:fldCharType="end"/>
      </w:r>
    </w:p>
    <w:p w14:paraId="64D614BC">
      <w:pPr>
        <w:pStyle w:val="32"/>
        <w:tabs>
          <w:tab w:val="right" w:leader="dot" w:pos="9015"/>
        </w:tabs>
      </w:pPr>
      <w:r>
        <w:rPr>
          <w:rFonts w:hint="eastAsia"/>
          <w:color w:val="000000"/>
        </w:rPr>
        <w:fldChar w:fldCharType="begin"/>
      </w:r>
      <w:r>
        <w:rPr>
          <w:rFonts w:hint="eastAsia"/>
        </w:rPr>
        <w:instrText xml:space="preserve"> HYPERLINK \l _Toc27785 </w:instrText>
      </w:r>
      <w:r>
        <w:rPr>
          <w:rFonts w:hint="eastAsia"/>
        </w:rPr>
        <w:fldChar w:fldCharType="separate"/>
      </w:r>
      <w:r>
        <w:rPr>
          <w:rFonts w:hint="eastAsia"/>
        </w:rPr>
        <w:t>7.</w:t>
      </w:r>
      <w:r>
        <w:t>3</w:t>
      </w:r>
      <w:r>
        <w:rPr>
          <w:rFonts w:hint="eastAsia"/>
        </w:rPr>
        <w:t>风险因素评估</w:t>
      </w:r>
      <w:r>
        <w:tab/>
      </w:r>
      <w:r>
        <w:fldChar w:fldCharType="begin"/>
      </w:r>
      <w:r>
        <w:instrText xml:space="preserve"> PAGEREF _Toc27785 \h </w:instrText>
      </w:r>
      <w:r>
        <w:fldChar w:fldCharType="separate"/>
      </w:r>
      <w:r>
        <w:t>59</w:t>
      </w:r>
      <w:r>
        <w:fldChar w:fldCharType="end"/>
      </w:r>
      <w:r>
        <w:rPr>
          <w:rFonts w:hint="eastAsia"/>
          <w:color w:val="000000"/>
        </w:rPr>
        <w:fldChar w:fldCharType="end"/>
      </w:r>
    </w:p>
    <w:p w14:paraId="598D929C">
      <w:pPr>
        <w:pStyle w:val="27"/>
        <w:tabs>
          <w:tab w:val="right" w:leader="dot" w:pos="9015"/>
        </w:tabs>
      </w:pPr>
      <w:r>
        <w:rPr>
          <w:rFonts w:hint="eastAsia"/>
          <w:color w:val="000000"/>
        </w:rPr>
        <w:fldChar w:fldCharType="begin"/>
      </w:r>
      <w:r>
        <w:rPr>
          <w:rFonts w:hint="eastAsia"/>
        </w:rPr>
        <w:instrText xml:space="preserve"> HYPERLINK \l _Toc32696 </w:instrText>
      </w:r>
      <w:r>
        <w:rPr>
          <w:rFonts w:hint="eastAsia"/>
        </w:rPr>
        <w:fldChar w:fldCharType="separate"/>
      </w:r>
      <w:r>
        <w:rPr>
          <w:rFonts w:hint="eastAsia"/>
        </w:rPr>
        <w:t>第八章 施工安全技术保障措施</w:t>
      </w:r>
      <w:r>
        <w:tab/>
      </w:r>
      <w:r>
        <w:fldChar w:fldCharType="begin"/>
      </w:r>
      <w:r>
        <w:instrText xml:space="preserve"> PAGEREF _Toc32696 \h </w:instrText>
      </w:r>
      <w:r>
        <w:fldChar w:fldCharType="separate"/>
      </w:r>
      <w:r>
        <w:t>62</w:t>
      </w:r>
      <w:r>
        <w:fldChar w:fldCharType="end"/>
      </w:r>
      <w:r>
        <w:rPr>
          <w:rFonts w:hint="eastAsia"/>
          <w:color w:val="000000"/>
        </w:rPr>
        <w:fldChar w:fldCharType="end"/>
      </w:r>
    </w:p>
    <w:p w14:paraId="73B2B0AF">
      <w:pPr>
        <w:pStyle w:val="32"/>
        <w:tabs>
          <w:tab w:val="right" w:leader="dot" w:pos="9015"/>
        </w:tabs>
      </w:pPr>
      <w:r>
        <w:rPr>
          <w:rFonts w:hint="eastAsia"/>
          <w:color w:val="000000"/>
        </w:rPr>
        <w:fldChar w:fldCharType="begin"/>
      </w:r>
      <w:r>
        <w:rPr>
          <w:rFonts w:hint="eastAsia"/>
        </w:rPr>
        <w:instrText xml:space="preserve"> HYPERLINK \l _Toc8 </w:instrText>
      </w:r>
      <w:r>
        <w:rPr>
          <w:rFonts w:hint="eastAsia"/>
        </w:rPr>
        <w:fldChar w:fldCharType="separate"/>
      </w:r>
      <w:r>
        <w:rPr>
          <w:rFonts w:hint="eastAsia"/>
        </w:rPr>
        <w:t>8.1健康</w:t>
      </w:r>
      <w:r>
        <w:tab/>
      </w:r>
      <w:r>
        <w:fldChar w:fldCharType="begin"/>
      </w:r>
      <w:r>
        <w:instrText xml:space="preserve"> PAGEREF _Toc8 \h </w:instrText>
      </w:r>
      <w:r>
        <w:fldChar w:fldCharType="separate"/>
      </w:r>
      <w:r>
        <w:t>62</w:t>
      </w:r>
      <w:r>
        <w:fldChar w:fldCharType="end"/>
      </w:r>
      <w:r>
        <w:rPr>
          <w:rFonts w:hint="eastAsia"/>
          <w:color w:val="000000"/>
        </w:rPr>
        <w:fldChar w:fldCharType="end"/>
      </w:r>
    </w:p>
    <w:p w14:paraId="67CC7C68">
      <w:pPr>
        <w:pStyle w:val="32"/>
        <w:tabs>
          <w:tab w:val="right" w:leader="dot" w:pos="9015"/>
        </w:tabs>
      </w:pPr>
      <w:r>
        <w:rPr>
          <w:rFonts w:hint="eastAsia"/>
          <w:color w:val="000000"/>
        </w:rPr>
        <w:fldChar w:fldCharType="begin"/>
      </w:r>
      <w:r>
        <w:rPr>
          <w:rFonts w:hint="eastAsia"/>
        </w:rPr>
        <w:instrText xml:space="preserve"> HYPERLINK \l _Toc31533 </w:instrText>
      </w:r>
      <w:r>
        <w:rPr>
          <w:rFonts w:hint="eastAsia"/>
        </w:rPr>
        <w:fldChar w:fldCharType="separate"/>
      </w:r>
      <w:r>
        <w:rPr>
          <w:rFonts w:hint="eastAsia"/>
        </w:rPr>
        <w:t>8.2环境</w:t>
      </w:r>
      <w:r>
        <w:tab/>
      </w:r>
      <w:r>
        <w:fldChar w:fldCharType="begin"/>
      </w:r>
      <w:r>
        <w:instrText xml:space="preserve"> PAGEREF _Toc31533 \h </w:instrText>
      </w:r>
      <w:r>
        <w:fldChar w:fldCharType="separate"/>
      </w:r>
      <w:r>
        <w:t>62</w:t>
      </w:r>
      <w:r>
        <w:fldChar w:fldCharType="end"/>
      </w:r>
      <w:r>
        <w:rPr>
          <w:rFonts w:hint="eastAsia"/>
          <w:color w:val="000000"/>
        </w:rPr>
        <w:fldChar w:fldCharType="end"/>
      </w:r>
    </w:p>
    <w:p w14:paraId="1E117BD2">
      <w:pPr>
        <w:pStyle w:val="32"/>
        <w:tabs>
          <w:tab w:val="right" w:leader="dot" w:pos="9015"/>
        </w:tabs>
      </w:pPr>
      <w:r>
        <w:rPr>
          <w:rFonts w:hint="eastAsia"/>
          <w:color w:val="000000"/>
        </w:rPr>
        <w:fldChar w:fldCharType="begin"/>
      </w:r>
      <w:r>
        <w:rPr>
          <w:rFonts w:hint="eastAsia"/>
        </w:rPr>
        <w:instrText xml:space="preserve"> HYPERLINK \l _Toc22642 </w:instrText>
      </w:r>
      <w:r>
        <w:rPr>
          <w:rFonts w:hint="eastAsia"/>
        </w:rPr>
        <w:fldChar w:fldCharType="separate"/>
      </w:r>
      <w:r>
        <w:rPr>
          <w:rFonts w:hint="eastAsia"/>
        </w:rPr>
        <w:t>8.3 安全</w:t>
      </w:r>
      <w:r>
        <w:tab/>
      </w:r>
      <w:r>
        <w:fldChar w:fldCharType="begin"/>
      </w:r>
      <w:r>
        <w:instrText xml:space="preserve"> PAGEREF _Toc22642 \h </w:instrText>
      </w:r>
      <w:r>
        <w:fldChar w:fldCharType="separate"/>
      </w:r>
      <w:r>
        <w:t>63</w:t>
      </w:r>
      <w:r>
        <w:fldChar w:fldCharType="end"/>
      </w:r>
      <w:r>
        <w:rPr>
          <w:rFonts w:hint="eastAsia"/>
          <w:color w:val="000000"/>
        </w:rPr>
        <w:fldChar w:fldCharType="end"/>
      </w:r>
    </w:p>
    <w:p w14:paraId="4877DA7E">
      <w:pPr>
        <w:pStyle w:val="32"/>
        <w:tabs>
          <w:tab w:val="right" w:leader="dot" w:pos="9015"/>
        </w:tabs>
      </w:pPr>
      <w:r>
        <w:rPr>
          <w:rFonts w:hint="eastAsia"/>
          <w:color w:val="000000"/>
        </w:rPr>
        <w:fldChar w:fldCharType="begin"/>
      </w:r>
      <w:r>
        <w:rPr>
          <w:rFonts w:hint="eastAsia"/>
        </w:rPr>
        <w:instrText xml:space="preserve"> HYPERLINK \l _Toc19384 </w:instrText>
      </w:r>
      <w:r>
        <w:rPr>
          <w:rFonts w:hint="eastAsia"/>
        </w:rPr>
        <w:fldChar w:fldCharType="separate"/>
      </w:r>
      <w:r>
        <w:rPr>
          <w:rFonts w:hint="eastAsia"/>
        </w:rPr>
        <w:t>8.4质量监测与监控</w:t>
      </w:r>
      <w:r>
        <w:tab/>
      </w:r>
      <w:r>
        <w:fldChar w:fldCharType="begin"/>
      </w:r>
      <w:r>
        <w:instrText xml:space="preserve"> PAGEREF _Toc19384 \h </w:instrText>
      </w:r>
      <w:r>
        <w:fldChar w:fldCharType="separate"/>
      </w:r>
      <w:r>
        <w:t>65</w:t>
      </w:r>
      <w:r>
        <w:fldChar w:fldCharType="end"/>
      </w:r>
      <w:r>
        <w:rPr>
          <w:rFonts w:hint="eastAsia"/>
          <w:color w:val="000000"/>
        </w:rPr>
        <w:fldChar w:fldCharType="end"/>
      </w:r>
    </w:p>
    <w:p w14:paraId="05040BBD">
      <w:pPr>
        <w:pStyle w:val="27"/>
        <w:tabs>
          <w:tab w:val="right" w:leader="dot" w:pos="9015"/>
        </w:tabs>
      </w:pPr>
      <w:r>
        <w:rPr>
          <w:rFonts w:hint="eastAsia"/>
          <w:color w:val="000000"/>
        </w:rPr>
        <w:fldChar w:fldCharType="begin"/>
      </w:r>
      <w:r>
        <w:rPr>
          <w:rFonts w:hint="eastAsia"/>
        </w:rPr>
        <w:instrText xml:space="preserve"> HYPERLINK \l _Toc11034 </w:instrText>
      </w:r>
      <w:r>
        <w:rPr>
          <w:rFonts w:hint="eastAsia"/>
        </w:rPr>
        <w:fldChar w:fldCharType="separate"/>
      </w:r>
      <w:r>
        <w:rPr>
          <w:rFonts w:hint="eastAsia"/>
        </w:rPr>
        <w:t>第九章 安全管理措施</w:t>
      </w:r>
      <w:r>
        <w:tab/>
      </w:r>
      <w:r>
        <w:fldChar w:fldCharType="begin"/>
      </w:r>
      <w:r>
        <w:instrText xml:space="preserve"> PAGEREF _Toc11034 \h </w:instrText>
      </w:r>
      <w:r>
        <w:fldChar w:fldCharType="separate"/>
      </w:r>
      <w:r>
        <w:t>67</w:t>
      </w:r>
      <w:r>
        <w:fldChar w:fldCharType="end"/>
      </w:r>
      <w:r>
        <w:rPr>
          <w:rFonts w:hint="eastAsia"/>
          <w:color w:val="000000"/>
        </w:rPr>
        <w:fldChar w:fldCharType="end"/>
      </w:r>
    </w:p>
    <w:p w14:paraId="19672378">
      <w:pPr>
        <w:pStyle w:val="32"/>
        <w:tabs>
          <w:tab w:val="right" w:leader="dot" w:pos="9015"/>
        </w:tabs>
      </w:pPr>
      <w:r>
        <w:rPr>
          <w:rFonts w:hint="eastAsia"/>
          <w:color w:val="000000"/>
        </w:rPr>
        <w:fldChar w:fldCharType="begin"/>
      </w:r>
      <w:r>
        <w:rPr>
          <w:rFonts w:hint="eastAsia"/>
        </w:rPr>
        <w:instrText xml:space="preserve"> HYPERLINK \l _Toc4614 </w:instrText>
      </w:r>
      <w:r>
        <w:rPr>
          <w:rFonts w:hint="eastAsia"/>
        </w:rPr>
        <w:fldChar w:fldCharType="separate"/>
      </w:r>
      <w:r>
        <w:rPr>
          <w:rFonts w:hint="eastAsia"/>
        </w:rPr>
        <w:t>9.</w:t>
      </w:r>
      <w:r>
        <w:t xml:space="preserve">1 </w:t>
      </w:r>
      <w:r>
        <w:rPr>
          <w:rFonts w:hint="eastAsia"/>
        </w:rPr>
        <w:t>安全保证措施</w:t>
      </w:r>
      <w:r>
        <w:tab/>
      </w:r>
      <w:r>
        <w:fldChar w:fldCharType="begin"/>
      </w:r>
      <w:r>
        <w:instrText xml:space="preserve"> PAGEREF _Toc4614 \h </w:instrText>
      </w:r>
      <w:r>
        <w:fldChar w:fldCharType="separate"/>
      </w:r>
      <w:r>
        <w:t>67</w:t>
      </w:r>
      <w:r>
        <w:fldChar w:fldCharType="end"/>
      </w:r>
      <w:r>
        <w:rPr>
          <w:rFonts w:hint="eastAsia"/>
          <w:color w:val="000000"/>
        </w:rPr>
        <w:fldChar w:fldCharType="end"/>
      </w:r>
    </w:p>
    <w:p w14:paraId="025B48D9">
      <w:pPr>
        <w:pStyle w:val="32"/>
        <w:tabs>
          <w:tab w:val="right" w:leader="dot" w:pos="9015"/>
        </w:tabs>
      </w:pPr>
      <w:r>
        <w:rPr>
          <w:rFonts w:hint="eastAsia"/>
          <w:color w:val="000000"/>
        </w:rPr>
        <w:fldChar w:fldCharType="begin"/>
      </w:r>
      <w:r>
        <w:rPr>
          <w:rFonts w:hint="eastAsia"/>
        </w:rPr>
        <w:instrText xml:space="preserve"> HYPERLINK \l _Toc31738 </w:instrText>
      </w:r>
      <w:r>
        <w:rPr>
          <w:rFonts w:hint="eastAsia"/>
        </w:rPr>
        <w:fldChar w:fldCharType="separate"/>
      </w:r>
      <w:r>
        <w:rPr>
          <w:rFonts w:hint="eastAsia" w:ascii="Times New Roman" w:hAnsi="Times New Roman"/>
        </w:rPr>
        <w:t>9.2危险源安全监控措施</w:t>
      </w:r>
      <w:r>
        <w:tab/>
      </w:r>
      <w:r>
        <w:fldChar w:fldCharType="begin"/>
      </w:r>
      <w:r>
        <w:instrText xml:space="preserve"> PAGEREF _Toc31738 \h </w:instrText>
      </w:r>
      <w:r>
        <w:fldChar w:fldCharType="separate"/>
      </w:r>
      <w:r>
        <w:t>68</w:t>
      </w:r>
      <w:r>
        <w:fldChar w:fldCharType="end"/>
      </w:r>
      <w:r>
        <w:rPr>
          <w:rFonts w:hint="eastAsia"/>
          <w:color w:val="000000"/>
        </w:rPr>
        <w:fldChar w:fldCharType="end"/>
      </w:r>
    </w:p>
    <w:p w14:paraId="1A00C73E">
      <w:pPr>
        <w:pStyle w:val="32"/>
        <w:tabs>
          <w:tab w:val="right" w:leader="dot" w:pos="9015"/>
        </w:tabs>
      </w:pPr>
      <w:r>
        <w:rPr>
          <w:rFonts w:hint="eastAsia"/>
          <w:color w:val="000000"/>
        </w:rPr>
        <w:fldChar w:fldCharType="begin"/>
      </w:r>
      <w:r>
        <w:rPr>
          <w:rFonts w:hint="eastAsia"/>
        </w:rPr>
        <w:instrText xml:space="preserve"> HYPERLINK \l _Toc6182 </w:instrText>
      </w:r>
      <w:r>
        <w:rPr>
          <w:rFonts w:hint="eastAsia"/>
        </w:rPr>
        <w:fldChar w:fldCharType="separate"/>
      </w:r>
      <w:r>
        <w:rPr>
          <w:rFonts w:hint="eastAsia"/>
        </w:rPr>
        <w:t>9.3 施工安全保证措施</w:t>
      </w:r>
      <w:r>
        <w:tab/>
      </w:r>
      <w:r>
        <w:fldChar w:fldCharType="begin"/>
      </w:r>
      <w:r>
        <w:instrText xml:space="preserve"> PAGEREF _Toc6182 \h </w:instrText>
      </w:r>
      <w:r>
        <w:fldChar w:fldCharType="separate"/>
      </w:r>
      <w:r>
        <w:t>74</w:t>
      </w:r>
      <w:r>
        <w:fldChar w:fldCharType="end"/>
      </w:r>
      <w:r>
        <w:rPr>
          <w:rFonts w:hint="eastAsia"/>
          <w:color w:val="000000"/>
        </w:rPr>
        <w:fldChar w:fldCharType="end"/>
      </w:r>
    </w:p>
    <w:p w14:paraId="0075A9A5">
      <w:pPr>
        <w:pStyle w:val="32"/>
        <w:tabs>
          <w:tab w:val="right" w:leader="dot" w:pos="9015"/>
        </w:tabs>
      </w:pPr>
      <w:r>
        <w:rPr>
          <w:rFonts w:hint="eastAsia"/>
          <w:color w:val="000000"/>
        </w:rPr>
        <w:fldChar w:fldCharType="begin"/>
      </w:r>
      <w:r>
        <w:rPr>
          <w:rFonts w:hint="eastAsia"/>
        </w:rPr>
        <w:instrText xml:space="preserve"> HYPERLINK \l _Toc21241 </w:instrText>
      </w:r>
      <w:r>
        <w:rPr>
          <w:rFonts w:hint="eastAsia"/>
        </w:rPr>
        <w:fldChar w:fldCharType="separate"/>
      </w:r>
      <w:r>
        <w:rPr>
          <w:rFonts w:hint="eastAsia"/>
        </w:rPr>
        <w:t>9.4</w:t>
      </w:r>
      <w:r>
        <w:t xml:space="preserve"> 高处作业及临边防护安全技术措施</w:t>
      </w:r>
      <w:r>
        <w:tab/>
      </w:r>
      <w:r>
        <w:fldChar w:fldCharType="begin"/>
      </w:r>
      <w:r>
        <w:instrText xml:space="preserve"> PAGEREF _Toc21241 \h </w:instrText>
      </w:r>
      <w:r>
        <w:fldChar w:fldCharType="separate"/>
      </w:r>
      <w:r>
        <w:t>80</w:t>
      </w:r>
      <w:r>
        <w:fldChar w:fldCharType="end"/>
      </w:r>
      <w:r>
        <w:rPr>
          <w:rFonts w:hint="eastAsia"/>
          <w:color w:val="000000"/>
        </w:rPr>
        <w:fldChar w:fldCharType="end"/>
      </w:r>
    </w:p>
    <w:p w14:paraId="5A3AD7FC">
      <w:pPr>
        <w:pStyle w:val="32"/>
        <w:tabs>
          <w:tab w:val="right" w:leader="dot" w:pos="9015"/>
        </w:tabs>
      </w:pPr>
      <w:r>
        <w:rPr>
          <w:rFonts w:hint="eastAsia"/>
          <w:color w:val="000000"/>
        </w:rPr>
        <w:fldChar w:fldCharType="begin"/>
      </w:r>
      <w:r>
        <w:rPr>
          <w:rFonts w:hint="eastAsia"/>
        </w:rPr>
        <w:instrText xml:space="preserve"> HYPERLINK \l _Toc23597 </w:instrText>
      </w:r>
      <w:r>
        <w:rPr>
          <w:rFonts w:hint="eastAsia"/>
        </w:rPr>
        <w:fldChar w:fldCharType="separate"/>
      </w:r>
      <w:r>
        <w:rPr>
          <w:rFonts w:hint="eastAsia"/>
        </w:rPr>
        <w:t>9.5绿色施工保证措施</w:t>
      </w:r>
      <w:r>
        <w:tab/>
      </w:r>
      <w:r>
        <w:fldChar w:fldCharType="begin"/>
      </w:r>
      <w:r>
        <w:instrText xml:space="preserve"> PAGEREF _Toc23597 \h </w:instrText>
      </w:r>
      <w:r>
        <w:fldChar w:fldCharType="separate"/>
      </w:r>
      <w:r>
        <w:t>81</w:t>
      </w:r>
      <w:r>
        <w:fldChar w:fldCharType="end"/>
      </w:r>
      <w:r>
        <w:rPr>
          <w:rFonts w:hint="eastAsia"/>
          <w:color w:val="000000"/>
        </w:rPr>
        <w:fldChar w:fldCharType="end"/>
      </w:r>
    </w:p>
    <w:p w14:paraId="188B2720">
      <w:pPr>
        <w:pStyle w:val="32"/>
        <w:tabs>
          <w:tab w:val="right" w:leader="dot" w:pos="9015"/>
        </w:tabs>
      </w:pPr>
      <w:r>
        <w:rPr>
          <w:rFonts w:hint="eastAsia"/>
          <w:color w:val="000000"/>
        </w:rPr>
        <w:fldChar w:fldCharType="begin"/>
      </w:r>
      <w:r>
        <w:rPr>
          <w:rFonts w:hint="eastAsia"/>
        </w:rPr>
        <w:instrText xml:space="preserve"> HYPERLINK \l _Toc7289 </w:instrText>
      </w:r>
      <w:r>
        <w:rPr>
          <w:rFonts w:hint="eastAsia"/>
        </w:rPr>
        <w:fldChar w:fldCharType="separate"/>
      </w:r>
      <w:r>
        <w:rPr>
          <w:rFonts w:hint="eastAsia"/>
        </w:rPr>
        <w:t>9.6验收及日常检查维保</w:t>
      </w:r>
      <w:r>
        <w:tab/>
      </w:r>
      <w:r>
        <w:fldChar w:fldCharType="begin"/>
      </w:r>
      <w:r>
        <w:instrText xml:space="preserve"> PAGEREF _Toc7289 \h </w:instrText>
      </w:r>
      <w:r>
        <w:fldChar w:fldCharType="separate"/>
      </w:r>
      <w:r>
        <w:t>81</w:t>
      </w:r>
      <w:r>
        <w:fldChar w:fldCharType="end"/>
      </w:r>
      <w:r>
        <w:rPr>
          <w:rFonts w:hint="eastAsia"/>
          <w:color w:val="000000"/>
        </w:rPr>
        <w:fldChar w:fldCharType="end"/>
      </w:r>
    </w:p>
    <w:p w14:paraId="7D355BE3">
      <w:pPr>
        <w:pStyle w:val="32"/>
        <w:tabs>
          <w:tab w:val="right" w:leader="dot" w:pos="9015"/>
        </w:tabs>
      </w:pPr>
      <w:r>
        <w:rPr>
          <w:rFonts w:hint="eastAsia"/>
          <w:color w:val="000000"/>
        </w:rPr>
        <w:fldChar w:fldCharType="begin"/>
      </w:r>
      <w:r>
        <w:rPr>
          <w:rFonts w:hint="eastAsia"/>
        </w:rPr>
        <w:instrText xml:space="preserve"> HYPERLINK \l _Toc27918 </w:instrText>
      </w:r>
      <w:r>
        <w:rPr>
          <w:rFonts w:hint="eastAsia"/>
        </w:rPr>
        <w:fldChar w:fldCharType="separate"/>
      </w:r>
      <w:r>
        <w:rPr>
          <w:rFonts w:hint="eastAsia"/>
        </w:rPr>
        <w:t>9.7塔机监测监控</w:t>
      </w:r>
      <w:r>
        <w:tab/>
      </w:r>
      <w:r>
        <w:fldChar w:fldCharType="begin"/>
      </w:r>
      <w:r>
        <w:instrText xml:space="preserve"> PAGEREF _Toc27918 \h </w:instrText>
      </w:r>
      <w:r>
        <w:fldChar w:fldCharType="separate"/>
      </w:r>
      <w:r>
        <w:t>83</w:t>
      </w:r>
      <w:r>
        <w:fldChar w:fldCharType="end"/>
      </w:r>
      <w:r>
        <w:rPr>
          <w:rFonts w:hint="eastAsia"/>
          <w:color w:val="000000"/>
        </w:rPr>
        <w:fldChar w:fldCharType="end"/>
      </w:r>
    </w:p>
    <w:p w14:paraId="5BF3597E">
      <w:pPr>
        <w:pStyle w:val="27"/>
        <w:tabs>
          <w:tab w:val="right" w:leader="dot" w:pos="9015"/>
        </w:tabs>
      </w:pPr>
      <w:r>
        <w:rPr>
          <w:rFonts w:hint="eastAsia"/>
          <w:color w:val="000000"/>
        </w:rPr>
        <w:fldChar w:fldCharType="begin"/>
      </w:r>
      <w:r>
        <w:rPr>
          <w:rFonts w:hint="eastAsia"/>
        </w:rPr>
        <w:instrText xml:space="preserve"> HYPERLINK \l _Toc5970 </w:instrText>
      </w:r>
      <w:r>
        <w:rPr>
          <w:rFonts w:hint="eastAsia"/>
        </w:rPr>
        <w:fldChar w:fldCharType="separate"/>
      </w:r>
      <w:r>
        <w:rPr>
          <w:rFonts w:hint="eastAsia"/>
        </w:rPr>
        <w:t>第十章应急预案</w:t>
      </w:r>
      <w:r>
        <w:tab/>
      </w:r>
      <w:r>
        <w:fldChar w:fldCharType="begin"/>
      </w:r>
      <w:r>
        <w:instrText xml:space="preserve"> PAGEREF _Toc5970 \h </w:instrText>
      </w:r>
      <w:r>
        <w:fldChar w:fldCharType="separate"/>
      </w:r>
      <w:r>
        <w:t>86</w:t>
      </w:r>
      <w:r>
        <w:fldChar w:fldCharType="end"/>
      </w:r>
      <w:r>
        <w:rPr>
          <w:rFonts w:hint="eastAsia"/>
          <w:color w:val="000000"/>
        </w:rPr>
        <w:fldChar w:fldCharType="end"/>
      </w:r>
    </w:p>
    <w:p w14:paraId="09CF5ADD">
      <w:pPr>
        <w:pStyle w:val="32"/>
        <w:tabs>
          <w:tab w:val="right" w:leader="dot" w:pos="9015"/>
        </w:tabs>
      </w:pPr>
      <w:r>
        <w:rPr>
          <w:rFonts w:hint="eastAsia"/>
          <w:color w:val="000000"/>
        </w:rPr>
        <w:fldChar w:fldCharType="begin"/>
      </w:r>
      <w:r>
        <w:rPr>
          <w:rFonts w:hint="eastAsia"/>
        </w:rPr>
        <w:instrText xml:space="preserve"> HYPERLINK \l _Toc4908 </w:instrText>
      </w:r>
      <w:r>
        <w:rPr>
          <w:rFonts w:hint="eastAsia"/>
        </w:rPr>
        <w:fldChar w:fldCharType="separate"/>
      </w:r>
      <w:r>
        <w:rPr>
          <w:rFonts w:hint="eastAsia"/>
        </w:rPr>
        <w:t>10.</w:t>
      </w:r>
      <w:r>
        <w:t>1</w:t>
      </w:r>
      <w:r>
        <w:rPr>
          <w:rFonts w:hint="eastAsia"/>
        </w:rPr>
        <w:t>编制目的</w:t>
      </w:r>
      <w:r>
        <w:tab/>
      </w:r>
      <w:r>
        <w:fldChar w:fldCharType="begin"/>
      </w:r>
      <w:r>
        <w:instrText xml:space="preserve"> PAGEREF _Toc4908 \h </w:instrText>
      </w:r>
      <w:r>
        <w:fldChar w:fldCharType="separate"/>
      </w:r>
      <w:r>
        <w:t>86</w:t>
      </w:r>
      <w:r>
        <w:fldChar w:fldCharType="end"/>
      </w:r>
      <w:r>
        <w:rPr>
          <w:rFonts w:hint="eastAsia"/>
          <w:color w:val="000000"/>
        </w:rPr>
        <w:fldChar w:fldCharType="end"/>
      </w:r>
    </w:p>
    <w:p w14:paraId="20848A79">
      <w:pPr>
        <w:pStyle w:val="32"/>
        <w:tabs>
          <w:tab w:val="right" w:leader="dot" w:pos="9015"/>
        </w:tabs>
      </w:pPr>
      <w:r>
        <w:rPr>
          <w:rFonts w:hint="eastAsia"/>
          <w:color w:val="000000"/>
        </w:rPr>
        <w:fldChar w:fldCharType="begin"/>
      </w:r>
      <w:r>
        <w:rPr>
          <w:rFonts w:hint="eastAsia"/>
        </w:rPr>
        <w:instrText xml:space="preserve"> HYPERLINK \l _Toc930 </w:instrText>
      </w:r>
      <w:r>
        <w:rPr>
          <w:rFonts w:hint="eastAsia"/>
        </w:rPr>
        <w:fldChar w:fldCharType="separate"/>
      </w:r>
      <w:r>
        <w:rPr>
          <w:rFonts w:hint="eastAsia"/>
        </w:rPr>
        <w:t>1</w:t>
      </w:r>
      <w:r>
        <w:t>0.2</w:t>
      </w:r>
      <w:r>
        <w:rPr>
          <w:rFonts w:hint="eastAsia"/>
        </w:rPr>
        <w:t>应急组织机构</w:t>
      </w:r>
      <w:r>
        <w:tab/>
      </w:r>
      <w:r>
        <w:fldChar w:fldCharType="begin"/>
      </w:r>
      <w:r>
        <w:instrText xml:space="preserve"> PAGEREF _Toc930 \h </w:instrText>
      </w:r>
      <w:r>
        <w:fldChar w:fldCharType="separate"/>
      </w:r>
      <w:r>
        <w:t>86</w:t>
      </w:r>
      <w:r>
        <w:fldChar w:fldCharType="end"/>
      </w:r>
      <w:r>
        <w:rPr>
          <w:rFonts w:hint="eastAsia"/>
          <w:color w:val="000000"/>
        </w:rPr>
        <w:fldChar w:fldCharType="end"/>
      </w:r>
    </w:p>
    <w:p w14:paraId="2C85D5C1">
      <w:pPr>
        <w:pStyle w:val="32"/>
        <w:tabs>
          <w:tab w:val="right" w:leader="dot" w:pos="9015"/>
        </w:tabs>
      </w:pPr>
      <w:r>
        <w:rPr>
          <w:rFonts w:hint="eastAsia"/>
          <w:color w:val="000000"/>
        </w:rPr>
        <w:fldChar w:fldCharType="begin"/>
      </w:r>
      <w:r>
        <w:rPr>
          <w:rFonts w:hint="eastAsia"/>
        </w:rPr>
        <w:instrText xml:space="preserve"> HYPERLINK \l _Toc19045 </w:instrText>
      </w:r>
      <w:r>
        <w:rPr>
          <w:rFonts w:hint="eastAsia"/>
        </w:rPr>
        <w:fldChar w:fldCharType="separate"/>
      </w:r>
      <w:r>
        <w:rPr>
          <w:rFonts w:hint="eastAsia"/>
        </w:rPr>
        <w:t>10.</w:t>
      </w:r>
      <w:r>
        <w:t>2紧急事故救援小组成员分工</w:t>
      </w:r>
      <w:r>
        <w:tab/>
      </w:r>
      <w:r>
        <w:fldChar w:fldCharType="begin"/>
      </w:r>
      <w:r>
        <w:instrText xml:space="preserve"> PAGEREF _Toc19045 \h </w:instrText>
      </w:r>
      <w:r>
        <w:fldChar w:fldCharType="separate"/>
      </w:r>
      <w:r>
        <w:t>86</w:t>
      </w:r>
      <w:r>
        <w:fldChar w:fldCharType="end"/>
      </w:r>
      <w:r>
        <w:rPr>
          <w:rFonts w:hint="eastAsia"/>
          <w:color w:val="000000"/>
        </w:rPr>
        <w:fldChar w:fldCharType="end"/>
      </w:r>
    </w:p>
    <w:p w14:paraId="0BF67AF4">
      <w:pPr>
        <w:pStyle w:val="32"/>
        <w:tabs>
          <w:tab w:val="right" w:leader="dot" w:pos="9015"/>
        </w:tabs>
      </w:pPr>
      <w:r>
        <w:rPr>
          <w:rFonts w:hint="eastAsia"/>
          <w:color w:val="000000"/>
        </w:rPr>
        <w:fldChar w:fldCharType="begin"/>
      </w:r>
      <w:r>
        <w:rPr>
          <w:rFonts w:hint="eastAsia"/>
        </w:rPr>
        <w:instrText xml:space="preserve"> HYPERLINK \l _Toc8473 </w:instrText>
      </w:r>
      <w:r>
        <w:rPr>
          <w:rFonts w:hint="eastAsia"/>
        </w:rPr>
        <w:fldChar w:fldCharType="separate"/>
      </w:r>
      <w:r>
        <w:rPr>
          <w:rFonts w:hint="eastAsia"/>
        </w:rPr>
        <w:t>10.</w:t>
      </w:r>
      <w:r>
        <w:t>3应急准备</w:t>
      </w:r>
      <w:r>
        <w:tab/>
      </w:r>
      <w:r>
        <w:fldChar w:fldCharType="begin"/>
      </w:r>
      <w:r>
        <w:instrText xml:space="preserve"> PAGEREF _Toc8473 \h </w:instrText>
      </w:r>
      <w:r>
        <w:fldChar w:fldCharType="separate"/>
      </w:r>
      <w:r>
        <w:t>87</w:t>
      </w:r>
      <w:r>
        <w:fldChar w:fldCharType="end"/>
      </w:r>
      <w:r>
        <w:rPr>
          <w:rFonts w:hint="eastAsia"/>
          <w:color w:val="000000"/>
        </w:rPr>
        <w:fldChar w:fldCharType="end"/>
      </w:r>
    </w:p>
    <w:p w14:paraId="2CCECC21">
      <w:pPr>
        <w:pStyle w:val="32"/>
        <w:tabs>
          <w:tab w:val="right" w:leader="dot" w:pos="9015"/>
        </w:tabs>
      </w:pPr>
      <w:r>
        <w:rPr>
          <w:rFonts w:hint="eastAsia"/>
          <w:color w:val="000000"/>
        </w:rPr>
        <w:fldChar w:fldCharType="begin"/>
      </w:r>
      <w:r>
        <w:rPr>
          <w:rFonts w:hint="eastAsia"/>
        </w:rPr>
        <w:instrText xml:space="preserve"> HYPERLINK \l _Toc437 </w:instrText>
      </w:r>
      <w:r>
        <w:rPr>
          <w:rFonts w:hint="eastAsia"/>
        </w:rPr>
        <w:fldChar w:fldCharType="separate"/>
      </w:r>
      <w:r>
        <w:rPr>
          <w:rFonts w:hint="eastAsia"/>
        </w:rPr>
        <w:t>10.</w:t>
      </w:r>
      <w:r>
        <w:t>4施工现场的急救步骤</w:t>
      </w:r>
      <w:r>
        <w:tab/>
      </w:r>
      <w:r>
        <w:fldChar w:fldCharType="begin"/>
      </w:r>
      <w:r>
        <w:instrText xml:space="preserve"> PAGEREF _Toc437 \h </w:instrText>
      </w:r>
      <w:r>
        <w:fldChar w:fldCharType="separate"/>
      </w:r>
      <w:r>
        <w:t>87</w:t>
      </w:r>
      <w:r>
        <w:fldChar w:fldCharType="end"/>
      </w:r>
      <w:r>
        <w:rPr>
          <w:rFonts w:hint="eastAsia"/>
          <w:color w:val="000000"/>
        </w:rPr>
        <w:fldChar w:fldCharType="end"/>
      </w:r>
    </w:p>
    <w:p w14:paraId="686C6365">
      <w:pPr>
        <w:pStyle w:val="32"/>
        <w:tabs>
          <w:tab w:val="right" w:leader="dot" w:pos="9015"/>
        </w:tabs>
      </w:pPr>
      <w:r>
        <w:rPr>
          <w:rFonts w:hint="eastAsia"/>
          <w:color w:val="000000"/>
        </w:rPr>
        <w:fldChar w:fldCharType="begin"/>
      </w:r>
      <w:r>
        <w:rPr>
          <w:rFonts w:hint="eastAsia"/>
        </w:rPr>
        <w:instrText xml:space="preserve"> HYPERLINK \l _Toc16554 </w:instrText>
      </w:r>
      <w:r>
        <w:rPr>
          <w:rFonts w:hint="eastAsia"/>
        </w:rPr>
        <w:fldChar w:fldCharType="separate"/>
      </w:r>
      <w:r>
        <w:rPr>
          <w:rFonts w:hint="eastAsia"/>
        </w:rPr>
        <w:t>10.</w:t>
      </w:r>
      <w:r>
        <w:t>5现场预案及措施</w:t>
      </w:r>
      <w:r>
        <w:tab/>
      </w:r>
      <w:r>
        <w:fldChar w:fldCharType="begin"/>
      </w:r>
      <w:r>
        <w:instrText xml:space="preserve"> PAGEREF _Toc16554 \h </w:instrText>
      </w:r>
      <w:r>
        <w:fldChar w:fldCharType="separate"/>
      </w:r>
      <w:r>
        <w:t>87</w:t>
      </w:r>
      <w:r>
        <w:fldChar w:fldCharType="end"/>
      </w:r>
      <w:r>
        <w:rPr>
          <w:rFonts w:hint="eastAsia"/>
          <w:color w:val="000000"/>
        </w:rPr>
        <w:fldChar w:fldCharType="end"/>
      </w:r>
    </w:p>
    <w:p w14:paraId="3A11050F">
      <w:pPr>
        <w:pStyle w:val="32"/>
        <w:tabs>
          <w:tab w:val="right" w:leader="dot" w:pos="9015"/>
        </w:tabs>
      </w:pPr>
      <w:r>
        <w:rPr>
          <w:rFonts w:hint="eastAsia"/>
          <w:color w:val="000000"/>
        </w:rPr>
        <w:fldChar w:fldCharType="begin"/>
      </w:r>
      <w:r>
        <w:rPr>
          <w:rFonts w:hint="eastAsia"/>
        </w:rPr>
        <w:instrText xml:space="preserve"> HYPERLINK \l _Toc29851 </w:instrText>
      </w:r>
      <w:r>
        <w:rPr>
          <w:rFonts w:hint="eastAsia"/>
        </w:rPr>
        <w:fldChar w:fldCharType="separate"/>
      </w:r>
      <w:r>
        <w:rPr>
          <w:rFonts w:hint="eastAsia"/>
        </w:rPr>
        <w:t>10.</w:t>
      </w:r>
      <w:r>
        <w:t>6</w:t>
      </w:r>
      <w:r>
        <w:rPr>
          <w:lang w:val="zh-CN"/>
        </w:rPr>
        <w:t>应急响应</w:t>
      </w:r>
      <w:r>
        <w:tab/>
      </w:r>
      <w:r>
        <w:fldChar w:fldCharType="begin"/>
      </w:r>
      <w:r>
        <w:instrText xml:space="preserve"> PAGEREF _Toc29851 \h </w:instrText>
      </w:r>
      <w:r>
        <w:fldChar w:fldCharType="separate"/>
      </w:r>
      <w:r>
        <w:t>92</w:t>
      </w:r>
      <w:r>
        <w:fldChar w:fldCharType="end"/>
      </w:r>
      <w:r>
        <w:rPr>
          <w:rFonts w:hint="eastAsia"/>
          <w:color w:val="000000"/>
        </w:rPr>
        <w:fldChar w:fldCharType="end"/>
      </w:r>
    </w:p>
    <w:p w14:paraId="65CD3221">
      <w:pPr>
        <w:pStyle w:val="32"/>
        <w:tabs>
          <w:tab w:val="right" w:leader="dot" w:pos="9015"/>
        </w:tabs>
      </w:pPr>
      <w:r>
        <w:rPr>
          <w:rFonts w:hint="eastAsia"/>
          <w:color w:val="000000"/>
        </w:rPr>
        <w:fldChar w:fldCharType="begin"/>
      </w:r>
      <w:r>
        <w:rPr>
          <w:rFonts w:hint="eastAsia"/>
        </w:rPr>
        <w:instrText xml:space="preserve"> HYPERLINK \l _Toc3277 </w:instrText>
      </w:r>
      <w:r>
        <w:rPr>
          <w:rFonts w:hint="eastAsia"/>
        </w:rPr>
        <w:fldChar w:fldCharType="separate"/>
      </w:r>
      <w:r>
        <w:rPr>
          <w:rFonts w:hint="eastAsia"/>
        </w:rPr>
        <w:t>10.7</w:t>
      </w:r>
      <w:r>
        <w:rPr>
          <w:lang w:val="zh-CN"/>
        </w:rPr>
        <w:t>应急电话</w:t>
      </w:r>
      <w:r>
        <w:tab/>
      </w:r>
      <w:r>
        <w:fldChar w:fldCharType="begin"/>
      </w:r>
      <w:r>
        <w:instrText xml:space="preserve"> PAGEREF _Toc3277 \h </w:instrText>
      </w:r>
      <w:r>
        <w:fldChar w:fldCharType="separate"/>
      </w:r>
      <w:r>
        <w:t>93</w:t>
      </w:r>
      <w:r>
        <w:fldChar w:fldCharType="end"/>
      </w:r>
      <w:r>
        <w:rPr>
          <w:rFonts w:hint="eastAsia"/>
          <w:color w:val="000000"/>
        </w:rPr>
        <w:fldChar w:fldCharType="end"/>
      </w:r>
    </w:p>
    <w:p w14:paraId="0708FCEC">
      <w:pPr>
        <w:pStyle w:val="27"/>
        <w:tabs>
          <w:tab w:val="right" w:leader="dot" w:pos="9015"/>
        </w:tabs>
      </w:pPr>
      <w:r>
        <w:rPr>
          <w:rFonts w:hint="eastAsia"/>
          <w:color w:val="000000"/>
        </w:rPr>
        <w:fldChar w:fldCharType="begin"/>
      </w:r>
      <w:r>
        <w:rPr>
          <w:rFonts w:hint="eastAsia"/>
        </w:rPr>
        <w:instrText xml:space="preserve"> HYPERLINK \l _Toc21724 </w:instrText>
      </w:r>
      <w:r>
        <w:rPr>
          <w:rFonts w:hint="eastAsia"/>
        </w:rPr>
        <w:fldChar w:fldCharType="separate"/>
      </w:r>
      <w:r>
        <w:rPr>
          <w:rFonts w:hint="eastAsia"/>
        </w:rPr>
        <w:t>第十一章附件</w:t>
      </w:r>
      <w:r>
        <w:tab/>
      </w:r>
      <w:r>
        <w:fldChar w:fldCharType="begin"/>
      </w:r>
      <w:r>
        <w:instrText xml:space="preserve"> PAGEREF _Toc21724 \h </w:instrText>
      </w:r>
      <w:r>
        <w:fldChar w:fldCharType="separate"/>
      </w:r>
      <w:r>
        <w:t>94</w:t>
      </w:r>
      <w:r>
        <w:fldChar w:fldCharType="end"/>
      </w:r>
      <w:r>
        <w:rPr>
          <w:rFonts w:hint="eastAsia"/>
          <w:color w:val="000000"/>
        </w:rPr>
        <w:fldChar w:fldCharType="end"/>
      </w:r>
    </w:p>
    <w:p w14:paraId="79F248EB">
      <w:pPr>
        <w:pStyle w:val="32"/>
        <w:tabs>
          <w:tab w:val="right" w:leader="dot" w:pos="9015"/>
        </w:tabs>
      </w:pPr>
      <w:r>
        <w:rPr>
          <w:rFonts w:hint="eastAsia"/>
          <w:color w:val="000000"/>
        </w:rPr>
        <w:fldChar w:fldCharType="begin"/>
      </w:r>
      <w:r>
        <w:rPr>
          <w:rFonts w:hint="eastAsia"/>
        </w:rPr>
        <w:instrText xml:space="preserve"> HYPERLINK \l _Toc1197 </w:instrText>
      </w:r>
      <w:r>
        <w:rPr>
          <w:rFonts w:hint="eastAsia"/>
        </w:rPr>
        <w:fldChar w:fldCharType="separate"/>
      </w:r>
      <w:r>
        <w:rPr>
          <w:rFonts w:hint="eastAsia"/>
        </w:rPr>
        <w:t>11.</w:t>
      </w:r>
      <w:r>
        <w:t>1</w:t>
      </w:r>
      <w:r>
        <w:rPr>
          <w:rFonts w:hint="eastAsia"/>
        </w:rPr>
        <w:t>安拆单位证件</w:t>
      </w:r>
      <w:r>
        <w:tab/>
      </w:r>
      <w:r>
        <w:fldChar w:fldCharType="begin"/>
      </w:r>
      <w:r>
        <w:instrText xml:space="preserve"> PAGEREF _Toc1197 \h </w:instrText>
      </w:r>
      <w:r>
        <w:fldChar w:fldCharType="separate"/>
      </w:r>
      <w:r>
        <w:t>94</w:t>
      </w:r>
      <w:r>
        <w:fldChar w:fldCharType="end"/>
      </w:r>
      <w:r>
        <w:rPr>
          <w:rFonts w:hint="eastAsia"/>
          <w:color w:val="000000"/>
        </w:rPr>
        <w:fldChar w:fldCharType="end"/>
      </w:r>
    </w:p>
    <w:p w14:paraId="42800808">
      <w:pPr>
        <w:pStyle w:val="32"/>
        <w:tabs>
          <w:tab w:val="right" w:leader="dot" w:pos="9015"/>
        </w:tabs>
      </w:pPr>
      <w:r>
        <w:rPr>
          <w:rFonts w:hint="eastAsia"/>
          <w:color w:val="000000"/>
        </w:rPr>
        <w:fldChar w:fldCharType="begin"/>
      </w:r>
      <w:r>
        <w:rPr>
          <w:rFonts w:hint="eastAsia"/>
        </w:rPr>
        <w:instrText xml:space="preserve"> HYPERLINK \l _Toc28527 </w:instrText>
      </w:r>
      <w:r>
        <w:rPr>
          <w:rFonts w:hint="eastAsia"/>
        </w:rPr>
        <w:fldChar w:fldCharType="separate"/>
      </w:r>
      <w:r>
        <w:rPr>
          <w:rFonts w:hint="eastAsia"/>
        </w:rPr>
        <w:t>11.2安拆人员证件</w:t>
      </w:r>
      <w:r>
        <w:tab/>
      </w:r>
      <w:r>
        <w:fldChar w:fldCharType="begin"/>
      </w:r>
      <w:r>
        <w:instrText xml:space="preserve"> PAGEREF _Toc28527 \h </w:instrText>
      </w:r>
      <w:r>
        <w:fldChar w:fldCharType="separate"/>
      </w:r>
      <w:r>
        <w:t>96</w:t>
      </w:r>
      <w:r>
        <w:fldChar w:fldCharType="end"/>
      </w:r>
      <w:r>
        <w:rPr>
          <w:rFonts w:hint="eastAsia"/>
          <w:color w:val="000000"/>
        </w:rPr>
        <w:fldChar w:fldCharType="end"/>
      </w:r>
    </w:p>
    <w:p w14:paraId="70F1F44E">
      <w:pPr>
        <w:pStyle w:val="32"/>
        <w:tabs>
          <w:tab w:val="right" w:leader="dot" w:pos="9015"/>
        </w:tabs>
      </w:pPr>
      <w:r>
        <w:rPr>
          <w:rFonts w:hint="eastAsia"/>
          <w:color w:val="000000"/>
        </w:rPr>
        <w:fldChar w:fldCharType="begin"/>
      </w:r>
      <w:r>
        <w:rPr>
          <w:rFonts w:hint="eastAsia"/>
        </w:rPr>
        <w:instrText xml:space="preserve"> HYPERLINK \l _Toc18941 </w:instrText>
      </w:r>
      <w:r>
        <w:rPr>
          <w:rFonts w:hint="eastAsia"/>
        </w:rPr>
        <w:fldChar w:fldCharType="separate"/>
      </w:r>
      <w:r>
        <w:rPr>
          <w:rFonts w:hint="eastAsia"/>
        </w:rPr>
        <w:t>11.3安装竣工验收样表</w:t>
      </w:r>
      <w:r>
        <w:tab/>
      </w:r>
      <w:r>
        <w:fldChar w:fldCharType="begin"/>
      </w:r>
      <w:r>
        <w:instrText xml:space="preserve"> PAGEREF _Toc18941 \h </w:instrText>
      </w:r>
      <w:r>
        <w:fldChar w:fldCharType="separate"/>
      </w:r>
      <w:r>
        <w:t>105</w:t>
      </w:r>
      <w:r>
        <w:fldChar w:fldCharType="end"/>
      </w:r>
      <w:r>
        <w:rPr>
          <w:rFonts w:hint="eastAsia"/>
          <w:color w:val="000000"/>
        </w:rPr>
        <w:fldChar w:fldCharType="end"/>
      </w:r>
    </w:p>
    <w:p w14:paraId="6CA5A2C1">
      <w:pPr>
        <w:pStyle w:val="32"/>
        <w:tabs>
          <w:tab w:val="right" w:leader="dot" w:pos="9015"/>
        </w:tabs>
      </w:pPr>
      <w:r>
        <w:rPr>
          <w:rFonts w:hint="eastAsia"/>
          <w:color w:val="000000"/>
        </w:rPr>
        <w:fldChar w:fldCharType="begin"/>
      </w:r>
      <w:r>
        <w:rPr>
          <w:rFonts w:hint="eastAsia"/>
        </w:rPr>
        <w:instrText xml:space="preserve"> HYPERLINK \l _Toc3460 </w:instrText>
      </w:r>
      <w:r>
        <w:rPr>
          <w:rFonts w:hint="eastAsia"/>
        </w:rPr>
        <w:fldChar w:fldCharType="separate"/>
      </w:r>
      <w:r>
        <w:rPr>
          <w:rFonts w:hint="eastAsia" w:cs="Times New Roman"/>
        </w:rPr>
        <w:t>11.</w:t>
      </w:r>
      <w:r>
        <w:rPr>
          <w:rFonts w:hint="eastAsia" w:cs="Times New Roman"/>
          <w:lang w:val="en-US" w:eastAsia="zh-CN"/>
        </w:rPr>
        <w:t>4</w:t>
      </w:r>
      <w:r>
        <w:rPr>
          <w:rFonts w:hint="eastAsia" w:cs="Times New Roman"/>
          <w:lang w:eastAsia="zh-CN"/>
        </w:rPr>
        <w:t>基础计算书</w:t>
      </w:r>
      <w:r>
        <w:tab/>
      </w:r>
      <w:r>
        <w:fldChar w:fldCharType="begin"/>
      </w:r>
      <w:r>
        <w:instrText xml:space="preserve"> PAGEREF _Toc3460 \h </w:instrText>
      </w:r>
      <w:r>
        <w:fldChar w:fldCharType="separate"/>
      </w:r>
      <w:r>
        <w:t>109</w:t>
      </w:r>
      <w:r>
        <w:fldChar w:fldCharType="end"/>
      </w:r>
      <w:r>
        <w:rPr>
          <w:rFonts w:hint="eastAsia"/>
          <w:color w:val="000000"/>
        </w:rPr>
        <w:fldChar w:fldCharType="end"/>
      </w:r>
    </w:p>
    <w:p w14:paraId="27FDBBF6">
      <w:pPr>
        <w:pStyle w:val="2"/>
        <w:rPr>
          <w:color w:val="000000"/>
        </w:rPr>
      </w:pPr>
      <w:r>
        <w:rPr>
          <w:rFonts w:hint="eastAsia"/>
          <w:color w:val="000000"/>
        </w:rPr>
        <w:fldChar w:fldCharType="end"/>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Start w:id="15" w:name="_Toc8118"/>
      <w:bookmarkStart w:id="16" w:name="_Toc23905_WPSOffice_Level2"/>
      <w:bookmarkStart w:id="17" w:name="_Toc8641_WPSOffice_Level2"/>
      <w:bookmarkStart w:id="18" w:name="_Toc27678"/>
      <w:bookmarkStart w:id="19" w:name="_Toc27001"/>
      <w:bookmarkStart w:id="20" w:name="_Toc11518"/>
      <w:bookmarkStart w:id="21" w:name="_Toc28574"/>
      <w:bookmarkStart w:id="22" w:name="_Toc11000"/>
      <w:bookmarkStart w:id="23" w:name="_Toc27285_WPSOffice_Level2"/>
      <w:bookmarkStart w:id="24" w:name="_Toc1088"/>
      <w:bookmarkStart w:id="25" w:name="_Toc26662"/>
      <w:bookmarkStart w:id="26" w:name="_Toc525111829"/>
      <w:bookmarkStart w:id="27" w:name="_Toc4904"/>
      <w:bookmarkStart w:id="28" w:name="_Toc5984"/>
      <w:bookmarkStart w:id="29" w:name="_Toc6685"/>
      <w:bookmarkStart w:id="30" w:name="_Toc28833_WPSOffice_Level2"/>
      <w:bookmarkStart w:id="31" w:name="_Toc4057"/>
      <w:bookmarkStart w:id="32" w:name="_Toc13952"/>
      <w:bookmarkStart w:id="33" w:name="_Toc27881_WPSOffice_Level2"/>
      <w:bookmarkStart w:id="34" w:name="_Toc6644"/>
      <w:bookmarkStart w:id="35" w:name="_Toc29568"/>
      <w:bookmarkStart w:id="36" w:name="_Toc21675"/>
      <w:bookmarkStart w:id="37" w:name="_Toc26927"/>
      <w:bookmarkStart w:id="38" w:name="_Toc174_WPSOffice_Level2"/>
      <w:bookmarkStart w:id="39" w:name="_Toc16667_WPSOffice_Level2"/>
      <w:bookmarkStart w:id="40" w:name="_Toc4066"/>
      <w:bookmarkStart w:id="41" w:name="_Toc30524"/>
      <w:bookmarkStart w:id="42" w:name="_Toc23722"/>
      <w:r>
        <w:rPr>
          <w:rFonts w:hint="eastAsia"/>
          <w:color w:val="000000"/>
        </w:rPr>
        <w:t>第一章 编制说明</w:t>
      </w:r>
      <w:bookmarkEnd w:id="15"/>
    </w:p>
    <w:p w14:paraId="4C209AE4">
      <w:pPr>
        <w:pStyle w:val="3"/>
        <w:rPr>
          <w:color w:val="000000"/>
        </w:rPr>
      </w:pPr>
      <w:bookmarkStart w:id="43" w:name="_Toc15621"/>
      <w:bookmarkStart w:id="44" w:name="_Toc18899"/>
      <w:bookmarkStart w:id="45" w:name="_Toc1885"/>
      <w:bookmarkStart w:id="46" w:name="_Toc16112"/>
      <w:bookmarkStart w:id="47" w:name="_Toc2675"/>
      <w:bookmarkStart w:id="48" w:name="_Toc16472"/>
      <w:bookmarkStart w:id="49" w:name="_Toc45466123"/>
      <w:bookmarkStart w:id="50" w:name="_Toc30367"/>
      <w:bookmarkStart w:id="51" w:name="_Toc27194"/>
      <w:bookmarkStart w:id="52" w:name="_Toc38284943"/>
      <w:bookmarkStart w:id="53" w:name="_Toc14240"/>
      <w:bookmarkStart w:id="54" w:name="_Toc31845"/>
      <w:bookmarkStart w:id="55" w:name="_Toc31524"/>
      <w:bookmarkStart w:id="56" w:name="_Toc29906"/>
      <w:bookmarkStart w:id="57" w:name="_Toc38284771"/>
      <w:bookmarkStart w:id="58" w:name="_Toc29292"/>
      <w:bookmarkStart w:id="59" w:name="_Toc78734648"/>
      <w:bookmarkStart w:id="60" w:name="_Toc18198"/>
      <w:bookmarkStart w:id="61" w:name="_Toc19508"/>
      <w:r>
        <w:rPr>
          <w:rFonts w:hint="eastAsia"/>
          <w:color w:val="000000"/>
        </w:rPr>
        <w:t>1</w:t>
      </w:r>
      <w:r>
        <w:rPr>
          <w:color w:val="000000"/>
        </w:rPr>
        <w:t>.1编制依据</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19E30475">
      <w:pPr>
        <w:ind w:left="560" w:leftChars="200" w:firstLine="0" w:firstLineChars="0"/>
        <w:rPr>
          <w:color w:val="000000"/>
        </w:rPr>
      </w:pPr>
      <w:r>
        <w:rPr>
          <w:rFonts w:hint="eastAsia"/>
          <w:color w:val="000000"/>
        </w:rPr>
        <w:t>现行法规、规范、标准及办法，主要有：</w:t>
      </w:r>
    </w:p>
    <w:p w14:paraId="352EB7FF">
      <w:pPr>
        <w:ind w:firstLine="560"/>
        <w:rPr>
          <w:rFonts w:hint="eastAsia"/>
          <w:color w:val="000000"/>
        </w:rPr>
      </w:pPr>
      <w:r>
        <w:rPr>
          <w:rFonts w:hint="eastAsia"/>
          <w:color w:val="000000"/>
        </w:rPr>
        <w:t>[1]《中华人民共和国特种设备安全法》</w:t>
      </w:r>
      <w:r>
        <w:rPr>
          <w:rFonts w:hint="eastAsia"/>
          <w:color w:val="000000"/>
          <w:lang w:val="en-US" w:eastAsia="zh-CN"/>
        </w:rPr>
        <w:t xml:space="preserve">            </w:t>
      </w:r>
      <w:r>
        <w:rPr>
          <w:rFonts w:hint="eastAsia"/>
          <w:color w:val="000000"/>
        </w:rPr>
        <w:t>（主席令第四号）</w:t>
      </w:r>
    </w:p>
    <w:p w14:paraId="5C559404">
      <w:pPr>
        <w:ind w:firstLine="560"/>
        <w:rPr>
          <w:rFonts w:hint="eastAsia"/>
          <w:color w:val="000000"/>
        </w:rPr>
      </w:pPr>
      <w:r>
        <w:rPr>
          <w:rFonts w:hint="eastAsia"/>
          <w:color w:val="000000"/>
        </w:rPr>
        <w:t>[2]《中华人民共和国安全生产法 》</w:t>
      </w:r>
      <w:r>
        <w:rPr>
          <w:rFonts w:hint="eastAsia"/>
          <w:color w:val="000000"/>
          <w:lang w:val="en-US" w:eastAsia="zh-CN"/>
        </w:rPr>
        <w:t xml:space="preserve">                  </w:t>
      </w:r>
      <w:r>
        <w:rPr>
          <w:rFonts w:hint="eastAsia"/>
          <w:color w:val="000000"/>
        </w:rPr>
        <w:t>（第三次修正）</w:t>
      </w:r>
    </w:p>
    <w:p w14:paraId="5A1C4A3F">
      <w:pPr>
        <w:ind w:firstLine="560"/>
        <w:rPr>
          <w:rFonts w:hint="eastAsia"/>
          <w:color w:val="000000"/>
        </w:rPr>
      </w:pPr>
      <w:r>
        <w:rPr>
          <w:rFonts w:hint="eastAsia"/>
          <w:color w:val="000000"/>
        </w:rPr>
        <w:t>[3]《建设工程安全生产管理条例》</w:t>
      </w:r>
      <w:r>
        <w:rPr>
          <w:rFonts w:hint="eastAsia"/>
          <w:color w:val="000000"/>
          <w:lang w:val="en-US" w:eastAsia="zh-CN"/>
        </w:rPr>
        <w:t xml:space="preserve">            </w:t>
      </w:r>
      <w:r>
        <w:rPr>
          <w:rFonts w:hint="eastAsia"/>
          <w:color w:val="000000"/>
        </w:rPr>
        <w:t>（国务院令第393号）</w:t>
      </w:r>
    </w:p>
    <w:p w14:paraId="0A594934">
      <w:pPr>
        <w:ind w:firstLine="560"/>
        <w:rPr>
          <w:rFonts w:hint="eastAsia"/>
          <w:color w:val="000000"/>
        </w:rPr>
      </w:pPr>
      <w:r>
        <w:rPr>
          <w:rFonts w:hint="eastAsia"/>
          <w:color w:val="000000"/>
        </w:rPr>
        <w:t>[4]《特种设备使用管理规则》</w:t>
      </w:r>
      <w:r>
        <w:rPr>
          <w:rFonts w:hint="eastAsia"/>
          <w:color w:val="000000"/>
          <w:lang w:val="en-US" w:eastAsia="zh-CN"/>
        </w:rPr>
        <w:t xml:space="preserve">                       </w:t>
      </w:r>
      <w:r>
        <w:rPr>
          <w:rFonts w:hint="eastAsia"/>
          <w:color w:val="000000"/>
        </w:rPr>
        <w:t>（TSG 08-2017）</w:t>
      </w:r>
    </w:p>
    <w:p w14:paraId="1E59FC1A">
      <w:pPr>
        <w:ind w:firstLine="560"/>
        <w:rPr>
          <w:rFonts w:hint="eastAsia"/>
          <w:color w:val="000000"/>
        </w:rPr>
      </w:pPr>
      <w:r>
        <w:rPr>
          <w:rFonts w:hint="eastAsia"/>
          <w:color w:val="000000"/>
        </w:rPr>
        <w:t>[5]《特种设备安全监察条例》</w:t>
      </w:r>
      <w:r>
        <w:rPr>
          <w:rFonts w:hint="eastAsia"/>
          <w:color w:val="000000"/>
          <w:lang w:val="en-US" w:eastAsia="zh-CN"/>
        </w:rPr>
        <w:t xml:space="preserve">                </w:t>
      </w:r>
      <w:r>
        <w:rPr>
          <w:rFonts w:hint="eastAsia"/>
          <w:color w:val="000000"/>
        </w:rPr>
        <w:t>（国务院令第549号）</w:t>
      </w:r>
    </w:p>
    <w:p w14:paraId="7D292B5D">
      <w:pPr>
        <w:ind w:firstLine="560"/>
        <w:rPr>
          <w:rFonts w:hint="eastAsia"/>
          <w:color w:val="000000"/>
        </w:rPr>
      </w:pPr>
      <w:r>
        <w:rPr>
          <w:rFonts w:hint="eastAsia"/>
          <w:color w:val="000000"/>
        </w:rPr>
        <w:t>[6]《建筑施工塔式起重机安装、使用、拆卸安全技术规程》（JGJ196-2010）</w:t>
      </w:r>
    </w:p>
    <w:p w14:paraId="2F717849">
      <w:pPr>
        <w:ind w:firstLine="560"/>
        <w:rPr>
          <w:rFonts w:hint="eastAsia"/>
          <w:color w:val="000000"/>
        </w:rPr>
      </w:pPr>
      <w:r>
        <w:rPr>
          <w:rFonts w:hint="eastAsia"/>
          <w:color w:val="000000"/>
        </w:rPr>
        <w:t>[7]《塔式起重机安全规程》</w:t>
      </w:r>
      <w:r>
        <w:rPr>
          <w:rFonts w:hint="eastAsia"/>
          <w:color w:val="000000"/>
          <w:lang w:val="en-US" w:eastAsia="zh-CN"/>
        </w:rPr>
        <w:t xml:space="preserve">                        </w:t>
      </w:r>
      <w:r>
        <w:rPr>
          <w:rFonts w:hint="eastAsia"/>
          <w:color w:val="000000"/>
        </w:rPr>
        <w:t>（GB5144-2006）</w:t>
      </w:r>
    </w:p>
    <w:p w14:paraId="2F2058C5">
      <w:pPr>
        <w:ind w:firstLine="560"/>
        <w:rPr>
          <w:rFonts w:hint="eastAsia"/>
          <w:color w:val="000000"/>
        </w:rPr>
      </w:pPr>
      <w:r>
        <w:rPr>
          <w:rFonts w:hint="eastAsia"/>
          <w:color w:val="000000"/>
        </w:rPr>
        <w:t>[8]《建筑机械使用安全技术规程》</w:t>
      </w:r>
      <w:r>
        <w:rPr>
          <w:rFonts w:hint="eastAsia"/>
          <w:color w:val="000000"/>
          <w:lang w:val="en-US" w:eastAsia="zh-CN"/>
        </w:rPr>
        <w:t xml:space="preserve">                    </w:t>
      </w:r>
      <w:r>
        <w:rPr>
          <w:rFonts w:hint="eastAsia"/>
          <w:color w:val="000000"/>
        </w:rPr>
        <w:t>（JGJ33-2012）</w:t>
      </w:r>
    </w:p>
    <w:p w14:paraId="06FA45A7">
      <w:pPr>
        <w:ind w:firstLine="560"/>
        <w:rPr>
          <w:rFonts w:hint="eastAsia"/>
          <w:color w:val="000000"/>
        </w:rPr>
      </w:pPr>
      <w:r>
        <w:rPr>
          <w:rFonts w:hint="eastAsia"/>
          <w:color w:val="000000"/>
        </w:rPr>
        <w:t>[9]《建筑施工安全检查标准》</w:t>
      </w:r>
      <w:r>
        <w:rPr>
          <w:rFonts w:hint="eastAsia"/>
          <w:color w:val="000000"/>
          <w:lang w:val="en-US" w:eastAsia="zh-CN"/>
        </w:rPr>
        <w:t xml:space="preserve">                      </w:t>
      </w:r>
      <w:r>
        <w:rPr>
          <w:rFonts w:hint="eastAsia"/>
          <w:color w:val="000000"/>
        </w:rPr>
        <w:t>（JGJ59-2011）</w:t>
      </w:r>
    </w:p>
    <w:p w14:paraId="4A4EC11A">
      <w:pPr>
        <w:ind w:firstLine="560"/>
        <w:rPr>
          <w:rFonts w:hint="eastAsia"/>
          <w:color w:val="000000"/>
        </w:rPr>
      </w:pPr>
      <w:r>
        <w:rPr>
          <w:rFonts w:hint="eastAsia"/>
          <w:color w:val="000000"/>
        </w:rPr>
        <w:t>[11]《建筑施工高处作业安全技术规范》</w:t>
      </w:r>
      <w:r>
        <w:rPr>
          <w:rFonts w:hint="eastAsia"/>
          <w:color w:val="000000"/>
          <w:lang w:val="en-US" w:eastAsia="zh-CN"/>
        </w:rPr>
        <w:t xml:space="preserve">             </w:t>
      </w:r>
      <w:r>
        <w:rPr>
          <w:rFonts w:hint="eastAsia"/>
          <w:color w:val="000000"/>
        </w:rPr>
        <w:t>（JGJ80-2016）</w:t>
      </w:r>
    </w:p>
    <w:p w14:paraId="4A52ED71">
      <w:pPr>
        <w:ind w:firstLine="560"/>
        <w:rPr>
          <w:rFonts w:hint="eastAsia"/>
          <w:color w:val="000000"/>
        </w:rPr>
      </w:pPr>
      <w:r>
        <w:rPr>
          <w:rFonts w:hint="eastAsia"/>
          <w:color w:val="000000"/>
        </w:rPr>
        <w:t>[12]《建筑施工起重吊装工程安全技术规范》</w:t>
      </w:r>
      <w:r>
        <w:rPr>
          <w:rFonts w:hint="eastAsia"/>
          <w:color w:val="000000"/>
          <w:lang w:val="en-US" w:eastAsia="zh-CN"/>
        </w:rPr>
        <w:t xml:space="preserve">        </w:t>
      </w:r>
      <w:r>
        <w:rPr>
          <w:rFonts w:hint="eastAsia"/>
          <w:color w:val="000000"/>
        </w:rPr>
        <w:t>（JGJ276-2012）</w:t>
      </w:r>
    </w:p>
    <w:p w14:paraId="6A6BF093">
      <w:pPr>
        <w:ind w:firstLine="560"/>
        <w:rPr>
          <w:rFonts w:hint="eastAsia"/>
          <w:color w:val="000000"/>
        </w:rPr>
      </w:pPr>
      <w:r>
        <w:rPr>
          <w:rFonts w:hint="eastAsia"/>
          <w:color w:val="000000"/>
        </w:rPr>
        <w:t>[13]《建筑起重机械安全监督管理规定》</w:t>
      </w:r>
      <w:r>
        <w:rPr>
          <w:rFonts w:hint="eastAsia"/>
          <w:color w:val="000000"/>
          <w:lang w:val="en-US" w:eastAsia="zh-CN"/>
        </w:rPr>
        <w:t xml:space="preserve">       </w:t>
      </w:r>
      <w:r>
        <w:rPr>
          <w:rFonts w:hint="eastAsia"/>
          <w:color w:val="000000"/>
        </w:rPr>
        <w:t>（建设部第166号令）</w:t>
      </w:r>
    </w:p>
    <w:p w14:paraId="49F92027">
      <w:pPr>
        <w:ind w:firstLine="560"/>
        <w:rPr>
          <w:rFonts w:hint="eastAsia"/>
          <w:color w:val="000000"/>
        </w:rPr>
      </w:pPr>
      <w:r>
        <w:rPr>
          <w:rFonts w:hint="eastAsia"/>
          <w:color w:val="000000"/>
        </w:rPr>
        <w:t>[14]《起重机钢丝绳保养、维护、检验和报废》</w:t>
      </w:r>
      <w:r>
        <w:rPr>
          <w:rFonts w:hint="eastAsia"/>
          <w:color w:val="000000"/>
          <w:lang w:val="en-US" w:eastAsia="zh-CN"/>
        </w:rPr>
        <w:t xml:space="preserve">    </w:t>
      </w:r>
      <w:r>
        <w:rPr>
          <w:rFonts w:hint="eastAsia"/>
          <w:color w:val="000000"/>
        </w:rPr>
        <w:t>（GB/T5972-20</w:t>
      </w:r>
      <w:r>
        <w:rPr>
          <w:rFonts w:hint="eastAsia"/>
          <w:color w:val="000000"/>
          <w:lang w:val="en-US" w:eastAsia="zh-CN"/>
        </w:rPr>
        <w:t>23</w:t>
      </w:r>
      <w:r>
        <w:rPr>
          <w:rFonts w:hint="eastAsia"/>
          <w:color w:val="000000"/>
        </w:rPr>
        <w:t>）</w:t>
      </w:r>
    </w:p>
    <w:p w14:paraId="75534F75">
      <w:pPr>
        <w:ind w:firstLine="560"/>
        <w:rPr>
          <w:rFonts w:hint="eastAsia"/>
          <w:color w:val="000000"/>
        </w:rPr>
      </w:pPr>
      <w:r>
        <w:rPr>
          <w:rFonts w:hint="eastAsia"/>
          <w:color w:val="000000"/>
        </w:rPr>
        <w:t>[15]《一般用途钢丝绳吊索特性和技术条件》</w:t>
      </w:r>
      <w:r>
        <w:rPr>
          <w:rFonts w:hint="eastAsia"/>
          <w:color w:val="000000"/>
          <w:lang w:val="en-US" w:eastAsia="zh-CN"/>
        </w:rPr>
        <w:t xml:space="preserve">     </w:t>
      </w:r>
      <w:r>
        <w:rPr>
          <w:rFonts w:hint="eastAsia"/>
          <w:color w:val="000000"/>
        </w:rPr>
        <w:t>(GB/T 16762-2020 )</w:t>
      </w:r>
    </w:p>
    <w:p w14:paraId="181C2CCC">
      <w:pPr>
        <w:ind w:firstLine="560"/>
        <w:rPr>
          <w:rFonts w:hint="eastAsia"/>
          <w:color w:val="000000"/>
        </w:rPr>
      </w:pPr>
      <w:r>
        <w:rPr>
          <w:rFonts w:hint="eastAsia"/>
          <w:color w:val="000000"/>
        </w:rPr>
        <w:t>[16]《钢丝绳通用技术条件》</w:t>
      </w:r>
      <w:r>
        <w:rPr>
          <w:rFonts w:hint="eastAsia"/>
          <w:color w:val="000000"/>
          <w:lang w:val="en-US" w:eastAsia="zh-CN"/>
        </w:rPr>
        <w:t xml:space="preserve">                   </w:t>
      </w:r>
      <w:r>
        <w:rPr>
          <w:rFonts w:hint="eastAsia"/>
          <w:color w:val="000000"/>
        </w:rPr>
        <w:t>(GB/T 20118-2017 )</w:t>
      </w:r>
    </w:p>
    <w:p w14:paraId="0BEF5A2A">
      <w:pPr>
        <w:ind w:firstLine="560"/>
        <w:rPr>
          <w:rFonts w:hint="eastAsia"/>
          <w:color w:val="000000"/>
        </w:rPr>
      </w:pPr>
      <w:r>
        <w:rPr>
          <w:rFonts w:hint="eastAsia"/>
          <w:color w:val="000000"/>
        </w:rPr>
        <w:t>[17]《塔式起重机混凝土基础工程技术标准》</w:t>
      </w:r>
      <w:r>
        <w:rPr>
          <w:rFonts w:hint="eastAsia"/>
          <w:color w:val="000000"/>
          <w:lang w:val="en-US" w:eastAsia="zh-CN"/>
        </w:rPr>
        <w:t xml:space="preserve">       </w:t>
      </w:r>
      <w:r>
        <w:rPr>
          <w:rFonts w:hint="eastAsia"/>
          <w:color w:val="000000"/>
        </w:rPr>
        <w:t>（JGJ/T187-2019）</w:t>
      </w:r>
    </w:p>
    <w:p w14:paraId="7862BEBE">
      <w:pPr>
        <w:ind w:firstLine="560"/>
        <w:rPr>
          <w:rFonts w:hint="eastAsia"/>
          <w:color w:val="000000"/>
        </w:rPr>
      </w:pPr>
      <w:r>
        <w:rPr>
          <w:rFonts w:hint="eastAsia"/>
          <w:color w:val="000000"/>
        </w:rPr>
        <w:t>[18]《危险性较大的分部分项工程安全管理规定》</w:t>
      </w:r>
      <w:r>
        <w:rPr>
          <w:rFonts w:hint="eastAsia"/>
          <w:color w:val="000000"/>
          <w:lang w:val="en-US" w:eastAsia="zh-CN"/>
        </w:rPr>
        <w:t xml:space="preserve">  </w:t>
      </w:r>
      <w:r>
        <w:rPr>
          <w:rFonts w:hint="eastAsia"/>
          <w:color w:val="000000"/>
        </w:rPr>
        <w:t>(住建部令第37号)</w:t>
      </w:r>
    </w:p>
    <w:p w14:paraId="7F3C75C8">
      <w:pPr>
        <w:ind w:firstLine="560"/>
        <w:rPr>
          <w:rFonts w:hint="eastAsia"/>
          <w:color w:val="000000"/>
        </w:rPr>
      </w:pPr>
      <w:r>
        <w:rPr>
          <w:rFonts w:hint="eastAsia"/>
          <w:color w:val="000000"/>
        </w:rPr>
        <w:t>[19]《公路工程施工安全技术规范》</w:t>
      </w:r>
      <w:r>
        <w:rPr>
          <w:rFonts w:hint="eastAsia"/>
          <w:color w:val="000000"/>
          <w:lang w:val="en-US" w:eastAsia="zh-CN"/>
        </w:rPr>
        <w:t xml:space="preserve">              </w:t>
      </w:r>
      <w:r>
        <w:rPr>
          <w:rFonts w:hint="eastAsia"/>
          <w:color w:val="000000"/>
        </w:rPr>
        <w:t>（JTG F90-2015 ）</w:t>
      </w:r>
    </w:p>
    <w:p w14:paraId="4E139ABB">
      <w:pPr>
        <w:ind w:firstLine="560"/>
        <w:rPr>
          <w:rFonts w:hint="eastAsia"/>
          <w:color w:val="000000"/>
        </w:rPr>
      </w:pPr>
      <w:r>
        <w:rPr>
          <w:rFonts w:hint="eastAsia"/>
          <w:color w:val="000000"/>
        </w:rPr>
        <w:t>[20]《施工现场临时用电安全技术规范》</w:t>
      </w:r>
      <w:r>
        <w:rPr>
          <w:rFonts w:hint="eastAsia"/>
          <w:color w:val="000000"/>
          <w:lang w:val="en-US" w:eastAsia="zh-CN"/>
        </w:rPr>
        <w:t xml:space="preserve">             </w:t>
      </w:r>
      <w:r>
        <w:rPr>
          <w:rFonts w:hint="eastAsia"/>
          <w:color w:val="000000"/>
        </w:rPr>
        <w:t>（JGJ46-2005）</w:t>
      </w:r>
    </w:p>
    <w:p w14:paraId="23C52228">
      <w:pPr>
        <w:ind w:firstLine="560"/>
        <w:rPr>
          <w:rFonts w:hint="eastAsia"/>
          <w:color w:val="000000"/>
        </w:rPr>
      </w:pPr>
      <w:r>
        <w:rPr>
          <w:rFonts w:hint="eastAsia"/>
          <w:color w:val="000000"/>
          <w:lang w:val="en-US" w:eastAsia="zh-CN"/>
        </w:rPr>
        <w:t>[21]</w:t>
      </w:r>
      <w:r>
        <w:rPr>
          <w:rFonts w:hint="eastAsia"/>
          <w:color w:val="000000"/>
        </w:rPr>
        <w:t>《起重机械安全技术规程》</w:t>
      </w:r>
      <w:r>
        <w:rPr>
          <w:rFonts w:hint="eastAsia"/>
          <w:color w:val="000000"/>
          <w:lang w:val="en-US" w:eastAsia="zh-CN"/>
        </w:rPr>
        <w:t xml:space="preserve">                    </w:t>
      </w:r>
      <w:r>
        <w:rPr>
          <w:rFonts w:hint="eastAsia"/>
          <w:color w:val="000000"/>
        </w:rPr>
        <w:t>（TSG 51-2023）</w:t>
      </w:r>
    </w:p>
    <w:p w14:paraId="2DE30523">
      <w:pPr>
        <w:ind w:firstLine="560"/>
        <w:rPr>
          <w:rFonts w:hint="eastAsia"/>
          <w:color w:val="000000"/>
        </w:rPr>
      </w:pPr>
      <w:r>
        <w:rPr>
          <w:rFonts w:hint="eastAsia"/>
          <w:color w:val="000000"/>
        </w:rPr>
        <w:t>[2</w:t>
      </w:r>
      <w:r>
        <w:rPr>
          <w:rFonts w:hint="eastAsia"/>
          <w:color w:val="000000"/>
          <w:lang w:val="en-US" w:eastAsia="zh-CN"/>
        </w:rPr>
        <w:t>2</w:t>
      </w:r>
      <w:r>
        <w:rPr>
          <w:rFonts w:hint="eastAsia"/>
          <w:color w:val="000000"/>
        </w:rPr>
        <w:t xml:space="preserve">] </w:t>
      </w:r>
      <w:bookmarkStart w:id="62" w:name="_Toc4539"/>
      <w:bookmarkStart w:id="63" w:name="_Toc25765"/>
      <w:bookmarkStart w:id="64" w:name="_Toc28189"/>
      <w:bookmarkStart w:id="65" w:name="_Toc14821"/>
      <w:bookmarkStart w:id="66" w:name="_Toc14535"/>
      <w:bookmarkStart w:id="67" w:name="_Toc11265"/>
      <w:bookmarkStart w:id="68" w:name="_Toc30101"/>
      <w:bookmarkStart w:id="69" w:name="_Toc24559"/>
      <w:bookmarkStart w:id="70" w:name="_Toc19823"/>
      <w:bookmarkStart w:id="71" w:name="_Toc16460"/>
      <w:bookmarkStart w:id="72" w:name="_Toc13106"/>
      <w:bookmarkStart w:id="73" w:name="_Toc3672"/>
      <w:bookmarkStart w:id="74" w:name="_Toc26335"/>
      <w:bookmarkStart w:id="75" w:name="_Toc1855"/>
      <w:bookmarkStart w:id="76" w:name="_Toc19237"/>
      <w:r>
        <w:rPr>
          <w:rFonts w:hint="eastAsia"/>
          <w:color w:val="000000"/>
        </w:rPr>
        <w:t>徐工《</w:t>
      </w:r>
      <w:r>
        <w:rPr>
          <w:rFonts w:hint="eastAsia"/>
          <w:color w:val="000000"/>
          <w:lang w:eastAsia="zh-CN"/>
        </w:rPr>
        <w:t>XGT6015A-8S</w:t>
      </w:r>
      <w:r>
        <w:rPr>
          <w:rFonts w:hint="eastAsia"/>
          <w:color w:val="000000"/>
        </w:rPr>
        <w:t>塔式起重机使用说明书》</w:t>
      </w:r>
    </w:p>
    <w:p w14:paraId="7948D7F1">
      <w:pPr>
        <w:pStyle w:val="3"/>
        <w:rPr>
          <w:rFonts w:ascii="Times New Roman" w:hAnsi="Times New Roman"/>
          <w:color w:val="000000"/>
        </w:rPr>
      </w:pPr>
      <w:bookmarkStart w:id="77" w:name="_Toc7848"/>
      <w:r>
        <w:rPr>
          <w:rFonts w:hint="eastAsia"/>
          <w:color w:val="000000"/>
        </w:rPr>
        <w:t>1.2 编制原则</w:t>
      </w:r>
      <w:bookmarkEnd w:id="77"/>
    </w:p>
    <w:p w14:paraId="7A913CA5">
      <w:pPr>
        <w:widowControl/>
        <w:adjustRightInd w:val="0"/>
        <w:ind w:firstLine="560"/>
        <w:jc w:val="left"/>
        <w:rPr>
          <w:color w:val="000000"/>
        </w:rPr>
      </w:pPr>
      <w:r>
        <w:rPr>
          <w:rFonts w:hint="eastAsia"/>
          <w:color w:val="000000"/>
        </w:rPr>
        <w:t>（1）安全第一的原则，坚持“安全第一，预防为主，综合治理”的指导思想，遵守国家安全相关法律法规，结合工程特点，制定积极有效的安全管理、技术、组织措施，确保人身安全和工程安全。</w:t>
      </w:r>
    </w:p>
    <w:p w14:paraId="30D08F23">
      <w:pPr>
        <w:widowControl/>
        <w:adjustRightInd w:val="0"/>
        <w:ind w:firstLine="560"/>
        <w:jc w:val="left"/>
        <w:rPr>
          <w:color w:val="000000"/>
        </w:rPr>
      </w:pPr>
      <w:r>
        <w:rPr>
          <w:rFonts w:hint="eastAsia"/>
          <w:color w:val="000000"/>
        </w:rPr>
        <w:t>（2）确保工期的原则，根据工程施工组织安排，编制科学的、合理的、周密的施工方案，合理安排塔柱施工进度，实行网络控制，做好工序衔接，实施进度监控，确保实现工期目标，满足业主要求。</w:t>
      </w:r>
    </w:p>
    <w:p w14:paraId="4C0FFBAB">
      <w:pPr>
        <w:widowControl/>
        <w:adjustRightInd w:val="0"/>
        <w:ind w:firstLine="560"/>
        <w:jc w:val="left"/>
      </w:pPr>
      <w:r>
        <w:rPr>
          <w:rFonts w:hint="eastAsia"/>
          <w:color w:val="000000"/>
        </w:rPr>
        <w:t>（3）方案优化的原则，科学组织，合理安排，以采用成熟的施工技术、先进的机械、完善的施工工艺为原则。</w:t>
      </w:r>
    </w:p>
    <w:p w14:paraId="1C36B3AD">
      <w:pPr>
        <w:pStyle w:val="3"/>
        <w:rPr>
          <w:color w:val="000000"/>
        </w:rPr>
      </w:pPr>
      <w:bookmarkStart w:id="78" w:name="_Toc7277"/>
      <w:r>
        <w:rPr>
          <w:rFonts w:hint="eastAsia"/>
          <w:color w:val="000000"/>
        </w:rPr>
        <w:t>1.3 编制范围</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8"/>
    </w:p>
    <w:p w14:paraId="7997C48B">
      <w:pPr>
        <w:widowControl/>
        <w:adjustRightInd w:val="0"/>
        <w:ind w:firstLine="560"/>
        <w:jc w:val="left"/>
        <w:rPr>
          <w:color w:val="000000"/>
        </w:rPr>
      </w:pPr>
      <w:r>
        <w:rPr>
          <w:rFonts w:hint="eastAsia"/>
          <w:color w:val="000000"/>
        </w:rPr>
        <w:t>本方案适用于新建合肥至武汉高速铁路（湖北段）站前工程HWZQ-4标段黄花涝府河特大桥</w:t>
      </w:r>
      <w:r>
        <w:rPr>
          <w:rFonts w:hint="eastAsia"/>
          <w:color w:val="000000"/>
          <w:lang w:val="en-US" w:eastAsia="zh-CN"/>
        </w:rPr>
        <w:t>411</w:t>
      </w:r>
      <w:r>
        <w:rPr>
          <w:rFonts w:hint="eastAsia"/>
          <w:color w:val="000000"/>
        </w:rPr>
        <w:t>#墩</w:t>
      </w:r>
      <w:r>
        <w:rPr>
          <w:rFonts w:hint="eastAsia"/>
          <w:color w:val="000000"/>
          <w:lang w:eastAsia="zh-CN"/>
        </w:rPr>
        <w:t>、</w:t>
      </w:r>
      <w:r>
        <w:rPr>
          <w:rFonts w:hint="eastAsia"/>
          <w:color w:val="000000"/>
          <w:lang w:val="en-US" w:eastAsia="zh-CN"/>
        </w:rPr>
        <w:t>410#墩</w:t>
      </w:r>
      <w:r>
        <w:rPr>
          <w:rFonts w:hint="eastAsia"/>
          <w:color w:val="000000"/>
          <w:lang w:eastAsia="zh-CN"/>
        </w:rPr>
        <w:t>XGT6015A-8S型</w:t>
      </w:r>
      <w:r>
        <w:rPr>
          <w:rFonts w:hint="eastAsia"/>
          <w:color w:val="000000"/>
        </w:rPr>
        <w:t>塔式起重机安拆施工。</w:t>
      </w:r>
    </w:p>
    <w:p w14:paraId="4E5BFA63">
      <w:pPr>
        <w:ind w:firstLine="560"/>
        <w:rPr>
          <w:rFonts w:hint="eastAsia" w:eastAsia="仿宋" w:cs="仿宋"/>
          <w:bCs/>
          <w:color w:val="000000"/>
          <w:kern w:val="44"/>
          <w:szCs w:val="44"/>
          <w:lang w:val="en-US" w:eastAsia="zh-CN"/>
        </w:rPr>
      </w:pPr>
      <w:bookmarkStart w:id="79" w:name="_Toc6722"/>
      <w:r>
        <w:rPr>
          <w:rFonts w:hint="eastAsia" w:cs="仿宋"/>
          <w:bCs/>
          <w:color w:val="000000"/>
          <w:kern w:val="44"/>
          <w:szCs w:val="44"/>
          <w:lang w:val="en-US" w:eastAsia="zh-CN"/>
        </w:rPr>
        <w:t xml:space="preserve"> </w:t>
      </w:r>
    </w:p>
    <w:p w14:paraId="39A18567">
      <w:pPr>
        <w:pStyle w:val="2"/>
        <w:ind w:left="1960" w:right="1960"/>
        <w:rPr>
          <w:color w:val="000000"/>
        </w:rPr>
      </w:pPr>
      <w:bookmarkStart w:id="80" w:name="_Toc9989"/>
      <w:bookmarkStart w:id="81" w:name="_Toc15747"/>
      <w:bookmarkStart w:id="82" w:name="_Toc23740"/>
      <w:bookmarkStart w:id="83" w:name="_Toc26925"/>
      <w:bookmarkStart w:id="84" w:name="_Toc31276"/>
      <w:bookmarkStart w:id="85" w:name="_Toc20439"/>
      <w:bookmarkStart w:id="86" w:name="_Toc24863"/>
      <w:bookmarkStart w:id="87" w:name="_Toc25032"/>
      <w:bookmarkStart w:id="88" w:name="_Toc7598"/>
      <w:bookmarkStart w:id="89" w:name="_Toc1259"/>
      <w:bookmarkStart w:id="90" w:name="_Toc668"/>
      <w:bookmarkStart w:id="91" w:name="_Toc2670"/>
      <w:bookmarkStart w:id="92" w:name="_Toc30497"/>
      <w:bookmarkStart w:id="93" w:name="_Toc3314"/>
      <w:bookmarkStart w:id="94" w:name="_Toc32171"/>
      <w:r>
        <w:rPr>
          <w:rFonts w:hint="eastAsia"/>
          <w:color w:val="000000"/>
        </w:rPr>
        <w:t>第二章 工程概况</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0487874E">
      <w:pPr>
        <w:pStyle w:val="3"/>
        <w:rPr>
          <w:color w:val="000000"/>
        </w:rPr>
      </w:pPr>
      <w:bookmarkStart w:id="95" w:name="_Toc31978"/>
      <w:bookmarkStart w:id="96" w:name="_Toc14049"/>
      <w:bookmarkStart w:id="97" w:name="_Toc7670"/>
      <w:bookmarkStart w:id="98" w:name="_Toc17559"/>
      <w:bookmarkStart w:id="99" w:name="_Toc14286"/>
      <w:bookmarkStart w:id="100" w:name="_Toc20636"/>
      <w:bookmarkStart w:id="101" w:name="_Toc13968"/>
      <w:bookmarkStart w:id="102" w:name="_Toc27851"/>
      <w:bookmarkStart w:id="103" w:name="_Toc6653"/>
      <w:bookmarkStart w:id="104" w:name="_Toc18349"/>
      <w:bookmarkStart w:id="105" w:name="_Toc24560"/>
      <w:bookmarkStart w:id="106" w:name="_Toc32454"/>
      <w:bookmarkStart w:id="107" w:name="_Toc21266"/>
      <w:bookmarkStart w:id="108" w:name="_Toc25631"/>
      <w:bookmarkStart w:id="109" w:name="_Toc13963"/>
      <w:r>
        <w:rPr>
          <w:rFonts w:hint="eastAsia"/>
          <w:color w:val="000000"/>
        </w:rPr>
        <w:t>2.1 工程概况</w:t>
      </w:r>
      <w:bookmarkEnd w:id="95"/>
      <w:bookmarkEnd w:id="96"/>
      <w:bookmarkEnd w:id="97"/>
      <w:bookmarkEnd w:id="98"/>
      <w:bookmarkEnd w:id="99"/>
      <w:bookmarkEnd w:id="100"/>
      <w:bookmarkEnd w:id="101"/>
    </w:p>
    <w:p w14:paraId="5E5E685E">
      <w:pPr>
        <w:ind w:firstLine="560"/>
        <w:outlineLvl w:val="2"/>
        <w:rPr>
          <w:rFonts w:ascii="黑体" w:hAnsi="黑体" w:eastAsia="黑体" w:cs="黑体"/>
          <w:color w:val="000000"/>
        </w:rPr>
      </w:pPr>
      <w:r>
        <w:rPr>
          <w:rFonts w:hint="eastAsia" w:ascii="黑体" w:hAnsi="黑体" w:eastAsia="黑体" w:cs="黑体"/>
          <w:color w:val="000000"/>
        </w:rPr>
        <w:t>2.1.1 工程概况</w:t>
      </w:r>
    </w:p>
    <w:p w14:paraId="4D81EF80">
      <w:pPr>
        <w:spacing w:line="240" w:lineRule="auto"/>
        <w:ind w:firstLine="560"/>
        <w:jc w:val="left"/>
      </w:pPr>
      <w:r>
        <w:rPr>
          <w:rFonts w:hint="eastAsia"/>
        </w:rPr>
        <w:t>黄花涝府河特大桥位于湖北省武汉市黄陂区和东西湖区境内，桥梁起点里程：DK305+332.165，桥梁终点里程：DK334+723.220，桥梁中心里程：DK320+027.693，桥全长：L= 29391.055m。</w:t>
      </w:r>
    </w:p>
    <w:p w14:paraId="55611DF5">
      <w:pPr>
        <w:spacing w:line="240" w:lineRule="auto"/>
        <w:ind w:firstLine="560"/>
        <w:jc w:val="left"/>
      </w:pPr>
      <w:r>
        <w:rPr>
          <w:rFonts w:hint="eastAsia"/>
        </w:rPr>
        <w:t>该桥址于52#墩～55#墩（DK306+879.175～DK307+108.275）处采用（60+108+60）m连续梁，108m主跨连续梁跨越S18机场高速公路，公路与线路大里程夹角为52度，限高5.5m，路面标高30.58m，路面宽度46.03m。主桥纵坡为18.5‰。</w:t>
      </w:r>
    </w:p>
    <w:p w14:paraId="7DD7004C">
      <w:pPr>
        <w:spacing w:line="240" w:lineRule="auto"/>
        <w:ind w:firstLine="560"/>
        <w:jc w:val="left"/>
        <w:rPr>
          <w:rFonts w:hint="eastAsia"/>
        </w:rPr>
      </w:pPr>
      <w:r>
        <w:rPr>
          <w:rFonts w:hint="eastAsia"/>
        </w:rPr>
        <w:t>（60+108+60）m连续梁均采用实体桥墩，基础均采用钻孔桩基础。主要技术标准为高速铁路，双线，直、曲线，线间距5.0m，最小曲线半径7000m，速度目标值为350km/h，采用“ZK标准活载”，轨道类型为CRTS型双块式无砟轨道。</w:t>
      </w:r>
    </w:p>
    <w:p w14:paraId="36C3EF20">
      <w:pPr>
        <w:spacing w:line="240" w:lineRule="auto"/>
        <w:ind w:firstLine="0" w:firstLineChars="0"/>
        <w:jc w:val="left"/>
      </w:pPr>
      <w:r>
        <w:drawing>
          <wp:inline distT="0" distB="0" distL="0" distR="0">
            <wp:extent cx="5579110" cy="2640330"/>
            <wp:effectExtent l="0" t="0" r="2540" b="7620"/>
            <wp:docPr id="5480336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33626" name="图片 1"/>
                    <pic:cNvPicPr>
                      <a:picLocks noChangeAspect="1"/>
                    </pic:cNvPicPr>
                  </pic:nvPicPr>
                  <pic:blipFill>
                    <a:blip r:embed="rId11"/>
                    <a:stretch>
                      <a:fillRect/>
                    </a:stretch>
                  </pic:blipFill>
                  <pic:spPr>
                    <a:xfrm>
                      <a:off x="0" y="0"/>
                      <a:ext cx="5579110" cy="2640330"/>
                    </a:xfrm>
                    <a:prstGeom prst="rect">
                      <a:avLst/>
                    </a:prstGeom>
                  </pic:spPr>
                </pic:pic>
              </a:graphicData>
            </a:graphic>
          </wp:inline>
        </w:drawing>
      </w:r>
    </w:p>
    <w:p w14:paraId="00B2157C">
      <w:pPr>
        <w:pStyle w:val="122"/>
        <w:outlineLvl w:val="9"/>
      </w:pPr>
      <w:r>
        <w:rPr>
          <w:rFonts w:hint="eastAsia"/>
        </w:rPr>
        <w:t>图</w:t>
      </w:r>
      <w:r>
        <w:t>2-1</w:t>
      </w:r>
      <w:r>
        <w:rPr>
          <w:rFonts w:hint="eastAsia"/>
        </w:rPr>
        <w:t xml:space="preserve">  （60+108+60）m连续梁地理位置示意图</w:t>
      </w:r>
    </w:p>
    <w:p w14:paraId="7D44D5FA">
      <w:pPr>
        <w:spacing w:line="240" w:lineRule="auto"/>
        <w:ind w:firstLine="560"/>
        <w:jc w:val="left"/>
      </w:pPr>
      <w:r>
        <w:rPr>
          <w:rFonts w:hint="eastAsia"/>
        </w:rPr>
        <w:t>桥梁在52#～55#墩之间跨越S18机场高速公路，梁体下缘距离硚孝高速公路机动车道路面最小净高为12.69m。新建桥梁与硚孝高速公路斜交，与高速公路夹角为128°，52#墩承台距离高速公路桥面翼缘投影最小为8.69m，53#墩承台距离距离高速公路桥面翼缘投影最小为10.49m。具体跨越情况详见下图：</w:t>
      </w:r>
    </w:p>
    <w:p w14:paraId="152CC019">
      <w:pPr>
        <w:spacing w:line="240" w:lineRule="auto"/>
        <w:ind w:firstLine="0" w:firstLineChars="0"/>
        <w:jc w:val="left"/>
      </w:pPr>
      <w:r>
        <w:drawing>
          <wp:inline distT="0" distB="0" distL="0" distR="0">
            <wp:extent cx="5579110" cy="2033270"/>
            <wp:effectExtent l="0" t="0" r="2540" b="5080"/>
            <wp:docPr id="1917654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54066" name="图片 1"/>
                    <pic:cNvPicPr>
                      <a:picLocks noChangeAspect="1"/>
                    </pic:cNvPicPr>
                  </pic:nvPicPr>
                  <pic:blipFill>
                    <a:blip r:embed="rId12"/>
                    <a:stretch>
                      <a:fillRect/>
                    </a:stretch>
                  </pic:blipFill>
                  <pic:spPr>
                    <a:xfrm>
                      <a:off x="0" y="0"/>
                      <a:ext cx="5579110" cy="2033270"/>
                    </a:xfrm>
                    <a:prstGeom prst="rect">
                      <a:avLst/>
                    </a:prstGeom>
                  </pic:spPr>
                </pic:pic>
              </a:graphicData>
            </a:graphic>
          </wp:inline>
        </w:drawing>
      </w:r>
    </w:p>
    <w:p w14:paraId="357DC382">
      <w:pPr>
        <w:pStyle w:val="122"/>
        <w:outlineLvl w:val="9"/>
      </w:pPr>
      <w:r>
        <w:rPr>
          <w:rFonts w:hint="eastAsia"/>
        </w:rPr>
        <w:t>图</w:t>
      </w:r>
      <w:r>
        <w:t>2-2</w:t>
      </w:r>
      <w:r>
        <w:rPr>
          <w:rFonts w:hint="eastAsia"/>
        </w:rPr>
        <w:t xml:space="preserve">  （60+108+60）m连续梁与机场高速公路立面关系图</w:t>
      </w:r>
    </w:p>
    <w:p w14:paraId="67A54339">
      <w:pPr>
        <w:ind w:firstLine="560"/>
        <w:outlineLvl w:val="2"/>
        <w:rPr>
          <w:rFonts w:ascii="黑体" w:hAnsi="黑体" w:eastAsia="黑体" w:cs="黑体"/>
          <w:color w:val="000000"/>
        </w:rPr>
      </w:pPr>
      <w:r>
        <w:rPr>
          <w:rFonts w:hint="eastAsia" w:ascii="黑体" w:hAnsi="黑体" w:eastAsia="黑体" w:cs="黑体"/>
          <w:color w:val="000000"/>
        </w:rPr>
        <w:t>2.1.</w:t>
      </w:r>
      <w:r>
        <w:rPr>
          <w:rFonts w:ascii="黑体" w:hAnsi="黑体" w:eastAsia="黑体" w:cs="黑体"/>
          <w:color w:val="000000"/>
        </w:rPr>
        <w:t>2</w:t>
      </w:r>
      <w:r>
        <w:rPr>
          <w:rFonts w:hint="eastAsia" w:ascii="黑体" w:hAnsi="黑体" w:eastAsia="黑体" w:cs="黑体"/>
          <w:color w:val="000000"/>
        </w:rPr>
        <w:t xml:space="preserve"> 结构形式</w:t>
      </w:r>
    </w:p>
    <w:p w14:paraId="3AAED975">
      <w:pPr>
        <w:spacing w:line="240" w:lineRule="auto"/>
        <w:ind w:firstLine="560"/>
        <w:rPr>
          <w:rFonts w:hint="eastAsia"/>
        </w:rPr>
      </w:pPr>
      <w:r>
        <w:rPr>
          <w:rFonts w:hint="eastAsia"/>
        </w:rPr>
        <w:t>（60+108+60）m连续梁梁体为单箱单室、变高度、变截面箱梁。箱梁顶板厚度43.5cm，支点附近局部加厚到95cm；腹板厚度50～70～90～110cm，底板厚度46～97.1cm。全联在端支点、中支点处设置横隔板，横隔板设有孔洞，供检查人员通过。桥面宽度：防护墙内侧净宽9.0m，桥梁建筑总宽12.9m，梁顶面宽12.6m。梁全长229.5m，计算跨度(60+108+60)m，中支点截面中心线处粱高8.0m，跨中及边跨直线段截面中心线处梁高5.0m，梁底下缘按圆曲线R=443.542m变化。边支座中心线至梁端0.75m，边支座横桥向中心距6.0m，中支座横桥向中心距5.9m。</w:t>
      </w:r>
    </w:p>
    <w:p w14:paraId="42508A19">
      <w:pPr>
        <w:spacing w:line="240" w:lineRule="auto"/>
        <w:ind w:firstLine="560"/>
        <w:jc w:val="left"/>
      </w:pPr>
      <w:r>
        <w:rPr>
          <w:rFonts w:hint="eastAsia"/>
        </w:rPr>
        <w:t>主梁顶板宽12.6m，底板宽7m，翼缘悬臂长度2.8m，箱梁顶板最低处截面高5～8m；顶板最低处厚度43.5～45cm；腹板厚度 50～70～90～110cm；底板厚度46～97.1cm。主梁0号块块段长13m，合拢段长2m，边跨现浇支架直线段梁长5.75m。除0号块，边跨直线段在支架上施工外，中跨主墩挂篮悬臂浇筑施工梁段为13个。</w:t>
      </w:r>
    </w:p>
    <w:p w14:paraId="6FD6B694">
      <w:pPr>
        <w:spacing w:line="240" w:lineRule="auto"/>
        <w:ind w:firstLine="560"/>
        <w:jc w:val="left"/>
        <w:rPr>
          <w:rFonts w:hint="eastAsia"/>
        </w:rPr>
      </w:pPr>
      <w:r>
        <w:rPr>
          <w:rFonts w:hint="eastAsia"/>
        </w:rPr>
        <w:t>下部结构： 52#墩、55#墩采用直径1.25m的摩擦桩，长度31.5m、32.5m；52#墩、54#墩采用直径2m的摩擦桩，长度46m、46.5m。52#墩、55#墩承台尺寸7.8m×6m×2.5m， 53#墩、54#墩设有7.8m×6.7m×2m的加台，承台尺寸12.2m×9.1m×4m。边跨采用9.5m×4m的圆端形实体墩，高度18m；中墩为11.5m×5m的圆端形实体墩，高度13m、14.5m。</w:t>
      </w:r>
    </w:p>
    <w:p w14:paraId="319E15EA">
      <w:pPr>
        <w:pStyle w:val="3"/>
        <w:rPr>
          <w:color w:val="000000"/>
        </w:rPr>
      </w:pPr>
      <w:bookmarkStart w:id="110" w:name="_Toc24097"/>
      <w:r>
        <w:rPr>
          <w:rFonts w:hint="eastAsia"/>
          <w:color w:val="000000"/>
        </w:rPr>
        <w:t>2.2 塔机布置</w:t>
      </w:r>
      <w:bookmarkEnd w:id="110"/>
    </w:p>
    <w:p w14:paraId="18BB8E2C">
      <w:pPr>
        <w:spacing w:line="240" w:lineRule="auto"/>
        <w:ind w:firstLine="560"/>
        <w:jc w:val="left"/>
        <w:rPr>
          <w:rFonts w:hint="eastAsia"/>
        </w:rPr>
      </w:pPr>
      <w:r>
        <w:rPr>
          <w:rFonts w:hint="eastAsia"/>
        </w:rPr>
        <w:t>本工程计划在</w:t>
      </w:r>
      <w:r>
        <w:rPr>
          <w:rFonts w:hint="eastAsia"/>
          <w:lang w:val="en-US" w:eastAsia="zh-CN"/>
        </w:rPr>
        <w:t>411#墩、410#墩各</w:t>
      </w:r>
      <w:r>
        <w:rPr>
          <w:rFonts w:hint="eastAsia"/>
        </w:rPr>
        <w:t>安装一台徐州建机工程机械有限公司生产的</w:t>
      </w:r>
      <w:r>
        <w:rPr>
          <w:rFonts w:hint="eastAsia"/>
          <w:lang w:eastAsia="zh-CN"/>
        </w:rPr>
        <w:t>XGT6015A-8S</w:t>
      </w:r>
      <w:r>
        <w:rPr>
          <w:rFonts w:hint="eastAsia"/>
        </w:rPr>
        <w:t>塔式起重机，</w:t>
      </w:r>
      <w:r>
        <w:rPr>
          <w:rFonts w:hint="eastAsia"/>
          <w:lang w:val="en-US" w:eastAsia="zh-CN"/>
        </w:rPr>
        <w:t>411</w:t>
      </w:r>
      <w:r>
        <w:rPr>
          <w:rFonts w:hint="eastAsia"/>
        </w:rPr>
        <w:t>#墩塔机基础位于主墩顺桥向右侧、</w:t>
      </w:r>
      <w:r>
        <w:rPr>
          <w:rFonts w:hint="eastAsia"/>
          <w:lang w:eastAsia="zh-CN"/>
        </w:rPr>
        <w:t>塔机基础设置于桥墩附近，距离梁翼缘板间距为1.2m</w:t>
      </w:r>
      <w:r>
        <w:rPr>
          <w:rFonts w:hint="eastAsia"/>
        </w:rPr>
        <w:t>。，14</w:t>
      </w:r>
      <w:r>
        <w:rPr>
          <w:rFonts w:hint="eastAsia"/>
          <w:lang w:val="en-US" w:eastAsia="zh-CN"/>
        </w:rPr>
        <w:t>3</w:t>
      </w:r>
      <w:r>
        <w:rPr>
          <w:rFonts w:hint="eastAsia"/>
        </w:rPr>
        <w:t>#墩塔机基础位于主墩顺桥向</w:t>
      </w:r>
      <w:r>
        <w:rPr>
          <w:rFonts w:hint="eastAsia"/>
          <w:lang w:eastAsia="zh-CN"/>
        </w:rPr>
        <w:t>左</w:t>
      </w:r>
      <w:r>
        <w:rPr>
          <w:rFonts w:hint="eastAsia"/>
        </w:rPr>
        <w:t>侧、塔机基础设置于桥墩附近，距离梁翼缘板</w:t>
      </w:r>
      <w:r>
        <w:rPr>
          <w:rFonts w:hint="eastAsia"/>
          <w:lang w:val="en-US" w:eastAsia="zh-CN"/>
        </w:rPr>
        <w:t>.</w:t>
      </w:r>
      <w:r>
        <w:rPr>
          <w:rFonts w:hint="eastAsia"/>
        </w:rPr>
        <w:t>间距为1.2m。</w:t>
      </w:r>
      <w:r>
        <w:rPr>
          <w:rFonts w:hint="eastAsia"/>
          <w:lang w:val="en-US" w:eastAsia="zh-CN"/>
        </w:rPr>
        <w:t>411#墩塔机与410#墩</w:t>
      </w:r>
      <w:r>
        <w:rPr>
          <w:rFonts w:hint="eastAsia"/>
        </w:rPr>
        <w:t>塔机存在交差作业，</w:t>
      </w:r>
      <w:r>
        <w:rPr>
          <w:rFonts w:hint="eastAsia"/>
          <w:lang w:val="en-US" w:eastAsia="zh-CN"/>
        </w:rPr>
        <w:t>411</w:t>
      </w:r>
      <w:r>
        <w:rPr>
          <w:rFonts w:hint="eastAsia"/>
        </w:rPr>
        <w:t>#塔机与</w:t>
      </w:r>
      <w:r>
        <w:rPr>
          <w:rFonts w:hint="eastAsia"/>
          <w:lang w:val="en-US" w:eastAsia="zh-CN"/>
        </w:rPr>
        <w:t>410</w:t>
      </w:r>
      <w:r>
        <w:rPr>
          <w:rFonts w:hint="eastAsia"/>
        </w:rPr>
        <w:t>#塔机高差不小于5.</w:t>
      </w:r>
      <w:r>
        <w:rPr>
          <w:rFonts w:hint="eastAsia"/>
          <w:lang w:val="en-US" w:eastAsia="zh-CN"/>
        </w:rPr>
        <w:t>6</w:t>
      </w:r>
      <w:r>
        <w:rPr>
          <w:rFonts w:hint="eastAsia"/>
        </w:rPr>
        <w:t>米使用。</w:t>
      </w:r>
    </w:p>
    <w:p w14:paraId="0CD6545C">
      <w:pPr>
        <w:spacing w:line="240" w:lineRule="auto"/>
        <w:ind w:left="0" w:leftChars="0" w:firstLine="0" w:firstLineChars="0"/>
        <w:jc w:val="left"/>
        <w:rPr>
          <w:rFonts w:hint="eastAsia"/>
        </w:rPr>
      </w:pPr>
      <w:r>
        <w:drawing>
          <wp:inline distT="0" distB="0" distL="114300" distR="114300">
            <wp:extent cx="6240780" cy="2259965"/>
            <wp:effectExtent l="0" t="0" r="7620" b="6985"/>
            <wp:docPr id="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7"/>
                    <pic:cNvPicPr>
                      <a:picLocks noChangeAspect="1"/>
                    </pic:cNvPicPr>
                  </pic:nvPicPr>
                  <pic:blipFill>
                    <a:blip r:embed="rId13"/>
                    <a:stretch>
                      <a:fillRect/>
                    </a:stretch>
                  </pic:blipFill>
                  <pic:spPr>
                    <a:xfrm>
                      <a:off x="0" y="0"/>
                      <a:ext cx="6240780" cy="2259965"/>
                    </a:xfrm>
                    <a:prstGeom prst="rect">
                      <a:avLst/>
                    </a:prstGeom>
                    <a:noFill/>
                    <a:ln>
                      <a:noFill/>
                    </a:ln>
                  </pic:spPr>
                </pic:pic>
              </a:graphicData>
            </a:graphic>
          </wp:inline>
        </w:drawing>
      </w:r>
    </w:p>
    <w:p w14:paraId="25C261DD">
      <w:pPr>
        <w:pStyle w:val="122"/>
        <w:outlineLvl w:val="9"/>
      </w:pPr>
      <w:r>
        <w:rPr>
          <w:rFonts w:hint="eastAsia"/>
        </w:rPr>
        <w:t>图</w:t>
      </w:r>
      <w:r>
        <w:t>2-3</w:t>
      </w:r>
      <w:r>
        <w:rPr>
          <w:rFonts w:hint="eastAsia"/>
        </w:rPr>
        <w:t xml:space="preserve">  塔机平面布置图</w:t>
      </w:r>
    </w:p>
    <w:p w14:paraId="2D313520">
      <w:pPr>
        <w:spacing w:line="240" w:lineRule="auto"/>
        <w:ind w:firstLine="0" w:firstLineChars="0"/>
        <w:jc w:val="center"/>
      </w:pPr>
      <w:r>
        <w:drawing>
          <wp:inline distT="0" distB="0" distL="114300" distR="114300">
            <wp:extent cx="8359775" cy="5541010"/>
            <wp:effectExtent l="0" t="0" r="2540" b="3175"/>
            <wp:docPr id="8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8"/>
                    <pic:cNvPicPr>
                      <a:picLocks noChangeAspect="1"/>
                    </pic:cNvPicPr>
                  </pic:nvPicPr>
                  <pic:blipFill>
                    <a:blip r:embed="rId14"/>
                    <a:stretch>
                      <a:fillRect/>
                    </a:stretch>
                  </pic:blipFill>
                  <pic:spPr>
                    <a:xfrm rot="5400000">
                      <a:off x="0" y="0"/>
                      <a:ext cx="8359775" cy="5541010"/>
                    </a:xfrm>
                    <a:prstGeom prst="rect">
                      <a:avLst/>
                    </a:prstGeom>
                    <a:noFill/>
                    <a:ln>
                      <a:noFill/>
                    </a:ln>
                  </pic:spPr>
                </pic:pic>
              </a:graphicData>
            </a:graphic>
          </wp:inline>
        </w:drawing>
      </w:r>
    </w:p>
    <w:p w14:paraId="53CFDE4C">
      <w:pPr>
        <w:pStyle w:val="122"/>
        <w:outlineLvl w:val="9"/>
        <w:rPr>
          <w:rFonts w:hint="eastAsia"/>
        </w:rPr>
      </w:pPr>
      <w:r>
        <w:rPr>
          <w:rFonts w:hint="eastAsia"/>
        </w:rPr>
        <w:t>图2-4 塔式起重机立面布置图</w:t>
      </w:r>
    </w:p>
    <w:p w14:paraId="4BB4F5DA">
      <w:pPr>
        <w:rPr>
          <w:rFonts w:hint="eastAsia"/>
          <w:lang w:eastAsia="zh-CN"/>
        </w:rPr>
      </w:pPr>
      <w:r>
        <w:rPr>
          <w:rFonts w:hint="eastAsia"/>
          <w:lang w:val="en-US" w:eastAsia="zh-CN"/>
        </w:rPr>
        <w:t>本项目411#</w:t>
      </w:r>
      <w:r>
        <w:rPr>
          <w:rFonts w:hint="eastAsia"/>
        </w:rPr>
        <w:t>墩</w:t>
      </w:r>
      <w:r>
        <w:rPr>
          <w:rFonts w:hint="eastAsia"/>
          <w:lang w:eastAsia="zh-CN"/>
        </w:rPr>
        <w:t>塔机起重臂覆盖于既有道路上。未避免吊装作业对既有道路上的车辆及人员造成威胁，需采取以下措施；</w:t>
      </w:r>
    </w:p>
    <w:p w14:paraId="2EB414E3">
      <w:pPr>
        <w:rPr>
          <w:rFonts w:hint="eastAsia"/>
          <w:lang w:eastAsia="zh-CN"/>
        </w:rPr>
      </w:pPr>
      <w:r>
        <w:rPr>
          <w:rFonts w:hint="eastAsia"/>
          <w:lang w:val="en-US" w:eastAsia="zh-CN"/>
        </w:rPr>
        <w:t>1、</w:t>
      </w:r>
      <w:r>
        <w:rPr>
          <w:rFonts w:hint="eastAsia"/>
          <w:lang w:eastAsia="zh-CN"/>
        </w:rPr>
        <w:t>‌吊装区域的安全管理‌：吊装区域必须设置明显的警示标志，并设专人警戒。起重机工作时，起重臂杆旋转半径范围内严禁站人或通过‌。</w:t>
      </w:r>
    </w:p>
    <w:p w14:paraId="5DD6D979">
      <w:pPr>
        <w:rPr>
          <w:rFonts w:hint="eastAsia"/>
          <w:lang w:eastAsia="zh-CN"/>
        </w:rPr>
      </w:pPr>
      <w:r>
        <w:rPr>
          <w:rFonts w:hint="eastAsia"/>
          <w:lang w:val="en-US" w:eastAsia="zh-CN"/>
        </w:rPr>
        <w:t>2、</w:t>
      </w:r>
      <w:r>
        <w:rPr>
          <w:rFonts w:hint="eastAsia"/>
          <w:lang w:eastAsia="zh-CN"/>
        </w:rPr>
        <w:t>‌吊装作业前的检查‌：在开始吊装前应进行安全技术交底，并对起重所用索具、卡环、夹具等进行细致检查，发现有损坏或松动现象应马上调换或修好‌。</w:t>
      </w:r>
    </w:p>
    <w:p w14:paraId="016A6E38">
      <w:pPr>
        <w:rPr>
          <w:rFonts w:hint="eastAsia"/>
          <w:lang w:eastAsia="zh-CN"/>
        </w:rPr>
      </w:pPr>
      <w:r>
        <w:rPr>
          <w:rFonts w:hint="eastAsia"/>
          <w:lang w:val="en-US" w:eastAsia="zh-CN"/>
        </w:rPr>
        <w:t>3、</w:t>
      </w:r>
      <w:r>
        <w:rPr>
          <w:rFonts w:hint="eastAsia"/>
          <w:lang w:eastAsia="zh-CN"/>
        </w:rPr>
        <w:t>‌吊装过程中的安全操作‌：起吊时，吊臂下和吊件及吊臂的回转范围内严禁无关人员停留或通过。多吊点吊装时，必须防止吊件受力不均匀遭受破坏‌。禁止吊物在既有道路上无防护区域内经过。吊物起吊后，起重臂摆到对应位置再行走小车吊装到位。</w:t>
      </w:r>
    </w:p>
    <w:p w14:paraId="6AA9845F">
      <w:pPr>
        <w:rPr>
          <w:rFonts w:hint="eastAsia"/>
          <w:lang w:eastAsia="zh-CN"/>
        </w:rPr>
      </w:pPr>
      <w:r>
        <w:rPr>
          <w:rFonts w:hint="eastAsia"/>
          <w:lang w:val="en-US" w:eastAsia="zh-CN"/>
        </w:rPr>
        <w:t>4、</w:t>
      </w:r>
      <w:r>
        <w:rPr>
          <w:rFonts w:hint="eastAsia"/>
          <w:lang w:eastAsia="zh-CN"/>
        </w:rPr>
        <w:t>‌特殊天气条件下的操作‌：在大风、大雨等恶劣天气下禁</w:t>
      </w:r>
    </w:p>
    <w:p w14:paraId="561AAF05">
      <w:pPr>
        <w:rPr>
          <w:rFonts w:hint="eastAsia"/>
          <w:lang w:eastAsia="zh-CN"/>
        </w:rPr>
      </w:pPr>
      <w:r>
        <w:rPr>
          <w:rFonts w:hint="eastAsia"/>
          <w:lang w:eastAsia="zh-CN"/>
        </w:rPr>
        <w:t>止进行吊装工作，夜间施工时必须有足够的照明‌。</w:t>
      </w:r>
    </w:p>
    <w:p w14:paraId="1A64FCD2">
      <w:pPr>
        <w:rPr>
          <w:rFonts w:hint="eastAsia"/>
          <w:lang w:eastAsia="zh-CN"/>
        </w:rPr>
      </w:pPr>
      <w:r>
        <w:rPr>
          <w:rFonts w:hint="eastAsia"/>
          <w:lang w:val="en-US" w:eastAsia="zh-CN"/>
        </w:rPr>
        <w:t>5、</w:t>
      </w:r>
      <w:r>
        <w:rPr>
          <w:rFonts w:hint="eastAsia"/>
          <w:lang w:eastAsia="zh-CN"/>
        </w:rPr>
        <w:t>‌人员培训和安全教育‌：加强对现场吊装人员，特别是塔吊司机的安全教育，做好班前安全技术交底，明确作业内容和安全区域‌。</w:t>
      </w:r>
    </w:p>
    <w:p w14:paraId="4282DD36">
      <w:pPr>
        <w:rPr>
          <w:rFonts w:hint="eastAsia"/>
          <w:lang w:eastAsia="zh-CN"/>
        </w:rPr>
      </w:pPr>
      <w:r>
        <w:rPr>
          <w:rFonts w:hint="eastAsia"/>
          <w:lang w:val="en-US" w:eastAsia="zh-CN"/>
        </w:rPr>
        <w:t>6、</w:t>
      </w:r>
      <w:r>
        <w:rPr>
          <w:rFonts w:hint="eastAsia"/>
          <w:lang w:eastAsia="zh-CN"/>
        </w:rPr>
        <w:t>‌设备检查和维护‌：起重设备必须定期检查维护，确保设备处于良好状态，严禁带病作业。起重机的操作必须严格按照设备性能和技术要求进行‌。</w:t>
      </w:r>
    </w:p>
    <w:p w14:paraId="72806ACA">
      <w:pPr>
        <w:rPr>
          <w:rFonts w:hint="eastAsia"/>
          <w:lang w:eastAsia="zh-CN"/>
        </w:rPr>
      </w:pPr>
      <w:r>
        <w:rPr>
          <w:rFonts w:hint="eastAsia"/>
          <w:lang w:eastAsia="zh-CN"/>
        </w:rPr>
        <w:t>本项目</w:t>
      </w:r>
      <w:r>
        <w:rPr>
          <w:rFonts w:hint="eastAsia"/>
          <w:lang w:val="en-US" w:eastAsia="zh-CN"/>
        </w:rPr>
        <w:t>411</w:t>
      </w:r>
      <w:r>
        <w:rPr>
          <w:rFonts w:hint="eastAsia"/>
          <w:lang w:eastAsia="zh-CN"/>
        </w:rPr>
        <w:t>#墩、</w:t>
      </w:r>
      <w:r>
        <w:rPr>
          <w:rFonts w:hint="eastAsia"/>
          <w:lang w:val="en-US" w:eastAsia="zh-CN"/>
        </w:rPr>
        <w:t>410</w:t>
      </w:r>
      <w:r>
        <w:rPr>
          <w:rFonts w:hint="eastAsia"/>
          <w:lang w:eastAsia="zh-CN"/>
        </w:rPr>
        <w:t>#墩塔机起重臂存在重合覆盖区域有碰撞危险，需采取以下措施；</w:t>
      </w:r>
    </w:p>
    <w:p w14:paraId="6E94C0BE">
      <w:pPr>
        <w:rPr>
          <w:rFonts w:hint="eastAsia"/>
          <w:lang w:eastAsia="zh-CN"/>
        </w:rPr>
      </w:pPr>
      <w:r>
        <w:rPr>
          <w:rFonts w:hint="eastAsia"/>
          <w:lang w:eastAsia="zh-CN"/>
        </w:rPr>
        <w:t>通过合理划分塔吊的工作区，避免交叉工作区，确保低位塔吊的起重臂不会与高位塔吊的起重钢丝绳发生碰撞。此外，配备有合格操作证的信号指挥工，确保塔吊回转作业时低塔的起重臂不碰撞高塔的起升钢丝绳‌。</w:t>
      </w:r>
    </w:p>
    <w:p w14:paraId="6676FCFB">
      <w:pPr>
        <w:rPr>
          <w:rFonts w:hint="eastAsia"/>
          <w:lang w:eastAsia="zh-CN"/>
        </w:rPr>
      </w:pPr>
      <w:r>
        <w:rPr>
          <w:rFonts w:hint="eastAsia"/>
          <w:lang w:eastAsia="zh-CN"/>
        </w:rPr>
        <w:t>确保高塔起重臂比低塔起重臂高差不小于5米，且高塔起重臂下端距低塔起重臂拉杆上端高差不小于2.5米，以防止碰撞‌。</w:t>
      </w:r>
    </w:p>
    <w:p w14:paraId="3133B591">
      <w:pPr>
        <w:rPr>
          <w:rFonts w:hint="eastAsia"/>
          <w:lang w:eastAsia="zh-CN"/>
        </w:rPr>
      </w:pPr>
      <w:r>
        <w:rPr>
          <w:rFonts w:hint="eastAsia"/>
          <w:lang w:eastAsia="zh-CN"/>
        </w:rPr>
        <w:t>当现场风速达到6级（风速达到10.8～13.8米/秒）时，塔吊必须停止作业，以防止因风力引起的碰撞‌。</w:t>
      </w:r>
    </w:p>
    <w:p w14:paraId="6E2C2E9C">
      <w:pPr>
        <w:rPr>
          <w:rFonts w:hint="eastAsia"/>
          <w:lang w:eastAsia="zh-CN"/>
        </w:rPr>
      </w:pPr>
      <w:r>
        <w:rPr>
          <w:rFonts w:hint="eastAsia"/>
          <w:lang w:eastAsia="zh-CN"/>
        </w:rPr>
        <w:t>确保所有塔吊操作人员持有合格的操作证，并具备丰富的经验。每次使用后或在非工作状态下，将塔吊的吊钩升至顶端，并将起重小车行走到起重臂根部‌。</w:t>
      </w:r>
    </w:p>
    <w:bookmarkEnd w:id="102"/>
    <w:bookmarkEnd w:id="103"/>
    <w:bookmarkEnd w:id="104"/>
    <w:bookmarkEnd w:id="105"/>
    <w:bookmarkEnd w:id="106"/>
    <w:bookmarkEnd w:id="107"/>
    <w:p w14:paraId="688FE2FF">
      <w:pPr>
        <w:pStyle w:val="2"/>
        <w:ind w:right="1960" w:firstLine="1600" w:firstLineChars="500"/>
        <w:jc w:val="left"/>
        <w:rPr>
          <w:color w:val="000000"/>
        </w:rPr>
      </w:pPr>
      <w:bookmarkStart w:id="111" w:name="_Toc30817"/>
      <w:bookmarkStart w:id="112" w:name="_Toc1640"/>
      <w:bookmarkStart w:id="113" w:name="_Toc12715"/>
      <w:bookmarkStart w:id="114" w:name="_Toc8727"/>
      <w:bookmarkStart w:id="115" w:name="_Toc5190"/>
      <w:bookmarkStart w:id="116" w:name="_Toc23197"/>
      <w:bookmarkStart w:id="117" w:name="_Toc21514"/>
      <w:r>
        <w:rPr>
          <w:rFonts w:hint="eastAsia"/>
          <w:color w:val="000000"/>
        </w:rPr>
        <w:t>第三章 所选用塔式起重机型号与性能</w:t>
      </w:r>
      <w:bookmarkEnd w:id="111"/>
    </w:p>
    <w:bookmarkEnd w:id="112"/>
    <w:bookmarkEnd w:id="113"/>
    <w:bookmarkEnd w:id="114"/>
    <w:bookmarkEnd w:id="115"/>
    <w:bookmarkEnd w:id="116"/>
    <w:bookmarkEnd w:id="117"/>
    <w:p w14:paraId="73044539">
      <w:pPr>
        <w:pStyle w:val="3"/>
        <w:ind w:firstLine="280" w:firstLineChars="100"/>
        <w:rPr>
          <w:rFonts w:ascii="Times New Roman" w:hAnsi="Times New Roman"/>
          <w:sz w:val="28"/>
          <w:szCs w:val="28"/>
        </w:rPr>
      </w:pPr>
      <w:bookmarkStart w:id="118" w:name="_Toc15418"/>
      <w:r>
        <w:rPr>
          <w:rFonts w:hint="eastAsia" w:ascii="Times New Roman" w:hAnsi="Times New Roman"/>
          <w:sz w:val="28"/>
          <w:szCs w:val="28"/>
        </w:rPr>
        <w:t>3.1塔机型号</w:t>
      </w:r>
      <w:bookmarkEnd w:id="118"/>
    </w:p>
    <w:p w14:paraId="1D872AA4">
      <w:pPr>
        <w:ind w:left="0" w:leftChars="0" w:firstLine="560" w:firstLineChars="200"/>
        <w:rPr>
          <w:rFonts w:hint="eastAsia"/>
        </w:rPr>
      </w:pPr>
      <w:r>
        <w:rPr>
          <w:rFonts w:hint="eastAsia"/>
        </w:rPr>
        <w:t>本工程</w:t>
      </w:r>
      <w:r>
        <w:rPr>
          <w:rFonts w:hint="eastAsia"/>
          <w:lang w:val="en-US" w:eastAsia="zh-CN"/>
        </w:rPr>
        <w:t>411</w:t>
      </w:r>
      <w:r>
        <w:rPr>
          <w:rFonts w:hint="eastAsia"/>
        </w:rPr>
        <w:t>#墩、</w:t>
      </w:r>
      <w:r>
        <w:rPr>
          <w:rFonts w:hint="eastAsia"/>
          <w:lang w:val="en-US" w:eastAsia="zh-CN"/>
        </w:rPr>
        <w:t>410</w:t>
      </w:r>
      <w:r>
        <w:rPr>
          <w:rFonts w:hint="eastAsia"/>
        </w:rPr>
        <w:t>#墩塔机型号</w:t>
      </w:r>
      <w:r>
        <w:rPr>
          <w:rFonts w:hint="eastAsia"/>
          <w:lang w:eastAsia="zh-CN"/>
        </w:rPr>
        <w:t>都</w:t>
      </w:r>
      <w:r>
        <w:rPr>
          <w:rFonts w:hint="eastAsia"/>
        </w:rPr>
        <w:t>为徐州建机</w:t>
      </w:r>
      <w:r>
        <w:rPr>
          <w:rFonts w:hint="eastAsia"/>
          <w:lang w:eastAsia="zh-CN"/>
        </w:rPr>
        <w:t>XGT6015A-8S</w:t>
      </w:r>
      <w:r>
        <w:rPr>
          <w:rFonts w:hint="eastAsia"/>
        </w:rPr>
        <w:t>。</w:t>
      </w:r>
    </w:p>
    <w:p w14:paraId="05E08DD4">
      <w:pPr>
        <w:ind w:left="0" w:leftChars="0" w:firstLine="560" w:firstLineChars="200"/>
      </w:pPr>
      <w:r>
        <w:rPr>
          <w:rFonts w:hint="eastAsia"/>
          <w:lang w:eastAsia="zh-CN"/>
        </w:rPr>
        <w:t>XGT6015A-8S</w:t>
      </w:r>
      <w:r>
        <w:rPr>
          <w:rFonts w:hint="eastAsia"/>
        </w:rPr>
        <w:t>塔机由徐州建机工程机械有限公司设计制造。该塔机为水平臂架、小车变幅、上回转、自升式多用途塔机。最大工作幅度60米，预埋螺栓式独立起升高度40米，最大额定起重量为8t。主要的参数见表3-1。</w:t>
      </w:r>
    </w:p>
    <w:p w14:paraId="12ADA3B5">
      <w:pPr>
        <w:ind w:firstLine="560"/>
      </w:pPr>
      <w:r>
        <w:t>本工程根据实际施工需要，</w:t>
      </w:r>
      <w:r>
        <w:rPr>
          <w:rFonts w:hint="eastAsia"/>
          <w:lang w:val="en-US" w:eastAsia="zh-CN"/>
        </w:rPr>
        <w:t>2台</w:t>
      </w:r>
      <w:r>
        <w:rPr>
          <w:rFonts w:hint="eastAsia"/>
          <w:lang w:eastAsia="zh-CN"/>
        </w:rPr>
        <w:t>XGT6015A-8S</w:t>
      </w:r>
      <w:r>
        <w:t>塔机</w:t>
      </w:r>
      <w:r>
        <w:rPr>
          <w:rFonts w:hint="eastAsia"/>
          <w:lang w:eastAsia="zh-CN"/>
        </w:rPr>
        <w:t>都</w:t>
      </w:r>
      <w:r>
        <w:rPr>
          <w:rFonts w:hint="eastAsia"/>
        </w:rPr>
        <w:t>采用</w:t>
      </w:r>
      <w:r>
        <w:rPr>
          <w:rFonts w:hint="eastAsia"/>
          <w:lang w:val="en-US" w:eastAsia="zh-CN"/>
        </w:rPr>
        <w:t>5</w:t>
      </w:r>
      <w:r>
        <w:rPr>
          <w:rFonts w:hint="eastAsia"/>
        </w:rPr>
        <w:t>0m起重臂长，</w:t>
      </w:r>
      <w:r>
        <w:rPr>
          <w:rFonts w:hint="eastAsia"/>
          <w:lang w:val="en-US" w:eastAsia="zh-CN"/>
        </w:rPr>
        <w:t>411</w:t>
      </w:r>
      <w:r>
        <w:rPr>
          <w:rFonts w:hint="eastAsia"/>
        </w:rPr>
        <w:t>#墩塔吊</w:t>
      </w:r>
      <w:r>
        <w:rPr>
          <w:rFonts w:hint="eastAsia"/>
          <w:lang w:eastAsia="zh-CN"/>
        </w:rPr>
        <w:t>XGT6015A-8S</w:t>
      </w:r>
      <w:r>
        <w:rPr>
          <w:rFonts w:hint="eastAsia"/>
        </w:rPr>
        <w:t>塔机最终安装</w:t>
      </w:r>
      <w:r>
        <w:t>高度为</w:t>
      </w:r>
      <w:r>
        <w:rPr>
          <w:rFonts w:hint="eastAsia"/>
          <w:lang w:val="en-US" w:eastAsia="zh-CN"/>
        </w:rPr>
        <w:t>31.6</w:t>
      </w:r>
      <w:r>
        <w:t>m(</w:t>
      </w:r>
      <w:r>
        <w:rPr>
          <w:rFonts w:hint="eastAsia"/>
          <w:lang w:val="en-US" w:eastAsia="zh-CN"/>
        </w:rPr>
        <w:t>1节基础节8</w:t>
      </w:r>
      <w:r>
        <w:t>节标准</w:t>
      </w:r>
      <w:r>
        <w:rPr>
          <w:rFonts w:hint="eastAsia"/>
          <w:lang w:eastAsia="zh-CN"/>
        </w:rPr>
        <w:t>节</w:t>
      </w:r>
      <w:r>
        <w:t>），无附墙设置。</w:t>
      </w:r>
      <w:r>
        <w:rPr>
          <w:rFonts w:hint="eastAsia"/>
          <w:lang w:val="en-US" w:eastAsia="zh-CN"/>
        </w:rPr>
        <w:t>410</w:t>
      </w:r>
      <w:r>
        <w:rPr>
          <w:rFonts w:hint="eastAsia"/>
        </w:rPr>
        <w:t>#墩塔吊</w:t>
      </w:r>
      <w:r>
        <w:rPr>
          <w:rFonts w:hint="eastAsia"/>
          <w:lang w:eastAsia="zh-CN"/>
        </w:rPr>
        <w:t>XGT6015A-8S</w:t>
      </w:r>
      <w:r>
        <w:rPr>
          <w:rFonts w:hint="eastAsia"/>
        </w:rPr>
        <w:t>塔机最终安装</w:t>
      </w:r>
      <w:r>
        <w:t>高度为</w:t>
      </w:r>
      <w:r>
        <w:rPr>
          <w:rFonts w:hint="eastAsia"/>
          <w:lang w:val="en-US" w:eastAsia="zh-CN"/>
        </w:rPr>
        <w:t>37.2</w:t>
      </w:r>
      <w:r>
        <w:t>m(</w:t>
      </w:r>
      <w:r>
        <w:rPr>
          <w:rFonts w:hint="eastAsia"/>
          <w:lang w:val="en-US" w:eastAsia="zh-CN"/>
        </w:rPr>
        <w:t>1节基础节10</w:t>
      </w:r>
      <w:r>
        <w:t>节标准</w:t>
      </w:r>
      <w:r>
        <w:rPr>
          <w:rFonts w:hint="eastAsia"/>
          <w:lang w:eastAsia="zh-CN"/>
        </w:rPr>
        <w:t>节</w:t>
      </w:r>
      <w:r>
        <w:t>），无附墙设置。</w:t>
      </w:r>
    </w:p>
    <w:p w14:paraId="2A6E183E">
      <w:pPr>
        <w:pStyle w:val="3"/>
        <w:ind w:firstLine="280" w:firstLineChars="100"/>
        <w:rPr>
          <w:rFonts w:ascii="Times New Roman" w:hAnsi="Times New Roman"/>
          <w:sz w:val="28"/>
          <w:szCs w:val="28"/>
        </w:rPr>
      </w:pPr>
      <w:bookmarkStart w:id="119" w:name="_Toc10389"/>
      <w:r>
        <w:rPr>
          <w:rFonts w:hint="eastAsia" w:ascii="Times New Roman" w:hAnsi="Times New Roman"/>
          <w:sz w:val="28"/>
          <w:szCs w:val="28"/>
        </w:rPr>
        <w:t>3.2塔机性能与参数</w:t>
      </w:r>
      <w:bookmarkEnd w:id="119"/>
    </w:p>
    <w:p w14:paraId="5CA4D2EC">
      <w:pPr>
        <w:pStyle w:val="122"/>
        <w:outlineLvl w:val="9"/>
        <w:rPr>
          <w:rFonts w:hint="eastAsia"/>
        </w:rPr>
      </w:pPr>
      <w:r>
        <w:rPr>
          <w:rFonts w:hint="eastAsia"/>
        </w:rPr>
        <w:t xml:space="preserve">表3-1 </w:t>
      </w:r>
      <w:r>
        <w:rPr>
          <w:rFonts w:hint="eastAsia"/>
          <w:lang w:eastAsia="zh-CN"/>
        </w:rPr>
        <w:t>XGT6015A-8S</w:t>
      </w:r>
      <w:r>
        <w:rPr>
          <w:rFonts w:hint="eastAsia"/>
        </w:rPr>
        <w:t>塔机主要技术参数</w:t>
      </w:r>
    </w:p>
    <w:p w14:paraId="3A3C7DC1">
      <w:pPr>
        <w:pStyle w:val="106"/>
      </w:pPr>
      <w:r>
        <w:drawing>
          <wp:inline distT="0" distB="0" distL="114300" distR="114300">
            <wp:extent cx="5655945" cy="4736465"/>
            <wp:effectExtent l="0" t="0" r="1905" b="698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5"/>
                    <a:srcRect b="34621"/>
                    <a:stretch>
                      <a:fillRect/>
                    </a:stretch>
                  </pic:blipFill>
                  <pic:spPr>
                    <a:xfrm>
                      <a:off x="0" y="0"/>
                      <a:ext cx="5655945" cy="4736465"/>
                    </a:xfrm>
                    <a:prstGeom prst="rect">
                      <a:avLst/>
                    </a:prstGeom>
                    <a:noFill/>
                    <a:ln>
                      <a:noFill/>
                    </a:ln>
                  </pic:spPr>
                </pic:pic>
              </a:graphicData>
            </a:graphic>
          </wp:inline>
        </w:drawing>
      </w:r>
      <w:r>
        <w:drawing>
          <wp:inline distT="0" distB="0" distL="114300" distR="114300">
            <wp:extent cx="5655945" cy="2494280"/>
            <wp:effectExtent l="0" t="0" r="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5"/>
                    <a:srcRect t="65221" b="349"/>
                    <a:stretch>
                      <a:fillRect/>
                    </a:stretch>
                  </pic:blipFill>
                  <pic:spPr>
                    <a:xfrm>
                      <a:off x="0" y="0"/>
                      <a:ext cx="5655945" cy="2494280"/>
                    </a:xfrm>
                    <a:prstGeom prst="rect">
                      <a:avLst/>
                    </a:prstGeom>
                    <a:noFill/>
                    <a:ln>
                      <a:noFill/>
                    </a:ln>
                  </pic:spPr>
                </pic:pic>
              </a:graphicData>
            </a:graphic>
          </wp:inline>
        </w:drawing>
      </w:r>
      <w:r>
        <w:drawing>
          <wp:inline distT="0" distB="0" distL="114300" distR="114300">
            <wp:extent cx="5721985" cy="3445510"/>
            <wp:effectExtent l="0" t="0" r="12065" b="254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6"/>
                    <a:stretch>
                      <a:fillRect/>
                    </a:stretch>
                  </pic:blipFill>
                  <pic:spPr>
                    <a:xfrm>
                      <a:off x="0" y="0"/>
                      <a:ext cx="5721985" cy="3445510"/>
                    </a:xfrm>
                    <a:prstGeom prst="rect">
                      <a:avLst/>
                    </a:prstGeom>
                    <a:noFill/>
                    <a:ln>
                      <a:noFill/>
                    </a:ln>
                  </pic:spPr>
                </pic:pic>
              </a:graphicData>
            </a:graphic>
          </wp:inline>
        </w:drawing>
      </w:r>
    </w:p>
    <w:p w14:paraId="4EA5B7DE">
      <w:pPr>
        <w:pStyle w:val="122"/>
        <w:outlineLvl w:val="9"/>
        <w:rPr>
          <w:rFonts w:hint="eastAsia"/>
        </w:rPr>
      </w:pPr>
      <w:bookmarkStart w:id="120" w:name="_Toc525053747"/>
      <w:bookmarkStart w:id="121" w:name="_Toc521920693"/>
      <w:bookmarkStart w:id="122" w:name="_Toc525111760"/>
      <w:bookmarkStart w:id="123" w:name="_Toc522109871"/>
      <w:bookmarkStart w:id="124" w:name="_Toc520882276"/>
      <w:bookmarkStart w:id="125" w:name="_Toc522109637"/>
      <w:r>
        <w:rPr>
          <w:rFonts w:hint="eastAsia"/>
        </w:rPr>
        <w:t xml:space="preserve">表3-2 </w:t>
      </w:r>
      <w:r>
        <w:rPr>
          <w:rFonts w:hint="eastAsia"/>
          <w:lang w:eastAsia="zh-CN"/>
        </w:rPr>
        <w:t>XGT6015A-8S</w:t>
      </w:r>
      <w:r>
        <w:rPr>
          <w:rFonts w:hint="eastAsia"/>
        </w:rPr>
        <w:t>塔机起重特性一览表</w:t>
      </w:r>
      <w:bookmarkEnd w:id="120"/>
      <w:bookmarkEnd w:id="121"/>
      <w:bookmarkEnd w:id="122"/>
      <w:bookmarkEnd w:id="123"/>
      <w:bookmarkEnd w:id="124"/>
      <w:bookmarkEnd w:id="125"/>
    </w:p>
    <w:p w14:paraId="468BA121">
      <w:pPr>
        <w:pStyle w:val="106"/>
      </w:pPr>
      <w:bookmarkStart w:id="126" w:name="_Toc129361802"/>
      <w:bookmarkStart w:id="127" w:name="_Toc11503"/>
      <w:bookmarkStart w:id="128" w:name="_Toc20157"/>
      <w:bookmarkStart w:id="129" w:name="_Toc19646"/>
      <w:bookmarkStart w:id="130" w:name="_Toc25420"/>
      <w:bookmarkStart w:id="131" w:name="_Toc29369"/>
      <w:r>
        <mc:AlternateContent>
          <mc:Choice Requires="wps">
            <w:drawing>
              <wp:anchor distT="0" distB="0" distL="114300" distR="114300" simplePos="0" relativeHeight="251659264" behindDoc="0" locked="0" layoutInCell="1" allowOverlap="1">
                <wp:simplePos x="0" y="0"/>
                <wp:positionH relativeFrom="column">
                  <wp:posOffset>-56515</wp:posOffset>
                </wp:positionH>
                <wp:positionV relativeFrom="paragraph">
                  <wp:posOffset>1402080</wp:posOffset>
                </wp:positionV>
                <wp:extent cx="5238750" cy="486410"/>
                <wp:effectExtent l="19050" t="19050" r="19050" b="27940"/>
                <wp:wrapNone/>
                <wp:docPr id="14" name="矩形 14"/>
                <wp:cNvGraphicFramePr/>
                <a:graphic xmlns:a="http://schemas.openxmlformats.org/drawingml/2006/main">
                  <a:graphicData uri="http://schemas.microsoft.com/office/word/2010/wordprocessingShape">
                    <wps:wsp>
                      <wps:cNvSpPr/>
                      <wps:spPr>
                        <a:xfrm>
                          <a:off x="932180" y="8416290"/>
                          <a:ext cx="5238750" cy="486410"/>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5pt;margin-top:110.4pt;height:38.3pt;width:412.5pt;z-index:251659264;v-text-anchor:middle;mso-width-relative:page;mso-height-relative:page;" filled="f" stroked="t" coordsize="21600,21600" o:gfxdata="UEsDBAoAAAAAAIdO4kAAAAAAAAAAAAAAAAAEAAAAZHJzL1BLAwQUAAAACACHTuJAOlKL/9gAAAAK&#10;AQAADwAAAGRycy9kb3ducmV2LnhtbE2PwU7DMAyG70i8Q2QkbluSatra0nQHJEBwWwFxzZrQVk2c&#10;qsnW8faY0zja/vT7+6v9xTt2tnMcAiqQawHMYhvMgJ2Cj/enVQ4sJo1Gu4BWwY+NsK9vbypdmrDg&#10;wZ6b1DEKwVhqBX1KU8l5bHvrdVyHySLdvsPsdaJx7riZ9ULh3vFMiC33ekD60OvJPva2HZuTV/C6&#10;ZG746vTbSzM2n2PYPMtd4ZW6v5PiAViyl3SF4U+f1KEmp2M4oYnMKVjlBZEKskxQBQJyuZXAjrQp&#10;dhvgdcX/V6h/AVBLAwQUAAAACACHTuJA9fUf0WsCAADBBAAADgAAAGRycy9lMm9Eb2MueG1srVRL&#10;btswEN0X6B0I7htZtpI4RuTAsOGiQNAYSIuuaYqyBPBXkracXqZAdz1Ej1P0Gn2klE/TLrKoF/SM&#10;5ukN582MLq+OSpKDcL41uqT5yYgSobmpWr0r6ccP6zdTSnxgumLSaFHSO+Hp1fz1q8vOzsTYNEZW&#10;whGQaD/rbEmbEOwsyzxvhGL+xFihEayNUyzAdbuscqwDu5LZeDQ6yzrjKusMF97j6aoP0oHRvYTQ&#10;1HXLxcrwvRI69KxOSBZQkm9a6+k83bauBQ83de1FILKkqDSkE0lgb+OZzS/ZbOeYbVo+XIG95ArP&#10;alKs1Uj6QLVigZG9a/+iUi13xps6nHCjsr6QpAiqyEfPtLltmBWpFkjt7YPo/v/R8veHjSNthUko&#10;KNFMoeO/vn7/+eMbwQOo01k/A+jWbtzgeZix1GPtVPxHEeRY0ovJOJ9C1ruSTov8bHwxiCuOgXDE&#10;T8eT6fkpAByIYnpW5AmQPRJZ58NbYRSJRkkdmpc0ZYdrH5Ac0HtIzKvNupUyNVBq0pV0Ms1HkZ9h&#10;KmtMA0xlUZnXO0qY3GHceXCJ0hvZVvH1SOTdbruUjhwYhmS9HuEXK0e6P2Ax94r5psel0ACTGugo&#10;VC9NtLamuoOwzvQT5y1ft3j/mvmwYQ4jhotiCcMNjloa3N4MFiWNcV/+9Tzi0XlEKekwsqjs8545&#10;QYl8pzETF3lRgDYkpzg9H8NxTyPbpxG9V0uDgnOsu+XJjPgg783aGfUJu7qIWRFimiN3r+HgLEO/&#10;Sth2LhaLBMNcWxau9a3lkbzv1GIfTN2mJj6qM4iGyU5iD1sYV+epn1CPX57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pSi//YAAAACgEAAA8AAAAAAAAAAQAgAAAAIgAAAGRycy9kb3ducmV2Lnht&#10;bFBLAQIUABQAAAAIAIdO4kD19R/RawIAAMEEAAAOAAAAAAAAAAEAIAAAACcBAABkcnMvZTJvRG9j&#10;LnhtbFBLBQYAAAAABgAGAFkBAAAEBgAAAAA=&#10;">
                <v:fill on="f" focussize="0,0"/>
                <v:stroke weight="3pt" color="#FF0000 [2404]" joinstyle="round"/>
                <v:imagedata o:title=""/>
                <o:lock v:ext="edit" aspectratio="f"/>
              </v:rect>
            </w:pict>
          </mc:Fallback>
        </mc:AlternateContent>
      </w:r>
      <w:r>
        <w:drawing>
          <wp:inline distT="0" distB="0" distL="114300" distR="114300">
            <wp:extent cx="5721350" cy="2360295"/>
            <wp:effectExtent l="0" t="0" r="12700" b="190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7"/>
                    <a:srcRect b="37839"/>
                    <a:stretch>
                      <a:fillRect/>
                    </a:stretch>
                  </pic:blipFill>
                  <pic:spPr>
                    <a:xfrm>
                      <a:off x="0" y="0"/>
                      <a:ext cx="5721350" cy="2360295"/>
                    </a:xfrm>
                    <a:prstGeom prst="rect">
                      <a:avLst/>
                    </a:prstGeom>
                    <a:noFill/>
                    <a:ln>
                      <a:noFill/>
                    </a:ln>
                  </pic:spPr>
                </pic:pic>
              </a:graphicData>
            </a:graphic>
          </wp:inline>
        </w:drawing>
      </w:r>
    </w:p>
    <w:p w14:paraId="75B154E3">
      <w:pPr>
        <w:pStyle w:val="3"/>
        <w:ind w:firstLine="280" w:firstLineChars="100"/>
        <w:rPr>
          <w:rFonts w:eastAsia="仿宋"/>
          <w:b/>
          <w:color w:val="000000"/>
          <w:sz w:val="28"/>
          <w:szCs w:val="28"/>
        </w:rPr>
      </w:pPr>
      <w:bookmarkStart w:id="132" w:name="_Toc11454"/>
      <w:r>
        <w:rPr>
          <w:rFonts w:hint="eastAsia" w:ascii="Times New Roman" w:hAnsi="Times New Roman"/>
          <w:sz w:val="28"/>
          <w:szCs w:val="28"/>
        </w:rPr>
        <w:t>3.3防雷接地</w:t>
      </w:r>
      <w:bookmarkEnd w:id="126"/>
      <w:bookmarkEnd w:id="132"/>
    </w:p>
    <w:p w14:paraId="2F1289DE">
      <w:pPr>
        <w:ind w:firstLine="560"/>
        <w:rPr>
          <w:color w:val="000000"/>
          <w:szCs w:val="28"/>
        </w:rPr>
      </w:pPr>
      <w:r>
        <w:rPr>
          <w:color w:val="000000"/>
          <w:szCs w:val="28"/>
        </w:rPr>
        <w:t>依照现行国家标准《塔式起重机安全规程》 GB5144-2006的要求，塔机主体机构、电动机基座和所有电气设备金属外壳均应可靠接地。</w:t>
      </w:r>
    </w:p>
    <w:p w14:paraId="753FD7CC">
      <w:pPr>
        <w:ind w:firstLine="560"/>
        <w:rPr>
          <w:color w:val="000000"/>
          <w:szCs w:val="28"/>
        </w:rPr>
      </w:pPr>
      <w:r>
        <w:rPr>
          <w:color w:val="000000"/>
          <w:szCs w:val="28"/>
        </w:rPr>
        <w:t>依据《施工现场临时用电安全技术规范》JGJ46-2005中防雷要求，塔机可不另设避雷针（接闪器），防雷引下线可利用设备金属结构体，并保证电气连接。</w:t>
      </w:r>
    </w:p>
    <w:p w14:paraId="2D469842">
      <w:pPr>
        <w:pStyle w:val="171"/>
        <w:spacing w:line="240" w:lineRule="auto"/>
        <w:ind w:firstLine="560" w:firstLineChars="0"/>
        <w:jc w:val="left"/>
        <w:rPr>
          <w:rFonts w:ascii="仿宋" w:hAnsi="仿宋" w:eastAsia="仿宋" w:cs="仿宋"/>
          <w:color w:val="000000"/>
          <w:sz w:val="28"/>
          <w:szCs w:val="28"/>
        </w:rPr>
      </w:pPr>
      <w:r>
        <w:rPr>
          <w:rFonts w:hint="eastAsia" w:ascii="仿宋" w:hAnsi="仿宋" w:eastAsia="仿宋" w:cs="仿宋"/>
          <w:color w:val="000000"/>
          <w:sz w:val="28"/>
          <w:szCs w:val="28"/>
        </w:rPr>
        <w:t>为了更好地形成雷电通路，塔机电气重复节点应单独接多股铜线，防雷的多股铜线的截面积必须大于25mm</w:t>
      </w:r>
      <w:r>
        <w:rPr>
          <w:rFonts w:hint="eastAsia" w:ascii="仿宋" w:hAnsi="仿宋" w:eastAsia="仿宋" w:cs="仿宋"/>
          <w:color w:val="000000"/>
          <w:sz w:val="28"/>
          <w:szCs w:val="28"/>
          <w:vertAlign w:val="superscript"/>
        </w:rPr>
        <w:t>2</w:t>
      </w:r>
      <w:r>
        <w:rPr>
          <w:rFonts w:hint="eastAsia" w:ascii="仿宋" w:hAnsi="仿宋" w:eastAsia="仿宋" w:cs="仿宋"/>
          <w:color w:val="000000"/>
          <w:sz w:val="28"/>
          <w:szCs w:val="28"/>
        </w:rPr>
        <w:t>。塔机主体结构、电机机座和所有电气设备的金属外壳、导线的金属保护管均应可靠接地，其接地电阻应不大于4Ω。采用多处重复接地时，其接地电阻应不大于10Ω。</w:t>
      </w:r>
    </w:p>
    <w:p w14:paraId="084BEC3A">
      <w:pPr>
        <w:pStyle w:val="3"/>
        <w:ind w:firstLine="280" w:firstLineChars="100"/>
        <w:rPr>
          <w:b/>
          <w:color w:val="000000"/>
          <w:sz w:val="28"/>
          <w:szCs w:val="28"/>
        </w:rPr>
      </w:pPr>
      <w:bookmarkStart w:id="133" w:name="_Toc12744"/>
      <w:r>
        <w:rPr>
          <w:rFonts w:hint="eastAsia" w:ascii="Times New Roman" w:hAnsi="Times New Roman"/>
          <w:sz w:val="28"/>
          <w:szCs w:val="28"/>
        </w:rPr>
        <w:t>3.4塔机基础</w:t>
      </w:r>
      <w:bookmarkEnd w:id="133"/>
    </w:p>
    <w:p w14:paraId="7CC305C9">
      <w:pPr>
        <w:pStyle w:val="171"/>
        <w:spacing w:line="240" w:lineRule="auto"/>
        <w:ind w:firstLine="560" w:firstLineChars="0"/>
        <w:jc w:val="left"/>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rPr>
        <w:t>根据现场实际情况，塔机基础设置于桥墩附近，距离梁翼缘板间距为1.2m，</w:t>
      </w:r>
      <w:r>
        <w:rPr>
          <w:rFonts w:hint="eastAsia" w:ascii="仿宋" w:hAnsi="仿宋" w:eastAsia="仿宋" w:cs="仿宋"/>
          <w:color w:val="000000"/>
          <w:sz w:val="28"/>
          <w:szCs w:val="28"/>
          <w:lang w:eastAsia="zh-CN"/>
        </w:rPr>
        <w:t>此两台</w:t>
      </w:r>
      <w:r>
        <w:rPr>
          <w:rFonts w:hint="eastAsia" w:ascii="仿宋" w:hAnsi="仿宋" w:eastAsia="仿宋" w:cs="仿宋"/>
          <w:color w:val="000000"/>
          <w:sz w:val="28"/>
          <w:szCs w:val="28"/>
          <w:lang w:val="en-US" w:eastAsia="zh-CN"/>
        </w:rPr>
        <w:t>XGT6015A-8S</w:t>
      </w:r>
      <w:r>
        <w:rPr>
          <w:rFonts w:hint="eastAsia" w:ascii="仿宋" w:hAnsi="仿宋" w:eastAsia="仿宋" w:cs="仿宋"/>
          <w:color w:val="000000"/>
          <w:sz w:val="28"/>
          <w:szCs w:val="28"/>
          <w:lang w:eastAsia="zh-CN"/>
        </w:rPr>
        <w:t>塔机基础为独立式承台基础，基础承台</w:t>
      </w:r>
      <w:r>
        <w:rPr>
          <w:rFonts w:hint="eastAsia" w:ascii="仿宋" w:hAnsi="仿宋" w:eastAsia="仿宋" w:cs="仿宋"/>
          <w:color w:val="000000"/>
          <w:sz w:val="28"/>
          <w:szCs w:val="28"/>
        </w:rPr>
        <w:t>尺寸为</w:t>
      </w:r>
      <w:r>
        <w:rPr>
          <w:rFonts w:hint="eastAsia" w:ascii="仿宋" w:hAnsi="仿宋" w:eastAsia="仿宋" w:cs="仿宋"/>
          <w:color w:val="000000"/>
          <w:sz w:val="28"/>
          <w:szCs w:val="28"/>
          <w:lang w:val="en-US" w:eastAsia="zh-CN"/>
        </w:rPr>
        <w:t>6</w:t>
      </w: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6</w:t>
      </w: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1.2</w:t>
      </w:r>
      <w:r>
        <w:rPr>
          <w:rFonts w:hint="eastAsia" w:ascii="仿宋" w:hAnsi="仿宋" w:eastAsia="仿宋" w:cs="仿宋"/>
          <w:color w:val="000000"/>
          <w:sz w:val="28"/>
          <w:szCs w:val="28"/>
        </w:rPr>
        <w:t>m</w:t>
      </w:r>
      <w:r>
        <w:rPr>
          <w:rFonts w:hint="eastAsia" w:ascii="仿宋" w:hAnsi="仿宋" w:eastAsia="仿宋" w:cs="仿宋"/>
          <w:color w:val="000000"/>
          <w:sz w:val="28"/>
          <w:szCs w:val="28"/>
          <w:lang w:eastAsia="zh-CN"/>
        </w:rPr>
        <w:t>设计。地基承载力要求≥</w:t>
      </w:r>
      <w:r>
        <w:rPr>
          <w:rFonts w:hint="eastAsia" w:ascii="仿宋" w:hAnsi="仿宋" w:eastAsia="仿宋" w:cs="仿宋"/>
          <w:color w:val="000000"/>
          <w:sz w:val="28"/>
          <w:szCs w:val="28"/>
          <w:lang w:val="en-US" w:eastAsia="zh-CN"/>
        </w:rPr>
        <w:t>160KPa，若现场地基基础承载力不符合要求，请参照产品说明书要求按实际地基承载力选择基础大小。</w:t>
      </w:r>
    </w:p>
    <w:p w14:paraId="46ADE8F7">
      <w:pPr>
        <w:pStyle w:val="171"/>
        <w:spacing w:line="240" w:lineRule="auto"/>
        <w:ind w:firstLine="560" w:firstLineChars="0"/>
        <w:jc w:val="left"/>
        <w:rPr>
          <w:rFonts w:ascii="仿宋" w:hAnsi="仿宋" w:eastAsia="仿宋" w:cs="仿宋"/>
          <w:color w:val="000000"/>
          <w:sz w:val="28"/>
          <w:szCs w:val="28"/>
        </w:rPr>
      </w:pPr>
      <w:r>
        <w:rPr>
          <w:rFonts w:hint="eastAsia" w:ascii="仿宋" w:hAnsi="仿宋" w:eastAsia="仿宋" w:cs="仿宋"/>
          <w:color w:val="000000"/>
          <w:sz w:val="28"/>
          <w:szCs w:val="28"/>
        </w:rPr>
        <w:t>塔机基础</w:t>
      </w:r>
      <w:r>
        <w:rPr>
          <w:rFonts w:hint="eastAsia" w:ascii="仿宋" w:hAnsi="仿宋" w:eastAsia="仿宋" w:cs="仿宋"/>
          <w:color w:val="000000"/>
          <w:sz w:val="28"/>
          <w:szCs w:val="28"/>
          <w:lang w:eastAsia="zh-CN"/>
        </w:rPr>
        <w:t>预埋</w:t>
      </w:r>
      <w:r>
        <w:rPr>
          <w:rFonts w:hint="eastAsia" w:ascii="仿宋" w:hAnsi="仿宋" w:eastAsia="仿宋" w:cs="仿宋"/>
          <w:color w:val="000000"/>
          <w:sz w:val="28"/>
          <w:szCs w:val="28"/>
        </w:rPr>
        <w:t>：根据基础要求准备好预埋螺栓，在</w:t>
      </w:r>
      <w:r>
        <w:rPr>
          <w:rFonts w:hint="eastAsia" w:ascii="仿宋" w:hAnsi="仿宋" w:eastAsia="仿宋" w:cs="仿宋"/>
          <w:color w:val="000000"/>
          <w:sz w:val="28"/>
          <w:szCs w:val="28"/>
          <w:lang w:eastAsia="zh-CN"/>
        </w:rPr>
        <w:t>桥墩</w:t>
      </w:r>
      <w:r>
        <w:rPr>
          <w:rFonts w:hint="eastAsia" w:ascii="仿宋" w:hAnsi="仿宋" w:eastAsia="仿宋" w:cs="仿宋"/>
          <w:color w:val="000000"/>
          <w:sz w:val="28"/>
          <w:szCs w:val="28"/>
        </w:rPr>
        <w:t>承台混凝土浇筑完成后，重新开挖基坑</w:t>
      </w:r>
      <w:r>
        <w:rPr>
          <w:rFonts w:hint="eastAsia" w:ascii="仿宋" w:hAnsi="仿宋" w:eastAsia="仿宋" w:cs="仿宋"/>
          <w:color w:val="000000"/>
          <w:sz w:val="28"/>
          <w:szCs w:val="28"/>
          <w:lang w:eastAsia="zh-CN"/>
        </w:rPr>
        <w:t>至基础桩预留位置</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，然后模板与钢筋安装，再将预埋螺栓放入承台预留塔机基础位置内固定好，根据说明书要求施工。在浇筑砼前必须对预埋螺栓检查垂直度。其垂直度小于2/1000。浇筑完砼后检查基础水平，水平面不大于1/1000。</w:t>
      </w:r>
    </w:p>
    <w:p w14:paraId="60736618">
      <w:pPr>
        <w:spacing w:line="240" w:lineRule="auto"/>
        <w:ind w:firstLine="560"/>
        <w:jc w:val="both"/>
        <w:rPr>
          <w:rFonts w:hint="eastAsia" w:eastAsia="宋体"/>
          <w:lang w:eastAsia="zh-CN"/>
        </w:rPr>
      </w:pPr>
      <w:r>
        <w:drawing>
          <wp:inline distT="0" distB="0" distL="114300" distR="114300">
            <wp:extent cx="5720715" cy="2963545"/>
            <wp:effectExtent l="0" t="0" r="13335" b="8255"/>
            <wp:docPr id="2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1"/>
                    <pic:cNvPicPr>
                      <a:picLocks noChangeAspect="1"/>
                    </pic:cNvPicPr>
                  </pic:nvPicPr>
                  <pic:blipFill>
                    <a:blip r:embed="rId18"/>
                    <a:stretch>
                      <a:fillRect/>
                    </a:stretch>
                  </pic:blipFill>
                  <pic:spPr>
                    <a:xfrm>
                      <a:off x="0" y="0"/>
                      <a:ext cx="5720715" cy="2963545"/>
                    </a:xfrm>
                    <a:prstGeom prst="rect">
                      <a:avLst/>
                    </a:prstGeom>
                    <a:noFill/>
                    <a:ln>
                      <a:noFill/>
                    </a:ln>
                  </pic:spPr>
                </pic:pic>
              </a:graphicData>
            </a:graphic>
          </wp:inline>
        </w:drawing>
      </w:r>
    </w:p>
    <w:p w14:paraId="46208F78">
      <w:pPr>
        <w:pStyle w:val="122"/>
        <w:outlineLvl w:val="9"/>
      </w:pPr>
      <w:r>
        <w:rPr>
          <w:rFonts w:hint="eastAsia"/>
        </w:rPr>
        <w:t>图3-1塔机基础图</w:t>
      </w:r>
    </w:p>
    <w:p w14:paraId="209851EB">
      <w:pPr>
        <w:spacing w:line="240" w:lineRule="auto"/>
        <w:ind w:firstLine="0" w:firstLineChars="0"/>
        <w:rPr>
          <w:rFonts w:hint="eastAsia" w:eastAsia="仿宋"/>
          <w:lang w:eastAsia="zh-CN"/>
        </w:rPr>
      </w:pPr>
      <w:r>
        <w:rPr>
          <w:rFonts w:hint="eastAsia" w:eastAsia="仿宋"/>
          <w:lang w:eastAsia="zh-CN"/>
        </w:rPr>
        <w:drawing>
          <wp:inline distT="0" distB="0" distL="114300" distR="114300">
            <wp:extent cx="5718175" cy="4079875"/>
            <wp:effectExtent l="0" t="0" r="15875" b="15875"/>
            <wp:docPr id="28" name="图片 28" descr="173465598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34655981552"/>
                    <pic:cNvPicPr>
                      <a:picLocks noChangeAspect="1"/>
                    </pic:cNvPicPr>
                  </pic:nvPicPr>
                  <pic:blipFill>
                    <a:blip r:embed="rId19"/>
                    <a:stretch>
                      <a:fillRect/>
                    </a:stretch>
                  </pic:blipFill>
                  <pic:spPr>
                    <a:xfrm>
                      <a:off x="0" y="0"/>
                      <a:ext cx="5718175" cy="4079875"/>
                    </a:xfrm>
                    <a:prstGeom prst="rect">
                      <a:avLst/>
                    </a:prstGeom>
                  </pic:spPr>
                </pic:pic>
              </a:graphicData>
            </a:graphic>
          </wp:inline>
        </w:drawing>
      </w:r>
    </w:p>
    <w:p w14:paraId="1F615ED3">
      <w:pPr>
        <w:pStyle w:val="122"/>
        <w:outlineLvl w:val="9"/>
        <w:rPr>
          <w:rFonts w:hint="eastAsia"/>
        </w:rPr>
      </w:pPr>
      <w:r>
        <w:rPr>
          <w:rFonts w:hint="eastAsia"/>
        </w:rPr>
        <w:t>图3-2塔机基础钢筋图</w:t>
      </w:r>
    </w:p>
    <w:p w14:paraId="25F2C85C">
      <w:pPr>
        <w:spacing w:line="240" w:lineRule="auto"/>
        <w:ind w:firstLine="0" w:firstLineChars="0"/>
        <w:rPr>
          <w:rFonts w:hint="eastAsia"/>
        </w:rPr>
      </w:pPr>
    </w:p>
    <w:bookmarkEnd w:id="108"/>
    <w:bookmarkEnd w:id="109"/>
    <w:bookmarkEnd w:id="127"/>
    <w:bookmarkEnd w:id="128"/>
    <w:bookmarkEnd w:id="129"/>
    <w:bookmarkEnd w:id="130"/>
    <w:bookmarkEnd w:id="131"/>
    <w:p w14:paraId="6A2CC5E2">
      <w:pPr>
        <w:pStyle w:val="2"/>
        <w:ind w:left="1960" w:right="1960" w:firstLine="1280" w:firstLineChars="400"/>
        <w:jc w:val="both"/>
        <w:rPr>
          <w:color w:val="000000"/>
        </w:rPr>
      </w:pPr>
      <w:bookmarkStart w:id="134" w:name="_Toc531896369"/>
      <w:bookmarkStart w:id="135" w:name="_Toc19228"/>
      <w:bookmarkStart w:id="136" w:name="_Toc28258"/>
      <w:bookmarkStart w:id="137" w:name="_Toc32314"/>
      <w:bookmarkStart w:id="138" w:name="_Toc24480"/>
      <w:bookmarkStart w:id="139" w:name="_Toc15182"/>
      <w:bookmarkStart w:id="140" w:name="_Toc8163"/>
      <w:bookmarkStart w:id="141" w:name="_Toc18875"/>
      <w:bookmarkStart w:id="142" w:name="_Toc12526"/>
      <w:bookmarkStart w:id="143" w:name="_Toc526402030"/>
      <w:bookmarkStart w:id="144" w:name="_Toc11396"/>
      <w:bookmarkStart w:id="145" w:name="_Toc10066"/>
      <w:bookmarkStart w:id="146" w:name="_Toc20180"/>
      <w:bookmarkStart w:id="147" w:name="_Toc24545"/>
      <w:bookmarkStart w:id="148" w:name="_Toc26255"/>
      <w:bookmarkStart w:id="149" w:name="_Toc9049"/>
      <w:bookmarkStart w:id="150" w:name="_Toc32091"/>
      <w:bookmarkStart w:id="151" w:name="_Toc25516"/>
      <w:bookmarkStart w:id="152" w:name="_Toc22146"/>
      <w:bookmarkStart w:id="153" w:name="_Toc5939"/>
      <w:r>
        <w:rPr>
          <w:rFonts w:hint="eastAsia"/>
          <w:color w:val="000000"/>
        </w:rPr>
        <w:t>第四章 施工</w:t>
      </w:r>
      <w:bookmarkEnd w:id="134"/>
      <w:bookmarkEnd w:id="135"/>
      <w:bookmarkEnd w:id="136"/>
      <w:bookmarkEnd w:id="137"/>
      <w:bookmarkEnd w:id="138"/>
      <w:bookmarkEnd w:id="139"/>
      <w:bookmarkEnd w:id="140"/>
      <w:bookmarkEnd w:id="141"/>
      <w:bookmarkEnd w:id="142"/>
      <w:bookmarkEnd w:id="143"/>
      <w:bookmarkEnd w:id="144"/>
      <w:bookmarkEnd w:id="145"/>
      <w:bookmarkEnd w:id="146"/>
      <w:r>
        <w:rPr>
          <w:rFonts w:hint="eastAsia"/>
          <w:color w:val="000000"/>
        </w:rPr>
        <w:t>技术方案</w:t>
      </w:r>
      <w:bookmarkEnd w:id="147"/>
      <w:bookmarkEnd w:id="148"/>
      <w:bookmarkEnd w:id="149"/>
      <w:bookmarkEnd w:id="150"/>
      <w:bookmarkEnd w:id="151"/>
      <w:bookmarkEnd w:id="152"/>
      <w:bookmarkEnd w:id="153"/>
    </w:p>
    <w:p w14:paraId="52B06064">
      <w:pPr>
        <w:pStyle w:val="3"/>
        <w:rPr>
          <w:color w:val="000000"/>
        </w:rPr>
      </w:pPr>
      <w:bookmarkStart w:id="154" w:name="_Toc13514"/>
      <w:bookmarkStart w:id="155" w:name="_Toc21302"/>
      <w:bookmarkStart w:id="156" w:name="_Toc20207"/>
      <w:bookmarkStart w:id="157" w:name="_Toc24903"/>
      <w:bookmarkStart w:id="158" w:name="_Toc23852"/>
      <w:bookmarkStart w:id="159" w:name="_Toc30976"/>
      <w:bookmarkStart w:id="160" w:name="_Toc5459"/>
      <w:bookmarkStart w:id="161" w:name="_Toc22610"/>
      <w:bookmarkStart w:id="162" w:name="_Toc31565"/>
      <w:bookmarkStart w:id="163" w:name="_Toc7312"/>
      <w:bookmarkStart w:id="164" w:name="_Toc22300"/>
      <w:bookmarkStart w:id="165" w:name="_Toc10614"/>
      <w:bookmarkStart w:id="166" w:name="_Toc20690"/>
      <w:bookmarkStart w:id="167" w:name="_Toc18626"/>
      <w:r>
        <w:rPr>
          <w:rFonts w:hint="eastAsia"/>
          <w:color w:val="000000"/>
        </w:rPr>
        <w:t>4.1 组织机构</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536ECEBE">
      <w:pPr>
        <w:ind w:firstLine="560"/>
      </w:pPr>
      <w:bookmarkStart w:id="168" w:name="_Toc28673"/>
      <w:bookmarkStart w:id="169" w:name="_Toc31708"/>
      <w:bookmarkStart w:id="170" w:name="_Toc28912"/>
      <w:bookmarkStart w:id="171" w:name="_Toc1909"/>
      <w:bookmarkStart w:id="172" w:name="_Toc29878"/>
      <w:bookmarkStart w:id="173" w:name="_Toc514412681"/>
      <w:bookmarkStart w:id="174" w:name="_Toc29716"/>
      <w:bookmarkStart w:id="175" w:name="_Toc10279"/>
      <w:bookmarkStart w:id="176" w:name="_Toc2774"/>
      <w:bookmarkStart w:id="177" w:name="_Toc24476"/>
      <w:bookmarkStart w:id="178" w:name="_Toc514922752"/>
      <w:bookmarkStart w:id="179" w:name="_Toc30832"/>
      <w:bookmarkStart w:id="180" w:name="_Toc531896370"/>
      <w:bookmarkStart w:id="181" w:name="_Toc4571"/>
      <w:bookmarkStart w:id="182" w:name="_Toc23518"/>
      <w:bookmarkStart w:id="183" w:name="_Toc26147"/>
      <w:bookmarkStart w:id="184" w:name="_Toc356"/>
      <w:bookmarkStart w:id="185" w:name="_Toc441657861"/>
      <w:bookmarkStart w:id="186" w:name="_Toc31779"/>
      <w:bookmarkStart w:id="187" w:name="_Toc10433"/>
      <w:bookmarkStart w:id="188" w:name="_Toc526402036"/>
      <w:bookmarkStart w:id="189" w:name="_Toc10000"/>
      <w:r>
        <w:rPr>
          <w:rFonts w:hint="eastAsia"/>
        </w:rPr>
        <w:t>根据本工程实际情况，为全面落实施工生产安排，对塔机安装、拆卸、运输全过程进行管理和监控，确保质量目标、工期目标、环境管理目标和职业健康安全管理目标的实现，确定如下施工组织机构，并明确分工职责。</w:t>
      </w:r>
    </w:p>
    <w:p w14:paraId="5CFE36DF">
      <w:pPr>
        <w:pStyle w:val="79"/>
        <w:spacing w:line="240" w:lineRule="auto"/>
        <w:ind w:firstLine="0" w:firstLineChars="0"/>
      </w:pPr>
      <w:r>
        <w:rPr>
          <w:rStyle w:val="123"/>
        </w:rPr>
        <w:drawing>
          <wp:inline distT="0" distB="0" distL="114300" distR="114300">
            <wp:extent cx="5224145" cy="2447290"/>
            <wp:effectExtent l="0" t="0" r="3175" b="6350"/>
            <wp:docPr id="7" name="图片 5"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绘图1"/>
                    <pic:cNvPicPr>
                      <a:picLocks noChangeAspect="1"/>
                    </pic:cNvPicPr>
                  </pic:nvPicPr>
                  <pic:blipFill>
                    <a:blip r:embed="rId20"/>
                    <a:stretch>
                      <a:fillRect/>
                    </a:stretch>
                  </pic:blipFill>
                  <pic:spPr>
                    <a:xfrm>
                      <a:off x="0" y="0"/>
                      <a:ext cx="5224145" cy="2447290"/>
                    </a:xfrm>
                    <a:prstGeom prst="rect">
                      <a:avLst/>
                    </a:prstGeom>
                    <a:noFill/>
                    <a:ln>
                      <a:noFill/>
                    </a:ln>
                  </pic:spPr>
                </pic:pic>
              </a:graphicData>
            </a:graphic>
          </wp:inline>
        </w:drawing>
      </w:r>
    </w:p>
    <w:p w14:paraId="1F8BFFC6">
      <w:pPr>
        <w:pStyle w:val="122"/>
        <w:ind w:firstLine="0"/>
        <w:outlineLvl w:val="9"/>
        <w:rPr>
          <w:rFonts w:ascii="Times New Roman" w:hAnsi="Times New Roman" w:eastAsia="仿宋" w:cs="Times New Roman"/>
          <w:b w:val="0"/>
          <w:color w:val="auto"/>
        </w:rPr>
      </w:pPr>
      <w:r>
        <w:rPr>
          <w:rFonts w:hint="eastAsia" w:ascii="Times New Roman" w:hAnsi="Times New Roman" w:eastAsia="仿宋" w:cs="Times New Roman"/>
          <w:color w:val="auto"/>
        </w:rPr>
        <w:t>图4.1-1 塔式起重机安拆组织机构图</w:t>
      </w:r>
    </w:p>
    <w:p w14:paraId="58E024F2">
      <w:pPr>
        <w:pStyle w:val="4"/>
        <w:rPr>
          <w:rFonts w:ascii="黑体" w:hAnsi="黑体"/>
          <w:color w:val="000000"/>
        </w:rPr>
      </w:pPr>
      <w:r>
        <w:rPr>
          <w:rFonts w:hint="eastAsia" w:ascii="黑体" w:hAnsi="黑体"/>
          <w:color w:val="000000"/>
        </w:rPr>
        <w:t>4.1</w:t>
      </w:r>
      <w:r>
        <w:rPr>
          <w:rFonts w:ascii="黑体" w:hAnsi="黑体"/>
          <w:color w:val="000000"/>
        </w:rPr>
        <w:t>.</w:t>
      </w:r>
      <w:r>
        <w:rPr>
          <w:rFonts w:hint="eastAsia" w:ascii="黑体" w:hAnsi="黑体"/>
          <w:color w:val="000000"/>
        </w:rPr>
        <w:t>1施工人员职责分工</w:t>
      </w:r>
    </w:p>
    <w:p w14:paraId="29F645D6">
      <w:pPr>
        <w:pStyle w:val="122"/>
        <w:outlineLvl w:val="9"/>
        <w:rPr>
          <w:rStyle w:val="123"/>
          <w:b/>
        </w:rPr>
      </w:pPr>
      <w:r>
        <w:rPr>
          <w:rStyle w:val="123"/>
          <w:rFonts w:hint="eastAsia"/>
          <w:b/>
        </w:rPr>
        <w:t>表4.1-1塔机安装施工管理人员配置表</w:t>
      </w:r>
    </w:p>
    <w:tbl>
      <w:tblPr>
        <w:tblStyle w:val="40"/>
        <w:tblW w:w="878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1262"/>
        <w:gridCol w:w="1637"/>
        <w:gridCol w:w="4100"/>
      </w:tblGrid>
      <w:tr w14:paraId="200DCB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Align w:val="center"/>
          </w:tcPr>
          <w:p w14:paraId="67E1E820">
            <w:pPr>
              <w:widowControl/>
              <w:adjustRightInd w:val="0"/>
              <w:spacing w:line="240" w:lineRule="auto"/>
              <w:ind w:firstLine="33" w:firstLineChars="14"/>
              <w:jc w:val="center"/>
              <w:textAlignment w:val="center"/>
              <w:rPr>
                <w:rFonts w:ascii="仿宋" w:hAnsi="仿宋"/>
                <w:kern w:val="0"/>
                <w:sz w:val="24"/>
                <w:szCs w:val="24"/>
              </w:rPr>
            </w:pPr>
            <w:bookmarkStart w:id="190" w:name="_Hlk533448464"/>
            <w:r>
              <w:rPr>
                <w:rFonts w:hint="eastAsia" w:ascii="仿宋" w:hAnsi="仿宋"/>
                <w:kern w:val="0"/>
                <w:sz w:val="24"/>
                <w:szCs w:val="24"/>
              </w:rPr>
              <w:t>单位</w:t>
            </w:r>
          </w:p>
        </w:tc>
        <w:tc>
          <w:tcPr>
            <w:tcW w:w="1262" w:type="dxa"/>
            <w:vAlign w:val="center"/>
          </w:tcPr>
          <w:p w14:paraId="6092F51B">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姓名</w:t>
            </w:r>
          </w:p>
        </w:tc>
        <w:tc>
          <w:tcPr>
            <w:tcW w:w="1637" w:type="dxa"/>
            <w:vAlign w:val="center"/>
          </w:tcPr>
          <w:p w14:paraId="00D1F2B7">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岗位</w:t>
            </w:r>
          </w:p>
        </w:tc>
        <w:tc>
          <w:tcPr>
            <w:tcW w:w="4100" w:type="dxa"/>
            <w:vAlign w:val="center"/>
          </w:tcPr>
          <w:p w14:paraId="11590B29">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岗位职责</w:t>
            </w:r>
          </w:p>
        </w:tc>
      </w:tr>
      <w:tr w14:paraId="117F01D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restart"/>
            <w:vAlign w:val="center"/>
          </w:tcPr>
          <w:p w14:paraId="4C48E8FD">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中铁大桥局机械化施工公司</w:t>
            </w:r>
          </w:p>
        </w:tc>
        <w:tc>
          <w:tcPr>
            <w:tcW w:w="1262" w:type="dxa"/>
            <w:vAlign w:val="center"/>
          </w:tcPr>
          <w:p w14:paraId="241F14C8">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张腾万</w:t>
            </w:r>
          </w:p>
        </w:tc>
        <w:tc>
          <w:tcPr>
            <w:tcW w:w="1637" w:type="dxa"/>
            <w:vAlign w:val="center"/>
          </w:tcPr>
          <w:p w14:paraId="576CF6CD">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安拆负责人</w:t>
            </w:r>
          </w:p>
        </w:tc>
        <w:tc>
          <w:tcPr>
            <w:tcW w:w="4100" w:type="dxa"/>
          </w:tcPr>
          <w:p w14:paraId="0A44EE84">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对塔机安装的全过程进行管理、监控，合理的组织生产，确保安全施工。</w:t>
            </w:r>
          </w:p>
        </w:tc>
      </w:tr>
      <w:tr w14:paraId="3F6D7C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50765E4F">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680CE84B">
            <w:pPr>
              <w:widowControl/>
              <w:adjustRightInd w:val="0"/>
              <w:spacing w:line="240" w:lineRule="auto"/>
              <w:ind w:firstLine="0" w:firstLineChars="0"/>
              <w:jc w:val="center"/>
              <w:textAlignment w:val="center"/>
              <w:rPr>
                <w:rFonts w:ascii="仿宋" w:hAnsi="仿宋"/>
                <w:kern w:val="0"/>
                <w:sz w:val="24"/>
                <w:szCs w:val="24"/>
              </w:rPr>
            </w:pPr>
            <w:r>
              <w:rPr>
                <w:rFonts w:hint="eastAsia" w:ascii="仿宋" w:hAnsi="仿宋"/>
                <w:kern w:val="0"/>
                <w:sz w:val="24"/>
                <w:szCs w:val="24"/>
              </w:rPr>
              <w:t>温  涛</w:t>
            </w:r>
          </w:p>
        </w:tc>
        <w:tc>
          <w:tcPr>
            <w:tcW w:w="1637" w:type="dxa"/>
            <w:vAlign w:val="center"/>
          </w:tcPr>
          <w:p w14:paraId="52387F27">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技术总工</w:t>
            </w:r>
          </w:p>
        </w:tc>
        <w:tc>
          <w:tcPr>
            <w:tcW w:w="4100" w:type="dxa"/>
          </w:tcPr>
          <w:p w14:paraId="5C72E950">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现场勘察，编制塔机的安装技术方案，负责安装技术指导，汇编整理技术资料，监管设备检验。</w:t>
            </w:r>
          </w:p>
        </w:tc>
      </w:tr>
      <w:tr w14:paraId="0D1CEAC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66485DD0">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0143DB98">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黄教亮</w:t>
            </w:r>
          </w:p>
        </w:tc>
        <w:tc>
          <w:tcPr>
            <w:tcW w:w="1637" w:type="dxa"/>
            <w:vAlign w:val="center"/>
          </w:tcPr>
          <w:p w14:paraId="234C0055">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施工工长</w:t>
            </w:r>
          </w:p>
        </w:tc>
        <w:tc>
          <w:tcPr>
            <w:tcW w:w="4100" w:type="dxa"/>
          </w:tcPr>
          <w:p w14:paraId="35B57381">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负责现场塔机按照安装方案安装，以及组织现场安装人员施工。</w:t>
            </w:r>
          </w:p>
        </w:tc>
      </w:tr>
      <w:tr w14:paraId="50842A1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29688ED8">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2B3CBC2D">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张腾万</w:t>
            </w:r>
          </w:p>
        </w:tc>
        <w:tc>
          <w:tcPr>
            <w:tcW w:w="1637" w:type="dxa"/>
            <w:vAlign w:val="center"/>
          </w:tcPr>
          <w:p w14:paraId="540BDDAB">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安全员</w:t>
            </w:r>
          </w:p>
        </w:tc>
        <w:tc>
          <w:tcPr>
            <w:tcW w:w="4100" w:type="dxa"/>
          </w:tcPr>
          <w:p w14:paraId="6643C25C">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检查施工中安全保护措施的监督执行，监督执行作业前安全技术交底，负责现场施工安全监督。</w:t>
            </w:r>
          </w:p>
        </w:tc>
      </w:tr>
      <w:tr w14:paraId="3000F1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794EEEE5">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642FB8C8">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贺中兵</w:t>
            </w:r>
          </w:p>
        </w:tc>
        <w:tc>
          <w:tcPr>
            <w:tcW w:w="1637" w:type="dxa"/>
            <w:vAlign w:val="center"/>
          </w:tcPr>
          <w:p w14:paraId="15D0B896">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起重指挥</w:t>
            </w:r>
          </w:p>
        </w:tc>
        <w:tc>
          <w:tcPr>
            <w:tcW w:w="4100" w:type="dxa"/>
          </w:tcPr>
          <w:p w14:paraId="03460380">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负责地面起重指挥，做好作业人员的协调工作。</w:t>
            </w:r>
          </w:p>
        </w:tc>
      </w:tr>
      <w:tr w14:paraId="333286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2F2BAE34">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39C6D9C2">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吴强</w:t>
            </w:r>
          </w:p>
        </w:tc>
        <w:tc>
          <w:tcPr>
            <w:tcW w:w="1637" w:type="dxa"/>
            <w:vAlign w:val="center"/>
          </w:tcPr>
          <w:p w14:paraId="1C9CAB4A">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安拆电工</w:t>
            </w:r>
          </w:p>
        </w:tc>
        <w:tc>
          <w:tcPr>
            <w:tcW w:w="4100" w:type="dxa"/>
          </w:tcPr>
          <w:p w14:paraId="4163F81F">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负责塔机电控柜、电阻箱等电气元件接线</w:t>
            </w:r>
          </w:p>
        </w:tc>
      </w:tr>
      <w:tr w14:paraId="7FF370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34632E92">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5BFE6257">
            <w:pPr>
              <w:widowControl/>
              <w:adjustRightInd w:val="0"/>
              <w:spacing w:line="240" w:lineRule="auto"/>
              <w:ind w:firstLine="33" w:firstLineChars="14"/>
              <w:jc w:val="center"/>
              <w:textAlignment w:val="center"/>
              <w:rPr>
                <w:kern w:val="0"/>
                <w:sz w:val="24"/>
                <w:szCs w:val="24"/>
              </w:rPr>
            </w:pPr>
            <w:r>
              <w:rPr>
                <w:rFonts w:hint="eastAsia" w:ascii="仿宋" w:hAnsi="仿宋"/>
                <w:kern w:val="0"/>
                <w:sz w:val="24"/>
                <w:szCs w:val="24"/>
              </w:rPr>
              <w:t xml:space="preserve">黄教亮 邹四胡 </w:t>
            </w:r>
            <w:r>
              <w:rPr>
                <w:rFonts w:hint="eastAsia"/>
                <w:kern w:val="0"/>
                <w:sz w:val="24"/>
                <w:szCs w:val="24"/>
              </w:rPr>
              <w:t>李小琴 胡杰</w:t>
            </w:r>
          </w:p>
        </w:tc>
        <w:tc>
          <w:tcPr>
            <w:tcW w:w="1637" w:type="dxa"/>
            <w:vAlign w:val="center"/>
          </w:tcPr>
          <w:p w14:paraId="490F9280">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塔机安拆工</w:t>
            </w:r>
          </w:p>
        </w:tc>
        <w:tc>
          <w:tcPr>
            <w:tcW w:w="4100" w:type="dxa"/>
          </w:tcPr>
          <w:p w14:paraId="75740BBE">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所有作业人员进入施工现场必须持有效操作证件上岗，接受塔机安装作业前的安全技术交底危险源辨识。服从班组指挥分工，严格执行作业程序，精力集中，做好自我防护，正确配带和使用安全防护用品，不违章作业。</w:t>
            </w:r>
          </w:p>
        </w:tc>
      </w:tr>
      <w:tr w14:paraId="0FAE74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3935C7F4">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5F44BD45">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万元</w:t>
            </w:r>
          </w:p>
        </w:tc>
        <w:tc>
          <w:tcPr>
            <w:tcW w:w="1637" w:type="dxa"/>
            <w:vAlign w:val="center"/>
          </w:tcPr>
          <w:p w14:paraId="6B1DF3E7">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塔机司机</w:t>
            </w:r>
          </w:p>
        </w:tc>
        <w:tc>
          <w:tcPr>
            <w:tcW w:w="4100" w:type="dxa"/>
          </w:tcPr>
          <w:p w14:paraId="7722DE13">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负责顶升期间操作塔机</w:t>
            </w:r>
          </w:p>
        </w:tc>
      </w:tr>
      <w:tr w14:paraId="02EB03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restart"/>
            <w:vAlign w:val="center"/>
          </w:tcPr>
          <w:p w14:paraId="32AB5370">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项目部</w:t>
            </w:r>
          </w:p>
        </w:tc>
        <w:tc>
          <w:tcPr>
            <w:tcW w:w="1262" w:type="dxa"/>
            <w:vAlign w:val="center"/>
          </w:tcPr>
          <w:p w14:paraId="71ACC3E7">
            <w:pPr>
              <w:widowControl/>
              <w:adjustRightInd w:val="0"/>
              <w:spacing w:line="240" w:lineRule="auto"/>
              <w:ind w:firstLine="33" w:firstLineChars="14"/>
              <w:jc w:val="center"/>
              <w:textAlignment w:val="center"/>
              <w:rPr>
                <w:rFonts w:ascii="仿宋" w:hAnsi="仿宋"/>
                <w:kern w:val="0"/>
                <w:sz w:val="24"/>
                <w:szCs w:val="24"/>
              </w:rPr>
            </w:pPr>
            <w:r>
              <w:rPr>
                <w:rFonts w:ascii="仿宋" w:hAnsi="仿宋"/>
                <w:kern w:val="0"/>
                <w:sz w:val="24"/>
                <w:szCs w:val="24"/>
              </w:rPr>
              <w:t>/</w:t>
            </w:r>
          </w:p>
        </w:tc>
        <w:tc>
          <w:tcPr>
            <w:tcW w:w="1637" w:type="dxa"/>
            <w:vAlign w:val="center"/>
          </w:tcPr>
          <w:p w14:paraId="0BE47B6B">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汽车吊操作工</w:t>
            </w:r>
          </w:p>
        </w:tc>
        <w:tc>
          <w:tcPr>
            <w:tcW w:w="4100" w:type="dxa"/>
          </w:tcPr>
          <w:p w14:paraId="575F6D25">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在安装前一天必须到现场查看场地参加技术安全、危险源交底。</w:t>
            </w:r>
          </w:p>
        </w:tc>
      </w:tr>
      <w:tr w14:paraId="273406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0D017822">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0C6A6136">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w:t>
            </w:r>
          </w:p>
        </w:tc>
        <w:tc>
          <w:tcPr>
            <w:tcW w:w="1637" w:type="dxa"/>
            <w:vAlign w:val="center"/>
          </w:tcPr>
          <w:p w14:paraId="68200935">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起重指挥司索工</w:t>
            </w:r>
          </w:p>
        </w:tc>
        <w:tc>
          <w:tcPr>
            <w:tcW w:w="4100" w:type="dxa"/>
          </w:tcPr>
          <w:p w14:paraId="300E1478">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塔吊指挥要严格执行塔吊起重吊运方案及技术、安全要求和措施</w:t>
            </w:r>
          </w:p>
        </w:tc>
      </w:tr>
      <w:tr w14:paraId="40A633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11F7A912">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651DE324">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李骏</w:t>
            </w:r>
          </w:p>
        </w:tc>
        <w:tc>
          <w:tcPr>
            <w:tcW w:w="1637" w:type="dxa"/>
            <w:vAlign w:val="center"/>
          </w:tcPr>
          <w:p w14:paraId="469FC07B">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现场负责人</w:t>
            </w:r>
          </w:p>
        </w:tc>
        <w:tc>
          <w:tcPr>
            <w:tcW w:w="4100" w:type="dxa"/>
            <w:vAlign w:val="center"/>
          </w:tcPr>
          <w:p w14:paraId="79A817CE">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对塔机安拆的全过程进行统筹、协调，确保安全施工。</w:t>
            </w:r>
          </w:p>
        </w:tc>
      </w:tr>
      <w:tr w14:paraId="54D8001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61057AA7">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2A3F4D1C">
            <w:pPr>
              <w:widowControl/>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kern w:val="0"/>
                <w:sz w:val="24"/>
                <w:szCs w:val="24"/>
              </w:rPr>
              <w:t>傅燕平</w:t>
            </w:r>
          </w:p>
        </w:tc>
        <w:tc>
          <w:tcPr>
            <w:tcW w:w="1637" w:type="dxa"/>
            <w:vAlign w:val="center"/>
          </w:tcPr>
          <w:p w14:paraId="597DE8FD">
            <w:pPr>
              <w:widowControl/>
              <w:adjustRightInd w:val="0"/>
              <w:spacing w:line="240" w:lineRule="auto"/>
              <w:ind w:firstLine="33" w:firstLineChars="14"/>
              <w:jc w:val="center"/>
              <w:textAlignment w:val="center"/>
              <w:rPr>
                <w:rFonts w:hint="eastAsia" w:ascii="仿宋" w:hAnsi="仿宋" w:cs="宋体"/>
                <w:kern w:val="0"/>
                <w:sz w:val="24"/>
                <w:szCs w:val="24"/>
              </w:rPr>
            </w:pPr>
            <w:r>
              <w:rPr>
                <w:rFonts w:hint="eastAsia" w:ascii="仿宋" w:hAnsi="仿宋" w:cs="宋体"/>
                <w:kern w:val="0"/>
                <w:sz w:val="24"/>
                <w:szCs w:val="24"/>
              </w:rPr>
              <w:t>技术负责人</w:t>
            </w:r>
          </w:p>
        </w:tc>
        <w:tc>
          <w:tcPr>
            <w:tcW w:w="4100" w:type="dxa"/>
            <w:vAlign w:val="center"/>
          </w:tcPr>
          <w:p w14:paraId="4E600621">
            <w:pPr>
              <w:widowControl/>
              <w:adjustRightInd w:val="0"/>
              <w:spacing w:line="240" w:lineRule="auto"/>
              <w:ind w:firstLine="33" w:firstLineChars="14"/>
              <w:textAlignment w:val="center"/>
              <w:rPr>
                <w:rFonts w:hint="eastAsia" w:ascii="仿宋" w:hAnsi="仿宋" w:cs="宋体"/>
                <w:kern w:val="0"/>
                <w:sz w:val="24"/>
                <w:szCs w:val="24"/>
              </w:rPr>
            </w:pPr>
            <w:r>
              <w:rPr>
                <w:rFonts w:hint="eastAsia" w:ascii="仿宋" w:hAnsi="仿宋" w:cs="宋体"/>
                <w:kern w:val="0"/>
                <w:sz w:val="24"/>
                <w:szCs w:val="24"/>
              </w:rPr>
              <w:t>进行安全技术交底、负责技术管理工作。</w:t>
            </w:r>
          </w:p>
        </w:tc>
      </w:tr>
      <w:tr w14:paraId="6B946B7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43248DEE">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6C65BF52">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刘平</w:t>
            </w:r>
          </w:p>
        </w:tc>
        <w:tc>
          <w:tcPr>
            <w:tcW w:w="1637" w:type="dxa"/>
            <w:vAlign w:val="center"/>
          </w:tcPr>
          <w:p w14:paraId="1669A128">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安全员</w:t>
            </w:r>
          </w:p>
        </w:tc>
        <w:tc>
          <w:tcPr>
            <w:tcW w:w="4100" w:type="dxa"/>
            <w:vAlign w:val="center"/>
          </w:tcPr>
          <w:p w14:paraId="6D583274">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检查施工中安全保护措施的监督执行，监督执行作业前安全技术交底，负责现场施工安全监督。</w:t>
            </w:r>
          </w:p>
        </w:tc>
      </w:tr>
      <w:tr w14:paraId="24B216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37EAF66A">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4BFC200A">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周文亮</w:t>
            </w:r>
          </w:p>
        </w:tc>
        <w:tc>
          <w:tcPr>
            <w:tcW w:w="1637" w:type="dxa"/>
            <w:vAlign w:val="center"/>
          </w:tcPr>
          <w:p w14:paraId="2266102D">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机管员</w:t>
            </w:r>
          </w:p>
        </w:tc>
        <w:tc>
          <w:tcPr>
            <w:tcW w:w="4100" w:type="dxa"/>
            <w:vAlign w:val="center"/>
          </w:tcPr>
          <w:p w14:paraId="40876172">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配合汇编整理技术资料，监管设备检验，塔机安装完毕后自检。</w:t>
            </w:r>
          </w:p>
        </w:tc>
      </w:tr>
      <w:tr w14:paraId="1957A7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5F1F9066">
            <w:pPr>
              <w:widowControl/>
              <w:adjustRightInd w:val="0"/>
              <w:spacing w:line="240" w:lineRule="auto"/>
              <w:ind w:firstLine="33" w:firstLineChars="14"/>
              <w:jc w:val="center"/>
              <w:textAlignment w:val="center"/>
              <w:rPr>
                <w:rFonts w:ascii="仿宋" w:hAnsi="仿宋"/>
                <w:kern w:val="0"/>
                <w:sz w:val="24"/>
                <w:szCs w:val="24"/>
              </w:rPr>
            </w:pPr>
          </w:p>
        </w:tc>
        <w:tc>
          <w:tcPr>
            <w:tcW w:w="1262" w:type="dxa"/>
          </w:tcPr>
          <w:p w14:paraId="58F3924A">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伍启</w:t>
            </w:r>
          </w:p>
        </w:tc>
        <w:tc>
          <w:tcPr>
            <w:tcW w:w="1637" w:type="dxa"/>
            <w:vAlign w:val="center"/>
          </w:tcPr>
          <w:p w14:paraId="133FF6AE">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测量人员</w:t>
            </w:r>
          </w:p>
        </w:tc>
        <w:tc>
          <w:tcPr>
            <w:tcW w:w="4100" w:type="dxa"/>
            <w:vAlign w:val="center"/>
          </w:tcPr>
          <w:p w14:paraId="17E723DE">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配合塔吊垂直度测量</w:t>
            </w:r>
          </w:p>
        </w:tc>
      </w:tr>
      <w:tr w14:paraId="54C05BB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vAlign w:val="center"/>
          </w:tcPr>
          <w:p w14:paraId="52AFBE43">
            <w:pPr>
              <w:widowControl/>
              <w:adjustRightInd w:val="0"/>
              <w:spacing w:line="240" w:lineRule="auto"/>
              <w:ind w:firstLine="33" w:firstLineChars="14"/>
              <w:jc w:val="center"/>
              <w:textAlignment w:val="center"/>
              <w:rPr>
                <w:rFonts w:ascii="仿宋" w:hAnsi="仿宋"/>
                <w:kern w:val="0"/>
                <w:sz w:val="24"/>
                <w:szCs w:val="24"/>
              </w:rPr>
            </w:pPr>
          </w:p>
        </w:tc>
        <w:tc>
          <w:tcPr>
            <w:tcW w:w="1262" w:type="dxa"/>
            <w:vAlign w:val="center"/>
          </w:tcPr>
          <w:p w14:paraId="3B2300CF">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袁康林</w:t>
            </w:r>
          </w:p>
        </w:tc>
        <w:tc>
          <w:tcPr>
            <w:tcW w:w="1637" w:type="dxa"/>
            <w:vAlign w:val="center"/>
          </w:tcPr>
          <w:p w14:paraId="48E2D153">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特种设备管理人员</w:t>
            </w:r>
          </w:p>
        </w:tc>
        <w:tc>
          <w:tcPr>
            <w:tcW w:w="4100" w:type="dxa"/>
            <w:vAlign w:val="center"/>
          </w:tcPr>
          <w:p w14:paraId="40854BF9">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塔吊安拆过程全过程盯控</w:t>
            </w:r>
          </w:p>
        </w:tc>
      </w:tr>
      <w:bookmarkEnd w:id="190"/>
    </w:tbl>
    <w:p w14:paraId="728C11B0">
      <w:pPr>
        <w:pStyle w:val="3"/>
        <w:spacing w:line="240" w:lineRule="auto"/>
        <w:rPr>
          <w:color w:val="000000"/>
        </w:rPr>
      </w:pPr>
      <w:bookmarkStart w:id="191" w:name="_Toc10295"/>
      <w:r>
        <w:rPr>
          <w:rFonts w:hint="eastAsia"/>
          <w:color w:val="000000"/>
        </w:rPr>
        <w:t>4.2 工期计划</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91"/>
    </w:p>
    <w:p w14:paraId="028F7757">
      <w:pPr>
        <w:ind w:firstLine="560"/>
      </w:pPr>
      <w:r>
        <w:rPr>
          <w:rFonts w:hint="eastAsia"/>
          <w:lang w:eastAsia="zh-CN"/>
        </w:rPr>
        <w:t>XGT6015A-8S</w:t>
      </w:r>
      <w:r>
        <w:rPr>
          <w:rFonts w:hint="eastAsia"/>
        </w:rPr>
        <w:t>塔机安装顶升到使用高度用时约5天，其中包含塔机预拼组件时间。</w:t>
      </w:r>
    </w:p>
    <w:p w14:paraId="54E1F562">
      <w:pPr>
        <w:pStyle w:val="122"/>
        <w:outlineLvl w:val="9"/>
        <w:rPr>
          <w:rStyle w:val="123"/>
          <w:b/>
        </w:rPr>
      </w:pPr>
      <w:bookmarkStart w:id="192" w:name="_Toc29824_WPSOffice_Level2"/>
      <w:r>
        <w:rPr>
          <w:rStyle w:val="123"/>
          <w:rFonts w:hint="eastAsia"/>
          <w:b/>
        </w:rPr>
        <w:t xml:space="preserve">表4.2-1 </w:t>
      </w:r>
      <w:r>
        <w:rPr>
          <w:rStyle w:val="123"/>
          <w:rFonts w:hint="eastAsia"/>
          <w:b/>
          <w:lang w:eastAsia="zh-CN"/>
        </w:rPr>
        <w:t>XGT6015A-8S</w:t>
      </w:r>
      <w:r>
        <w:rPr>
          <w:rStyle w:val="123"/>
          <w:rFonts w:hint="eastAsia"/>
          <w:b/>
        </w:rPr>
        <w:t>施工进度表</w:t>
      </w:r>
      <w:bookmarkEnd w:id="192"/>
    </w:p>
    <w:tbl>
      <w:tblPr>
        <w:tblStyle w:val="40"/>
        <w:tblW w:w="9160" w:type="dxa"/>
        <w:tblInd w:w="0" w:type="dxa"/>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Layout w:type="fixed"/>
        <w:tblCellMar>
          <w:top w:w="0" w:type="dxa"/>
          <w:left w:w="108" w:type="dxa"/>
          <w:bottom w:w="0" w:type="dxa"/>
          <w:right w:w="108" w:type="dxa"/>
        </w:tblCellMar>
      </w:tblPr>
      <w:tblGrid>
        <w:gridCol w:w="978"/>
        <w:gridCol w:w="5831"/>
        <w:gridCol w:w="1114"/>
        <w:gridCol w:w="1237"/>
      </w:tblGrid>
      <w:tr w14:paraId="1E26D211">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7B8F93F5">
            <w:pPr>
              <w:ind w:firstLine="0" w:firstLineChars="0"/>
              <w:jc w:val="center"/>
              <w:rPr>
                <w:rFonts w:ascii="仿宋" w:hAnsi="仿宋" w:cs="宋体"/>
                <w:b/>
                <w:bCs/>
                <w:sz w:val="24"/>
                <w:szCs w:val="24"/>
              </w:rPr>
            </w:pPr>
            <w:r>
              <w:rPr>
                <w:rFonts w:hint="eastAsia" w:ascii="仿宋" w:hAnsi="仿宋" w:cs="宋体"/>
                <w:b/>
                <w:bCs/>
                <w:sz w:val="24"/>
                <w:szCs w:val="24"/>
              </w:rPr>
              <w:t>序号</w:t>
            </w:r>
          </w:p>
        </w:tc>
        <w:tc>
          <w:tcPr>
            <w:tcW w:w="5831" w:type="dxa"/>
            <w:tcBorders>
              <w:tl2br w:val="nil"/>
              <w:tr2bl w:val="nil"/>
            </w:tcBorders>
            <w:vAlign w:val="center"/>
          </w:tcPr>
          <w:p w14:paraId="4E2C094D">
            <w:pPr>
              <w:ind w:firstLine="0" w:firstLineChars="0"/>
              <w:jc w:val="center"/>
              <w:rPr>
                <w:rFonts w:ascii="仿宋" w:hAnsi="仿宋" w:cs="宋体"/>
                <w:b/>
                <w:bCs/>
                <w:sz w:val="24"/>
                <w:szCs w:val="24"/>
              </w:rPr>
            </w:pPr>
            <w:r>
              <w:rPr>
                <w:rFonts w:hint="eastAsia" w:ascii="仿宋" w:hAnsi="仿宋" w:cs="宋体"/>
                <w:b/>
                <w:bCs/>
                <w:sz w:val="24"/>
                <w:szCs w:val="24"/>
              </w:rPr>
              <w:t>工作项目</w:t>
            </w:r>
          </w:p>
        </w:tc>
        <w:tc>
          <w:tcPr>
            <w:tcW w:w="1114" w:type="dxa"/>
            <w:tcBorders>
              <w:tl2br w:val="nil"/>
              <w:tr2bl w:val="nil"/>
            </w:tcBorders>
            <w:vAlign w:val="center"/>
          </w:tcPr>
          <w:p w14:paraId="0A6DAD03">
            <w:pPr>
              <w:ind w:firstLine="0" w:firstLineChars="0"/>
              <w:jc w:val="center"/>
              <w:rPr>
                <w:rFonts w:ascii="仿宋" w:hAnsi="仿宋" w:cs="宋体"/>
                <w:b/>
                <w:bCs/>
                <w:sz w:val="24"/>
                <w:szCs w:val="24"/>
              </w:rPr>
            </w:pPr>
            <w:r>
              <w:rPr>
                <w:rFonts w:hint="eastAsia" w:ascii="仿宋" w:hAnsi="仿宋" w:cs="宋体"/>
                <w:b/>
                <w:bCs/>
                <w:sz w:val="24"/>
                <w:szCs w:val="24"/>
              </w:rPr>
              <w:t>时间（天）</w:t>
            </w:r>
          </w:p>
        </w:tc>
        <w:tc>
          <w:tcPr>
            <w:tcW w:w="1237" w:type="dxa"/>
            <w:tcBorders>
              <w:tl2br w:val="nil"/>
              <w:tr2bl w:val="nil"/>
            </w:tcBorders>
            <w:vAlign w:val="center"/>
          </w:tcPr>
          <w:p w14:paraId="2C92FDFE">
            <w:pPr>
              <w:ind w:firstLine="0" w:firstLineChars="0"/>
              <w:jc w:val="center"/>
              <w:rPr>
                <w:rFonts w:ascii="仿宋" w:hAnsi="仿宋" w:cs="宋体"/>
                <w:b/>
                <w:bCs/>
                <w:sz w:val="24"/>
                <w:szCs w:val="24"/>
              </w:rPr>
            </w:pPr>
            <w:r>
              <w:rPr>
                <w:rFonts w:hint="eastAsia" w:ascii="仿宋" w:hAnsi="仿宋" w:cs="宋体"/>
                <w:b/>
                <w:bCs/>
                <w:sz w:val="24"/>
                <w:szCs w:val="24"/>
              </w:rPr>
              <w:t>备注</w:t>
            </w:r>
          </w:p>
        </w:tc>
      </w:tr>
      <w:tr w14:paraId="2F750A3D">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52559304">
            <w:pPr>
              <w:ind w:firstLine="0" w:firstLineChars="0"/>
              <w:jc w:val="center"/>
              <w:rPr>
                <w:rFonts w:ascii="仿宋" w:hAnsi="仿宋" w:cs="宋体"/>
                <w:sz w:val="24"/>
                <w:szCs w:val="24"/>
              </w:rPr>
            </w:pPr>
            <w:r>
              <w:rPr>
                <w:rFonts w:ascii="仿宋" w:hAnsi="仿宋" w:cs="宋体"/>
                <w:sz w:val="24"/>
                <w:szCs w:val="24"/>
              </w:rPr>
              <w:t>1</w:t>
            </w:r>
          </w:p>
        </w:tc>
        <w:tc>
          <w:tcPr>
            <w:tcW w:w="5831" w:type="dxa"/>
            <w:tcBorders>
              <w:tl2br w:val="nil"/>
              <w:tr2bl w:val="nil"/>
            </w:tcBorders>
            <w:vAlign w:val="center"/>
          </w:tcPr>
          <w:p w14:paraId="37F5ED2D">
            <w:pPr>
              <w:ind w:firstLine="0" w:firstLineChars="0"/>
              <w:jc w:val="center"/>
              <w:rPr>
                <w:rFonts w:ascii="仿宋" w:hAnsi="仿宋" w:cs="宋体"/>
                <w:sz w:val="24"/>
                <w:szCs w:val="24"/>
              </w:rPr>
            </w:pPr>
            <w:r>
              <w:rPr>
                <w:rFonts w:hint="eastAsia" w:ascii="仿宋" w:hAnsi="仿宋" w:cs="宋体"/>
                <w:sz w:val="24"/>
                <w:szCs w:val="24"/>
              </w:rPr>
              <w:t>施工队伍进场，工具准备，现场勘查，协调</w:t>
            </w:r>
          </w:p>
        </w:tc>
        <w:tc>
          <w:tcPr>
            <w:tcW w:w="1114" w:type="dxa"/>
            <w:tcBorders>
              <w:tl2br w:val="nil"/>
              <w:tr2bl w:val="nil"/>
            </w:tcBorders>
            <w:vAlign w:val="center"/>
          </w:tcPr>
          <w:p w14:paraId="7098A053">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2A4B8D36">
            <w:pPr>
              <w:ind w:firstLine="480"/>
              <w:jc w:val="center"/>
              <w:rPr>
                <w:rFonts w:ascii="仿宋" w:hAnsi="仿宋" w:cs="宋体"/>
                <w:sz w:val="24"/>
                <w:szCs w:val="24"/>
              </w:rPr>
            </w:pPr>
          </w:p>
        </w:tc>
      </w:tr>
      <w:tr w14:paraId="4CC3CD8D">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381693C9">
            <w:pPr>
              <w:ind w:firstLine="0" w:firstLineChars="0"/>
              <w:jc w:val="center"/>
              <w:rPr>
                <w:rFonts w:ascii="仿宋" w:hAnsi="仿宋" w:cs="宋体"/>
                <w:sz w:val="24"/>
                <w:szCs w:val="24"/>
              </w:rPr>
            </w:pPr>
            <w:r>
              <w:rPr>
                <w:rFonts w:ascii="仿宋" w:hAnsi="仿宋" w:cs="宋体"/>
                <w:sz w:val="24"/>
                <w:szCs w:val="24"/>
              </w:rPr>
              <w:t>2</w:t>
            </w:r>
          </w:p>
        </w:tc>
        <w:tc>
          <w:tcPr>
            <w:tcW w:w="5831" w:type="dxa"/>
            <w:tcBorders>
              <w:tl2br w:val="nil"/>
              <w:tr2bl w:val="nil"/>
            </w:tcBorders>
            <w:vAlign w:val="center"/>
          </w:tcPr>
          <w:p w14:paraId="553066C0">
            <w:pPr>
              <w:ind w:firstLine="0" w:firstLineChars="0"/>
              <w:jc w:val="center"/>
              <w:rPr>
                <w:rFonts w:ascii="仿宋" w:hAnsi="仿宋" w:cs="宋体"/>
                <w:sz w:val="24"/>
                <w:szCs w:val="24"/>
              </w:rPr>
            </w:pPr>
            <w:r>
              <w:rPr>
                <w:rFonts w:hint="eastAsia" w:ascii="仿宋" w:hAnsi="仿宋" w:cs="宋体"/>
                <w:sz w:val="24"/>
                <w:szCs w:val="24"/>
              </w:rPr>
              <w:t>安装塔机1节基础节，</w:t>
            </w:r>
            <w:r>
              <w:rPr>
                <w:rFonts w:hint="eastAsia" w:ascii="仿宋" w:hAnsi="仿宋" w:cs="宋体"/>
                <w:sz w:val="24"/>
                <w:szCs w:val="24"/>
                <w:lang w:val="en-US" w:eastAsia="zh-CN"/>
              </w:rPr>
              <w:t>2</w:t>
            </w:r>
            <w:r>
              <w:rPr>
                <w:rFonts w:hint="eastAsia" w:ascii="仿宋" w:hAnsi="仿宋" w:cs="宋体"/>
                <w:sz w:val="24"/>
                <w:szCs w:val="24"/>
              </w:rPr>
              <w:t>节标准节，安装爬升架</w:t>
            </w:r>
          </w:p>
        </w:tc>
        <w:tc>
          <w:tcPr>
            <w:tcW w:w="1114" w:type="dxa"/>
            <w:tcBorders>
              <w:tl2br w:val="nil"/>
              <w:tr2bl w:val="nil"/>
            </w:tcBorders>
            <w:vAlign w:val="center"/>
          </w:tcPr>
          <w:p w14:paraId="3CE2C0B2">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62074A8C">
            <w:pPr>
              <w:ind w:firstLine="480"/>
              <w:jc w:val="center"/>
              <w:rPr>
                <w:rFonts w:ascii="仿宋" w:hAnsi="仿宋" w:cs="宋体"/>
                <w:sz w:val="24"/>
                <w:szCs w:val="24"/>
              </w:rPr>
            </w:pPr>
          </w:p>
        </w:tc>
      </w:tr>
      <w:tr w14:paraId="0B374330">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0EB17B42">
            <w:pPr>
              <w:ind w:firstLine="0" w:firstLineChars="0"/>
              <w:jc w:val="center"/>
              <w:rPr>
                <w:rFonts w:ascii="仿宋" w:hAnsi="仿宋" w:cs="宋体"/>
                <w:sz w:val="24"/>
                <w:szCs w:val="24"/>
              </w:rPr>
            </w:pPr>
            <w:r>
              <w:rPr>
                <w:rFonts w:ascii="仿宋" w:hAnsi="仿宋" w:cs="宋体"/>
                <w:sz w:val="24"/>
                <w:szCs w:val="24"/>
              </w:rPr>
              <w:t>3</w:t>
            </w:r>
          </w:p>
        </w:tc>
        <w:tc>
          <w:tcPr>
            <w:tcW w:w="5831" w:type="dxa"/>
            <w:tcBorders>
              <w:tl2br w:val="nil"/>
              <w:tr2bl w:val="nil"/>
            </w:tcBorders>
            <w:vAlign w:val="center"/>
          </w:tcPr>
          <w:p w14:paraId="49D24F12">
            <w:pPr>
              <w:ind w:firstLine="0" w:firstLineChars="0"/>
              <w:jc w:val="center"/>
              <w:rPr>
                <w:rFonts w:ascii="仿宋" w:hAnsi="仿宋" w:cs="宋体"/>
                <w:sz w:val="24"/>
                <w:szCs w:val="24"/>
              </w:rPr>
            </w:pPr>
            <w:r>
              <w:rPr>
                <w:rFonts w:hint="eastAsia" w:ascii="仿宋" w:hAnsi="仿宋" w:cs="宋体"/>
                <w:sz w:val="24"/>
                <w:szCs w:val="24"/>
              </w:rPr>
              <w:t>安装回转总成、</w:t>
            </w:r>
            <w:r>
              <w:rPr>
                <w:rFonts w:hint="eastAsia" w:ascii="仿宋" w:hAnsi="仿宋" w:cs="宋体"/>
                <w:sz w:val="24"/>
                <w:szCs w:val="24"/>
                <w:lang w:eastAsia="zh-CN"/>
              </w:rPr>
              <w:t>起重臂根节</w:t>
            </w:r>
            <w:r>
              <w:rPr>
                <w:rFonts w:hint="eastAsia" w:ascii="仿宋" w:hAnsi="仿宋" w:cs="宋体"/>
                <w:sz w:val="24"/>
                <w:szCs w:val="24"/>
              </w:rPr>
              <w:t>、平衡臂、起重臂</w:t>
            </w:r>
          </w:p>
        </w:tc>
        <w:tc>
          <w:tcPr>
            <w:tcW w:w="1114" w:type="dxa"/>
            <w:tcBorders>
              <w:tl2br w:val="nil"/>
              <w:tr2bl w:val="nil"/>
            </w:tcBorders>
            <w:vAlign w:val="center"/>
          </w:tcPr>
          <w:p w14:paraId="243032F1">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681F1360">
            <w:pPr>
              <w:ind w:firstLine="480"/>
              <w:jc w:val="center"/>
              <w:rPr>
                <w:rFonts w:ascii="仿宋" w:hAnsi="仿宋" w:cs="宋体"/>
                <w:sz w:val="24"/>
                <w:szCs w:val="24"/>
              </w:rPr>
            </w:pPr>
          </w:p>
        </w:tc>
      </w:tr>
      <w:tr w14:paraId="42CA2E21">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62193ED5">
            <w:pPr>
              <w:ind w:firstLine="0" w:firstLineChars="0"/>
              <w:jc w:val="center"/>
              <w:rPr>
                <w:rFonts w:ascii="仿宋" w:hAnsi="仿宋" w:cs="宋体"/>
                <w:sz w:val="24"/>
                <w:szCs w:val="24"/>
              </w:rPr>
            </w:pPr>
            <w:r>
              <w:rPr>
                <w:rFonts w:ascii="仿宋" w:hAnsi="仿宋" w:cs="宋体"/>
                <w:sz w:val="24"/>
                <w:szCs w:val="24"/>
              </w:rPr>
              <w:t>4</w:t>
            </w:r>
          </w:p>
        </w:tc>
        <w:tc>
          <w:tcPr>
            <w:tcW w:w="5831" w:type="dxa"/>
            <w:tcBorders>
              <w:tl2br w:val="nil"/>
              <w:tr2bl w:val="nil"/>
            </w:tcBorders>
            <w:vAlign w:val="center"/>
          </w:tcPr>
          <w:p w14:paraId="7D8C6CA2">
            <w:pPr>
              <w:ind w:firstLine="0" w:firstLineChars="0"/>
              <w:jc w:val="center"/>
              <w:rPr>
                <w:rFonts w:ascii="仿宋" w:hAnsi="仿宋" w:cs="宋体"/>
                <w:sz w:val="24"/>
                <w:szCs w:val="24"/>
              </w:rPr>
            </w:pPr>
            <w:r>
              <w:rPr>
                <w:rFonts w:hint="eastAsia" w:ascii="仿宋" w:hAnsi="仿宋" w:cs="宋体"/>
                <w:sz w:val="24"/>
                <w:szCs w:val="24"/>
              </w:rPr>
              <w:t>穿钩，调试，顶升到使用高度</w:t>
            </w:r>
          </w:p>
        </w:tc>
        <w:tc>
          <w:tcPr>
            <w:tcW w:w="1114" w:type="dxa"/>
            <w:tcBorders>
              <w:tl2br w:val="nil"/>
              <w:tr2bl w:val="nil"/>
            </w:tcBorders>
            <w:vAlign w:val="center"/>
          </w:tcPr>
          <w:p w14:paraId="0F307B57">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51F86F14">
            <w:pPr>
              <w:ind w:firstLine="480"/>
              <w:jc w:val="center"/>
              <w:rPr>
                <w:rFonts w:ascii="仿宋" w:hAnsi="仿宋" w:cs="宋体"/>
                <w:sz w:val="24"/>
                <w:szCs w:val="24"/>
              </w:rPr>
            </w:pPr>
          </w:p>
        </w:tc>
      </w:tr>
      <w:tr w14:paraId="230DAC7A">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615875FD">
            <w:pPr>
              <w:ind w:firstLine="0" w:firstLineChars="0"/>
              <w:jc w:val="center"/>
              <w:rPr>
                <w:rFonts w:ascii="仿宋" w:hAnsi="仿宋" w:cs="宋体"/>
                <w:sz w:val="24"/>
                <w:szCs w:val="24"/>
              </w:rPr>
            </w:pPr>
            <w:r>
              <w:rPr>
                <w:rFonts w:ascii="仿宋" w:hAnsi="仿宋" w:cs="宋体"/>
                <w:sz w:val="24"/>
                <w:szCs w:val="24"/>
              </w:rPr>
              <w:t>5</w:t>
            </w:r>
          </w:p>
        </w:tc>
        <w:tc>
          <w:tcPr>
            <w:tcW w:w="5831" w:type="dxa"/>
            <w:tcBorders>
              <w:tl2br w:val="nil"/>
              <w:tr2bl w:val="nil"/>
            </w:tcBorders>
            <w:vAlign w:val="center"/>
          </w:tcPr>
          <w:p w14:paraId="19B34820">
            <w:pPr>
              <w:ind w:firstLine="0" w:firstLineChars="0"/>
              <w:jc w:val="center"/>
              <w:rPr>
                <w:rFonts w:ascii="仿宋" w:hAnsi="仿宋" w:cs="宋体"/>
                <w:sz w:val="24"/>
                <w:szCs w:val="24"/>
              </w:rPr>
            </w:pPr>
            <w:r>
              <w:rPr>
                <w:rFonts w:hint="eastAsia" w:ascii="仿宋" w:hAnsi="仿宋" w:cs="宋体"/>
                <w:sz w:val="24"/>
                <w:szCs w:val="24"/>
              </w:rPr>
              <w:t>验收，交付使用顶升到使用高度</w:t>
            </w:r>
          </w:p>
        </w:tc>
        <w:tc>
          <w:tcPr>
            <w:tcW w:w="1114" w:type="dxa"/>
            <w:tcBorders>
              <w:tl2br w:val="nil"/>
              <w:tr2bl w:val="nil"/>
            </w:tcBorders>
            <w:vAlign w:val="center"/>
          </w:tcPr>
          <w:p w14:paraId="0DE2A59B">
            <w:pPr>
              <w:ind w:firstLine="0" w:firstLineChars="0"/>
              <w:jc w:val="center"/>
              <w:rPr>
                <w:rFonts w:ascii="仿宋" w:hAnsi="仿宋" w:cs="宋体"/>
                <w:sz w:val="24"/>
                <w:szCs w:val="24"/>
              </w:rPr>
            </w:pPr>
            <w:r>
              <w:rPr>
                <w:rFonts w:hint="eastAsia" w:ascii="仿宋" w:hAnsi="仿宋" w:cs="宋体"/>
                <w:sz w:val="24"/>
                <w:szCs w:val="24"/>
              </w:rPr>
              <w:t>1</w:t>
            </w:r>
          </w:p>
        </w:tc>
        <w:tc>
          <w:tcPr>
            <w:tcW w:w="1237" w:type="dxa"/>
            <w:tcBorders>
              <w:tl2br w:val="nil"/>
              <w:tr2bl w:val="nil"/>
            </w:tcBorders>
            <w:vAlign w:val="center"/>
          </w:tcPr>
          <w:p w14:paraId="4AF7E4B4">
            <w:pPr>
              <w:ind w:firstLine="480"/>
              <w:jc w:val="center"/>
              <w:rPr>
                <w:rFonts w:ascii="仿宋" w:hAnsi="仿宋" w:cs="宋体"/>
                <w:sz w:val="24"/>
                <w:szCs w:val="24"/>
              </w:rPr>
            </w:pPr>
          </w:p>
        </w:tc>
      </w:tr>
      <w:tr w14:paraId="199D76B3">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809" w:type="dxa"/>
            <w:gridSpan w:val="2"/>
            <w:tcBorders>
              <w:tl2br w:val="nil"/>
              <w:tr2bl w:val="nil"/>
            </w:tcBorders>
            <w:vAlign w:val="center"/>
          </w:tcPr>
          <w:p w14:paraId="5E9E8B0D">
            <w:pPr>
              <w:ind w:firstLine="0" w:firstLineChars="0"/>
              <w:jc w:val="center"/>
              <w:rPr>
                <w:rFonts w:ascii="仿宋" w:hAnsi="仿宋" w:cs="宋体"/>
                <w:sz w:val="24"/>
                <w:szCs w:val="24"/>
              </w:rPr>
            </w:pPr>
            <w:r>
              <w:rPr>
                <w:rFonts w:hint="eastAsia" w:ascii="仿宋" w:hAnsi="仿宋" w:cs="宋体"/>
                <w:sz w:val="24"/>
                <w:szCs w:val="24"/>
              </w:rPr>
              <w:t>总计时间</w:t>
            </w:r>
          </w:p>
        </w:tc>
        <w:tc>
          <w:tcPr>
            <w:tcW w:w="1114" w:type="dxa"/>
            <w:tcBorders>
              <w:tl2br w:val="nil"/>
              <w:tr2bl w:val="nil"/>
            </w:tcBorders>
            <w:vAlign w:val="center"/>
          </w:tcPr>
          <w:p w14:paraId="03495D8C">
            <w:pPr>
              <w:ind w:firstLine="0" w:firstLineChars="0"/>
              <w:jc w:val="center"/>
              <w:rPr>
                <w:rFonts w:ascii="仿宋" w:hAnsi="仿宋" w:cs="宋体"/>
                <w:sz w:val="24"/>
                <w:szCs w:val="24"/>
              </w:rPr>
            </w:pPr>
            <w:r>
              <w:rPr>
                <w:rFonts w:hint="eastAsia" w:ascii="仿宋" w:hAnsi="仿宋" w:cs="宋体"/>
                <w:sz w:val="24"/>
                <w:szCs w:val="24"/>
              </w:rPr>
              <w:t>5</w:t>
            </w:r>
          </w:p>
        </w:tc>
        <w:tc>
          <w:tcPr>
            <w:tcW w:w="1237" w:type="dxa"/>
            <w:tcBorders>
              <w:tl2br w:val="nil"/>
              <w:tr2bl w:val="nil"/>
            </w:tcBorders>
            <w:vAlign w:val="center"/>
          </w:tcPr>
          <w:p w14:paraId="309685F3">
            <w:pPr>
              <w:ind w:firstLine="480"/>
              <w:jc w:val="center"/>
              <w:rPr>
                <w:rFonts w:ascii="仿宋" w:hAnsi="仿宋" w:cs="宋体"/>
                <w:sz w:val="24"/>
                <w:szCs w:val="24"/>
              </w:rPr>
            </w:pPr>
          </w:p>
        </w:tc>
      </w:tr>
      <w:bookmarkEnd w:id="185"/>
      <w:bookmarkEnd w:id="186"/>
      <w:bookmarkEnd w:id="187"/>
      <w:bookmarkEnd w:id="188"/>
      <w:bookmarkEnd w:id="189"/>
    </w:tbl>
    <w:p w14:paraId="48DF7D14">
      <w:pPr>
        <w:pStyle w:val="3"/>
        <w:rPr>
          <w:color w:val="000000"/>
        </w:rPr>
      </w:pPr>
      <w:bookmarkStart w:id="193" w:name="_Toc9594"/>
      <w:bookmarkStart w:id="194" w:name="_Toc12738"/>
      <w:bookmarkStart w:id="195" w:name="_Toc16823"/>
      <w:bookmarkStart w:id="196" w:name="_Toc15011"/>
      <w:bookmarkStart w:id="197" w:name="_Toc526402039"/>
      <w:bookmarkStart w:id="198" w:name="_Toc1393"/>
      <w:bookmarkStart w:id="199" w:name="_Toc25743"/>
      <w:bookmarkStart w:id="200" w:name="_Toc6821"/>
      <w:bookmarkStart w:id="201" w:name="_Toc24122"/>
      <w:bookmarkStart w:id="202" w:name="_Toc13185"/>
      <w:bookmarkStart w:id="203" w:name="_Toc28230"/>
      <w:bookmarkStart w:id="204" w:name="_Toc21837"/>
      <w:bookmarkStart w:id="205" w:name="_Toc21013"/>
      <w:bookmarkStart w:id="206" w:name="_Toc531896372"/>
      <w:bookmarkStart w:id="207" w:name="_Toc991"/>
      <w:bookmarkStart w:id="208" w:name="_Toc1868"/>
      <w:bookmarkStart w:id="209" w:name="_Toc28617"/>
      <w:bookmarkStart w:id="210" w:name="_Toc10289"/>
      <w:bookmarkStart w:id="211" w:name="_Toc5878"/>
      <w:bookmarkStart w:id="212" w:name="_Toc25732"/>
      <w:r>
        <w:rPr>
          <w:rFonts w:hint="eastAsia"/>
          <w:color w:val="000000"/>
        </w:rPr>
        <w:t>4.3资源配置</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40CE501E">
      <w:pPr>
        <w:numPr>
          <w:ilvl w:val="0"/>
          <w:numId w:val="0"/>
        </w:numPr>
        <w:outlineLvl w:val="9"/>
        <w:rPr>
          <w:rFonts w:eastAsia="宋体"/>
        </w:rPr>
      </w:pPr>
      <w:bookmarkStart w:id="213" w:name="_Toc29702"/>
      <w:bookmarkStart w:id="214" w:name="_Toc19125_WPSOffice_Level2"/>
      <w:bookmarkStart w:id="215" w:name="_Toc6657_WPSOffice_Level2"/>
      <w:bookmarkStart w:id="216" w:name="_Toc2682"/>
      <w:bookmarkStart w:id="217" w:name="_Toc4731_WPSOffice_Level2"/>
      <w:bookmarkStart w:id="218" w:name="_Toc13661"/>
      <w:bookmarkStart w:id="219" w:name="_Toc6157_WPSOffice_Level2"/>
      <w:bookmarkStart w:id="220" w:name="_Toc526402042"/>
      <w:bookmarkStart w:id="221" w:name="_Toc5510"/>
      <w:bookmarkStart w:id="222" w:name="_Toc451992411"/>
      <w:bookmarkStart w:id="223" w:name="_Toc19293"/>
      <w:bookmarkStart w:id="224" w:name="_Toc31107"/>
      <w:r>
        <w:rPr>
          <w:rStyle w:val="123"/>
          <w:rFonts w:hint="eastAsia"/>
          <w:b/>
        </w:rPr>
        <w:t xml:space="preserve">表4.3-1  </w:t>
      </w:r>
      <w:r>
        <w:rPr>
          <w:rStyle w:val="123"/>
          <w:rFonts w:hint="eastAsia" w:eastAsia="黑体"/>
          <w:b/>
          <w:lang w:eastAsia="zh-CN"/>
        </w:rPr>
        <w:t>XGT6015A-8S</w:t>
      </w:r>
      <w:r>
        <w:rPr>
          <w:rStyle w:val="123"/>
          <w:rFonts w:hint="eastAsia"/>
          <w:b/>
        </w:rPr>
        <w:t>塔机主要吊装单元划分与重量一览表</w:t>
      </w:r>
      <w:bookmarkEnd w:id="213"/>
      <w:bookmarkEnd w:id="214"/>
      <w:bookmarkEnd w:id="215"/>
      <w:bookmarkEnd w:id="216"/>
      <w:bookmarkEnd w:id="217"/>
      <w:bookmarkEnd w:id="218"/>
      <w:bookmarkEnd w:id="219"/>
    </w:p>
    <w:tbl>
      <w:tblPr>
        <w:tblStyle w:val="40"/>
        <w:tblW w:w="5000" w:type="pct"/>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41"/>
        <w:gridCol w:w="2966"/>
        <w:gridCol w:w="2316"/>
        <w:gridCol w:w="2308"/>
      </w:tblGrid>
      <w:tr w14:paraId="00E7DB8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41" w:type="dxa"/>
            <w:vAlign w:val="center"/>
          </w:tcPr>
          <w:p w14:paraId="45E45F4C">
            <w:pPr>
              <w:ind w:firstLine="0" w:firstLineChars="0"/>
              <w:jc w:val="center"/>
              <w:rPr>
                <w:rFonts w:ascii="仿宋" w:hAnsi="仿宋"/>
                <w:sz w:val="24"/>
                <w:szCs w:val="24"/>
              </w:rPr>
            </w:pPr>
            <w:r>
              <w:rPr>
                <w:rFonts w:hint="eastAsia" w:ascii="仿宋" w:hAnsi="仿宋"/>
                <w:sz w:val="24"/>
                <w:szCs w:val="24"/>
              </w:rPr>
              <w:t>序 号</w:t>
            </w:r>
          </w:p>
        </w:tc>
        <w:tc>
          <w:tcPr>
            <w:tcW w:w="2966" w:type="dxa"/>
            <w:vAlign w:val="center"/>
          </w:tcPr>
          <w:p w14:paraId="6528BCA0">
            <w:pPr>
              <w:ind w:firstLine="0" w:firstLineChars="0"/>
              <w:jc w:val="center"/>
              <w:rPr>
                <w:rFonts w:ascii="仿宋" w:hAnsi="仿宋"/>
                <w:sz w:val="24"/>
                <w:szCs w:val="24"/>
              </w:rPr>
            </w:pPr>
            <w:r>
              <w:rPr>
                <w:rFonts w:hint="eastAsia" w:ascii="仿宋" w:hAnsi="仿宋"/>
                <w:sz w:val="24"/>
                <w:szCs w:val="24"/>
              </w:rPr>
              <w:t>名称</w:t>
            </w:r>
          </w:p>
        </w:tc>
        <w:tc>
          <w:tcPr>
            <w:tcW w:w="2316" w:type="dxa"/>
            <w:vAlign w:val="center"/>
          </w:tcPr>
          <w:p w14:paraId="66D9340B">
            <w:pPr>
              <w:ind w:firstLine="0" w:firstLineChars="0"/>
              <w:jc w:val="center"/>
              <w:rPr>
                <w:rFonts w:ascii="仿宋" w:hAnsi="仿宋"/>
                <w:sz w:val="24"/>
                <w:szCs w:val="24"/>
              </w:rPr>
            </w:pPr>
            <w:r>
              <w:rPr>
                <w:rFonts w:hint="eastAsia" w:ascii="仿宋" w:hAnsi="仿宋"/>
                <w:sz w:val="24"/>
                <w:szCs w:val="24"/>
              </w:rPr>
              <w:t>重量（t）</w:t>
            </w:r>
          </w:p>
        </w:tc>
        <w:tc>
          <w:tcPr>
            <w:tcW w:w="2308" w:type="dxa"/>
            <w:vAlign w:val="center"/>
          </w:tcPr>
          <w:p w14:paraId="35AE75BE">
            <w:pPr>
              <w:ind w:firstLine="0" w:firstLineChars="0"/>
              <w:jc w:val="center"/>
              <w:rPr>
                <w:rFonts w:ascii="仿宋" w:hAnsi="仿宋"/>
                <w:sz w:val="24"/>
                <w:szCs w:val="24"/>
              </w:rPr>
            </w:pPr>
            <w:r>
              <w:rPr>
                <w:rFonts w:hint="eastAsia" w:ascii="仿宋" w:hAnsi="仿宋"/>
                <w:sz w:val="24"/>
                <w:szCs w:val="24"/>
              </w:rPr>
              <w:t>吊高 H(m)</w:t>
            </w:r>
          </w:p>
        </w:tc>
      </w:tr>
      <w:tr w14:paraId="519B565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641" w:type="dxa"/>
            <w:vAlign w:val="center"/>
          </w:tcPr>
          <w:p w14:paraId="59DCC9C4">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w:t>
            </w:r>
          </w:p>
        </w:tc>
        <w:tc>
          <w:tcPr>
            <w:tcW w:w="2966" w:type="dxa"/>
            <w:vAlign w:val="center"/>
          </w:tcPr>
          <w:p w14:paraId="06353F3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基础节</w:t>
            </w:r>
          </w:p>
        </w:tc>
        <w:tc>
          <w:tcPr>
            <w:tcW w:w="2316" w:type="dxa"/>
            <w:vAlign w:val="center"/>
          </w:tcPr>
          <w:p w14:paraId="43C80710">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rPr>
              <w:t>1.751</w:t>
            </w:r>
          </w:p>
        </w:tc>
        <w:tc>
          <w:tcPr>
            <w:tcW w:w="2308" w:type="dxa"/>
            <w:vAlign w:val="center"/>
          </w:tcPr>
          <w:p w14:paraId="6BC3CCF9">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9</w:t>
            </w:r>
          </w:p>
        </w:tc>
      </w:tr>
      <w:tr w14:paraId="11809ED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641" w:type="dxa"/>
            <w:vAlign w:val="center"/>
          </w:tcPr>
          <w:p w14:paraId="4F4BC7AE">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2</w:t>
            </w:r>
          </w:p>
        </w:tc>
        <w:tc>
          <w:tcPr>
            <w:tcW w:w="2966" w:type="dxa"/>
            <w:vAlign w:val="center"/>
          </w:tcPr>
          <w:p w14:paraId="29383F05">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标准节</w:t>
            </w:r>
          </w:p>
        </w:tc>
        <w:tc>
          <w:tcPr>
            <w:tcW w:w="2316" w:type="dxa"/>
            <w:vAlign w:val="center"/>
          </w:tcPr>
          <w:p w14:paraId="6DD6705D">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rPr>
              <w:t>0.856</w:t>
            </w:r>
          </w:p>
        </w:tc>
        <w:tc>
          <w:tcPr>
            <w:tcW w:w="2308" w:type="dxa"/>
            <w:vAlign w:val="center"/>
          </w:tcPr>
          <w:p w14:paraId="56A19FE9">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12</w:t>
            </w:r>
          </w:p>
        </w:tc>
      </w:tr>
      <w:tr w14:paraId="43C1FD9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641" w:type="dxa"/>
            <w:vAlign w:val="center"/>
          </w:tcPr>
          <w:p w14:paraId="0E5B495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3</w:t>
            </w:r>
          </w:p>
        </w:tc>
        <w:tc>
          <w:tcPr>
            <w:tcW w:w="2966" w:type="dxa"/>
            <w:vAlign w:val="center"/>
          </w:tcPr>
          <w:p w14:paraId="5F1A871E">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顶升套架</w:t>
            </w:r>
          </w:p>
        </w:tc>
        <w:tc>
          <w:tcPr>
            <w:tcW w:w="2316" w:type="dxa"/>
            <w:vAlign w:val="center"/>
          </w:tcPr>
          <w:p w14:paraId="17BE804A">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rPr>
              <w:t>3.5</w:t>
            </w:r>
          </w:p>
        </w:tc>
        <w:tc>
          <w:tcPr>
            <w:tcW w:w="2308" w:type="dxa"/>
            <w:vAlign w:val="center"/>
          </w:tcPr>
          <w:p w14:paraId="024C4A10">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18.5</w:t>
            </w:r>
          </w:p>
        </w:tc>
      </w:tr>
      <w:tr w14:paraId="5BAE38D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641" w:type="dxa"/>
            <w:vAlign w:val="center"/>
          </w:tcPr>
          <w:p w14:paraId="042B338D">
            <w:pPr>
              <w:spacing w:line="360" w:lineRule="auto"/>
              <w:ind w:firstLine="0" w:firstLineChars="0"/>
              <w:jc w:val="center"/>
              <w:rPr>
                <w:rFonts w:ascii="仿宋" w:hAnsi="仿宋"/>
                <w:color w:val="000000"/>
                <w:sz w:val="24"/>
                <w:szCs w:val="24"/>
              </w:rPr>
            </w:pPr>
          </w:p>
        </w:tc>
        <w:tc>
          <w:tcPr>
            <w:tcW w:w="2966" w:type="dxa"/>
            <w:vAlign w:val="center"/>
          </w:tcPr>
          <w:p w14:paraId="08656598">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安装特殊节</w:t>
            </w:r>
          </w:p>
        </w:tc>
        <w:tc>
          <w:tcPr>
            <w:tcW w:w="2316" w:type="dxa"/>
            <w:vAlign w:val="center"/>
          </w:tcPr>
          <w:p w14:paraId="34F722A1">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rPr>
              <w:t>1.227</w:t>
            </w:r>
          </w:p>
        </w:tc>
        <w:tc>
          <w:tcPr>
            <w:tcW w:w="2308" w:type="dxa"/>
            <w:vAlign w:val="center"/>
          </w:tcPr>
          <w:p w14:paraId="07F84CFD">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15</w:t>
            </w:r>
          </w:p>
        </w:tc>
      </w:tr>
      <w:tr w14:paraId="5949F55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641" w:type="dxa"/>
            <w:vAlign w:val="center"/>
          </w:tcPr>
          <w:p w14:paraId="45C83D8B">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4</w:t>
            </w:r>
          </w:p>
        </w:tc>
        <w:tc>
          <w:tcPr>
            <w:tcW w:w="2966" w:type="dxa"/>
            <w:vAlign w:val="center"/>
          </w:tcPr>
          <w:p w14:paraId="2DEDCD5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回转支承总成</w:t>
            </w:r>
          </w:p>
        </w:tc>
        <w:tc>
          <w:tcPr>
            <w:tcW w:w="2316" w:type="dxa"/>
            <w:vAlign w:val="center"/>
          </w:tcPr>
          <w:p w14:paraId="16EC811E">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rPr>
              <w:t>2.072</w:t>
            </w:r>
          </w:p>
        </w:tc>
        <w:tc>
          <w:tcPr>
            <w:tcW w:w="2308" w:type="dxa"/>
            <w:vAlign w:val="center"/>
          </w:tcPr>
          <w:p w14:paraId="0A2219F1">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18</w:t>
            </w:r>
          </w:p>
        </w:tc>
      </w:tr>
      <w:tr w14:paraId="1CF25E6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1641" w:type="dxa"/>
            <w:vAlign w:val="center"/>
          </w:tcPr>
          <w:p w14:paraId="0554D1D6">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5</w:t>
            </w:r>
          </w:p>
        </w:tc>
        <w:tc>
          <w:tcPr>
            <w:tcW w:w="2966" w:type="dxa"/>
            <w:vAlign w:val="center"/>
          </w:tcPr>
          <w:p w14:paraId="2202B511">
            <w:pPr>
              <w:spacing w:line="360" w:lineRule="auto"/>
              <w:ind w:firstLine="0" w:firstLineChars="0"/>
              <w:jc w:val="center"/>
              <w:rPr>
                <w:rFonts w:hint="eastAsia" w:ascii="仿宋" w:hAnsi="仿宋" w:eastAsia="仿宋"/>
                <w:color w:val="000000"/>
                <w:sz w:val="24"/>
                <w:szCs w:val="24"/>
                <w:lang w:eastAsia="zh-CN"/>
              </w:rPr>
            </w:pPr>
            <w:r>
              <w:rPr>
                <w:rFonts w:hint="eastAsia" w:ascii="仿宋" w:hAnsi="仿宋"/>
                <w:color w:val="000000"/>
                <w:sz w:val="24"/>
                <w:szCs w:val="24"/>
              </w:rPr>
              <w:t>起重臂根节</w:t>
            </w:r>
          </w:p>
        </w:tc>
        <w:tc>
          <w:tcPr>
            <w:tcW w:w="2316" w:type="dxa"/>
            <w:vAlign w:val="center"/>
          </w:tcPr>
          <w:p w14:paraId="5CE91B1A">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rPr>
              <w:t>2.889</w:t>
            </w:r>
          </w:p>
        </w:tc>
        <w:tc>
          <w:tcPr>
            <w:tcW w:w="2308" w:type="dxa"/>
            <w:vAlign w:val="center"/>
          </w:tcPr>
          <w:p w14:paraId="75C18AA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24.7</w:t>
            </w:r>
          </w:p>
        </w:tc>
      </w:tr>
      <w:tr w14:paraId="00A2C49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641" w:type="dxa"/>
            <w:vAlign w:val="center"/>
          </w:tcPr>
          <w:p w14:paraId="191C4E97">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7</w:t>
            </w:r>
          </w:p>
        </w:tc>
        <w:tc>
          <w:tcPr>
            <w:tcW w:w="2966" w:type="dxa"/>
            <w:vAlign w:val="center"/>
          </w:tcPr>
          <w:p w14:paraId="6DFFC108">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平衡臂总成</w:t>
            </w:r>
          </w:p>
        </w:tc>
        <w:tc>
          <w:tcPr>
            <w:tcW w:w="2316" w:type="dxa"/>
            <w:vAlign w:val="center"/>
          </w:tcPr>
          <w:p w14:paraId="079D495E">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rPr>
              <w:t>1.891</w:t>
            </w:r>
          </w:p>
        </w:tc>
        <w:tc>
          <w:tcPr>
            <w:tcW w:w="2308" w:type="dxa"/>
            <w:vAlign w:val="center"/>
          </w:tcPr>
          <w:p w14:paraId="38145F8F">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18</w:t>
            </w:r>
          </w:p>
        </w:tc>
      </w:tr>
      <w:tr w14:paraId="7D7E22F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641" w:type="dxa"/>
            <w:vAlign w:val="center"/>
          </w:tcPr>
          <w:p w14:paraId="7F5BE3C9">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8</w:t>
            </w:r>
          </w:p>
        </w:tc>
        <w:tc>
          <w:tcPr>
            <w:tcW w:w="2966" w:type="dxa"/>
            <w:vAlign w:val="center"/>
          </w:tcPr>
          <w:p w14:paraId="033E928E">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第2块平衡重</w:t>
            </w:r>
          </w:p>
        </w:tc>
        <w:tc>
          <w:tcPr>
            <w:tcW w:w="2316" w:type="dxa"/>
            <w:vAlign w:val="center"/>
          </w:tcPr>
          <w:p w14:paraId="12890C42">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rPr>
              <w:t>3.2</w:t>
            </w:r>
          </w:p>
        </w:tc>
        <w:tc>
          <w:tcPr>
            <w:tcW w:w="2308" w:type="dxa"/>
            <w:vAlign w:val="center"/>
          </w:tcPr>
          <w:p w14:paraId="2EA7FC13">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18</w:t>
            </w:r>
          </w:p>
        </w:tc>
      </w:tr>
      <w:tr w14:paraId="29D356B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641" w:type="dxa"/>
            <w:vAlign w:val="center"/>
          </w:tcPr>
          <w:p w14:paraId="6B0F60AC">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9</w:t>
            </w:r>
          </w:p>
        </w:tc>
        <w:tc>
          <w:tcPr>
            <w:tcW w:w="2966" w:type="dxa"/>
            <w:vAlign w:val="center"/>
          </w:tcPr>
          <w:p w14:paraId="47FCA0B1">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剩余起重臂总成</w:t>
            </w:r>
          </w:p>
        </w:tc>
        <w:tc>
          <w:tcPr>
            <w:tcW w:w="2316" w:type="dxa"/>
            <w:vAlign w:val="center"/>
          </w:tcPr>
          <w:p w14:paraId="41AD8A08">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lang w:val="en-US" w:eastAsia="zh-CN"/>
              </w:rPr>
              <w:t>4.985</w:t>
            </w:r>
          </w:p>
        </w:tc>
        <w:tc>
          <w:tcPr>
            <w:tcW w:w="2308" w:type="dxa"/>
            <w:vAlign w:val="center"/>
          </w:tcPr>
          <w:p w14:paraId="399525AE">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18</w:t>
            </w:r>
          </w:p>
        </w:tc>
      </w:tr>
      <w:tr w14:paraId="51D1B5F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641" w:type="dxa"/>
            <w:vAlign w:val="center"/>
          </w:tcPr>
          <w:p w14:paraId="2BB23712">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10</w:t>
            </w:r>
          </w:p>
        </w:tc>
        <w:tc>
          <w:tcPr>
            <w:tcW w:w="2966" w:type="dxa"/>
            <w:vAlign w:val="center"/>
          </w:tcPr>
          <w:p w14:paraId="6EF774CB">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剩余平衡重</w:t>
            </w:r>
          </w:p>
        </w:tc>
        <w:tc>
          <w:tcPr>
            <w:tcW w:w="2316" w:type="dxa"/>
            <w:vAlign w:val="center"/>
          </w:tcPr>
          <w:p w14:paraId="264885FC">
            <w:pPr>
              <w:spacing w:line="360" w:lineRule="auto"/>
              <w:ind w:firstLine="0" w:firstLineChars="0"/>
              <w:jc w:val="center"/>
              <w:rPr>
                <w:rFonts w:ascii="仿宋" w:hAnsi="仿宋"/>
                <w:color w:val="000000"/>
                <w:sz w:val="24"/>
                <w:szCs w:val="24"/>
              </w:rPr>
            </w:pPr>
            <w:r>
              <w:rPr>
                <w:rFonts w:hint="eastAsia" w:ascii="仿宋" w:hAnsi="仿宋"/>
                <w:color w:val="000000"/>
                <w:sz w:val="24"/>
                <w:szCs w:val="24"/>
              </w:rPr>
              <w:t>2*3.2+2.3+1</w:t>
            </w:r>
          </w:p>
        </w:tc>
        <w:tc>
          <w:tcPr>
            <w:tcW w:w="2308" w:type="dxa"/>
            <w:vAlign w:val="center"/>
          </w:tcPr>
          <w:p w14:paraId="4748E04D">
            <w:pPr>
              <w:spacing w:line="360" w:lineRule="auto"/>
              <w:ind w:firstLine="0" w:firstLineChars="0"/>
              <w:jc w:val="center"/>
              <w:rPr>
                <w:rFonts w:hint="default" w:ascii="仿宋" w:hAnsi="仿宋" w:eastAsia="仿宋"/>
                <w:color w:val="000000"/>
                <w:sz w:val="24"/>
                <w:szCs w:val="24"/>
                <w:lang w:val="en-US" w:eastAsia="zh-CN"/>
              </w:rPr>
            </w:pPr>
            <w:r>
              <w:rPr>
                <w:rFonts w:hint="eastAsia" w:ascii="仿宋" w:hAnsi="仿宋"/>
                <w:color w:val="000000"/>
                <w:sz w:val="24"/>
                <w:szCs w:val="24"/>
              </w:rPr>
              <w:t>18</w:t>
            </w:r>
          </w:p>
        </w:tc>
      </w:tr>
    </w:tbl>
    <w:p w14:paraId="753E0C28">
      <w:pPr>
        <w:ind w:firstLine="562"/>
        <w:rPr>
          <w:rFonts w:ascii="宋体" w:hAnsi="宋体" w:cs="宋体"/>
          <w:b/>
          <w:color w:val="000000"/>
        </w:rPr>
      </w:pPr>
      <w:r>
        <w:rPr>
          <w:rFonts w:hint="eastAsia" w:ascii="宋体" w:hAnsi="宋体" w:cs="宋体"/>
          <w:b/>
          <w:color w:val="000000"/>
        </w:rPr>
        <w:t>注：以上吊高为吊耳高度，未计入吊装钢丝绳长度。</w:t>
      </w:r>
    </w:p>
    <w:p w14:paraId="68655569">
      <w:pPr>
        <w:pStyle w:val="122"/>
        <w:outlineLvl w:val="9"/>
        <w:rPr>
          <w:rStyle w:val="123"/>
          <w:b/>
        </w:rPr>
      </w:pPr>
      <w:r>
        <w:rPr>
          <w:rStyle w:val="123"/>
          <w:rFonts w:hint="eastAsia"/>
          <w:b/>
        </w:rPr>
        <w:t>表4.</w:t>
      </w:r>
      <w:r>
        <w:rPr>
          <w:rStyle w:val="123"/>
          <w:b/>
        </w:rPr>
        <w:t>3-</w:t>
      </w:r>
      <w:bookmarkStart w:id="225" w:name="_Toc8783"/>
      <w:bookmarkStart w:id="226" w:name="_Toc31474"/>
      <w:bookmarkStart w:id="227" w:name="_Toc5216_WPSOffice_Level1"/>
      <w:bookmarkStart w:id="228" w:name="_Toc680"/>
      <w:bookmarkStart w:id="229" w:name="_Toc14238_WPSOffice_Level1"/>
      <w:bookmarkStart w:id="230" w:name="_Toc525111824"/>
      <w:bookmarkStart w:id="231" w:name="_Toc8340"/>
      <w:bookmarkStart w:id="232" w:name="_Toc29821"/>
      <w:bookmarkStart w:id="233" w:name="_Toc27213"/>
      <w:bookmarkStart w:id="234" w:name="_Toc27331"/>
      <w:bookmarkStart w:id="235" w:name="_Toc87114061"/>
      <w:bookmarkStart w:id="236" w:name="_Toc87114060"/>
      <w:r>
        <w:rPr>
          <w:rStyle w:val="123"/>
          <w:rFonts w:hint="eastAsia"/>
          <w:b/>
        </w:rPr>
        <w:t>2吊索具与专用工具配备</w:t>
      </w:r>
      <w:bookmarkEnd w:id="225"/>
      <w:bookmarkEnd w:id="226"/>
      <w:bookmarkEnd w:id="227"/>
      <w:bookmarkEnd w:id="228"/>
      <w:bookmarkEnd w:id="229"/>
      <w:bookmarkEnd w:id="230"/>
      <w:bookmarkEnd w:id="231"/>
    </w:p>
    <w:tbl>
      <w:tblPr>
        <w:tblStyle w:val="40"/>
        <w:tblW w:w="9038"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FFFFFF" w:themeFill="background1"/>
        <w:tblLayout w:type="fixed"/>
        <w:tblCellMar>
          <w:top w:w="0" w:type="dxa"/>
          <w:left w:w="108" w:type="dxa"/>
          <w:bottom w:w="0" w:type="dxa"/>
          <w:right w:w="108" w:type="dxa"/>
        </w:tblCellMar>
      </w:tblPr>
      <w:tblGrid>
        <w:gridCol w:w="644"/>
        <w:gridCol w:w="2584"/>
        <w:gridCol w:w="2519"/>
        <w:gridCol w:w="617"/>
        <w:gridCol w:w="909"/>
        <w:gridCol w:w="1765"/>
      </w:tblGrid>
      <w:tr w14:paraId="59E7AD4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128A9927">
            <w:pPr>
              <w:widowControl/>
              <w:ind w:firstLine="0" w:firstLineChars="0"/>
              <w:jc w:val="center"/>
              <w:rPr>
                <w:rFonts w:ascii="仿宋" w:hAnsi="仿宋"/>
                <w:color w:val="1D1B11"/>
                <w:kern w:val="0"/>
                <w:sz w:val="24"/>
                <w:szCs w:val="24"/>
              </w:rPr>
            </w:pPr>
            <w:bookmarkStart w:id="237" w:name="_Toc2820"/>
            <w:bookmarkStart w:id="238" w:name="_Toc25962"/>
            <w:bookmarkStart w:id="239" w:name="_Toc10343"/>
            <w:bookmarkStart w:id="240" w:name="_Toc4813"/>
            <w:bookmarkStart w:id="241" w:name="_Toc7349"/>
            <w:r>
              <w:rPr>
                <w:rFonts w:hint="eastAsia" w:ascii="仿宋" w:hAnsi="仿宋"/>
                <w:color w:val="1D1B11"/>
                <w:kern w:val="0"/>
                <w:sz w:val="24"/>
                <w:szCs w:val="24"/>
              </w:rPr>
              <w:t>序号</w:t>
            </w:r>
          </w:p>
        </w:tc>
        <w:tc>
          <w:tcPr>
            <w:tcW w:w="2584" w:type="dxa"/>
            <w:shd w:val="clear" w:color="auto" w:fill="FFFFFF" w:themeFill="background1"/>
            <w:vAlign w:val="center"/>
          </w:tcPr>
          <w:p w14:paraId="6A22383E">
            <w:pPr>
              <w:widowControl/>
              <w:ind w:left="9" w:leftChars="-25" w:hanging="79" w:hangingChars="33"/>
              <w:jc w:val="center"/>
              <w:rPr>
                <w:rFonts w:ascii="仿宋" w:hAnsi="仿宋"/>
                <w:color w:val="1D1B11"/>
                <w:kern w:val="0"/>
                <w:sz w:val="24"/>
                <w:szCs w:val="24"/>
              </w:rPr>
            </w:pPr>
            <w:r>
              <w:rPr>
                <w:rFonts w:hint="eastAsia" w:ascii="仿宋" w:hAnsi="仿宋"/>
                <w:color w:val="1D1B11"/>
                <w:kern w:val="0"/>
                <w:sz w:val="24"/>
                <w:szCs w:val="24"/>
              </w:rPr>
              <w:t>机具名称</w:t>
            </w:r>
          </w:p>
        </w:tc>
        <w:tc>
          <w:tcPr>
            <w:tcW w:w="2519" w:type="dxa"/>
            <w:shd w:val="clear" w:color="auto" w:fill="FFFFFF" w:themeFill="background1"/>
            <w:vAlign w:val="center"/>
          </w:tcPr>
          <w:p w14:paraId="3DD4A2E0">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规格型号</w:t>
            </w:r>
          </w:p>
        </w:tc>
        <w:tc>
          <w:tcPr>
            <w:tcW w:w="617" w:type="dxa"/>
            <w:shd w:val="clear" w:color="auto" w:fill="FFFFFF" w:themeFill="background1"/>
            <w:vAlign w:val="center"/>
          </w:tcPr>
          <w:p w14:paraId="21794AFC">
            <w:pPr>
              <w:widowControl/>
              <w:ind w:firstLine="24" w:firstLineChars="10"/>
              <w:jc w:val="center"/>
              <w:rPr>
                <w:rFonts w:ascii="仿宋" w:hAnsi="仿宋"/>
                <w:color w:val="1D1B11"/>
                <w:kern w:val="0"/>
                <w:sz w:val="24"/>
                <w:szCs w:val="24"/>
              </w:rPr>
            </w:pPr>
            <w:r>
              <w:rPr>
                <w:rFonts w:hint="eastAsia" w:ascii="仿宋" w:hAnsi="仿宋"/>
                <w:color w:val="1D1B11"/>
                <w:kern w:val="0"/>
                <w:sz w:val="24"/>
                <w:szCs w:val="24"/>
              </w:rPr>
              <w:t>单位</w:t>
            </w:r>
          </w:p>
        </w:tc>
        <w:tc>
          <w:tcPr>
            <w:tcW w:w="909" w:type="dxa"/>
            <w:shd w:val="clear" w:color="auto" w:fill="FFFFFF" w:themeFill="background1"/>
            <w:vAlign w:val="center"/>
          </w:tcPr>
          <w:p w14:paraId="453E76B2">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数量</w:t>
            </w:r>
          </w:p>
        </w:tc>
        <w:tc>
          <w:tcPr>
            <w:tcW w:w="1765" w:type="dxa"/>
            <w:shd w:val="clear" w:color="auto" w:fill="FFFFFF" w:themeFill="background1"/>
            <w:vAlign w:val="center"/>
          </w:tcPr>
          <w:p w14:paraId="085C59A4">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备注</w:t>
            </w:r>
          </w:p>
        </w:tc>
      </w:tr>
      <w:tr w14:paraId="682DA8D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27EFB904">
            <w:pPr>
              <w:widowControl/>
              <w:ind w:firstLine="0" w:firstLineChars="0"/>
              <w:jc w:val="center"/>
              <w:rPr>
                <w:rFonts w:ascii="仿宋" w:hAnsi="仿宋"/>
                <w:color w:val="1D1B11"/>
                <w:kern w:val="0"/>
                <w:sz w:val="24"/>
                <w:szCs w:val="24"/>
              </w:rPr>
            </w:pPr>
            <w:r>
              <w:rPr>
                <w:rFonts w:ascii="仿宋" w:hAnsi="仿宋"/>
                <w:color w:val="1D1B11"/>
                <w:kern w:val="0"/>
                <w:sz w:val="24"/>
                <w:szCs w:val="24"/>
              </w:rPr>
              <w:t>1</w:t>
            </w:r>
          </w:p>
        </w:tc>
        <w:tc>
          <w:tcPr>
            <w:tcW w:w="2584" w:type="dxa"/>
            <w:shd w:val="clear" w:color="auto" w:fill="FFFFFF" w:themeFill="background1"/>
            <w:vAlign w:val="center"/>
          </w:tcPr>
          <w:p w14:paraId="32998CB8">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链条葫芦</w:t>
            </w:r>
          </w:p>
        </w:tc>
        <w:tc>
          <w:tcPr>
            <w:tcW w:w="2519" w:type="dxa"/>
            <w:shd w:val="clear" w:color="auto" w:fill="FFFFFF" w:themeFill="background1"/>
            <w:vAlign w:val="center"/>
          </w:tcPr>
          <w:p w14:paraId="47B84682">
            <w:pPr>
              <w:widowControl/>
              <w:ind w:firstLine="0" w:firstLineChars="0"/>
              <w:jc w:val="center"/>
              <w:rPr>
                <w:rFonts w:ascii="仿宋" w:hAnsi="仿宋"/>
                <w:color w:val="1D1B11"/>
                <w:kern w:val="0"/>
                <w:sz w:val="24"/>
                <w:szCs w:val="24"/>
              </w:rPr>
            </w:pPr>
            <w:r>
              <w:rPr>
                <w:rFonts w:ascii="仿宋" w:hAnsi="仿宋"/>
                <w:color w:val="1D1B11"/>
                <w:kern w:val="0"/>
                <w:sz w:val="24"/>
                <w:szCs w:val="24"/>
              </w:rPr>
              <w:t>2t</w:t>
            </w:r>
          </w:p>
        </w:tc>
        <w:tc>
          <w:tcPr>
            <w:tcW w:w="617" w:type="dxa"/>
            <w:shd w:val="clear" w:color="auto" w:fill="FFFFFF" w:themeFill="background1"/>
            <w:vAlign w:val="center"/>
          </w:tcPr>
          <w:p w14:paraId="0375D700">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副</w:t>
            </w:r>
          </w:p>
        </w:tc>
        <w:tc>
          <w:tcPr>
            <w:tcW w:w="909" w:type="dxa"/>
            <w:shd w:val="clear" w:color="auto" w:fill="FFFFFF" w:themeFill="background1"/>
            <w:vAlign w:val="center"/>
          </w:tcPr>
          <w:p w14:paraId="5AC5D272">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72274923">
            <w:pPr>
              <w:widowControl/>
              <w:ind w:firstLine="480"/>
              <w:jc w:val="center"/>
              <w:rPr>
                <w:rFonts w:ascii="仿宋" w:hAnsi="仿宋"/>
                <w:color w:val="1D1B11"/>
                <w:kern w:val="0"/>
                <w:sz w:val="24"/>
                <w:szCs w:val="24"/>
              </w:rPr>
            </w:pPr>
          </w:p>
        </w:tc>
      </w:tr>
      <w:tr w14:paraId="3AB56BC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3AB42EE1">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2584" w:type="dxa"/>
            <w:shd w:val="clear" w:color="auto" w:fill="FFFFFF" w:themeFill="background1"/>
            <w:vAlign w:val="center"/>
          </w:tcPr>
          <w:p w14:paraId="2D774C9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链条葫芦</w:t>
            </w:r>
          </w:p>
        </w:tc>
        <w:tc>
          <w:tcPr>
            <w:tcW w:w="2519" w:type="dxa"/>
            <w:shd w:val="clear" w:color="auto" w:fill="FFFFFF" w:themeFill="background1"/>
            <w:vAlign w:val="center"/>
          </w:tcPr>
          <w:p w14:paraId="54C261C6">
            <w:pPr>
              <w:widowControl/>
              <w:ind w:firstLine="0" w:firstLineChars="0"/>
              <w:jc w:val="center"/>
              <w:rPr>
                <w:rFonts w:ascii="仿宋" w:hAnsi="仿宋"/>
                <w:color w:val="1D1B11"/>
                <w:kern w:val="0"/>
                <w:sz w:val="24"/>
                <w:szCs w:val="24"/>
              </w:rPr>
            </w:pPr>
            <w:r>
              <w:rPr>
                <w:rFonts w:ascii="仿宋" w:hAnsi="仿宋"/>
                <w:color w:val="1D1B11"/>
                <w:kern w:val="0"/>
                <w:sz w:val="24"/>
                <w:szCs w:val="24"/>
              </w:rPr>
              <w:t>3t</w:t>
            </w:r>
          </w:p>
        </w:tc>
        <w:tc>
          <w:tcPr>
            <w:tcW w:w="617" w:type="dxa"/>
            <w:shd w:val="clear" w:color="auto" w:fill="FFFFFF" w:themeFill="background1"/>
            <w:vAlign w:val="center"/>
          </w:tcPr>
          <w:p w14:paraId="402DBAC0">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副</w:t>
            </w:r>
          </w:p>
        </w:tc>
        <w:tc>
          <w:tcPr>
            <w:tcW w:w="909" w:type="dxa"/>
            <w:shd w:val="clear" w:color="auto" w:fill="FFFFFF" w:themeFill="background1"/>
            <w:vAlign w:val="center"/>
          </w:tcPr>
          <w:p w14:paraId="35623F14">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151AA840">
            <w:pPr>
              <w:widowControl/>
              <w:ind w:firstLine="480"/>
              <w:jc w:val="center"/>
              <w:rPr>
                <w:rFonts w:ascii="仿宋" w:hAnsi="仿宋"/>
                <w:color w:val="1D1B11"/>
                <w:kern w:val="0"/>
                <w:sz w:val="24"/>
                <w:szCs w:val="24"/>
              </w:rPr>
            </w:pPr>
          </w:p>
        </w:tc>
      </w:tr>
      <w:tr w14:paraId="34CAF8F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5CF3900C">
            <w:pPr>
              <w:widowControl/>
              <w:ind w:firstLine="0" w:firstLineChars="0"/>
              <w:jc w:val="center"/>
              <w:rPr>
                <w:rFonts w:ascii="仿宋" w:hAnsi="仿宋"/>
                <w:color w:val="1D1B11"/>
                <w:kern w:val="0"/>
                <w:sz w:val="24"/>
                <w:szCs w:val="24"/>
              </w:rPr>
            </w:pPr>
            <w:r>
              <w:rPr>
                <w:rFonts w:ascii="仿宋" w:hAnsi="仿宋"/>
                <w:color w:val="1D1B11"/>
                <w:kern w:val="0"/>
                <w:sz w:val="24"/>
                <w:szCs w:val="24"/>
              </w:rPr>
              <w:t>3</w:t>
            </w:r>
          </w:p>
        </w:tc>
        <w:tc>
          <w:tcPr>
            <w:tcW w:w="2584" w:type="dxa"/>
            <w:shd w:val="clear" w:color="auto" w:fill="FFFFFF" w:themeFill="background1"/>
            <w:vAlign w:val="center"/>
          </w:tcPr>
          <w:p w14:paraId="06E9FA66">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活动扳手</w:t>
            </w:r>
          </w:p>
        </w:tc>
        <w:tc>
          <w:tcPr>
            <w:tcW w:w="2519" w:type="dxa"/>
            <w:shd w:val="clear" w:color="auto" w:fill="FFFFFF" w:themeFill="background1"/>
            <w:vAlign w:val="center"/>
          </w:tcPr>
          <w:p w14:paraId="5937CCF5">
            <w:pPr>
              <w:widowControl/>
              <w:ind w:firstLine="0" w:firstLineChars="0"/>
              <w:jc w:val="center"/>
              <w:rPr>
                <w:rFonts w:ascii="仿宋" w:hAnsi="仿宋"/>
                <w:color w:val="1D1B11"/>
                <w:kern w:val="0"/>
                <w:sz w:val="24"/>
                <w:szCs w:val="24"/>
              </w:rPr>
            </w:pPr>
            <w:r>
              <w:rPr>
                <w:rFonts w:ascii="仿宋" w:hAnsi="仿宋"/>
                <w:color w:val="1D1B11"/>
                <w:kern w:val="0"/>
                <w:sz w:val="24"/>
                <w:szCs w:val="24"/>
              </w:rPr>
              <w:t>14</w:t>
            </w:r>
            <w:r>
              <w:rPr>
                <w:rFonts w:hint="eastAsia" w:ascii="仿宋" w:hAnsi="仿宋"/>
                <w:color w:val="1D1B11"/>
                <w:kern w:val="0"/>
                <w:sz w:val="24"/>
                <w:szCs w:val="24"/>
              </w:rPr>
              <w:t>寸</w:t>
            </w:r>
          </w:p>
        </w:tc>
        <w:tc>
          <w:tcPr>
            <w:tcW w:w="617" w:type="dxa"/>
            <w:shd w:val="clear" w:color="auto" w:fill="FFFFFF" w:themeFill="background1"/>
            <w:vAlign w:val="center"/>
          </w:tcPr>
          <w:p w14:paraId="4CBEABCB">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把</w:t>
            </w:r>
          </w:p>
        </w:tc>
        <w:tc>
          <w:tcPr>
            <w:tcW w:w="909" w:type="dxa"/>
            <w:shd w:val="clear" w:color="auto" w:fill="FFFFFF" w:themeFill="background1"/>
            <w:vAlign w:val="center"/>
          </w:tcPr>
          <w:p w14:paraId="49D16DF3">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0273F001">
            <w:pPr>
              <w:widowControl/>
              <w:ind w:firstLine="480"/>
              <w:jc w:val="center"/>
              <w:rPr>
                <w:rFonts w:ascii="仿宋" w:hAnsi="仿宋"/>
                <w:color w:val="1D1B11"/>
                <w:kern w:val="0"/>
                <w:sz w:val="24"/>
                <w:szCs w:val="24"/>
              </w:rPr>
            </w:pPr>
          </w:p>
        </w:tc>
      </w:tr>
      <w:tr w14:paraId="0AFC95B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69BE8BE0">
            <w:pPr>
              <w:widowControl/>
              <w:ind w:firstLine="0" w:firstLineChars="0"/>
              <w:jc w:val="center"/>
              <w:rPr>
                <w:rFonts w:ascii="仿宋" w:hAnsi="仿宋"/>
                <w:color w:val="1D1B11"/>
                <w:kern w:val="0"/>
                <w:sz w:val="24"/>
                <w:szCs w:val="24"/>
              </w:rPr>
            </w:pPr>
            <w:r>
              <w:rPr>
                <w:rFonts w:ascii="仿宋" w:hAnsi="仿宋"/>
                <w:color w:val="1D1B11"/>
                <w:kern w:val="0"/>
                <w:sz w:val="24"/>
                <w:szCs w:val="24"/>
              </w:rPr>
              <w:t>4</w:t>
            </w:r>
          </w:p>
        </w:tc>
        <w:tc>
          <w:tcPr>
            <w:tcW w:w="2584" w:type="dxa"/>
            <w:shd w:val="clear" w:color="auto" w:fill="FFFFFF" w:themeFill="background1"/>
            <w:vAlign w:val="center"/>
          </w:tcPr>
          <w:p w14:paraId="4E09074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梅花扳手</w:t>
            </w:r>
          </w:p>
        </w:tc>
        <w:tc>
          <w:tcPr>
            <w:tcW w:w="2519" w:type="dxa"/>
            <w:shd w:val="clear" w:color="auto" w:fill="FFFFFF" w:themeFill="background1"/>
            <w:vAlign w:val="center"/>
          </w:tcPr>
          <w:p w14:paraId="4B695F79">
            <w:pPr>
              <w:widowControl/>
              <w:ind w:firstLine="0" w:firstLineChars="0"/>
              <w:jc w:val="center"/>
              <w:rPr>
                <w:rFonts w:ascii="仿宋" w:hAnsi="仿宋"/>
                <w:color w:val="1D1B11"/>
                <w:kern w:val="0"/>
                <w:sz w:val="24"/>
                <w:szCs w:val="24"/>
              </w:rPr>
            </w:pPr>
            <w:r>
              <w:rPr>
                <w:rFonts w:ascii="仿宋" w:hAnsi="仿宋"/>
                <w:color w:val="1D1B11"/>
                <w:kern w:val="0"/>
                <w:sz w:val="24"/>
                <w:szCs w:val="24"/>
              </w:rPr>
              <w:t>14-17</w:t>
            </w:r>
            <w:r>
              <w:rPr>
                <w:rFonts w:hint="eastAsia" w:ascii="仿宋" w:hAnsi="仿宋"/>
                <w:color w:val="1D1B11"/>
                <w:kern w:val="0"/>
                <w:sz w:val="24"/>
                <w:szCs w:val="24"/>
              </w:rPr>
              <w:t>、</w:t>
            </w:r>
            <w:r>
              <w:rPr>
                <w:rFonts w:ascii="仿宋" w:hAnsi="仿宋"/>
                <w:color w:val="1D1B11"/>
                <w:kern w:val="0"/>
                <w:sz w:val="24"/>
                <w:szCs w:val="24"/>
              </w:rPr>
              <w:t>17-19</w:t>
            </w:r>
          </w:p>
        </w:tc>
        <w:tc>
          <w:tcPr>
            <w:tcW w:w="617" w:type="dxa"/>
            <w:shd w:val="clear" w:color="auto" w:fill="FFFFFF" w:themeFill="background1"/>
            <w:vAlign w:val="center"/>
          </w:tcPr>
          <w:p w14:paraId="24808AA3">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把</w:t>
            </w:r>
          </w:p>
        </w:tc>
        <w:tc>
          <w:tcPr>
            <w:tcW w:w="909" w:type="dxa"/>
            <w:shd w:val="clear" w:color="auto" w:fill="FFFFFF" w:themeFill="background1"/>
            <w:vAlign w:val="center"/>
          </w:tcPr>
          <w:p w14:paraId="72535558">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各</w:t>
            </w:r>
            <w:r>
              <w:rPr>
                <w:rFonts w:ascii="仿宋" w:hAnsi="仿宋"/>
                <w:color w:val="1D1B11"/>
                <w:kern w:val="0"/>
                <w:sz w:val="24"/>
                <w:szCs w:val="24"/>
              </w:rPr>
              <w:t>1</w:t>
            </w:r>
          </w:p>
        </w:tc>
        <w:tc>
          <w:tcPr>
            <w:tcW w:w="1765" w:type="dxa"/>
            <w:shd w:val="clear" w:color="auto" w:fill="FFFFFF" w:themeFill="background1"/>
            <w:vAlign w:val="center"/>
          </w:tcPr>
          <w:p w14:paraId="01FE11C6">
            <w:pPr>
              <w:widowControl/>
              <w:ind w:firstLine="480"/>
              <w:jc w:val="center"/>
              <w:rPr>
                <w:rFonts w:ascii="仿宋" w:hAnsi="仿宋"/>
                <w:color w:val="1D1B11"/>
                <w:kern w:val="0"/>
                <w:sz w:val="24"/>
                <w:szCs w:val="24"/>
              </w:rPr>
            </w:pPr>
          </w:p>
        </w:tc>
      </w:tr>
      <w:tr w14:paraId="71FD1B3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1707B36C">
            <w:pPr>
              <w:widowControl/>
              <w:ind w:firstLine="0" w:firstLineChars="0"/>
              <w:jc w:val="center"/>
              <w:rPr>
                <w:rFonts w:ascii="仿宋" w:hAnsi="仿宋"/>
                <w:color w:val="1D1B11"/>
                <w:kern w:val="0"/>
                <w:sz w:val="24"/>
                <w:szCs w:val="24"/>
              </w:rPr>
            </w:pPr>
            <w:r>
              <w:rPr>
                <w:rFonts w:ascii="仿宋" w:hAnsi="仿宋"/>
                <w:color w:val="1D1B11"/>
                <w:kern w:val="0"/>
                <w:sz w:val="24"/>
                <w:szCs w:val="24"/>
              </w:rPr>
              <w:t>5</w:t>
            </w:r>
          </w:p>
        </w:tc>
        <w:tc>
          <w:tcPr>
            <w:tcW w:w="2584" w:type="dxa"/>
            <w:shd w:val="clear" w:color="auto" w:fill="FFFFFF" w:themeFill="background1"/>
            <w:vAlign w:val="center"/>
          </w:tcPr>
          <w:p w14:paraId="1D7AF3F8">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大锤</w:t>
            </w:r>
          </w:p>
        </w:tc>
        <w:tc>
          <w:tcPr>
            <w:tcW w:w="2519" w:type="dxa"/>
            <w:shd w:val="clear" w:color="auto" w:fill="FFFFFF" w:themeFill="background1"/>
            <w:vAlign w:val="center"/>
          </w:tcPr>
          <w:p w14:paraId="10EE2F1A">
            <w:pPr>
              <w:widowControl/>
              <w:ind w:firstLine="0" w:firstLineChars="0"/>
              <w:jc w:val="center"/>
              <w:rPr>
                <w:rFonts w:ascii="仿宋" w:hAnsi="仿宋"/>
                <w:color w:val="1D1B11"/>
                <w:kern w:val="0"/>
                <w:sz w:val="24"/>
                <w:szCs w:val="24"/>
              </w:rPr>
            </w:pPr>
            <w:r>
              <w:rPr>
                <w:rFonts w:ascii="仿宋" w:hAnsi="仿宋"/>
                <w:color w:val="1D1B11"/>
                <w:kern w:val="0"/>
                <w:sz w:val="24"/>
                <w:szCs w:val="24"/>
              </w:rPr>
              <w:t>16</w:t>
            </w:r>
            <w:r>
              <w:rPr>
                <w:rFonts w:hint="eastAsia" w:ascii="仿宋" w:hAnsi="仿宋"/>
                <w:color w:val="1D1B11"/>
                <w:kern w:val="0"/>
                <w:sz w:val="24"/>
                <w:szCs w:val="24"/>
              </w:rPr>
              <w:t>、</w:t>
            </w:r>
            <w:r>
              <w:rPr>
                <w:rFonts w:ascii="仿宋" w:hAnsi="仿宋"/>
                <w:color w:val="1D1B11"/>
                <w:kern w:val="0"/>
                <w:sz w:val="24"/>
                <w:szCs w:val="24"/>
              </w:rPr>
              <w:t>18</w:t>
            </w:r>
            <w:r>
              <w:rPr>
                <w:rFonts w:hint="eastAsia" w:ascii="仿宋" w:hAnsi="仿宋"/>
                <w:color w:val="1D1B11"/>
                <w:kern w:val="0"/>
                <w:sz w:val="24"/>
                <w:szCs w:val="24"/>
              </w:rPr>
              <w:t>、</w:t>
            </w:r>
            <w:r>
              <w:rPr>
                <w:rFonts w:ascii="仿宋" w:hAnsi="仿宋"/>
                <w:color w:val="1D1B11"/>
                <w:kern w:val="0"/>
                <w:sz w:val="24"/>
                <w:szCs w:val="24"/>
              </w:rPr>
              <w:t>20P</w:t>
            </w:r>
          </w:p>
        </w:tc>
        <w:tc>
          <w:tcPr>
            <w:tcW w:w="617" w:type="dxa"/>
            <w:shd w:val="clear" w:color="auto" w:fill="FFFFFF" w:themeFill="background1"/>
            <w:vAlign w:val="center"/>
          </w:tcPr>
          <w:p w14:paraId="1C91A48B">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把</w:t>
            </w:r>
          </w:p>
        </w:tc>
        <w:tc>
          <w:tcPr>
            <w:tcW w:w="909" w:type="dxa"/>
            <w:shd w:val="clear" w:color="auto" w:fill="FFFFFF" w:themeFill="background1"/>
            <w:vAlign w:val="center"/>
          </w:tcPr>
          <w:p w14:paraId="1A622B26">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各</w:t>
            </w:r>
            <w:r>
              <w:rPr>
                <w:rFonts w:ascii="仿宋" w:hAnsi="仿宋"/>
                <w:color w:val="1D1B11"/>
                <w:kern w:val="0"/>
                <w:sz w:val="24"/>
                <w:szCs w:val="24"/>
              </w:rPr>
              <w:t>1</w:t>
            </w:r>
          </w:p>
        </w:tc>
        <w:tc>
          <w:tcPr>
            <w:tcW w:w="1765" w:type="dxa"/>
            <w:shd w:val="clear" w:color="auto" w:fill="FFFFFF" w:themeFill="background1"/>
            <w:vAlign w:val="center"/>
          </w:tcPr>
          <w:p w14:paraId="431E06F1">
            <w:pPr>
              <w:widowControl/>
              <w:ind w:firstLine="480"/>
              <w:jc w:val="center"/>
              <w:rPr>
                <w:rFonts w:ascii="仿宋" w:hAnsi="仿宋"/>
                <w:color w:val="1D1B11"/>
                <w:kern w:val="0"/>
                <w:sz w:val="24"/>
                <w:szCs w:val="24"/>
              </w:rPr>
            </w:pPr>
          </w:p>
        </w:tc>
      </w:tr>
      <w:tr w14:paraId="4FE7B37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160AC07D">
            <w:pPr>
              <w:widowControl/>
              <w:ind w:firstLine="0" w:firstLineChars="0"/>
              <w:jc w:val="center"/>
              <w:rPr>
                <w:rFonts w:ascii="仿宋" w:hAnsi="仿宋"/>
                <w:color w:val="1D1B11"/>
                <w:kern w:val="0"/>
                <w:sz w:val="24"/>
                <w:szCs w:val="24"/>
              </w:rPr>
            </w:pPr>
            <w:r>
              <w:rPr>
                <w:rFonts w:ascii="仿宋" w:hAnsi="仿宋"/>
                <w:color w:val="1D1B11"/>
                <w:kern w:val="0"/>
                <w:sz w:val="24"/>
                <w:szCs w:val="24"/>
              </w:rPr>
              <w:t>6</w:t>
            </w:r>
          </w:p>
        </w:tc>
        <w:tc>
          <w:tcPr>
            <w:tcW w:w="2584" w:type="dxa"/>
            <w:shd w:val="clear" w:color="auto" w:fill="FFFFFF" w:themeFill="background1"/>
            <w:vAlign w:val="center"/>
          </w:tcPr>
          <w:p w14:paraId="35874045">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电工常用工具</w:t>
            </w:r>
          </w:p>
        </w:tc>
        <w:tc>
          <w:tcPr>
            <w:tcW w:w="2519" w:type="dxa"/>
            <w:tcBorders>
              <w:bottom w:val="single" w:color="000000" w:sz="4" w:space="0"/>
            </w:tcBorders>
            <w:shd w:val="clear" w:color="auto" w:fill="FFFFFF" w:themeFill="background1"/>
            <w:vAlign w:val="center"/>
          </w:tcPr>
          <w:p w14:paraId="20B96E23">
            <w:pPr>
              <w:widowControl/>
              <w:ind w:firstLine="480"/>
              <w:jc w:val="center"/>
              <w:rPr>
                <w:rFonts w:ascii="仿宋" w:hAnsi="仿宋"/>
                <w:color w:val="1D1B11"/>
                <w:kern w:val="0"/>
                <w:sz w:val="24"/>
                <w:szCs w:val="24"/>
              </w:rPr>
            </w:pPr>
          </w:p>
        </w:tc>
        <w:tc>
          <w:tcPr>
            <w:tcW w:w="617" w:type="dxa"/>
            <w:shd w:val="clear" w:color="auto" w:fill="FFFFFF" w:themeFill="background1"/>
            <w:vAlign w:val="center"/>
          </w:tcPr>
          <w:p w14:paraId="04C2EABE">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套</w:t>
            </w:r>
          </w:p>
        </w:tc>
        <w:tc>
          <w:tcPr>
            <w:tcW w:w="909" w:type="dxa"/>
            <w:shd w:val="clear" w:color="auto" w:fill="FFFFFF" w:themeFill="background1"/>
            <w:vAlign w:val="center"/>
          </w:tcPr>
          <w:p w14:paraId="44B42D13">
            <w:pPr>
              <w:widowControl/>
              <w:ind w:firstLine="0" w:firstLineChars="0"/>
              <w:jc w:val="center"/>
              <w:rPr>
                <w:rFonts w:ascii="仿宋" w:hAnsi="仿宋"/>
                <w:color w:val="1D1B11"/>
                <w:kern w:val="0"/>
                <w:sz w:val="24"/>
                <w:szCs w:val="24"/>
              </w:rPr>
            </w:pPr>
            <w:r>
              <w:rPr>
                <w:rFonts w:ascii="仿宋" w:hAnsi="仿宋"/>
                <w:color w:val="1D1B11"/>
                <w:kern w:val="0"/>
                <w:sz w:val="24"/>
                <w:szCs w:val="24"/>
              </w:rPr>
              <w:t>1</w:t>
            </w:r>
          </w:p>
        </w:tc>
        <w:tc>
          <w:tcPr>
            <w:tcW w:w="1765" w:type="dxa"/>
            <w:shd w:val="clear" w:color="auto" w:fill="FFFFFF" w:themeFill="background1"/>
            <w:vAlign w:val="center"/>
          </w:tcPr>
          <w:p w14:paraId="4F3218A1">
            <w:pPr>
              <w:widowControl/>
              <w:ind w:firstLine="480"/>
              <w:jc w:val="center"/>
              <w:rPr>
                <w:rFonts w:ascii="仿宋" w:hAnsi="仿宋"/>
                <w:color w:val="1D1B11"/>
                <w:kern w:val="0"/>
                <w:sz w:val="24"/>
                <w:szCs w:val="24"/>
              </w:rPr>
            </w:pPr>
          </w:p>
        </w:tc>
      </w:tr>
      <w:tr w14:paraId="6BE4DC2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06DC3040">
            <w:pPr>
              <w:widowControl/>
              <w:ind w:firstLine="0" w:firstLineChars="0"/>
              <w:jc w:val="center"/>
              <w:rPr>
                <w:rFonts w:ascii="仿宋" w:hAnsi="仿宋"/>
                <w:color w:val="1D1B11"/>
                <w:kern w:val="0"/>
                <w:sz w:val="24"/>
                <w:szCs w:val="24"/>
              </w:rPr>
            </w:pPr>
            <w:r>
              <w:rPr>
                <w:rFonts w:ascii="仿宋" w:hAnsi="仿宋"/>
                <w:color w:val="1D1B11"/>
                <w:kern w:val="0"/>
                <w:sz w:val="24"/>
                <w:szCs w:val="24"/>
              </w:rPr>
              <w:t>7</w:t>
            </w:r>
          </w:p>
        </w:tc>
        <w:tc>
          <w:tcPr>
            <w:tcW w:w="2584" w:type="dxa"/>
            <w:shd w:val="clear" w:color="auto" w:fill="FFFFFF" w:themeFill="background1"/>
            <w:vAlign w:val="center"/>
          </w:tcPr>
          <w:p w14:paraId="4833C930">
            <w:pPr>
              <w:widowControl/>
              <w:ind w:firstLine="0" w:firstLineChars="0"/>
              <w:jc w:val="center"/>
              <w:rPr>
                <w:rFonts w:ascii="仿宋" w:hAnsi="仿宋"/>
                <w:color w:val="1D1B11"/>
                <w:kern w:val="0"/>
                <w:sz w:val="24"/>
                <w:szCs w:val="24"/>
              </w:rPr>
            </w:pPr>
            <w:r>
              <w:rPr>
                <w:rFonts w:ascii="仿宋" w:hAnsi="仿宋"/>
                <w:color w:val="1D1B11"/>
                <w:kern w:val="0"/>
                <w:sz w:val="24"/>
                <w:szCs w:val="24"/>
              </w:rPr>
              <w:t>Φ</w:t>
            </w:r>
            <w:r>
              <w:rPr>
                <w:rFonts w:hint="eastAsia" w:ascii="仿宋" w:hAnsi="仿宋"/>
                <w:color w:val="1D1B11"/>
                <w:kern w:val="0"/>
                <w:sz w:val="24"/>
                <w:szCs w:val="24"/>
              </w:rPr>
              <w:t>24</w:t>
            </w:r>
            <w:r>
              <w:rPr>
                <w:rFonts w:ascii="仿宋" w:hAnsi="仿宋"/>
                <w:color w:val="1D1B11"/>
                <w:sz w:val="24"/>
                <w:szCs w:val="24"/>
              </w:rPr>
              <w:t>×</w:t>
            </w:r>
            <w:r>
              <w:rPr>
                <w:rFonts w:hint="eastAsia" w:ascii="仿宋" w:hAnsi="仿宋"/>
                <w:color w:val="1D1B11"/>
                <w:kern w:val="0"/>
                <w:sz w:val="24"/>
                <w:szCs w:val="24"/>
              </w:rPr>
              <w:t>12m吊装钢丝绳</w:t>
            </w:r>
          </w:p>
        </w:tc>
        <w:tc>
          <w:tcPr>
            <w:tcW w:w="2519" w:type="dxa"/>
            <w:tcBorders>
              <w:top w:val="single" w:color="000000" w:sz="4" w:space="0"/>
            </w:tcBorders>
            <w:shd w:val="clear" w:color="auto" w:fill="FFFFFF" w:themeFill="background1"/>
            <w:vAlign w:val="center"/>
          </w:tcPr>
          <w:p w14:paraId="05BA0A49">
            <w:pPr>
              <w:ind w:firstLine="0" w:firstLineChars="0"/>
              <w:jc w:val="center"/>
              <w:rPr>
                <w:rFonts w:ascii="仿宋" w:hAnsi="仿宋"/>
                <w:color w:val="1D1B11"/>
                <w:kern w:val="0"/>
                <w:sz w:val="24"/>
                <w:szCs w:val="24"/>
              </w:rPr>
            </w:pPr>
            <w:r>
              <w:rPr>
                <w:rFonts w:ascii="仿宋" w:hAnsi="仿宋"/>
                <w:color w:val="1D1B11"/>
                <w:kern w:val="0"/>
                <w:sz w:val="24"/>
                <w:szCs w:val="24"/>
              </w:rPr>
              <w:t>6</w:t>
            </w:r>
            <w:r>
              <w:rPr>
                <w:rFonts w:ascii="仿宋" w:hAnsi="仿宋"/>
                <w:color w:val="1D1B11"/>
                <w:sz w:val="24"/>
                <w:szCs w:val="24"/>
              </w:rPr>
              <w:t>×37</w:t>
            </w:r>
            <w:r>
              <w:rPr>
                <w:rFonts w:hint="eastAsia" w:ascii="仿宋" w:hAnsi="仿宋"/>
                <w:color w:val="1D1B11"/>
                <w:sz w:val="24"/>
                <w:szCs w:val="24"/>
              </w:rPr>
              <w:t>M形式</w:t>
            </w:r>
            <w:r>
              <w:rPr>
                <w:rFonts w:hint="eastAsia" w:ascii="仿宋" w:hAnsi="仿宋"/>
                <w:color w:val="1D1B11"/>
                <w:kern w:val="0"/>
                <w:sz w:val="24"/>
                <w:szCs w:val="24"/>
              </w:rPr>
              <w:t>，</w:t>
            </w:r>
            <w:r>
              <w:rPr>
                <w:rFonts w:ascii="仿宋" w:hAnsi="仿宋"/>
                <w:color w:val="1D1B11"/>
                <w:kern w:val="0"/>
                <w:sz w:val="24"/>
                <w:szCs w:val="24"/>
              </w:rPr>
              <w:t>1</w:t>
            </w:r>
            <w:r>
              <w:rPr>
                <w:rFonts w:hint="eastAsia" w:ascii="仿宋" w:hAnsi="仿宋"/>
                <w:color w:val="1D1B11"/>
                <w:kern w:val="0"/>
                <w:sz w:val="24"/>
                <w:szCs w:val="24"/>
              </w:rPr>
              <w:t>6</w:t>
            </w:r>
            <w:r>
              <w:rPr>
                <w:rFonts w:ascii="仿宋" w:hAnsi="仿宋"/>
                <w:color w:val="1D1B11"/>
                <w:kern w:val="0"/>
                <w:sz w:val="24"/>
                <w:szCs w:val="24"/>
              </w:rPr>
              <w:t>70</w:t>
            </w:r>
            <w:r>
              <w:rPr>
                <w:rFonts w:hint="eastAsia" w:ascii="仿宋" w:hAnsi="仿宋"/>
                <w:color w:val="1D1B11"/>
                <w:kern w:val="0"/>
                <w:sz w:val="24"/>
                <w:szCs w:val="24"/>
              </w:rPr>
              <w:t>级纤维芯两端插编环眼</w:t>
            </w:r>
          </w:p>
        </w:tc>
        <w:tc>
          <w:tcPr>
            <w:tcW w:w="617" w:type="dxa"/>
            <w:shd w:val="clear" w:color="auto" w:fill="FFFFFF" w:themeFill="background1"/>
            <w:vAlign w:val="center"/>
          </w:tcPr>
          <w:p w14:paraId="4D294FCF">
            <w:pPr>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44E7A85E">
            <w:pPr>
              <w:ind w:firstLine="0" w:firstLineChars="0"/>
              <w:jc w:val="center"/>
              <w:rPr>
                <w:rFonts w:ascii="仿宋" w:hAnsi="仿宋"/>
                <w:color w:val="1D1B11"/>
                <w:kern w:val="0"/>
                <w:sz w:val="24"/>
                <w:szCs w:val="24"/>
              </w:rPr>
            </w:pPr>
            <w:r>
              <w:rPr>
                <w:rFonts w:hint="eastAsia" w:ascii="仿宋" w:hAnsi="仿宋"/>
                <w:color w:val="1D1B11"/>
                <w:kern w:val="0"/>
                <w:sz w:val="24"/>
                <w:szCs w:val="24"/>
              </w:rPr>
              <w:t>2</w:t>
            </w:r>
          </w:p>
        </w:tc>
        <w:tc>
          <w:tcPr>
            <w:tcW w:w="1765" w:type="dxa"/>
            <w:shd w:val="clear" w:color="auto" w:fill="FFFFFF" w:themeFill="background1"/>
            <w:vAlign w:val="center"/>
          </w:tcPr>
          <w:p w14:paraId="0632F4C5">
            <w:pPr>
              <w:widowControl/>
              <w:ind w:firstLine="0" w:firstLineChars="0"/>
              <w:jc w:val="center"/>
              <w:rPr>
                <w:rFonts w:ascii="仿宋" w:hAnsi="仿宋"/>
                <w:color w:val="1D1B11"/>
                <w:kern w:val="0"/>
                <w:sz w:val="24"/>
                <w:szCs w:val="24"/>
              </w:rPr>
            </w:pPr>
            <w:r>
              <w:rPr>
                <w:rFonts w:ascii="仿宋" w:hAnsi="仿宋"/>
                <w:color w:val="1D1B11"/>
                <w:kern w:val="0"/>
                <w:sz w:val="24"/>
                <w:szCs w:val="24"/>
              </w:rPr>
              <w:t>起吊起重臂</w:t>
            </w:r>
          </w:p>
        </w:tc>
      </w:tr>
      <w:tr w14:paraId="2F15BF8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45DE4238">
            <w:pPr>
              <w:widowControl/>
              <w:ind w:firstLine="0" w:firstLineChars="0"/>
              <w:jc w:val="center"/>
              <w:rPr>
                <w:rFonts w:ascii="仿宋" w:hAnsi="仿宋"/>
                <w:color w:val="1D1B11"/>
                <w:kern w:val="0"/>
                <w:sz w:val="24"/>
                <w:szCs w:val="24"/>
              </w:rPr>
            </w:pPr>
            <w:r>
              <w:rPr>
                <w:rFonts w:ascii="仿宋" w:hAnsi="仿宋"/>
                <w:color w:val="1D1B11"/>
                <w:kern w:val="0"/>
                <w:sz w:val="24"/>
                <w:szCs w:val="24"/>
              </w:rPr>
              <w:t>8</w:t>
            </w:r>
          </w:p>
        </w:tc>
        <w:tc>
          <w:tcPr>
            <w:tcW w:w="2584" w:type="dxa"/>
            <w:shd w:val="clear" w:color="auto" w:fill="FFFFFF" w:themeFill="background1"/>
            <w:vAlign w:val="center"/>
          </w:tcPr>
          <w:p w14:paraId="7A9F42F8">
            <w:pPr>
              <w:widowControl/>
              <w:ind w:firstLine="0" w:firstLineChars="0"/>
              <w:jc w:val="center"/>
              <w:rPr>
                <w:rFonts w:ascii="仿宋" w:hAnsi="仿宋"/>
                <w:color w:val="1D1B11"/>
                <w:kern w:val="0"/>
                <w:sz w:val="24"/>
                <w:szCs w:val="24"/>
              </w:rPr>
            </w:pPr>
            <w:r>
              <w:rPr>
                <w:rFonts w:ascii="仿宋" w:hAnsi="仿宋"/>
                <w:color w:val="1D1B11"/>
                <w:kern w:val="0"/>
                <w:sz w:val="24"/>
                <w:szCs w:val="24"/>
              </w:rPr>
              <w:t>Φ</w:t>
            </w:r>
            <w:r>
              <w:rPr>
                <w:rFonts w:hint="eastAsia" w:ascii="仿宋" w:hAnsi="仿宋"/>
                <w:color w:val="1D1B11"/>
                <w:kern w:val="0"/>
                <w:sz w:val="24"/>
                <w:szCs w:val="24"/>
              </w:rPr>
              <w:t>24</w:t>
            </w:r>
            <w:r>
              <w:rPr>
                <w:rFonts w:ascii="仿宋" w:hAnsi="仿宋"/>
                <w:color w:val="1D1B11"/>
                <w:sz w:val="24"/>
                <w:szCs w:val="24"/>
              </w:rPr>
              <w:t>×6</w:t>
            </w:r>
            <w:r>
              <w:rPr>
                <w:rFonts w:ascii="仿宋" w:hAnsi="仿宋"/>
                <w:color w:val="1D1B11"/>
                <w:kern w:val="0"/>
                <w:sz w:val="24"/>
                <w:szCs w:val="24"/>
              </w:rPr>
              <w:t>m</w:t>
            </w:r>
            <w:r>
              <w:rPr>
                <w:rFonts w:hint="eastAsia" w:ascii="仿宋" w:hAnsi="仿宋"/>
                <w:color w:val="1D1B11"/>
                <w:kern w:val="0"/>
                <w:sz w:val="24"/>
                <w:szCs w:val="24"/>
              </w:rPr>
              <w:t>吊装钢丝绳</w:t>
            </w:r>
          </w:p>
        </w:tc>
        <w:tc>
          <w:tcPr>
            <w:tcW w:w="2519" w:type="dxa"/>
            <w:tcBorders>
              <w:top w:val="single" w:color="000000" w:sz="4" w:space="0"/>
            </w:tcBorders>
            <w:shd w:val="clear" w:color="auto" w:fill="FFFFFF" w:themeFill="background1"/>
            <w:vAlign w:val="center"/>
          </w:tcPr>
          <w:p w14:paraId="4AD9221F">
            <w:pPr>
              <w:ind w:firstLine="0" w:firstLineChars="0"/>
              <w:jc w:val="center"/>
              <w:rPr>
                <w:rFonts w:ascii="仿宋" w:hAnsi="仿宋"/>
                <w:color w:val="1D1B11"/>
                <w:kern w:val="0"/>
                <w:sz w:val="24"/>
                <w:szCs w:val="24"/>
              </w:rPr>
            </w:pPr>
            <w:r>
              <w:rPr>
                <w:rFonts w:ascii="仿宋" w:hAnsi="仿宋"/>
                <w:color w:val="1D1B11"/>
                <w:kern w:val="0"/>
                <w:sz w:val="24"/>
                <w:szCs w:val="24"/>
              </w:rPr>
              <w:t>6</w:t>
            </w:r>
            <w:r>
              <w:rPr>
                <w:rFonts w:ascii="仿宋" w:hAnsi="仿宋"/>
                <w:color w:val="1D1B11"/>
                <w:sz w:val="24"/>
                <w:szCs w:val="24"/>
              </w:rPr>
              <w:t>×37</w:t>
            </w:r>
            <w:r>
              <w:rPr>
                <w:rFonts w:hint="eastAsia" w:ascii="仿宋" w:hAnsi="仿宋"/>
                <w:color w:val="1D1B11"/>
                <w:sz w:val="24"/>
                <w:szCs w:val="24"/>
              </w:rPr>
              <w:t>M形式</w:t>
            </w:r>
            <w:r>
              <w:rPr>
                <w:rFonts w:hint="eastAsia" w:ascii="仿宋" w:hAnsi="仿宋"/>
                <w:color w:val="1D1B11"/>
                <w:kern w:val="0"/>
                <w:sz w:val="24"/>
                <w:szCs w:val="24"/>
              </w:rPr>
              <w:t>，</w:t>
            </w:r>
            <w:r>
              <w:rPr>
                <w:rFonts w:ascii="仿宋" w:hAnsi="仿宋"/>
                <w:color w:val="1D1B11"/>
                <w:kern w:val="0"/>
                <w:sz w:val="24"/>
                <w:szCs w:val="24"/>
              </w:rPr>
              <w:t>1</w:t>
            </w:r>
            <w:r>
              <w:rPr>
                <w:rFonts w:hint="eastAsia" w:ascii="仿宋" w:hAnsi="仿宋"/>
                <w:color w:val="1D1B11"/>
                <w:kern w:val="0"/>
                <w:sz w:val="24"/>
                <w:szCs w:val="24"/>
              </w:rPr>
              <w:t>6</w:t>
            </w:r>
            <w:r>
              <w:rPr>
                <w:rFonts w:ascii="仿宋" w:hAnsi="仿宋"/>
                <w:color w:val="1D1B11"/>
                <w:kern w:val="0"/>
                <w:sz w:val="24"/>
                <w:szCs w:val="24"/>
              </w:rPr>
              <w:t>70</w:t>
            </w:r>
            <w:r>
              <w:rPr>
                <w:rFonts w:hint="eastAsia" w:ascii="仿宋" w:hAnsi="仿宋"/>
                <w:color w:val="1D1B11"/>
                <w:kern w:val="0"/>
                <w:sz w:val="24"/>
                <w:szCs w:val="24"/>
              </w:rPr>
              <w:t>级纤维芯两端插编环眼</w:t>
            </w:r>
          </w:p>
        </w:tc>
        <w:tc>
          <w:tcPr>
            <w:tcW w:w="617" w:type="dxa"/>
            <w:shd w:val="clear" w:color="auto" w:fill="FFFFFF" w:themeFill="background1"/>
            <w:vAlign w:val="center"/>
          </w:tcPr>
          <w:p w14:paraId="06FEED2F">
            <w:pPr>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7CDDE974">
            <w:pPr>
              <w:ind w:firstLine="0" w:firstLineChars="0"/>
              <w:jc w:val="center"/>
              <w:rPr>
                <w:rFonts w:ascii="仿宋" w:hAnsi="仿宋"/>
                <w:color w:val="1D1B11"/>
                <w:kern w:val="0"/>
                <w:sz w:val="24"/>
                <w:szCs w:val="24"/>
              </w:rPr>
            </w:pPr>
            <w:r>
              <w:rPr>
                <w:rFonts w:ascii="仿宋" w:hAnsi="仿宋"/>
                <w:color w:val="1D1B11"/>
                <w:kern w:val="0"/>
                <w:sz w:val="24"/>
                <w:szCs w:val="24"/>
              </w:rPr>
              <w:t>4</w:t>
            </w:r>
          </w:p>
        </w:tc>
        <w:tc>
          <w:tcPr>
            <w:tcW w:w="1765" w:type="dxa"/>
            <w:shd w:val="clear" w:color="auto" w:fill="FFFFFF" w:themeFill="background1"/>
            <w:vAlign w:val="center"/>
          </w:tcPr>
          <w:p w14:paraId="68520EFC">
            <w:pPr>
              <w:widowControl/>
              <w:ind w:firstLine="0" w:firstLineChars="0"/>
              <w:jc w:val="center"/>
              <w:rPr>
                <w:rFonts w:ascii="仿宋" w:hAnsi="仿宋"/>
                <w:color w:val="1D1B11"/>
                <w:kern w:val="0"/>
                <w:sz w:val="24"/>
                <w:szCs w:val="24"/>
              </w:rPr>
            </w:pPr>
            <w:r>
              <w:rPr>
                <w:rFonts w:ascii="仿宋" w:hAnsi="仿宋"/>
                <w:color w:val="1D1B11"/>
                <w:kern w:val="0"/>
                <w:sz w:val="24"/>
                <w:szCs w:val="24"/>
              </w:rPr>
              <w:t>起吊基础节回转套架塔帽等</w:t>
            </w:r>
          </w:p>
        </w:tc>
      </w:tr>
      <w:tr w14:paraId="7C1FB66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706159AF">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9</w:t>
            </w:r>
          </w:p>
        </w:tc>
        <w:tc>
          <w:tcPr>
            <w:tcW w:w="2584" w:type="dxa"/>
            <w:shd w:val="clear" w:color="auto" w:fill="FFFFFF" w:themeFill="background1"/>
            <w:vAlign w:val="center"/>
          </w:tcPr>
          <w:p w14:paraId="61BA7EE4">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麻绳（揽风绳）</w:t>
            </w:r>
          </w:p>
        </w:tc>
        <w:tc>
          <w:tcPr>
            <w:tcW w:w="2519" w:type="dxa"/>
            <w:tcBorders>
              <w:top w:val="single" w:color="000000" w:sz="4" w:space="0"/>
            </w:tcBorders>
            <w:shd w:val="clear" w:color="auto" w:fill="FFFFFF" w:themeFill="background1"/>
            <w:vAlign w:val="center"/>
          </w:tcPr>
          <w:p w14:paraId="4AA2D575">
            <w:pPr>
              <w:widowControl/>
              <w:ind w:firstLine="0" w:firstLineChars="0"/>
              <w:jc w:val="center"/>
              <w:rPr>
                <w:rFonts w:ascii="仿宋" w:hAnsi="仿宋"/>
                <w:color w:val="1D1B11"/>
                <w:kern w:val="0"/>
                <w:sz w:val="24"/>
                <w:szCs w:val="24"/>
              </w:rPr>
            </w:pPr>
            <w:r>
              <w:rPr>
                <w:rFonts w:ascii="仿宋" w:hAnsi="仿宋"/>
                <w:color w:val="1D1B11"/>
                <w:kern w:val="0"/>
                <w:sz w:val="24"/>
                <w:szCs w:val="24"/>
              </w:rPr>
              <w:t>Φ20</w:t>
            </w:r>
            <w:r>
              <w:rPr>
                <w:rFonts w:ascii="仿宋" w:hAnsi="仿宋"/>
                <w:color w:val="1D1B11"/>
                <w:sz w:val="24"/>
                <w:szCs w:val="24"/>
              </w:rPr>
              <w:t>×</w:t>
            </w:r>
            <w:r>
              <w:rPr>
                <w:rFonts w:ascii="仿宋" w:hAnsi="仿宋"/>
                <w:color w:val="1D1B11"/>
                <w:kern w:val="0"/>
                <w:sz w:val="24"/>
                <w:szCs w:val="24"/>
              </w:rPr>
              <w:t>30m</w:t>
            </w:r>
          </w:p>
        </w:tc>
        <w:tc>
          <w:tcPr>
            <w:tcW w:w="617" w:type="dxa"/>
            <w:shd w:val="clear" w:color="auto" w:fill="FFFFFF" w:themeFill="background1"/>
            <w:vAlign w:val="center"/>
          </w:tcPr>
          <w:p w14:paraId="63E3C12B">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33767C64">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638EE623">
            <w:pPr>
              <w:widowControl/>
              <w:ind w:firstLine="480"/>
              <w:jc w:val="center"/>
              <w:rPr>
                <w:rFonts w:ascii="仿宋" w:hAnsi="仿宋"/>
                <w:color w:val="1D1B11"/>
                <w:kern w:val="0"/>
                <w:sz w:val="24"/>
                <w:szCs w:val="24"/>
              </w:rPr>
            </w:pPr>
          </w:p>
        </w:tc>
      </w:tr>
      <w:tr w14:paraId="0BB6629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67A6CBD7">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10</w:t>
            </w:r>
          </w:p>
        </w:tc>
        <w:tc>
          <w:tcPr>
            <w:tcW w:w="2584" w:type="dxa"/>
            <w:shd w:val="clear" w:color="auto" w:fill="FFFFFF" w:themeFill="background1"/>
            <w:vAlign w:val="center"/>
          </w:tcPr>
          <w:p w14:paraId="04E6D957">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对讲机</w:t>
            </w:r>
          </w:p>
        </w:tc>
        <w:tc>
          <w:tcPr>
            <w:tcW w:w="2519" w:type="dxa"/>
            <w:shd w:val="clear" w:color="auto" w:fill="FFFFFF" w:themeFill="background1"/>
            <w:vAlign w:val="center"/>
          </w:tcPr>
          <w:p w14:paraId="272C971A">
            <w:pPr>
              <w:widowControl/>
              <w:ind w:firstLine="480"/>
              <w:jc w:val="center"/>
              <w:rPr>
                <w:rFonts w:ascii="仿宋" w:hAnsi="仿宋"/>
                <w:color w:val="1D1B11"/>
                <w:kern w:val="0"/>
                <w:sz w:val="24"/>
                <w:szCs w:val="24"/>
              </w:rPr>
            </w:pPr>
          </w:p>
        </w:tc>
        <w:tc>
          <w:tcPr>
            <w:tcW w:w="617" w:type="dxa"/>
            <w:shd w:val="clear" w:color="auto" w:fill="FFFFFF" w:themeFill="background1"/>
            <w:vAlign w:val="center"/>
          </w:tcPr>
          <w:p w14:paraId="74AD98A2">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部</w:t>
            </w:r>
          </w:p>
        </w:tc>
        <w:tc>
          <w:tcPr>
            <w:tcW w:w="909" w:type="dxa"/>
            <w:shd w:val="clear" w:color="auto" w:fill="FFFFFF" w:themeFill="background1"/>
            <w:vAlign w:val="center"/>
          </w:tcPr>
          <w:p w14:paraId="42C57709">
            <w:pPr>
              <w:widowControl/>
              <w:ind w:firstLine="0" w:firstLineChars="0"/>
              <w:jc w:val="center"/>
              <w:rPr>
                <w:rFonts w:ascii="仿宋" w:hAnsi="仿宋"/>
                <w:color w:val="1D1B11"/>
                <w:kern w:val="0"/>
                <w:sz w:val="24"/>
                <w:szCs w:val="24"/>
              </w:rPr>
            </w:pPr>
            <w:r>
              <w:rPr>
                <w:rFonts w:ascii="仿宋" w:hAnsi="仿宋"/>
                <w:color w:val="1D1B11"/>
                <w:kern w:val="0"/>
                <w:sz w:val="24"/>
                <w:szCs w:val="24"/>
              </w:rPr>
              <w:t>3</w:t>
            </w:r>
          </w:p>
        </w:tc>
        <w:tc>
          <w:tcPr>
            <w:tcW w:w="1765" w:type="dxa"/>
            <w:shd w:val="clear" w:color="auto" w:fill="FFFFFF" w:themeFill="background1"/>
            <w:vAlign w:val="center"/>
          </w:tcPr>
          <w:p w14:paraId="2C747B99">
            <w:pPr>
              <w:widowControl/>
              <w:ind w:firstLine="480"/>
              <w:jc w:val="center"/>
              <w:rPr>
                <w:rFonts w:ascii="仿宋" w:hAnsi="仿宋"/>
                <w:color w:val="1D1B11"/>
                <w:kern w:val="0"/>
                <w:sz w:val="24"/>
                <w:szCs w:val="24"/>
              </w:rPr>
            </w:pPr>
          </w:p>
        </w:tc>
      </w:tr>
      <w:tr w14:paraId="6D3937A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6EF0212D">
            <w:pPr>
              <w:widowControl/>
              <w:ind w:firstLine="0" w:firstLineChars="0"/>
              <w:jc w:val="center"/>
              <w:rPr>
                <w:rFonts w:ascii="仿宋" w:hAnsi="仿宋"/>
                <w:color w:val="1D1B11"/>
                <w:kern w:val="0"/>
                <w:sz w:val="24"/>
                <w:szCs w:val="24"/>
              </w:rPr>
            </w:pPr>
            <w:r>
              <w:rPr>
                <w:rFonts w:ascii="仿宋" w:hAnsi="仿宋"/>
                <w:color w:val="1D1B11"/>
                <w:kern w:val="0"/>
                <w:sz w:val="24"/>
                <w:szCs w:val="24"/>
              </w:rPr>
              <w:t>1</w:t>
            </w:r>
            <w:r>
              <w:rPr>
                <w:rFonts w:hint="eastAsia" w:ascii="仿宋" w:hAnsi="仿宋"/>
                <w:color w:val="1D1B11"/>
                <w:kern w:val="0"/>
                <w:sz w:val="24"/>
                <w:szCs w:val="24"/>
              </w:rPr>
              <w:t>1</w:t>
            </w:r>
          </w:p>
        </w:tc>
        <w:tc>
          <w:tcPr>
            <w:tcW w:w="2584" w:type="dxa"/>
            <w:shd w:val="clear" w:color="auto" w:fill="FFFFFF" w:themeFill="background1"/>
            <w:vAlign w:val="center"/>
          </w:tcPr>
          <w:p w14:paraId="0D35A6A6">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橇棍</w:t>
            </w:r>
          </w:p>
        </w:tc>
        <w:tc>
          <w:tcPr>
            <w:tcW w:w="2519" w:type="dxa"/>
            <w:shd w:val="clear" w:color="auto" w:fill="FFFFFF" w:themeFill="background1"/>
            <w:vAlign w:val="center"/>
          </w:tcPr>
          <w:p w14:paraId="5E46E5FA">
            <w:pPr>
              <w:widowControl/>
              <w:ind w:firstLine="0" w:firstLineChars="0"/>
              <w:jc w:val="center"/>
              <w:rPr>
                <w:rFonts w:ascii="仿宋" w:hAnsi="仿宋"/>
                <w:color w:val="1D1B11"/>
                <w:kern w:val="0"/>
                <w:sz w:val="24"/>
                <w:szCs w:val="24"/>
              </w:rPr>
            </w:pPr>
            <w:r>
              <w:rPr>
                <w:rFonts w:ascii="仿宋" w:hAnsi="仿宋"/>
                <w:color w:val="1D1B11"/>
                <w:kern w:val="0"/>
                <w:sz w:val="24"/>
                <w:szCs w:val="24"/>
              </w:rPr>
              <w:t>1m</w:t>
            </w:r>
            <w:r>
              <w:rPr>
                <w:rFonts w:hint="eastAsia" w:ascii="仿宋" w:hAnsi="仿宋"/>
                <w:color w:val="1D1B11"/>
                <w:kern w:val="0"/>
                <w:sz w:val="24"/>
                <w:szCs w:val="24"/>
              </w:rPr>
              <w:t>、</w:t>
            </w:r>
            <w:r>
              <w:rPr>
                <w:rFonts w:ascii="仿宋" w:hAnsi="仿宋"/>
                <w:color w:val="1D1B11"/>
                <w:kern w:val="0"/>
                <w:sz w:val="24"/>
                <w:szCs w:val="24"/>
              </w:rPr>
              <w:t>1.5m</w:t>
            </w:r>
          </w:p>
        </w:tc>
        <w:tc>
          <w:tcPr>
            <w:tcW w:w="617" w:type="dxa"/>
            <w:shd w:val="clear" w:color="auto" w:fill="FFFFFF" w:themeFill="background1"/>
            <w:vAlign w:val="center"/>
          </w:tcPr>
          <w:p w14:paraId="60F18016">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shd w:val="clear" w:color="auto" w:fill="FFFFFF" w:themeFill="background1"/>
            <w:vAlign w:val="center"/>
          </w:tcPr>
          <w:p w14:paraId="2BCBA4C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各</w:t>
            </w:r>
            <w:r>
              <w:rPr>
                <w:rFonts w:ascii="仿宋" w:hAnsi="仿宋"/>
                <w:color w:val="1D1B11"/>
                <w:kern w:val="0"/>
                <w:sz w:val="24"/>
                <w:szCs w:val="24"/>
              </w:rPr>
              <w:t>1</w:t>
            </w:r>
          </w:p>
        </w:tc>
        <w:tc>
          <w:tcPr>
            <w:tcW w:w="1765" w:type="dxa"/>
            <w:shd w:val="clear" w:color="auto" w:fill="FFFFFF" w:themeFill="background1"/>
            <w:vAlign w:val="center"/>
          </w:tcPr>
          <w:p w14:paraId="3E7D6FDD">
            <w:pPr>
              <w:widowControl/>
              <w:ind w:firstLine="480"/>
              <w:jc w:val="center"/>
              <w:rPr>
                <w:rFonts w:ascii="仿宋" w:hAnsi="仿宋"/>
                <w:color w:val="1D1B11"/>
                <w:kern w:val="0"/>
                <w:sz w:val="24"/>
                <w:szCs w:val="24"/>
              </w:rPr>
            </w:pPr>
          </w:p>
        </w:tc>
      </w:tr>
      <w:tr w14:paraId="02B31CD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47187DEC">
            <w:pPr>
              <w:widowControl/>
              <w:ind w:firstLine="0" w:firstLineChars="0"/>
              <w:jc w:val="center"/>
              <w:rPr>
                <w:rFonts w:ascii="仿宋" w:hAnsi="仿宋"/>
                <w:color w:val="1D1B11"/>
                <w:kern w:val="0"/>
                <w:sz w:val="24"/>
                <w:szCs w:val="24"/>
              </w:rPr>
            </w:pPr>
            <w:r>
              <w:rPr>
                <w:rFonts w:ascii="仿宋" w:hAnsi="仿宋"/>
                <w:color w:val="1D1B11"/>
                <w:kern w:val="0"/>
                <w:sz w:val="24"/>
                <w:szCs w:val="24"/>
              </w:rPr>
              <w:t>1</w:t>
            </w:r>
            <w:r>
              <w:rPr>
                <w:rFonts w:hint="eastAsia" w:ascii="仿宋" w:hAnsi="仿宋"/>
                <w:color w:val="1D1B11"/>
                <w:kern w:val="0"/>
                <w:sz w:val="24"/>
                <w:szCs w:val="24"/>
              </w:rPr>
              <w:t>2</w:t>
            </w:r>
          </w:p>
        </w:tc>
        <w:tc>
          <w:tcPr>
            <w:tcW w:w="2584" w:type="dxa"/>
            <w:shd w:val="clear" w:color="auto" w:fill="FFFFFF" w:themeFill="background1"/>
            <w:vAlign w:val="center"/>
          </w:tcPr>
          <w:p w14:paraId="11A39D94">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马蹄形卸扣</w:t>
            </w:r>
          </w:p>
        </w:tc>
        <w:tc>
          <w:tcPr>
            <w:tcW w:w="2519" w:type="dxa"/>
            <w:shd w:val="clear" w:color="auto" w:fill="FFFFFF" w:themeFill="background1"/>
            <w:vAlign w:val="center"/>
          </w:tcPr>
          <w:p w14:paraId="4CE0FE3F">
            <w:pPr>
              <w:widowControl/>
              <w:ind w:firstLine="0" w:firstLineChars="0"/>
              <w:jc w:val="center"/>
              <w:rPr>
                <w:rFonts w:ascii="仿宋" w:hAnsi="仿宋"/>
                <w:color w:val="1D1B11"/>
                <w:kern w:val="0"/>
                <w:sz w:val="24"/>
                <w:szCs w:val="24"/>
              </w:rPr>
            </w:pPr>
            <w:r>
              <w:rPr>
                <w:rFonts w:ascii="仿宋" w:hAnsi="仿宋"/>
                <w:color w:val="1D1B11"/>
                <w:kern w:val="0"/>
                <w:sz w:val="24"/>
                <w:szCs w:val="24"/>
              </w:rPr>
              <w:t>3.25t</w:t>
            </w:r>
          </w:p>
        </w:tc>
        <w:tc>
          <w:tcPr>
            <w:tcW w:w="617" w:type="dxa"/>
            <w:shd w:val="clear" w:color="auto" w:fill="FFFFFF" w:themeFill="background1"/>
            <w:vAlign w:val="center"/>
          </w:tcPr>
          <w:p w14:paraId="6E869BAA">
            <w:pPr>
              <w:widowControl/>
              <w:ind w:firstLine="0" w:firstLineChars="0"/>
              <w:jc w:val="center"/>
              <w:rPr>
                <w:rFonts w:ascii="仿宋" w:hAnsi="仿宋"/>
                <w:strike/>
                <w:color w:val="1D1B11"/>
                <w:kern w:val="0"/>
                <w:sz w:val="24"/>
                <w:szCs w:val="24"/>
              </w:rPr>
            </w:pPr>
            <w:r>
              <w:rPr>
                <w:rFonts w:hint="eastAsia" w:ascii="仿宋" w:hAnsi="仿宋"/>
                <w:color w:val="1D1B11"/>
                <w:kern w:val="0"/>
                <w:sz w:val="24"/>
                <w:szCs w:val="24"/>
              </w:rPr>
              <w:t>只</w:t>
            </w:r>
          </w:p>
        </w:tc>
        <w:tc>
          <w:tcPr>
            <w:tcW w:w="909" w:type="dxa"/>
            <w:shd w:val="clear" w:color="auto" w:fill="FFFFFF" w:themeFill="background1"/>
            <w:vAlign w:val="center"/>
          </w:tcPr>
          <w:p w14:paraId="3D0EAE5C">
            <w:pPr>
              <w:widowControl/>
              <w:ind w:firstLine="0" w:firstLineChars="0"/>
              <w:jc w:val="center"/>
              <w:rPr>
                <w:rFonts w:ascii="仿宋" w:hAnsi="仿宋"/>
                <w:color w:val="1D1B11"/>
                <w:kern w:val="0"/>
                <w:sz w:val="24"/>
                <w:szCs w:val="24"/>
              </w:rPr>
            </w:pPr>
            <w:r>
              <w:rPr>
                <w:rFonts w:ascii="仿宋" w:hAnsi="仿宋"/>
                <w:color w:val="1D1B11"/>
                <w:kern w:val="0"/>
                <w:sz w:val="24"/>
                <w:szCs w:val="24"/>
              </w:rPr>
              <w:t>4</w:t>
            </w:r>
          </w:p>
        </w:tc>
        <w:tc>
          <w:tcPr>
            <w:tcW w:w="1765" w:type="dxa"/>
            <w:shd w:val="clear" w:color="auto" w:fill="FFFFFF" w:themeFill="background1"/>
            <w:vAlign w:val="center"/>
          </w:tcPr>
          <w:p w14:paraId="7743E4F2">
            <w:pPr>
              <w:widowControl/>
              <w:ind w:firstLine="480"/>
              <w:jc w:val="center"/>
              <w:rPr>
                <w:rFonts w:ascii="仿宋" w:hAnsi="仿宋"/>
                <w:color w:val="1D1B11"/>
                <w:kern w:val="0"/>
                <w:sz w:val="24"/>
                <w:szCs w:val="24"/>
              </w:rPr>
            </w:pPr>
          </w:p>
        </w:tc>
      </w:tr>
      <w:tr w14:paraId="15FF7E5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2C662093">
            <w:pPr>
              <w:widowControl/>
              <w:ind w:firstLine="0" w:firstLineChars="0"/>
              <w:jc w:val="center"/>
              <w:rPr>
                <w:rFonts w:ascii="仿宋" w:hAnsi="仿宋"/>
                <w:color w:val="1D1B11"/>
                <w:kern w:val="0"/>
                <w:sz w:val="24"/>
                <w:szCs w:val="24"/>
              </w:rPr>
            </w:pPr>
            <w:r>
              <w:rPr>
                <w:rFonts w:ascii="仿宋" w:hAnsi="仿宋"/>
                <w:color w:val="1D1B11"/>
                <w:kern w:val="0"/>
                <w:sz w:val="24"/>
                <w:szCs w:val="24"/>
              </w:rPr>
              <w:t>1</w:t>
            </w:r>
            <w:r>
              <w:rPr>
                <w:rFonts w:hint="eastAsia" w:ascii="仿宋" w:hAnsi="仿宋"/>
                <w:color w:val="1D1B11"/>
                <w:kern w:val="0"/>
                <w:sz w:val="24"/>
                <w:szCs w:val="24"/>
              </w:rPr>
              <w:t>3</w:t>
            </w:r>
          </w:p>
        </w:tc>
        <w:tc>
          <w:tcPr>
            <w:tcW w:w="2584" w:type="dxa"/>
            <w:shd w:val="clear" w:color="auto" w:fill="FFFFFF" w:themeFill="background1"/>
            <w:vAlign w:val="center"/>
          </w:tcPr>
          <w:p w14:paraId="64FC7148">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马蹄形卸扣</w:t>
            </w:r>
          </w:p>
        </w:tc>
        <w:tc>
          <w:tcPr>
            <w:tcW w:w="2519" w:type="dxa"/>
            <w:shd w:val="clear" w:color="auto" w:fill="FFFFFF" w:themeFill="background1"/>
            <w:vAlign w:val="center"/>
          </w:tcPr>
          <w:p w14:paraId="4392CBBF">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lang w:val="en-US" w:eastAsia="zh-CN"/>
              </w:rPr>
              <w:t>5.5</w:t>
            </w:r>
            <w:r>
              <w:rPr>
                <w:rFonts w:ascii="仿宋" w:hAnsi="仿宋"/>
                <w:color w:val="1D1B11"/>
                <w:kern w:val="0"/>
                <w:sz w:val="24"/>
                <w:szCs w:val="24"/>
              </w:rPr>
              <w:t>t</w:t>
            </w:r>
          </w:p>
        </w:tc>
        <w:tc>
          <w:tcPr>
            <w:tcW w:w="617" w:type="dxa"/>
            <w:shd w:val="clear" w:color="auto" w:fill="FFFFFF" w:themeFill="background1"/>
            <w:vAlign w:val="center"/>
          </w:tcPr>
          <w:p w14:paraId="719F2A23">
            <w:pPr>
              <w:widowControl/>
              <w:ind w:firstLine="0" w:firstLineChars="0"/>
              <w:jc w:val="center"/>
              <w:rPr>
                <w:rFonts w:ascii="仿宋" w:hAnsi="仿宋"/>
                <w:strike/>
                <w:color w:val="1D1B11"/>
                <w:kern w:val="0"/>
                <w:sz w:val="24"/>
                <w:szCs w:val="24"/>
              </w:rPr>
            </w:pPr>
            <w:r>
              <w:rPr>
                <w:rFonts w:hint="eastAsia" w:ascii="仿宋" w:hAnsi="仿宋"/>
                <w:color w:val="1D1B11"/>
                <w:kern w:val="0"/>
                <w:sz w:val="24"/>
                <w:szCs w:val="24"/>
              </w:rPr>
              <w:t>只</w:t>
            </w:r>
          </w:p>
        </w:tc>
        <w:tc>
          <w:tcPr>
            <w:tcW w:w="909" w:type="dxa"/>
            <w:shd w:val="clear" w:color="auto" w:fill="FFFFFF" w:themeFill="background1"/>
            <w:vAlign w:val="center"/>
          </w:tcPr>
          <w:p w14:paraId="0220730F">
            <w:pPr>
              <w:widowControl/>
              <w:ind w:firstLine="0" w:firstLineChars="0"/>
              <w:jc w:val="center"/>
              <w:rPr>
                <w:rFonts w:ascii="仿宋" w:hAnsi="仿宋"/>
                <w:color w:val="1D1B11"/>
                <w:kern w:val="0"/>
                <w:sz w:val="24"/>
                <w:szCs w:val="24"/>
              </w:rPr>
            </w:pPr>
            <w:r>
              <w:rPr>
                <w:rFonts w:ascii="仿宋" w:hAnsi="仿宋"/>
                <w:color w:val="1D1B11"/>
                <w:kern w:val="0"/>
                <w:sz w:val="24"/>
                <w:szCs w:val="24"/>
              </w:rPr>
              <w:t>4</w:t>
            </w:r>
          </w:p>
        </w:tc>
        <w:tc>
          <w:tcPr>
            <w:tcW w:w="1765" w:type="dxa"/>
            <w:shd w:val="clear" w:color="auto" w:fill="FFFFFF" w:themeFill="background1"/>
            <w:vAlign w:val="center"/>
          </w:tcPr>
          <w:p w14:paraId="31EAC11F">
            <w:pPr>
              <w:widowControl/>
              <w:ind w:firstLine="480"/>
              <w:jc w:val="center"/>
              <w:rPr>
                <w:rFonts w:ascii="仿宋" w:hAnsi="仿宋"/>
                <w:color w:val="1D1B11"/>
                <w:kern w:val="0"/>
                <w:sz w:val="24"/>
                <w:szCs w:val="24"/>
              </w:rPr>
            </w:pPr>
          </w:p>
        </w:tc>
      </w:tr>
      <w:tr w14:paraId="60EDB06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059F4D77">
            <w:pPr>
              <w:widowControl/>
              <w:ind w:firstLine="0" w:firstLineChars="0"/>
              <w:jc w:val="center"/>
              <w:rPr>
                <w:rFonts w:ascii="仿宋" w:hAnsi="仿宋"/>
                <w:color w:val="1D1B11"/>
                <w:kern w:val="0"/>
                <w:sz w:val="24"/>
                <w:szCs w:val="24"/>
              </w:rPr>
            </w:pPr>
            <w:r>
              <w:rPr>
                <w:rFonts w:ascii="仿宋" w:hAnsi="仿宋"/>
                <w:color w:val="1D1B11"/>
                <w:kern w:val="0"/>
                <w:sz w:val="24"/>
                <w:szCs w:val="24"/>
              </w:rPr>
              <w:t>1</w:t>
            </w:r>
            <w:r>
              <w:rPr>
                <w:rFonts w:hint="eastAsia" w:ascii="仿宋" w:hAnsi="仿宋"/>
                <w:color w:val="1D1B11"/>
                <w:kern w:val="0"/>
                <w:sz w:val="24"/>
                <w:szCs w:val="24"/>
              </w:rPr>
              <w:t>4</w:t>
            </w:r>
          </w:p>
        </w:tc>
        <w:tc>
          <w:tcPr>
            <w:tcW w:w="2584" w:type="dxa"/>
            <w:shd w:val="clear" w:color="auto" w:fill="FFFFFF" w:themeFill="background1"/>
            <w:vAlign w:val="center"/>
          </w:tcPr>
          <w:p w14:paraId="4B6B90FE">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马蹄形卸扣</w:t>
            </w:r>
          </w:p>
        </w:tc>
        <w:tc>
          <w:tcPr>
            <w:tcW w:w="2519" w:type="dxa"/>
            <w:shd w:val="clear" w:color="auto" w:fill="FFFFFF" w:themeFill="background1"/>
            <w:vAlign w:val="center"/>
          </w:tcPr>
          <w:p w14:paraId="78A6340A">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lang w:val="en-US" w:eastAsia="zh-CN"/>
              </w:rPr>
              <w:t>6</w:t>
            </w:r>
            <w:r>
              <w:rPr>
                <w:rFonts w:ascii="仿宋" w:hAnsi="仿宋"/>
                <w:color w:val="1D1B11"/>
                <w:kern w:val="0"/>
                <w:sz w:val="24"/>
                <w:szCs w:val="24"/>
              </w:rPr>
              <w:t>.5t</w:t>
            </w:r>
          </w:p>
        </w:tc>
        <w:tc>
          <w:tcPr>
            <w:tcW w:w="617" w:type="dxa"/>
            <w:shd w:val="clear" w:color="auto" w:fill="FFFFFF" w:themeFill="background1"/>
            <w:vAlign w:val="center"/>
          </w:tcPr>
          <w:p w14:paraId="1B2766AF">
            <w:pPr>
              <w:widowControl/>
              <w:ind w:firstLine="0" w:firstLineChars="0"/>
              <w:jc w:val="center"/>
              <w:rPr>
                <w:rFonts w:ascii="仿宋" w:hAnsi="仿宋"/>
                <w:strike/>
                <w:color w:val="1D1B11"/>
                <w:kern w:val="0"/>
                <w:sz w:val="24"/>
                <w:szCs w:val="24"/>
              </w:rPr>
            </w:pPr>
            <w:r>
              <w:rPr>
                <w:rFonts w:hint="eastAsia" w:ascii="仿宋" w:hAnsi="仿宋"/>
                <w:color w:val="1D1B11"/>
                <w:kern w:val="0"/>
                <w:sz w:val="24"/>
                <w:szCs w:val="24"/>
              </w:rPr>
              <w:t>只</w:t>
            </w:r>
          </w:p>
        </w:tc>
        <w:tc>
          <w:tcPr>
            <w:tcW w:w="909" w:type="dxa"/>
            <w:shd w:val="clear" w:color="auto" w:fill="FFFFFF" w:themeFill="background1"/>
            <w:vAlign w:val="center"/>
          </w:tcPr>
          <w:p w14:paraId="519B1593">
            <w:pPr>
              <w:widowControl/>
              <w:ind w:firstLine="0" w:firstLineChars="0"/>
              <w:jc w:val="center"/>
              <w:rPr>
                <w:rFonts w:hint="eastAsia" w:ascii="仿宋" w:hAnsi="仿宋" w:eastAsia="仿宋"/>
                <w:color w:val="1D1B11"/>
                <w:kern w:val="0"/>
                <w:sz w:val="24"/>
                <w:szCs w:val="24"/>
                <w:lang w:eastAsia="zh-CN"/>
              </w:rPr>
            </w:pPr>
            <w:r>
              <w:rPr>
                <w:rFonts w:hint="eastAsia" w:ascii="仿宋" w:hAnsi="仿宋"/>
                <w:color w:val="1D1B11"/>
                <w:kern w:val="0"/>
                <w:sz w:val="24"/>
                <w:szCs w:val="24"/>
                <w:lang w:val="en-US" w:eastAsia="zh-CN"/>
              </w:rPr>
              <w:t>4</w:t>
            </w:r>
          </w:p>
        </w:tc>
        <w:tc>
          <w:tcPr>
            <w:tcW w:w="1765" w:type="dxa"/>
            <w:shd w:val="clear" w:color="auto" w:fill="FFFFFF" w:themeFill="background1"/>
            <w:vAlign w:val="center"/>
          </w:tcPr>
          <w:p w14:paraId="4597859D">
            <w:pPr>
              <w:widowControl/>
              <w:ind w:firstLine="480"/>
              <w:jc w:val="center"/>
              <w:rPr>
                <w:rFonts w:ascii="仿宋" w:hAnsi="仿宋"/>
                <w:color w:val="1D1B11"/>
                <w:kern w:val="0"/>
                <w:sz w:val="24"/>
                <w:szCs w:val="24"/>
              </w:rPr>
            </w:pPr>
          </w:p>
        </w:tc>
      </w:tr>
      <w:tr w14:paraId="1A1A625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199432A3">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15</w:t>
            </w:r>
          </w:p>
        </w:tc>
        <w:tc>
          <w:tcPr>
            <w:tcW w:w="2584" w:type="dxa"/>
            <w:shd w:val="clear" w:color="auto" w:fill="FFFFFF" w:themeFill="background1"/>
            <w:vAlign w:val="center"/>
          </w:tcPr>
          <w:p w14:paraId="65674FEF">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吊带</w:t>
            </w:r>
          </w:p>
        </w:tc>
        <w:tc>
          <w:tcPr>
            <w:tcW w:w="2519" w:type="dxa"/>
            <w:shd w:val="clear" w:color="auto" w:fill="FFFFFF" w:themeFill="background1"/>
            <w:vAlign w:val="center"/>
          </w:tcPr>
          <w:p w14:paraId="477270EB">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两端环眼</w:t>
            </w:r>
            <w:r>
              <w:rPr>
                <w:rFonts w:ascii="仿宋" w:hAnsi="仿宋"/>
                <w:color w:val="1D1B11"/>
                <w:kern w:val="0"/>
                <w:sz w:val="24"/>
                <w:szCs w:val="24"/>
              </w:rPr>
              <w:t>4t/6m</w:t>
            </w:r>
          </w:p>
        </w:tc>
        <w:tc>
          <w:tcPr>
            <w:tcW w:w="617" w:type="dxa"/>
            <w:shd w:val="clear" w:color="auto" w:fill="FFFFFF" w:themeFill="background1"/>
            <w:vAlign w:val="center"/>
          </w:tcPr>
          <w:p w14:paraId="0C62D332">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副</w:t>
            </w:r>
          </w:p>
        </w:tc>
        <w:tc>
          <w:tcPr>
            <w:tcW w:w="909" w:type="dxa"/>
            <w:shd w:val="clear" w:color="auto" w:fill="FFFFFF" w:themeFill="background1"/>
            <w:vAlign w:val="center"/>
          </w:tcPr>
          <w:p w14:paraId="464CE740">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shd w:val="clear" w:color="auto" w:fill="FFFFFF" w:themeFill="background1"/>
            <w:vAlign w:val="center"/>
          </w:tcPr>
          <w:p w14:paraId="0F50640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拼标准节</w:t>
            </w:r>
          </w:p>
        </w:tc>
      </w:tr>
      <w:tr w14:paraId="27A3763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013AAE5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16</w:t>
            </w:r>
          </w:p>
        </w:tc>
        <w:tc>
          <w:tcPr>
            <w:tcW w:w="2584" w:type="dxa"/>
            <w:shd w:val="clear" w:color="auto" w:fill="FFFFFF" w:themeFill="background1"/>
            <w:vAlign w:val="center"/>
          </w:tcPr>
          <w:p w14:paraId="433F358B">
            <w:pPr>
              <w:widowControl/>
              <w:ind w:firstLine="0" w:firstLineChars="0"/>
              <w:jc w:val="center"/>
              <w:rPr>
                <w:rFonts w:ascii="仿宋" w:hAnsi="仿宋"/>
                <w:color w:val="000000"/>
                <w:kern w:val="0"/>
                <w:sz w:val="24"/>
                <w:szCs w:val="24"/>
              </w:rPr>
            </w:pPr>
            <w:r>
              <w:rPr>
                <w:rFonts w:hint="eastAsia" w:ascii="仿宋" w:hAnsi="仿宋"/>
                <w:color w:val="000000"/>
                <w:kern w:val="0"/>
                <w:sz w:val="24"/>
                <w:szCs w:val="24"/>
              </w:rPr>
              <w:t>枕木</w:t>
            </w:r>
          </w:p>
        </w:tc>
        <w:tc>
          <w:tcPr>
            <w:tcW w:w="2519" w:type="dxa"/>
            <w:shd w:val="clear" w:color="auto" w:fill="FFFFFF" w:themeFill="background1"/>
            <w:vAlign w:val="center"/>
          </w:tcPr>
          <w:p w14:paraId="6AF5EB96">
            <w:pPr>
              <w:widowControl/>
              <w:ind w:firstLine="0" w:firstLineChars="0"/>
              <w:jc w:val="center"/>
              <w:rPr>
                <w:rFonts w:ascii="仿宋" w:hAnsi="仿宋"/>
                <w:color w:val="000000"/>
                <w:kern w:val="0"/>
                <w:sz w:val="24"/>
                <w:szCs w:val="24"/>
              </w:rPr>
            </w:pPr>
          </w:p>
        </w:tc>
        <w:tc>
          <w:tcPr>
            <w:tcW w:w="617" w:type="dxa"/>
            <w:shd w:val="clear" w:color="auto" w:fill="FFFFFF" w:themeFill="background1"/>
            <w:vAlign w:val="center"/>
          </w:tcPr>
          <w:p w14:paraId="775BD9D7">
            <w:pPr>
              <w:widowControl/>
              <w:ind w:firstLine="0" w:firstLineChars="0"/>
              <w:jc w:val="center"/>
              <w:rPr>
                <w:rFonts w:ascii="仿宋" w:hAnsi="仿宋"/>
                <w:color w:val="1D1B11"/>
                <w:kern w:val="0"/>
                <w:sz w:val="24"/>
                <w:szCs w:val="24"/>
              </w:rPr>
            </w:pPr>
          </w:p>
        </w:tc>
        <w:tc>
          <w:tcPr>
            <w:tcW w:w="909" w:type="dxa"/>
            <w:shd w:val="clear" w:color="auto" w:fill="FFFFFF" w:themeFill="background1"/>
            <w:vAlign w:val="center"/>
          </w:tcPr>
          <w:p w14:paraId="19C11328">
            <w:pPr>
              <w:widowControl/>
              <w:ind w:firstLine="0" w:firstLineChars="0"/>
              <w:jc w:val="center"/>
              <w:rPr>
                <w:rFonts w:ascii="仿宋" w:hAnsi="仿宋"/>
                <w:color w:val="1D1B11"/>
                <w:kern w:val="0"/>
                <w:sz w:val="24"/>
                <w:szCs w:val="24"/>
              </w:rPr>
            </w:pPr>
            <w:r>
              <w:rPr>
                <w:rFonts w:hint="eastAsia" w:ascii="仿宋" w:hAnsi="仿宋"/>
                <w:color w:val="000000"/>
                <w:kern w:val="0"/>
                <w:sz w:val="24"/>
                <w:szCs w:val="24"/>
              </w:rPr>
              <w:t>若干</w:t>
            </w:r>
          </w:p>
        </w:tc>
        <w:tc>
          <w:tcPr>
            <w:tcW w:w="1765" w:type="dxa"/>
            <w:shd w:val="clear" w:color="auto" w:fill="FFFFFF" w:themeFill="background1"/>
            <w:vAlign w:val="center"/>
          </w:tcPr>
          <w:p w14:paraId="1F08975C">
            <w:pPr>
              <w:widowControl/>
              <w:ind w:firstLine="0" w:firstLineChars="0"/>
              <w:jc w:val="center"/>
              <w:rPr>
                <w:rFonts w:ascii="仿宋" w:hAnsi="仿宋"/>
                <w:color w:val="1D1B11"/>
                <w:kern w:val="0"/>
                <w:sz w:val="24"/>
                <w:szCs w:val="24"/>
              </w:rPr>
            </w:pPr>
          </w:p>
        </w:tc>
      </w:tr>
      <w:tr w14:paraId="0B42EF2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FFFFF" w:themeFill="background1"/>
            <w:vAlign w:val="center"/>
          </w:tcPr>
          <w:p w14:paraId="44FC0FD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17</w:t>
            </w:r>
          </w:p>
        </w:tc>
        <w:tc>
          <w:tcPr>
            <w:tcW w:w="2584" w:type="dxa"/>
            <w:shd w:val="clear" w:color="auto" w:fill="FFFFFF" w:themeFill="background1"/>
            <w:vAlign w:val="center"/>
          </w:tcPr>
          <w:p w14:paraId="14F8E42E">
            <w:pPr>
              <w:widowControl/>
              <w:spacing w:line="240" w:lineRule="auto"/>
              <w:ind w:firstLine="0" w:firstLineChars="0"/>
              <w:jc w:val="center"/>
              <w:rPr>
                <w:rFonts w:ascii="仿宋" w:hAnsi="仿宋" w:cs="宋体"/>
                <w:color w:val="1D1B11"/>
                <w:kern w:val="0"/>
                <w:sz w:val="24"/>
                <w:szCs w:val="24"/>
              </w:rPr>
            </w:pPr>
            <w:r>
              <w:rPr>
                <w:rFonts w:hint="eastAsia" w:ascii="仿宋" w:hAnsi="仿宋" w:cs="宋体"/>
                <w:color w:val="1D1B11"/>
                <w:kern w:val="0"/>
                <w:sz w:val="24"/>
                <w:szCs w:val="24"/>
              </w:rPr>
              <w:t>全站仪</w:t>
            </w:r>
          </w:p>
        </w:tc>
        <w:tc>
          <w:tcPr>
            <w:tcW w:w="2519" w:type="dxa"/>
            <w:shd w:val="clear" w:color="auto" w:fill="FFFFFF" w:themeFill="background1"/>
            <w:vAlign w:val="center"/>
          </w:tcPr>
          <w:p w14:paraId="2B568537">
            <w:pPr>
              <w:widowControl/>
              <w:spacing w:line="240" w:lineRule="auto"/>
              <w:ind w:firstLine="0" w:firstLineChars="0"/>
              <w:jc w:val="center"/>
              <w:textAlignment w:val="center"/>
              <w:rPr>
                <w:rFonts w:ascii="仿宋" w:hAnsi="仿宋" w:cs="宋体"/>
                <w:color w:val="1D1B11"/>
                <w:kern w:val="0"/>
                <w:sz w:val="24"/>
                <w:szCs w:val="24"/>
              </w:rPr>
            </w:pPr>
            <w:r>
              <w:rPr>
                <w:rFonts w:ascii="仿宋" w:hAnsi="仿宋" w:cs="宋体"/>
                <w:color w:val="000000"/>
                <w:kern w:val="0"/>
                <w:sz w:val="24"/>
                <w:szCs w:val="24"/>
              </w:rPr>
              <w:t>TOPCN-GTS602</w:t>
            </w:r>
          </w:p>
        </w:tc>
        <w:tc>
          <w:tcPr>
            <w:tcW w:w="617" w:type="dxa"/>
            <w:shd w:val="clear" w:color="auto" w:fill="FFFFFF" w:themeFill="background1"/>
            <w:vAlign w:val="center"/>
          </w:tcPr>
          <w:p w14:paraId="314153EA">
            <w:pPr>
              <w:widowControl/>
              <w:spacing w:line="240" w:lineRule="auto"/>
              <w:ind w:firstLine="0" w:firstLineChars="0"/>
              <w:jc w:val="center"/>
              <w:rPr>
                <w:rFonts w:ascii="仿宋" w:hAnsi="仿宋" w:cs="宋体"/>
                <w:color w:val="1D1B11"/>
                <w:kern w:val="0"/>
                <w:sz w:val="24"/>
                <w:szCs w:val="24"/>
              </w:rPr>
            </w:pPr>
            <w:r>
              <w:rPr>
                <w:rFonts w:hint="eastAsia" w:ascii="仿宋" w:hAnsi="仿宋" w:cs="宋体"/>
                <w:color w:val="1D1B11"/>
                <w:kern w:val="0"/>
                <w:sz w:val="24"/>
                <w:szCs w:val="24"/>
              </w:rPr>
              <w:t>台</w:t>
            </w:r>
          </w:p>
        </w:tc>
        <w:tc>
          <w:tcPr>
            <w:tcW w:w="909" w:type="dxa"/>
            <w:shd w:val="clear" w:color="auto" w:fill="FFFFFF" w:themeFill="background1"/>
            <w:vAlign w:val="center"/>
          </w:tcPr>
          <w:p w14:paraId="323D160B">
            <w:pPr>
              <w:widowControl/>
              <w:spacing w:line="240" w:lineRule="auto"/>
              <w:ind w:firstLine="0" w:firstLineChars="0"/>
              <w:jc w:val="center"/>
              <w:rPr>
                <w:rFonts w:ascii="仿宋" w:hAnsi="仿宋" w:cs="宋体"/>
                <w:color w:val="1D1B11"/>
                <w:kern w:val="0"/>
                <w:sz w:val="24"/>
                <w:szCs w:val="24"/>
              </w:rPr>
            </w:pPr>
            <w:r>
              <w:rPr>
                <w:rFonts w:ascii="仿宋" w:hAnsi="仿宋" w:cs="宋体"/>
                <w:color w:val="1D1B11"/>
                <w:kern w:val="0"/>
                <w:sz w:val="24"/>
                <w:szCs w:val="24"/>
              </w:rPr>
              <w:t>1</w:t>
            </w:r>
          </w:p>
        </w:tc>
        <w:tc>
          <w:tcPr>
            <w:tcW w:w="1765" w:type="dxa"/>
            <w:shd w:val="clear" w:color="auto" w:fill="FFFFFF" w:themeFill="background1"/>
            <w:vAlign w:val="center"/>
          </w:tcPr>
          <w:p w14:paraId="6C837C42">
            <w:pPr>
              <w:widowControl/>
              <w:spacing w:line="240" w:lineRule="auto"/>
              <w:ind w:firstLine="0" w:firstLineChars="0"/>
              <w:jc w:val="center"/>
              <w:rPr>
                <w:rFonts w:ascii="仿宋" w:hAnsi="仿宋" w:cs="宋体"/>
                <w:color w:val="1D1B11"/>
                <w:kern w:val="0"/>
                <w:sz w:val="24"/>
                <w:szCs w:val="24"/>
              </w:rPr>
            </w:pPr>
            <w:r>
              <w:rPr>
                <w:rFonts w:hint="eastAsia" w:ascii="仿宋" w:hAnsi="仿宋" w:cs="宋体"/>
                <w:color w:val="1D1B11"/>
                <w:kern w:val="0"/>
                <w:sz w:val="24"/>
                <w:szCs w:val="24"/>
              </w:rPr>
              <w:t>垂直度测量</w:t>
            </w:r>
          </w:p>
        </w:tc>
      </w:tr>
    </w:tbl>
    <w:p w14:paraId="21DCA845">
      <w:pPr>
        <w:widowControl/>
        <w:ind w:firstLine="0" w:firstLineChars="0"/>
        <w:jc w:val="left"/>
        <w:rPr>
          <w:b/>
          <w:color w:val="171717"/>
        </w:rPr>
      </w:pPr>
      <w:bookmarkStart w:id="242" w:name="_Toc28903"/>
      <w:bookmarkStart w:id="243" w:name="_Toc4269"/>
      <w:bookmarkStart w:id="244" w:name="_Toc21504"/>
      <w:bookmarkStart w:id="245" w:name="_Toc28565"/>
      <w:bookmarkStart w:id="246" w:name="_Toc8662"/>
      <w:bookmarkStart w:id="247" w:name="_Toc15485"/>
      <w:r>
        <w:rPr>
          <w:rFonts w:hint="eastAsia"/>
          <w:b/>
          <w:color w:val="171717"/>
        </w:rPr>
        <w:t>注：对所使用的吊索、吊具进行全面的质量和安全检查，确认完好无损方可使用。</w:t>
      </w:r>
    </w:p>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220"/>
    <w:bookmarkEnd w:id="221"/>
    <w:bookmarkEnd w:id="222"/>
    <w:bookmarkEnd w:id="223"/>
    <w:bookmarkEnd w:id="224"/>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14:paraId="24CBE9BD">
      <w:pPr>
        <w:pStyle w:val="3"/>
      </w:pPr>
      <w:bookmarkStart w:id="248" w:name="_Toc32112"/>
      <w:bookmarkStart w:id="249" w:name="_Toc6429"/>
      <w:bookmarkStart w:id="250" w:name="_Toc13892"/>
      <w:bookmarkStart w:id="251" w:name="_Toc11852"/>
      <w:bookmarkStart w:id="252" w:name="_Toc25248"/>
      <w:bookmarkStart w:id="253" w:name="_Toc13863"/>
      <w:bookmarkStart w:id="254" w:name="_Toc14280"/>
      <w:bookmarkStart w:id="255" w:name="_Toc10757"/>
      <w:bookmarkStart w:id="256" w:name="_Toc18850"/>
      <w:bookmarkStart w:id="257" w:name="_Toc29964"/>
      <w:bookmarkStart w:id="258" w:name="_Toc8801"/>
      <w:bookmarkStart w:id="259" w:name="_Toc24350"/>
      <w:bookmarkStart w:id="260" w:name="_Toc13467"/>
      <w:bookmarkStart w:id="261" w:name="_Toc25126"/>
      <w:bookmarkStart w:id="262" w:name="_Toc87114080"/>
      <w:bookmarkStart w:id="263" w:name="_Toc31806"/>
      <w:r>
        <w:rPr>
          <w:rFonts w:hint="eastAsia"/>
          <w:color w:val="000000"/>
        </w:rPr>
        <w:t xml:space="preserve">4.4 </w:t>
      </w:r>
      <w:bookmarkStart w:id="264" w:name="_Toc3726"/>
      <w:r>
        <w:rPr>
          <w:color w:val="000000"/>
        </w:rPr>
        <w:t>安装</w:t>
      </w:r>
      <w:r>
        <w:rPr>
          <w:rFonts w:hint="eastAsia"/>
          <w:color w:val="000000"/>
        </w:rPr>
        <w:t>起重机械</w:t>
      </w:r>
      <w:r>
        <w:rPr>
          <w:color w:val="000000"/>
        </w:rPr>
        <w:t>设备的型号、</w:t>
      </w:r>
      <w:bookmarkEnd w:id="264"/>
      <w:r>
        <w:rPr>
          <w:color w:val="000000"/>
        </w:rPr>
        <w:t>性能及</w:t>
      </w:r>
      <w:r>
        <w:rPr>
          <w:rFonts w:hint="eastAsia"/>
          <w:color w:val="000000"/>
        </w:rPr>
        <w:t>起吊能力验算</w:t>
      </w:r>
      <w:bookmarkEnd w:id="248"/>
      <w:bookmarkEnd w:id="249"/>
    </w:p>
    <w:p w14:paraId="371531E9">
      <w:pPr>
        <w:pStyle w:val="4"/>
        <w:ind w:firstLine="562" w:firstLineChars="200"/>
      </w:pPr>
      <w:bookmarkStart w:id="265" w:name="_Toc6386"/>
      <w:r>
        <w:rPr>
          <w:rFonts w:hint="eastAsia"/>
        </w:rPr>
        <w:t>4.4.1 吊机型号选择</w:t>
      </w:r>
      <w:bookmarkEnd w:id="265"/>
    </w:p>
    <w:p w14:paraId="710C095B">
      <w:pPr>
        <w:widowControl/>
        <w:ind w:firstLine="560"/>
        <w:jc w:val="left"/>
        <w:rPr>
          <w:bCs/>
          <w:color w:val="171717"/>
        </w:rPr>
      </w:pPr>
      <w:r>
        <w:rPr>
          <w:rFonts w:hint="eastAsia"/>
          <w:bCs/>
          <w:color w:val="171717"/>
        </w:rPr>
        <w:t>根据XGT6015A-8S塔式起重机使用说明书可知设备的各部件重量和最大的安装起升高度，该塔式起重机安装最大起吊重量为起重臂总成，XGT6015A-8S塔吊</w:t>
      </w:r>
      <w:r>
        <w:rPr>
          <w:rFonts w:hint="eastAsia"/>
          <w:bCs/>
          <w:color w:val="171717"/>
          <w:lang w:val="en-US" w:eastAsia="zh-CN"/>
        </w:rPr>
        <w:t>55</w:t>
      </w:r>
      <w:r>
        <w:rPr>
          <w:rFonts w:hint="eastAsia"/>
          <w:bCs/>
          <w:color w:val="171717"/>
        </w:rPr>
        <w:t>M起重臂总成重</w:t>
      </w:r>
      <w:r>
        <w:rPr>
          <w:rFonts w:hint="eastAsia"/>
          <w:bCs/>
          <w:color w:val="171717"/>
          <w:lang w:val="en-US" w:eastAsia="zh-CN"/>
        </w:rPr>
        <w:t>4.985T</w:t>
      </w:r>
      <w:r>
        <w:rPr>
          <w:rFonts w:hint="eastAsia"/>
          <w:bCs/>
          <w:color w:val="171717"/>
        </w:rPr>
        <w:t>，吊高22米；最大起升高度为</w:t>
      </w:r>
      <w:r>
        <w:rPr>
          <w:rFonts w:hint="eastAsia"/>
          <w:bCs/>
          <w:color w:val="171717"/>
          <w:lang w:eastAsia="zh-CN"/>
        </w:rPr>
        <w:t>起重臂根根节</w:t>
      </w:r>
      <w:r>
        <w:rPr>
          <w:rFonts w:hint="eastAsia"/>
          <w:bCs/>
          <w:color w:val="171717"/>
        </w:rPr>
        <w:t>，吊高29米，起吊跨距不大于11米。选择25T汽车吊安装，其主臂长度为29.6m。</w:t>
      </w:r>
    </w:p>
    <w:p w14:paraId="384FDAFE">
      <w:pPr>
        <w:pStyle w:val="4"/>
        <w:ind w:firstLine="562" w:firstLineChars="200"/>
      </w:pPr>
      <w:r>
        <w:rPr>
          <w:rFonts w:hint="eastAsia"/>
        </w:rPr>
        <w:t>4.4.2吊机型号参数</w:t>
      </w:r>
    </w:p>
    <w:p w14:paraId="5EF17700">
      <w:pPr>
        <w:pStyle w:val="122"/>
        <w:outlineLvl w:val="9"/>
      </w:pPr>
      <w:r>
        <w:rPr>
          <w:rStyle w:val="123"/>
          <w:rFonts w:hint="eastAsia"/>
          <w:b w:val="0"/>
        </w:rPr>
        <w:t>表4.</w:t>
      </w:r>
      <w:r>
        <w:rPr>
          <w:rStyle w:val="123"/>
          <w:b w:val="0"/>
        </w:rPr>
        <w:t>4-</w:t>
      </w:r>
      <w:r>
        <w:rPr>
          <w:rStyle w:val="123"/>
          <w:rFonts w:hint="eastAsia"/>
          <w:b w:val="0"/>
        </w:rPr>
        <w:t>1</w:t>
      </w:r>
      <w:r>
        <w:rPr>
          <w:rStyle w:val="123"/>
          <w:b w:val="0"/>
        </w:rPr>
        <w:t xml:space="preserve">  </w:t>
      </w:r>
      <w:r>
        <w:rPr>
          <w:rFonts w:hint="eastAsia"/>
          <w:lang w:val="en-US" w:eastAsia="zh-CN"/>
        </w:rPr>
        <w:t>25</w:t>
      </w:r>
      <w:r>
        <w:rPr>
          <w:rFonts w:hint="eastAsia"/>
        </w:rPr>
        <w:t>T汽车吊</w:t>
      </w:r>
      <w:r>
        <w:rPr>
          <w:rStyle w:val="123"/>
          <w:rFonts w:hint="eastAsia"/>
          <w:b w:val="0"/>
        </w:rPr>
        <w:t>起重性能表</w:t>
      </w:r>
    </w:p>
    <w:p w14:paraId="050B21F1">
      <w:pPr>
        <w:spacing w:line="240" w:lineRule="auto"/>
        <w:ind w:firstLine="560"/>
        <w:jc w:val="center"/>
      </w:pPr>
      <w:r>
        <mc:AlternateContent>
          <mc:Choice Requires="wps">
            <w:drawing>
              <wp:anchor distT="0" distB="0" distL="114300" distR="114300" simplePos="0" relativeHeight="251660288" behindDoc="0" locked="0" layoutInCell="1" allowOverlap="1">
                <wp:simplePos x="0" y="0"/>
                <wp:positionH relativeFrom="column">
                  <wp:posOffset>762635</wp:posOffset>
                </wp:positionH>
                <wp:positionV relativeFrom="paragraph">
                  <wp:posOffset>1400175</wp:posOffset>
                </wp:positionV>
                <wp:extent cx="4524375" cy="152400"/>
                <wp:effectExtent l="13970" t="13970" r="14605" b="24130"/>
                <wp:wrapNone/>
                <wp:docPr id="15" name="矩形 15"/>
                <wp:cNvGraphicFramePr/>
                <a:graphic xmlns:a="http://schemas.openxmlformats.org/drawingml/2006/main">
                  <a:graphicData uri="http://schemas.microsoft.com/office/word/2010/wordprocessingShape">
                    <wps:wsp>
                      <wps:cNvSpPr/>
                      <wps:spPr>
                        <a:xfrm>
                          <a:off x="1637030" y="6960870"/>
                          <a:ext cx="4524375" cy="15240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05pt;margin-top:110.25pt;height:12pt;width:356.25pt;z-index:251660288;v-text-anchor:middle;mso-width-relative:page;mso-height-relative:page;" filled="f" stroked="t" coordsize="21600,21600" o:gfxdata="UEsDBAoAAAAAAIdO4kAAAAAAAAAAAAAAAAAEAAAAZHJzL1BLAwQUAAAACACHTuJA1bolM9kAAAAL&#10;AQAADwAAAGRycy9kb3ducmV2LnhtbE2PwU7DMAyG70i8Q2QkLoglDVs1dU13YELcJlHQuLpt1lZr&#10;nKrJtsLTY05w/O1Pvz/n29kN4mKn0HsykCwUCEu1b3pqDXy8vzyuQYSI1ODgyRr4sgG2xe1Njlnj&#10;r/RmL2VsBZdQyNBAF+OYSRnqzjoMCz9a4t3RTw4jx6mVzYRXLneD1Eql0mFPfKHD0T53tj6VZ2eg&#10;OozD93HnPudDmRLuX/dIuwdj7u8StQER7Rz/YPjVZ3Uo2KnyZ2qCGDhrlTBqQGu1AsHE+kmnICqe&#10;LJcrkEUu//9Q/ABQSwMEFAAAAAgAh07iQGA5GMZoAgAAwgQAAA4AAABkcnMvZTJvRG9jLnhtbK1U&#10;S27bMBDdF+gdCO4byf/EsBwYMVwUCBoDadE1TVGWAP5K0pbTyxTorofocYpeo4+U8mnaRRb1gp7h&#10;PL7hPM5ocXlSkhyF843RBR2c5ZQIzU3Z6H1BP37YvDmnxAemSyaNFgW9E55eLl+/WrR2LoamNrIU&#10;joBE+3lrC1qHYOdZ5nktFPNnxgqNYGWcYgGu22elYy3YlcyGeT7NWuNK6wwX3mN33QVpz+heQmiq&#10;quFibfhBCR06VickCyjJ1431dJluW1WCh5uq8iIQWVBUGtKKJLB3cc2WCzbfO2brhvdXYC+5wrOa&#10;FGs0kj5QrVlg5OCav6hUw53xpgpn3KisKyQpgioG+TNtbmtmRaoFUnv7ILr/f7T8/XHrSFOiEyaU&#10;aKbw4r++fv/54xvBBtRprZ8DdGu3rvc8zFjqqXIq/qMIcsL56WiWj6DrXUGnF9P8fNarK06BcADG&#10;k+F4NEMWDsQATp4A2SOTdT68FUaRaBTU4fWSqOx47QOyA3oPiYm12TRSpheUmrQFHZ5PEj9DW1Zo&#10;B6RSFqV5vaeEyT36nQeXKL2RTRmPRyLv9rsr6ciRoUs2mxy/WDrS/QGLudfM1x0uhXqY1EBHpTpt&#10;orUz5R2UdaZrOW/5psH5a+bDljn0GJTCFIYbLJU0uL3pLUpq4778az/i8fSIUtKiZ1HZ5wNzghL5&#10;TqMpLgbjcWzy5IwnsyEc9zSyexrRB3VlUPAA8255MiM+yHuzckZ9wrCuYlaEmObI3WnYO1ehmyWM&#10;OxerVYKhsS0L1/rW8kjevdTqEEzVpEd8VKcXDa2dxO7HMM7OUz+hHj89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VuiUz2QAAAAsBAAAPAAAAAAAAAAEAIAAAACIAAABkcnMvZG93bnJldi54bWxQ&#10;SwECFAAUAAAACACHTuJAYDkYxmgCAADCBAAADgAAAAAAAAABACAAAAAoAQAAZHJzL2Uyb0RvYy54&#10;bWxQSwUGAAAAAAYABgBZAQAAAgYAAAAA&#10;">
                <v:fill on="f" focussize="0,0"/>
                <v:stroke weight="2.25pt" color="#FF0000 [2404]" joinstyle="round"/>
                <v:imagedata o:title=""/>
                <o:lock v:ext="edit" aspectratio="f"/>
              </v:rect>
            </w:pict>
          </mc:Fallback>
        </mc:AlternateContent>
      </w:r>
      <w:r>
        <w:drawing>
          <wp:inline distT="0" distB="0" distL="114300" distR="114300">
            <wp:extent cx="4560570" cy="3653155"/>
            <wp:effectExtent l="0" t="0" r="11430" b="4445"/>
            <wp:docPr id="1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
                    <pic:cNvPicPr>
                      <a:picLocks noChangeAspect="1"/>
                    </pic:cNvPicPr>
                  </pic:nvPicPr>
                  <pic:blipFill>
                    <a:blip r:embed="rId21"/>
                    <a:stretch>
                      <a:fillRect/>
                    </a:stretch>
                  </pic:blipFill>
                  <pic:spPr>
                    <a:xfrm>
                      <a:off x="0" y="0"/>
                      <a:ext cx="4563120" cy="3655146"/>
                    </a:xfrm>
                    <a:prstGeom prst="rect">
                      <a:avLst/>
                    </a:prstGeom>
                    <a:noFill/>
                    <a:ln>
                      <a:noFill/>
                    </a:ln>
                  </pic:spPr>
                </pic:pic>
              </a:graphicData>
            </a:graphic>
          </wp:inline>
        </w:drawing>
      </w:r>
    </w:p>
    <w:p w14:paraId="10CC03E7">
      <w:pPr>
        <w:pStyle w:val="4"/>
      </w:pPr>
      <w:bookmarkStart w:id="266" w:name="_Toc10253"/>
      <w:bookmarkStart w:id="267" w:name="_Toc5356"/>
      <w:bookmarkStart w:id="268" w:name="_Toc533610086"/>
      <w:r>
        <w:rPr>
          <w:rFonts w:hint="eastAsia"/>
        </w:rPr>
        <w:t>4.4.3 起吊能力验算</w:t>
      </w:r>
      <w:bookmarkEnd w:id="266"/>
      <w:bookmarkEnd w:id="267"/>
      <w:bookmarkEnd w:id="268"/>
    </w:p>
    <w:p w14:paraId="57E83F1A">
      <w:pPr>
        <w:pStyle w:val="5"/>
        <w:ind w:firstLine="562"/>
      </w:pPr>
      <w:r>
        <w:rPr>
          <w:rFonts w:hint="eastAsia"/>
        </w:rPr>
        <w:t>4.4.3.1 起重量的验算</w:t>
      </w:r>
    </w:p>
    <w:p w14:paraId="140CFE97">
      <w:pPr>
        <w:spacing w:line="360" w:lineRule="auto"/>
      </w:pPr>
      <w:r>
        <w:rPr>
          <w:color w:val="000000"/>
          <w:sz w:val="24"/>
        </w:rPr>
        <w:t xml:space="preserve">    </w:t>
      </w:r>
      <w:r>
        <w:rPr>
          <w:rFonts w:ascii="Times New Roman" w:hAnsi="Times New Roman"/>
          <w:color w:val="000000"/>
          <w:sz w:val="24"/>
        </w:rPr>
        <w:t xml:space="preserve">  计算依据：</w:t>
      </w:r>
    </w:p>
    <w:p w14:paraId="1ECE43F8">
      <w:pPr>
        <w:spacing w:line="360" w:lineRule="auto"/>
      </w:pPr>
      <w:r>
        <w:rPr>
          <w:rFonts w:ascii="Times New Roman" w:hAnsi="Times New Roman"/>
          <w:color w:val="000000"/>
          <w:sz w:val="24"/>
        </w:rPr>
        <w:t xml:space="preserve">    1、《建筑结构荷载规范》GB 50009-2012</w:t>
      </w:r>
    </w:p>
    <w:p w14:paraId="3A07F166">
      <w:pPr>
        <w:spacing w:line="360" w:lineRule="auto"/>
      </w:pPr>
      <w:r>
        <w:rPr>
          <w:rFonts w:ascii="Times New Roman" w:hAnsi="Times New Roman"/>
          <w:color w:val="000000"/>
          <w:sz w:val="24"/>
        </w:rPr>
        <w:t xml:space="preserve">    2、《建筑结构可靠性设计统一标准》GB50068-2018</w:t>
      </w:r>
    </w:p>
    <w:p w14:paraId="65BFDEBB">
      <w:pPr>
        <w:spacing w:line="360" w:lineRule="auto"/>
      </w:pPr>
      <w:r>
        <w:rPr>
          <w:rFonts w:ascii="Times New Roman" w:hAnsi="Times New Roman"/>
          <w:color w:val="000000"/>
          <w:sz w:val="24"/>
        </w:rPr>
        <w:t xml:space="preserve">    3、《建筑地基基础设计规范》GB50007-2011</w:t>
      </w:r>
    </w:p>
    <w:p w14:paraId="16E321F2">
      <w:pPr>
        <w:spacing w:line="360" w:lineRule="auto"/>
      </w:pPr>
      <w:r>
        <w:rPr>
          <w:rFonts w:ascii="Times New Roman" w:hAnsi="Times New Roman"/>
          <w:color w:val="000000"/>
          <w:sz w:val="24"/>
        </w:rPr>
        <w:t xml:space="preserve">    4、三一厂家STC250E5-1型号汽车起重机说明书</w:t>
      </w:r>
    </w:p>
    <w:p w14:paraId="5A3AF719">
      <w:pPr>
        <w:spacing w:line="360" w:lineRule="auto"/>
      </w:pPr>
      <w:r>
        <w:rPr>
          <w:rFonts w:ascii="Times New Roman" w:hAnsi="Times New Roman"/>
          <w:b/>
          <w:color w:val="000000"/>
          <w:sz w:val="28"/>
        </w:rPr>
        <w:t xml:space="preserve"> 一、吊装要求</w:t>
      </w:r>
    </w:p>
    <w:tbl>
      <w:tblPr>
        <w:tblStyle w:val="4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725435E2">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0F15AB1F">
            <w:pPr>
              <w:spacing w:line="360" w:lineRule="auto"/>
            </w:pPr>
            <w:r>
              <w:rPr>
                <w:rFonts w:ascii="Times New Roman" w:hAnsi="Times New Roman"/>
                <w:color w:val="000000"/>
                <w:sz w:val="18"/>
              </w:rPr>
              <w:t>吊重G</w:t>
            </w:r>
            <w:r>
              <w:rPr>
                <w:rFonts w:ascii="Times New Roman" w:hAnsi="Times New Roman"/>
                <w:color w:val="000000"/>
                <w:sz w:val="24"/>
                <w:vertAlign w:val="subscript"/>
              </w:rPr>
              <w:t>w</w:t>
            </w:r>
            <w:r>
              <w:rPr>
                <w:rFonts w:ascii="Times New Roman" w:hAnsi="Times New Roman"/>
                <w:color w:val="000000"/>
                <w:sz w:val="18"/>
              </w:rPr>
              <w:t>(吨)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2E2687F8">
            <w:pPr>
              <w:spacing w:line="360" w:lineRule="auto"/>
            </w:pPr>
            <w:r>
              <w:rPr>
                <w:rFonts w:ascii="Times New Roman" w:hAnsi="Times New Roman"/>
                <w:color w:val="000000"/>
                <w:sz w:val="18"/>
              </w:rPr>
              <w:t>4.985</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2F84ADD1">
            <w:pPr>
              <w:spacing w:line="360" w:lineRule="auto"/>
            </w:pPr>
            <w:r>
              <w:rPr>
                <w:rFonts w:ascii="Times New Roman" w:hAnsi="Times New Roman"/>
                <w:color w:val="000000"/>
                <w:sz w:val="18"/>
              </w:rPr>
              <w:t>起吊动力系数K</w:t>
            </w:r>
            <w:r>
              <w:rPr>
                <w:rFonts w:ascii="Times New Roman" w:hAnsi="Times New Roman"/>
                <w:color w:val="000000"/>
                <w:sz w:val="24"/>
                <w:vertAlign w:val="subscript"/>
              </w:rPr>
              <w:t>1</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7BCD123F">
            <w:pPr>
              <w:spacing w:line="360" w:lineRule="auto"/>
            </w:pPr>
            <w:r>
              <w:rPr>
                <w:rFonts w:ascii="Times New Roman" w:hAnsi="Times New Roman"/>
                <w:color w:val="000000"/>
                <w:sz w:val="18"/>
              </w:rPr>
              <w:t>1.2</w:t>
            </w:r>
          </w:p>
        </w:tc>
      </w:tr>
    </w:tbl>
    <w:p w14:paraId="474C76C6">
      <w:pPr>
        <w:spacing w:line="360" w:lineRule="auto"/>
      </w:pPr>
      <w:r>
        <w:rPr>
          <w:rFonts w:ascii="Times New Roman" w:hAnsi="Times New Roman"/>
          <w:b/>
          <w:color w:val="000000"/>
          <w:sz w:val="28"/>
        </w:rPr>
        <w:t xml:space="preserve"> 二、汽车式起重机支腿力计算</w:t>
      </w:r>
    </w:p>
    <w:p w14:paraId="274BF0C4">
      <w:pPr>
        <w:spacing w:line="360" w:lineRule="auto"/>
      </w:pPr>
      <w:r>
        <w:rPr>
          <w:rFonts w:ascii="Times New Roman" w:hAnsi="Times New Roman"/>
          <w:b/>
          <w:color w:val="000000"/>
          <w:sz w:val="24"/>
        </w:rPr>
        <w:t xml:space="preserve">  1、汽车式起重机参数</w:t>
      </w:r>
    </w:p>
    <w:tbl>
      <w:tblPr>
        <w:tblStyle w:val="4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4FFDB0BA">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075A3650">
            <w:pPr>
              <w:spacing w:line="360" w:lineRule="auto"/>
            </w:pPr>
            <w:r>
              <w:rPr>
                <w:rFonts w:ascii="Times New Roman" w:hAnsi="Times New Roman"/>
                <w:color w:val="000000"/>
                <w:sz w:val="18"/>
              </w:rPr>
              <w:t>汽车起重机厂家</w:t>
            </w:r>
          </w:p>
        </w:tc>
        <w:tc>
          <w:tcPr>
            <w:tcW w:w="1605" w:type="dxa"/>
            <w:tcBorders>
              <w:top w:val="single" w:color="auto" w:sz="6" w:space="0"/>
              <w:left w:val="single" w:color="auto" w:sz="6" w:space="0"/>
              <w:bottom w:val="single" w:color="auto" w:sz="4" w:space="0"/>
              <w:right w:val="single" w:color="auto" w:sz="6" w:space="0"/>
            </w:tcBorders>
            <w:shd w:val="clear" w:color="auto" w:fill="FFFFFF"/>
          </w:tcPr>
          <w:p w14:paraId="15FFE032">
            <w:pPr>
              <w:spacing w:line="360" w:lineRule="auto"/>
            </w:pPr>
            <w:r>
              <w:rPr>
                <w:rFonts w:ascii="Times New Roman" w:hAnsi="Times New Roman"/>
                <w:color w:val="000000"/>
                <w:sz w:val="18"/>
              </w:rPr>
              <w:t>三一</w:t>
            </w:r>
          </w:p>
        </w:tc>
        <w:tc>
          <w:tcPr>
            <w:tcW w:w="3105" w:type="dxa"/>
            <w:tcBorders>
              <w:top w:val="single" w:color="auto" w:sz="6" w:space="0"/>
              <w:left w:val="single" w:color="auto" w:sz="6" w:space="0"/>
              <w:bottom w:val="single" w:color="auto" w:sz="4" w:space="0"/>
              <w:right w:val="single" w:color="auto" w:sz="6" w:space="0"/>
            </w:tcBorders>
            <w:shd w:val="clear" w:color="auto" w:fill="FFFFFF"/>
          </w:tcPr>
          <w:p w14:paraId="49E28B77">
            <w:pPr>
              <w:spacing w:line="360" w:lineRule="auto"/>
            </w:pPr>
            <w:r>
              <w:rPr>
                <w:rFonts w:ascii="Times New Roman" w:hAnsi="Times New Roman"/>
                <w:color w:val="000000"/>
                <w:sz w:val="18"/>
              </w:rPr>
              <w:t>起重机型号</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5DA12ED5">
            <w:pPr>
              <w:spacing w:line="360" w:lineRule="auto"/>
            </w:pPr>
            <w:r>
              <w:rPr>
                <w:rFonts w:ascii="Times New Roman" w:hAnsi="Times New Roman"/>
                <w:color w:val="000000"/>
                <w:sz w:val="18"/>
              </w:rPr>
              <w:t>STC250E5-1</w:t>
            </w:r>
          </w:p>
        </w:tc>
      </w:tr>
      <w:tr w14:paraId="36E58709">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4" w:space="0"/>
            </w:tcBorders>
            <w:shd w:val="clear" w:color="auto" w:fill="FFFFFF"/>
          </w:tcPr>
          <w:p w14:paraId="4D4C1FD3">
            <w:pPr>
              <w:spacing w:line="360" w:lineRule="auto"/>
            </w:pPr>
            <w:r>
              <w:rPr>
                <w:rFonts w:ascii="Times New Roman" w:hAnsi="Times New Roman"/>
                <w:color w:val="000000"/>
                <w:sz w:val="18"/>
              </w:rPr>
              <w:t>吊重G</w:t>
            </w:r>
            <w:r>
              <w:rPr>
                <w:rFonts w:ascii="Times New Roman" w:hAnsi="Times New Roman"/>
                <w:color w:val="000000"/>
                <w:sz w:val="24"/>
                <w:vertAlign w:val="subscript"/>
              </w:rPr>
              <w:t>w</w:t>
            </w:r>
            <w:r>
              <w:rPr>
                <w:rFonts w:ascii="Times New Roman" w:hAnsi="Times New Roman"/>
                <w:color w:val="000000"/>
                <w:sz w:val="18"/>
              </w:rPr>
              <w:t>(吨)</w:t>
            </w:r>
          </w:p>
        </w:tc>
        <w:tc>
          <w:tcPr>
            <w:tcW w:w="1605" w:type="dxa"/>
            <w:tcBorders>
              <w:top w:val="single" w:color="auto" w:sz="4" w:space="0"/>
              <w:left w:val="single" w:color="auto" w:sz="4" w:space="0"/>
              <w:bottom w:val="single" w:color="auto" w:sz="4" w:space="0"/>
              <w:right w:val="single" w:color="auto" w:sz="4" w:space="0"/>
            </w:tcBorders>
            <w:shd w:val="clear" w:color="auto" w:fill="FFFFFF"/>
          </w:tcPr>
          <w:p w14:paraId="3B2965F8">
            <w:pPr>
              <w:spacing w:line="360" w:lineRule="auto"/>
            </w:pPr>
            <w:r>
              <w:rPr>
                <w:rFonts w:ascii="Times New Roman" w:hAnsi="Times New Roman"/>
                <w:color w:val="000000"/>
                <w:sz w:val="18"/>
              </w:rPr>
              <w:t>4.985</w:t>
            </w:r>
          </w:p>
        </w:tc>
        <w:tc>
          <w:tcPr>
            <w:tcW w:w="3105" w:type="dxa"/>
            <w:tcBorders>
              <w:top w:val="single" w:color="auto" w:sz="4" w:space="0"/>
              <w:left w:val="single" w:color="auto" w:sz="4" w:space="0"/>
              <w:bottom w:val="single" w:color="auto" w:sz="4" w:space="0"/>
              <w:right w:val="single" w:color="auto" w:sz="4" w:space="0"/>
            </w:tcBorders>
            <w:shd w:val="clear" w:color="auto" w:fill="FFFFFF"/>
          </w:tcPr>
          <w:p w14:paraId="1F5EB5BF">
            <w:pPr>
              <w:spacing w:line="360" w:lineRule="auto"/>
            </w:pPr>
            <w:r>
              <w:rPr>
                <w:rFonts w:ascii="Times New Roman" w:hAnsi="Times New Roman"/>
                <w:color w:val="000000"/>
                <w:sz w:val="18"/>
              </w:rPr>
              <w:t>起吊动力系数K</w:t>
            </w:r>
            <w:r>
              <w:rPr>
                <w:rFonts w:ascii="Times New Roman" w:hAnsi="Times New Roman"/>
                <w:color w:val="000000"/>
                <w:sz w:val="24"/>
                <w:vertAlign w:val="subscript"/>
              </w:rPr>
              <w:t>1</w:t>
            </w:r>
          </w:p>
        </w:tc>
        <w:tc>
          <w:tcPr>
            <w:tcW w:w="1605" w:type="dxa"/>
            <w:tcBorders>
              <w:top w:val="single" w:color="auto" w:sz="6" w:space="0"/>
              <w:left w:val="single" w:color="auto" w:sz="4" w:space="0"/>
              <w:bottom w:val="single" w:color="auto" w:sz="6" w:space="0"/>
              <w:right w:val="single" w:color="auto" w:sz="6" w:space="0"/>
            </w:tcBorders>
            <w:shd w:val="clear" w:color="auto" w:fill="FFFFFF"/>
          </w:tcPr>
          <w:p w14:paraId="3F727FE9">
            <w:pPr>
              <w:spacing w:line="360" w:lineRule="auto"/>
            </w:pPr>
            <w:r>
              <w:rPr>
                <w:rFonts w:ascii="Times New Roman" w:hAnsi="Times New Roman"/>
                <w:color w:val="000000"/>
                <w:sz w:val="18"/>
              </w:rPr>
              <w:t>1.2</w:t>
            </w:r>
          </w:p>
        </w:tc>
      </w:tr>
      <w:tr w14:paraId="7074E9ED">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4" w:space="0"/>
            </w:tcBorders>
            <w:shd w:val="clear" w:color="auto" w:fill="FFFFFF"/>
          </w:tcPr>
          <w:p w14:paraId="0FBEBF81">
            <w:pPr>
              <w:spacing w:line="360" w:lineRule="auto"/>
            </w:pPr>
            <w:r>
              <w:rPr>
                <w:rFonts w:ascii="Times New Roman" w:hAnsi="Times New Roman"/>
                <w:color w:val="000000"/>
                <w:sz w:val="18"/>
              </w:rPr>
              <w:t>工作幅度R(m)</w:t>
            </w:r>
          </w:p>
        </w:tc>
        <w:tc>
          <w:tcPr>
            <w:tcW w:w="1605" w:type="dxa"/>
            <w:tcBorders>
              <w:top w:val="single" w:color="auto" w:sz="4" w:space="0"/>
              <w:left w:val="single" w:color="auto" w:sz="4" w:space="0"/>
              <w:bottom w:val="single" w:color="auto" w:sz="4" w:space="0"/>
              <w:right w:val="single" w:color="auto" w:sz="4" w:space="0"/>
            </w:tcBorders>
            <w:shd w:val="clear" w:color="auto" w:fill="FFFFFF"/>
          </w:tcPr>
          <w:p w14:paraId="65995461">
            <w:pPr>
              <w:spacing w:line="360" w:lineRule="auto"/>
            </w:pPr>
            <w:r>
              <w:rPr>
                <w:rFonts w:ascii="Times New Roman" w:hAnsi="Times New Roman"/>
                <w:color w:val="000000"/>
                <w:sz w:val="18"/>
              </w:rPr>
              <w:t>11</w:t>
            </w:r>
          </w:p>
        </w:tc>
        <w:tc>
          <w:tcPr>
            <w:tcW w:w="3105" w:type="dxa"/>
            <w:tcBorders>
              <w:top w:val="single" w:color="auto" w:sz="4" w:space="0"/>
              <w:left w:val="single" w:color="auto" w:sz="4" w:space="0"/>
              <w:bottom w:val="single" w:color="auto" w:sz="4" w:space="0"/>
              <w:right w:val="single" w:color="auto" w:sz="4" w:space="0"/>
            </w:tcBorders>
            <w:shd w:val="clear" w:color="auto" w:fill="FFFFFF"/>
          </w:tcPr>
          <w:p w14:paraId="2D5A52E6">
            <w:pPr>
              <w:spacing w:line="360" w:lineRule="auto"/>
            </w:pPr>
            <w:r>
              <w:rPr>
                <w:rFonts w:ascii="Times New Roman" w:hAnsi="Times New Roman"/>
                <w:color w:val="000000"/>
                <w:sz w:val="18"/>
              </w:rPr>
              <w:t>支腿纵向距离L(m)</w:t>
            </w:r>
          </w:p>
        </w:tc>
        <w:tc>
          <w:tcPr>
            <w:tcW w:w="1605" w:type="dxa"/>
            <w:tcBorders>
              <w:top w:val="single" w:color="auto" w:sz="6" w:space="0"/>
              <w:left w:val="single" w:color="auto" w:sz="4" w:space="0"/>
              <w:bottom w:val="single" w:color="auto" w:sz="6" w:space="0"/>
              <w:right w:val="single" w:color="auto" w:sz="6" w:space="0"/>
            </w:tcBorders>
            <w:shd w:val="clear" w:color="auto" w:fill="FFFFFF"/>
          </w:tcPr>
          <w:p w14:paraId="0C15290A">
            <w:pPr>
              <w:spacing w:line="360" w:lineRule="auto"/>
            </w:pPr>
            <w:r>
              <w:rPr>
                <w:rFonts w:ascii="Times New Roman" w:hAnsi="Times New Roman"/>
                <w:color w:val="000000"/>
                <w:sz w:val="18"/>
              </w:rPr>
              <w:t>5.28</w:t>
            </w:r>
          </w:p>
        </w:tc>
      </w:tr>
      <w:tr w14:paraId="722C8AB6">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4" w:space="0"/>
            </w:tcBorders>
            <w:shd w:val="clear" w:color="auto" w:fill="FFFFFF"/>
          </w:tcPr>
          <w:p w14:paraId="1D9FB6BA">
            <w:pPr>
              <w:spacing w:line="360" w:lineRule="auto"/>
            </w:pPr>
            <w:r>
              <w:rPr>
                <w:rFonts w:ascii="Times New Roman" w:hAnsi="Times New Roman"/>
                <w:color w:val="000000"/>
                <w:sz w:val="18"/>
              </w:rPr>
              <w:t>支腿横向距离B(m)</w:t>
            </w:r>
          </w:p>
        </w:tc>
        <w:tc>
          <w:tcPr>
            <w:tcW w:w="1605" w:type="dxa"/>
            <w:tcBorders>
              <w:top w:val="single" w:color="auto" w:sz="4" w:space="0"/>
              <w:left w:val="single" w:color="auto" w:sz="4" w:space="0"/>
              <w:bottom w:val="single" w:color="auto" w:sz="4" w:space="0"/>
              <w:right w:val="single" w:color="auto" w:sz="4" w:space="0"/>
            </w:tcBorders>
            <w:shd w:val="clear" w:color="auto" w:fill="FFFFFF"/>
          </w:tcPr>
          <w:p w14:paraId="399162BE">
            <w:pPr>
              <w:spacing w:line="360" w:lineRule="auto"/>
            </w:pPr>
            <w:r>
              <w:rPr>
                <w:rFonts w:ascii="Times New Roman" w:hAnsi="Times New Roman"/>
                <w:color w:val="000000"/>
                <w:sz w:val="18"/>
              </w:rPr>
              <w:t>6.4</w:t>
            </w:r>
          </w:p>
        </w:tc>
        <w:tc>
          <w:tcPr>
            <w:tcW w:w="3105" w:type="dxa"/>
            <w:tcBorders>
              <w:top w:val="single" w:color="auto" w:sz="4" w:space="0"/>
              <w:left w:val="single" w:color="auto" w:sz="4" w:space="0"/>
              <w:bottom w:val="single" w:color="auto" w:sz="4" w:space="0"/>
              <w:right w:val="single" w:color="auto" w:sz="4" w:space="0"/>
            </w:tcBorders>
            <w:shd w:val="clear" w:color="auto" w:fill="FFFFFF"/>
          </w:tcPr>
          <w:p w14:paraId="0DEA0AA7">
            <w:pPr>
              <w:spacing w:line="360" w:lineRule="auto"/>
            </w:pPr>
            <w:r>
              <w:rPr>
                <w:rFonts w:ascii="Times New Roman" w:hAnsi="Times New Roman"/>
                <w:color w:val="000000"/>
                <w:sz w:val="18"/>
              </w:rPr>
              <w:t>后支腿距最后一排车轮距离s(m)</w:t>
            </w:r>
          </w:p>
        </w:tc>
        <w:tc>
          <w:tcPr>
            <w:tcW w:w="1605" w:type="dxa"/>
            <w:tcBorders>
              <w:top w:val="single" w:color="auto" w:sz="6" w:space="0"/>
              <w:left w:val="single" w:color="auto" w:sz="4" w:space="0"/>
              <w:bottom w:val="single" w:color="auto" w:sz="6" w:space="0"/>
              <w:right w:val="single" w:color="auto" w:sz="6" w:space="0"/>
            </w:tcBorders>
            <w:shd w:val="clear" w:color="auto" w:fill="FFFFFF"/>
          </w:tcPr>
          <w:p w14:paraId="6580B53A">
            <w:pPr>
              <w:spacing w:line="360" w:lineRule="auto"/>
            </w:pPr>
            <w:r>
              <w:rPr>
                <w:rFonts w:ascii="Times New Roman" w:hAnsi="Times New Roman"/>
                <w:color w:val="000000"/>
                <w:sz w:val="18"/>
              </w:rPr>
              <w:t>1.5</w:t>
            </w:r>
          </w:p>
        </w:tc>
      </w:tr>
      <w:tr w14:paraId="21D059CA">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4" w:space="0"/>
            </w:tcBorders>
            <w:shd w:val="clear" w:color="auto" w:fill="FFFFFF"/>
          </w:tcPr>
          <w:p w14:paraId="5528062C">
            <w:pPr>
              <w:spacing w:line="360" w:lineRule="auto"/>
            </w:pPr>
            <w:r>
              <w:rPr>
                <w:rFonts w:ascii="Times New Roman" w:hAnsi="Times New Roman"/>
                <w:color w:val="000000"/>
                <w:sz w:val="18"/>
              </w:rPr>
              <w:t>后支腿距旋转中心距离L</w:t>
            </w:r>
            <w:r>
              <w:rPr>
                <w:rFonts w:ascii="Times New Roman" w:hAnsi="Times New Roman"/>
                <w:color w:val="000000"/>
                <w:sz w:val="24"/>
                <w:vertAlign w:val="subscript"/>
              </w:rPr>
              <w:t>h</w:t>
            </w:r>
            <w:r>
              <w:rPr>
                <w:rFonts w:ascii="Times New Roman" w:hAnsi="Times New Roman"/>
                <w:color w:val="000000"/>
                <w:sz w:val="18"/>
              </w:rPr>
              <w:t>(m)</w:t>
            </w:r>
          </w:p>
        </w:tc>
        <w:tc>
          <w:tcPr>
            <w:tcW w:w="1605" w:type="dxa"/>
            <w:tcBorders>
              <w:top w:val="single" w:color="auto" w:sz="4" w:space="0"/>
              <w:left w:val="single" w:color="auto" w:sz="4" w:space="0"/>
              <w:bottom w:val="single" w:color="auto" w:sz="4" w:space="0"/>
              <w:right w:val="single" w:color="auto" w:sz="4" w:space="0"/>
            </w:tcBorders>
            <w:shd w:val="clear" w:color="auto" w:fill="FFFFFF"/>
          </w:tcPr>
          <w:p w14:paraId="210AC50E">
            <w:pPr>
              <w:spacing w:line="360" w:lineRule="auto"/>
            </w:pPr>
            <w:r>
              <w:rPr>
                <w:rFonts w:ascii="Times New Roman" w:hAnsi="Times New Roman"/>
                <w:color w:val="000000"/>
                <w:sz w:val="18"/>
              </w:rPr>
              <w:t>2.175</w:t>
            </w:r>
          </w:p>
        </w:tc>
        <w:tc>
          <w:tcPr>
            <w:tcW w:w="3105" w:type="dxa"/>
            <w:tcBorders>
              <w:top w:val="single" w:color="auto" w:sz="4" w:space="0"/>
              <w:left w:val="single" w:color="auto" w:sz="4" w:space="0"/>
              <w:bottom w:val="single" w:color="auto" w:sz="4" w:space="0"/>
              <w:right w:val="single" w:color="auto" w:sz="4" w:space="0"/>
            </w:tcBorders>
            <w:shd w:val="clear" w:color="auto" w:fill="FFFFFF"/>
          </w:tcPr>
          <w:p w14:paraId="202F09B1">
            <w:pPr>
              <w:spacing w:line="360" w:lineRule="auto"/>
            </w:pPr>
            <w:r>
              <w:rPr>
                <w:rFonts w:ascii="Times New Roman" w:hAnsi="Times New Roman"/>
                <w:color w:val="000000"/>
                <w:sz w:val="18"/>
              </w:rPr>
              <w:t>起重机自重G(吨)</w:t>
            </w:r>
          </w:p>
        </w:tc>
        <w:tc>
          <w:tcPr>
            <w:tcW w:w="1605" w:type="dxa"/>
            <w:tcBorders>
              <w:top w:val="single" w:color="auto" w:sz="6" w:space="0"/>
              <w:left w:val="single" w:color="auto" w:sz="4" w:space="0"/>
              <w:bottom w:val="single" w:color="auto" w:sz="6" w:space="0"/>
              <w:right w:val="single" w:color="auto" w:sz="6" w:space="0"/>
            </w:tcBorders>
            <w:shd w:val="clear" w:color="auto" w:fill="FFFFFF"/>
          </w:tcPr>
          <w:p w14:paraId="73279DB0">
            <w:pPr>
              <w:spacing w:line="360" w:lineRule="auto"/>
            </w:pPr>
            <w:r>
              <w:rPr>
                <w:rFonts w:ascii="Times New Roman" w:hAnsi="Times New Roman"/>
                <w:color w:val="000000"/>
                <w:sz w:val="18"/>
              </w:rPr>
              <w:t>32.2</w:t>
            </w:r>
          </w:p>
        </w:tc>
      </w:tr>
      <w:tr w14:paraId="6B8E5C0C">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0236FCA0">
            <w:pPr>
              <w:spacing w:line="360" w:lineRule="auto"/>
            </w:pPr>
            <w:r>
              <w:rPr>
                <w:rFonts w:ascii="Times New Roman" w:hAnsi="Times New Roman"/>
                <w:color w:val="000000"/>
                <w:sz w:val="18"/>
              </w:rPr>
              <w:t>是否有活动配重</w:t>
            </w:r>
          </w:p>
        </w:tc>
        <w:tc>
          <w:tcPr>
            <w:tcW w:w="6105" w:type="dxa"/>
            <w:gridSpan w:val="3"/>
            <w:tcBorders>
              <w:top w:val="single" w:color="auto" w:sz="6" w:space="0"/>
              <w:left w:val="single" w:color="auto" w:sz="6" w:space="0"/>
              <w:bottom w:val="single" w:color="auto" w:sz="6" w:space="0"/>
              <w:right w:val="single" w:color="auto" w:sz="6" w:space="0"/>
            </w:tcBorders>
            <w:shd w:val="clear" w:color="auto" w:fill="FFFFFF"/>
          </w:tcPr>
          <w:p w14:paraId="7A7CF5F2">
            <w:pPr>
              <w:spacing w:line="360" w:lineRule="auto"/>
            </w:pPr>
            <w:r>
              <w:rPr>
                <w:rFonts w:ascii="Times New Roman" w:hAnsi="Times New Roman"/>
                <w:color w:val="000000"/>
                <w:sz w:val="18"/>
              </w:rPr>
              <w:t>否</w:t>
            </w:r>
          </w:p>
        </w:tc>
      </w:tr>
    </w:tbl>
    <w:p w14:paraId="7A6747E0">
      <w:pPr>
        <w:spacing w:line="360" w:lineRule="auto"/>
      </w:pPr>
      <w:r>
        <w:rPr>
          <w:rFonts w:ascii="Times New Roman" w:hAnsi="Times New Roman"/>
          <w:b/>
          <w:color w:val="000000"/>
          <w:sz w:val="24"/>
        </w:rPr>
        <w:t xml:space="preserve">  2、汽车起重机轴距及轴荷</w:t>
      </w:r>
    </w:p>
    <w:tbl>
      <w:tblPr>
        <w:tblStyle w:val="4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496E0659">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7B3B0D61">
            <w:pPr>
              <w:spacing w:line="360" w:lineRule="auto"/>
            </w:pPr>
            <w:r>
              <w:rPr>
                <w:rFonts w:ascii="Times New Roman" w:hAnsi="Times New Roman"/>
                <w:color w:val="000000"/>
                <w:sz w:val="18"/>
              </w:rPr>
              <w:t>汽车起重机轴数</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6BFD2566">
            <w:pPr>
              <w:spacing w:line="360" w:lineRule="auto"/>
            </w:pPr>
            <w:r>
              <w:rPr>
                <w:rFonts w:ascii="Times New Roman" w:hAnsi="Times New Roman"/>
                <w:color w:val="000000"/>
                <w:sz w:val="18"/>
              </w:rPr>
              <w:t>3</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7BC5A3DD">
            <w:pPr>
              <w:spacing w:line="360" w:lineRule="auto"/>
            </w:pPr>
            <w:r>
              <w:rPr>
                <w:rFonts w:ascii="Times New Roman" w:hAnsi="Times New Roman"/>
                <w:color w:val="000000"/>
                <w:sz w:val="18"/>
              </w:rPr>
              <w:t>第1排车轮荷载(吨)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46616474">
            <w:pPr>
              <w:spacing w:line="360" w:lineRule="auto"/>
            </w:pPr>
            <w:r>
              <w:rPr>
                <w:rFonts w:ascii="Times New Roman" w:hAnsi="Times New Roman"/>
                <w:color w:val="000000"/>
                <w:sz w:val="18"/>
              </w:rPr>
              <w:t>6.7</w:t>
            </w:r>
          </w:p>
        </w:tc>
      </w:tr>
    </w:tbl>
    <w:p w14:paraId="59CB81EF">
      <w:pPr>
        <w:spacing w:line="360" w:lineRule="auto"/>
      </w:pPr>
      <w:r>
        <w:rPr>
          <w:rFonts w:ascii="Times New Roman" w:hAnsi="Times New Roman"/>
          <w:color w:val="000000"/>
          <w:sz w:val="24"/>
        </w:rPr>
        <w:t xml:space="preserve">    </w:t>
      </w:r>
    </w:p>
    <w:tbl>
      <w:tblPr>
        <w:tblStyle w:val="40"/>
        <w:tblW w:w="7080" w:type="dxa"/>
        <w:jc w:val="center"/>
        <w:shd w:val="clear" w:color="auto" w:fill="FFFFFF"/>
        <w:tblLayout w:type="autofit"/>
        <w:tblCellMar>
          <w:top w:w="45" w:type="dxa"/>
          <w:left w:w="45" w:type="dxa"/>
          <w:bottom w:w="45" w:type="dxa"/>
          <w:right w:w="45" w:type="dxa"/>
        </w:tblCellMar>
      </w:tblPr>
      <w:tblGrid>
        <w:gridCol w:w="2360"/>
        <w:gridCol w:w="2360"/>
        <w:gridCol w:w="2360"/>
      </w:tblGrid>
      <w:tr w14:paraId="1F6ACC1A">
        <w:tblPrEx>
          <w:shd w:val="clear" w:color="auto" w:fill="FFFFFF"/>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468A6831">
            <w:pPr>
              <w:spacing w:line="360" w:lineRule="auto"/>
            </w:pPr>
            <w:r>
              <w:rPr>
                <w:rFonts w:ascii="Times New Roman" w:hAnsi="Times New Roman"/>
                <w:color w:val="000000"/>
                <w:sz w:val="18"/>
              </w:rPr>
              <w:t>第i排车轮</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24060CBD">
            <w:pPr>
              <w:spacing w:line="360" w:lineRule="auto"/>
            </w:pPr>
            <w:r>
              <w:rPr>
                <w:rFonts w:ascii="Times New Roman" w:hAnsi="Times New Roman"/>
                <w:color w:val="000000"/>
                <w:sz w:val="18"/>
              </w:rPr>
              <w:t>依次轴距(mm)</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284F11B7">
            <w:pPr>
              <w:spacing w:line="360" w:lineRule="auto"/>
            </w:pPr>
            <w:r>
              <w:rPr>
                <w:rFonts w:ascii="Times New Roman" w:hAnsi="Times New Roman"/>
                <w:color w:val="000000"/>
                <w:sz w:val="18"/>
              </w:rPr>
              <w:t>轴荷(吨)</w:t>
            </w:r>
          </w:p>
        </w:tc>
      </w:tr>
      <w:tr w14:paraId="5EF43A4A">
        <w:tblPrEx>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0E67D78A">
            <w:pPr>
              <w:spacing w:line="360" w:lineRule="auto"/>
            </w:pPr>
            <w:r>
              <w:rPr>
                <w:rFonts w:ascii="Times New Roman" w:hAnsi="Times New Roman"/>
                <w:color w:val="000000"/>
                <w:sz w:val="18"/>
              </w:rPr>
              <w:t>2</w:t>
            </w:r>
          </w:p>
        </w:tc>
        <w:tc>
          <w:tcPr>
            <w:tcW w:w="2355" w:type="dxa"/>
            <w:shd w:val="clear" w:color="auto" w:fill="FFFFFF"/>
            <w:vAlign w:val="center"/>
          </w:tcPr>
          <w:p w14:paraId="7A7B9BCD">
            <w:pPr>
              <w:spacing w:line="360" w:lineRule="auto"/>
            </w:pPr>
            <w:r>
              <w:rPr>
                <w:rFonts w:ascii="Times New Roman" w:hAnsi="Times New Roman"/>
                <w:color w:val="000000"/>
                <w:sz w:val="18"/>
              </w:rPr>
              <w:t>4580</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444D2DAE">
            <w:pPr>
              <w:spacing w:line="360" w:lineRule="auto"/>
            </w:pPr>
            <w:r>
              <w:rPr>
                <w:rFonts w:ascii="Times New Roman" w:hAnsi="Times New Roman"/>
                <w:color w:val="000000"/>
                <w:sz w:val="18"/>
              </w:rPr>
              <w:t>12.75</w:t>
            </w:r>
          </w:p>
        </w:tc>
      </w:tr>
      <w:tr w14:paraId="61BB95E0">
        <w:tblPrEx>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1D4A443C">
            <w:pPr>
              <w:spacing w:line="360" w:lineRule="auto"/>
            </w:pPr>
            <w:r>
              <w:rPr>
                <w:rFonts w:ascii="Times New Roman" w:hAnsi="Times New Roman"/>
                <w:color w:val="000000"/>
                <w:sz w:val="18"/>
              </w:rPr>
              <w:t>3</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2215E1B8">
            <w:pPr>
              <w:spacing w:line="360" w:lineRule="auto"/>
            </w:pPr>
            <w:r>
              <w:rPr>
                <w:rFonts w:ascii="Times New Roman" w:hAnsi="Times New Roman"/>
                <w:color w:val="000000"/>
                <w:sz w:val="18"/>
              </w:rPr>
              <w:t>1350</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08A8CA0D">
            <w:pPr>
              <w:spacing w:line="360" w:lineRule="auto"/>
            </w:pPr>
            <w:r>
              <w:rPr>
                <w:rFonts w:ascii="Times New Roman" w:hAnsi="Times New Roman"/>
                <w:color w:val="000000"/>
                <w:sz w:val="18"/>
              </w:rPr>
              <w:t>12.75</w:t>
            </w:r>
          </w:p>
        </w:tc>
      </w:tr>
    </w:tbl>
    <w:p w14:paraId="3133E7AC">
      <w:pPr>
        <w:spacing w:line="360" w:lineRule="auto"/>
        <w:ind w:left="0" w:leftChars="0" w:firstLine="0" w:firstLineChars="0"/>
        <w:jc w:val="both"/>
      </w:pPr>
      <w:r>
        <w:drawing>
          <wp:inline distT="0" distB="0" distL="0" distR="0">
            <wp:extent cx="5677535" cy="2874010"/>
            <wp:effectExtent l="0" t="0" r="18415" b="254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 1"/>
                    <pic:cNvPicPr>
                      <a:picLocks noChangeAspect="1"/>
                    </pic:cNvPicPr>
                  </pic:nvPicPr>
                  <pic:blipFill>
                    <a:blip r:embed="rId22" cstate="print"/>
                    <a:stretch>
                      <a:fillRect/>
                    </a:stretch>
                  </pic:blipFill>
                  <pic:spPr>
                    <a:xfrm>
                      <a:off x="0" y="0"/>
                      <a:ext cx="5677535" cy="2874010"/>
                    </a:xfrm>
                    <a:prstGeom prst="rect">
                      <a:avLst/>
                    </a:prstGeom>
                  </pic:spPr>
                </pic:pic>
              </a:graphicData>
            </a:graphic>
          </wp:inline>
        </w:drawing>
      </w:r>
    </w:p>
    <w:p w14:paraId="08BE1169">
      <w:pPr>
        <w:spacing w:line="360" w:lineRule="auto"/>
        <w:jc w:val="center"/>
      </w:pPr>
      <w:r>
        <w:fldChar w:fldCharType="begin"/>
      </w:r>
      <w:r>
        <w:instrText xml:space="preserve"> HYPERLINK "file:///D:\\品茗软件\\品茗施工云安全计算软件2025版（V4.0）\\OutPut\\液压汽车起重机吊装计算_4_支腿力计算简图.dwg" \h </w:instrText>
      </w:r>
      <w:r>
        <w:fldChar w:fldCharType="separate"/>
      </w:r>
      <w:r>
        <w:rPr>
          <w:rFonts w:ascii="Times New Roman" w:hAnsi="Times New Roman"/>
          <w:color w:val="000080"/>
          <w:sz w:val="24"/>
          <w:u w:val="single"/>
        </w:rPr>
        <w:t>支腿力计算简图</w:t>
      </w:r>
      <w:r>
        <w:rPr>
          <w:rFonts w:ascii="Times New Roman" w:hAnsi="Times New Roman"/>
          <w:color w:val="000080"/>
          <w:sz w:val="24"/>
          <w:u w:val="single"/>
        </w:rPr>
        <w:fldChar w:fldCharType="end"/>
      </w:r>
    </w:p>
    <w:p w14:paraId="3DF0D1DC">
      <w:pPr>
        <w:spacing w:line="360" w:lineRule="auto"/>
      </w:pPr>
      <w:r>
        <w:rPr>
          <w:rFonts w:ascii="Times New Roman" w:hAnsi="Times New Roman"/>
          <w:color w:val="000000"/>
          <w:sz w:val="24"/>
        </w:rPr>
        <w:t xml:space="preserve">    在吊装过程中，支腿荷载主要有包括以下几部分荷载产生，起重机自重（通过在不同位置的各车轮轴荷代替）对各支腿产生的荷载F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；吊重分解到X方向对各支腿产生的荷载F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 吊重分解到Y方向对各支腿产生的荷载F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w:t>
      </w:r>
    </w:p>
    <w:p w14:paraId="78E3E7CF">
      <w:pPr>
        <w:spacing w:line="360" w:lineRule="auto"/>
        <w:ind w:left="0" w:leftChars="0" w:firstLine="0" w:firstLineChars="0"/>
        <w:jc w:val="both"/>
      </w:pPr>
      <w:r>
        <w:drawing>
          <wp:inline distT="0" distB="0" distL="0" distR="0">
            <wp:extent cx="5725160" cy="3036570"/>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 2"/>
                    <pic:cNvPicPr>
                      <a:picLocks noChangeAspect="1"/>
                    </pic:cNvPicPr>
                  </pic:nvPicPr>
                  <pic:blipFill>
                    <a:blip r:embed="rId23" cstate="print"/>
                    <a:srcRect t="6104" b="5975"/>
                    <a:stretch>
                      <a:fillRect/>
                    </a:stretch>
                  </pic:blipFill>
                  <pic:spPr>
                    <a:xfrm>
                      <a:off x="0" y="0"/>
                      <a:ext cx="5725160" cy="3036570"/>
                    </a:xfrm>
                    <a:prstGeom prst="rect">
                      <a:avLst/>
                    </a:prstGeom>
                  </pic:spPr>
                </pic:pic>
              </a:graphicData>
            </a:graphic>
          </wp:inline>
        </w:drawing>
      </w:r>
    </w:p>
    <w:p w14:paraId="260ACDA9">
      <w:pPr>
        <w:spacing w:line="360" w:lineRule="auto"/>
      </w:pPr>
      <w:r>
        <w:rPr>
          <w:rFonts w:ascii="Times New Roman" w:hAnsi="Times New Roman"/>
          <w:b/>
          <w:color w:val="000000"/>
          <w:sz w:val="24"/>
        </w:rPr>
        <w:t xml:space="preserve">   1）起重机自重各支腿产生的荷载计算</w:t>
      </w:r>
    </w:p>
    <w:p w14:paraId="17670F0B">
      <w:pPr>
        <w:spacing w:line="360" w:lineRule="auto"/>
      </w:pPr>
      <w:r>
        <w:rPr>
          <w:rFonts w:ascii="Times New Roman" w:hAnsi="Times New Roman"/>
          <w:color w:val="000000"/>
          <w:sz w:val="24"/>
        </w:rPr>
        <w:t xml:space="preserve">    起重机自重G等于各轴荷载总和，G=32.2吨</w:t>
      </w:r>
    </w:p>
    <w:p w14:paraId="5DBA4645">
      <w:pPr>
        <w:spacing w:line="360" w:lineRule="auto"/>
      </w:pPr>
      <w:r>
        <w:rPr>
          <w:rFonts w:ascii="Times New Roman" w:hAnsi="Times New Roman"/>
          <w:color w:val="000000"/>
          <w:sz w:val="24"/>
        </w:rPr>
        <w:t xml:space="preserve">    第1轴：荷载为F</w:t>
      </w:r>
      <w:r>
        <w:rPr>
          <w:rFonts w:ascii="Times New Roman" w:hAnsi="Times New Roman"/>
          <w:color w:val="000000"/>
          <w:sz w:val="24"/>
          <w:vertAlign w:val="subscript"/>
        </w:rPr>
        <w:t>1</w:t>
      </w:r>
      <w:r>
        <w:rPr>
          <w:rFonts w:ascii="Times New Roman" w:hAnsi="Times New Roman"/>
          <w:color w:val="000000"/>
          <w:sz w:val="24"/>
        </w:rPr>
        <w:t>=6.7吨，距离后支腿距离L</w:t>
      </w:r>
      <w:r>
        <w:rPr>
          <w:rFonts w:ascii="Times New Roman" w:hAnsi="Times New Roman"/>
          <w:color w:val="000000"/>
          <w:sz w:val="24"/>
          <w:vertAlign w:val="subscript"/>
        </w:rPr>
        <w:t>1</w:t>
      </w:r>
      <w:r>
        <w:rPr>
          <w:rFonts w:ascii="Times New Roman" w:hAnsi="Times New Roman"/>
          <w:color w:val="000000"/>
          <w:sz w:val="24"/>
        </w:rPr>
        <w:t>=4.58+1.35+1.5=7.43m</w:t>
      </w:r>
    </w:p>
    <w:p w14:paraId="4E5F7952">
      <w:pPr>
        <w:spacing w:line="360" w:lineRule="auto"/>
      </w:pPr>
      <w:r>
        <w:rPr>
          <w:rFonts w:ascii="Times New Roman" w:hAnsi="Times New Roman"/>
          <w:color w:val="000000"/>
          <w:sz w:val="24"/>
        </w:rPr>
        <w:t xml:space="preserve">    第2轴：荷载为F</w:t>
      </w:r>
      <w:r>
        <w:rPr>
          <w:rFonts w:ascii="Times New Roman" w:hAnsi="Times New Roman"/>
          <w:color w:val="000000"/>
          <w:sz w:val="24"/>
          <w:vertAlign w:val="subscript"/>
        </w:rPr>
        <w:t>2</w:t>
      </w:r>
      <w:r>
        <w:rPr>
          <w:rFonts w:ascii="Times New Roman" w:hAnsi="Times New Roman"/>
          <w:color w:val="000000"/>
          <w:sz w:val="24"/>
        </w:rPr>
        <w:t>=12.75吨，距离后支腿距离L</w:t>
      </w:r>
      <w:r>
        <w:rPr>
          <w:rFonts w:ascii="Times New Roman" w:hAnsi="Times New Roman"/>
          <w:color w:val="000000"/>
          <w:sz w:val="24"/>
          <w:vertAlign w:val="subscript"/>
        </w:rPr>
        <w:t>2</w:t>
      </w:r>
      <w:r>
        <w:rPr>
          <w:rFonts w:ascii="Times New Roman" w:hAnsi="Times New Roman"/>
          <w:color w:val="000000"/>
          <w:sz w:val="24"/>
        </w:rPr>
        <w:t>=1.35+1.5=2.85m</w:t>
      </w:r>
    </w:p>
    <w:p w14:paraId="030EDFC1">
      <w:pPr>
        <w:spacing w:line="360" w:lineRule="auto"/>
      </w:pPr>
      <w:r>
        <w:rPr>
          <w:rFonts w:ascii="Times New Roman" w:hAnsi="Times New Roman"/>
          <w:color w:val="000000"/>
          <w:sz w:val="24"/>
        </w:rPr>
        <w:t xml:space="preserve">    第3轴：荷载为F</w:t>
      </w:r>
      <w:r>
        <w:rPr>
          <w:rFonts w:ascii="Times New Roman" w:hAnsi="Times New Roman"/>
          <w:color w:val="000000"/>
          <w:sz w:val="24"/>
          <w:vertAlign w:val="subscript"/>
        </w:rPr>
        <w:t>3</w:t>
      </w:r>
      <w:r>
        <w:rPr>
          <w:rFonts w:ascii="Times New Roman" w:hAnsi="Times New Roman"/>
          <w:color w:val="000000"/>
          <w:sz w:val="24"/>
        </w:rPr>
        <w:t>=12.75吨，距离后支腿距离L</w:t>
      </w:r>
      <w:r>
        <w:rPr>
          <w:rFonts w:ascii="Times New Roman" w:hAnsi="Times New Roman"/>
          <w:color w:val="000000"/>
          <w:sz w:val="24"/>
          <w:vertAlign w:val="subscript"/>
        </w:rPr>
        <w:t>3</w:t>
      </w:r>
      <w:r>
        <w:rPr>
          <w:rFonts w:ascii="Times New Roman" w:hAnsi="Times New Roman"/>
          <w:color w:val="000000"/>
          <w:sz w:val="24"/>
        </w:rPr>
        <w:t>=1.5m</w:t>
      </w:r>
    </w:p>
    <w:p w14:paraId="2F5E6644">
      <w:pPr>
        <w:spacing w:line="360" w:lineRule="auto"/>
      </w:pPr>
      <w:r>
        <w:rPr>
          <w:rFonts w:ascii="Times New Roman" w:hAnsi="Times New Roman"/>
          <w:color w:val="000000"/>
          <w:sz w:val="24"/>
        </w:rPr>
        <w:t xml:space="preserve">    通过各轴荷载F</w:t>
      </w:r>
      <w:r>
        <w:rPr>
          <w:rFonts w:ascii="Times New Roman" w:hAnsi="Times New Roman"/>
          <w:color w:val="000000"/>
          <w:sz w:val="24"/>
          <w:vertAlign w:val="subscript"/>
        </w:rPr>
        <w:t>i</w:t>
      </w:r>
      <w:r>
        <w:rPr>
          <w:rFonts w:ascii="Times New Roman" w:hAnsi="Times New Roman"/>
          <w:color w:val="000000"/>
          <w:sz w:val="24"/>
        </w:rPr>
        <w:t>以及前支腿荷载分别对后支腿取矩得到</w:t>
      </w:r>
    </w:p>
    <w:p w14:paraId="5E12D1E1">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1</w:t>
      </w:r>
      <w:r>
        <w:rPr>
          <w:rFonts w:ascii="Times New Roman" w:hAnsi="Times New Roman"/>
          <w:color w:val="000000"/>
          <w:sz w:val="24"/>
        </w:rPr>
        <w:t>×L</w:t>
      </w:r>
      <w:r>
        <w:rPr>
          <w:rFonts w:ascii="Times New Roman" w:hAnsi="Times New Roman"/>
          <w:color w:val="000000"/>
          <w:sz w:val="24"/>
          <w:vertAlign w:val="subscript"/>
        </w:rPr>
        <w:t>1</w:t>
      </w:r>
      <w:r>
        <w:rPr>
          <w:rFonts w:ascii="Times New Roman" w:hAnsi="Times New Roman"/>
          <w:color w:val="000000"/>
          <w:sz w:val="24"/>
        </w:rPr>
        <w:t>+F</w:t>
      </w:r>
      <w:r>
        <w:rPr>
          <w:rFonts w:ascii="Times New Roman" w:hAnsi="Times New Roman"/>
          <w:color w:val="000000"/>
          <w:sz w:val="24"/>
          <w:vertAlign w:val="subscript"/>
        </w:rPr>
        <w:t>2</w:t>
      </w:r>
      <w:r>
        <w:rPr>
          <w:rFonts w:ascii="Times New Roman" w:hAnsi="Times New Roman"/>
          <w:color w:val="000000"/>
          <w:sz w:val="24"/>
        </w:rPr>
        <w:t>×L</w:t>
      </w:r>
      <w:r>
        <w:rPr>
          <w:rFonts w:ascii="Times New Roman" w:hAnsi="Times New Roman"/>
          <w:color w:val="000000"/>
          <w:sz w:val="24"/>
          <w:vertAlign w:val="subscript"/>
        </w:rPr>
        <w:t>2</w:t>
      </w:r>
      <w:r>
        <w:rPr>
          <w:rFonts w:ascii="Times New Roman" w:hAnsi="Times New Roman"/>
          <w:color w:val="000000"/>
          <w:sz w:val="24"/>
        </w:rPr>
        <w:t>+F</w:t>
      </w:r>
      <w:r>
        <w:rPr>
          <w:rFonts w:ascii="Times New Roman" w:hAnsi="Times New Roman"/>
          <w:color w:val="000000"/>
          <w:sz w:val="24"/>
          <w:vertAlign w:val="subscript"/>
        </w:rPr>
        <w:t>3</w:t>
      </w:r>
      <w:r>
        <w:rPr>
          <w:rFonts w:ascii="Times New Roman" w:hAnsi="Times New Roman"/>
          <w:color w:val="000000"/>
          <w:sz w:val="24"/>
        </w:rPr>
        <w:t>×L</w:t>
      </w:r>
      <w:r>
        <w:rPr>
          <w:rFonts w:ascii="Times New Roman" w:hAnsi="Times New Roman"/>
          <w:color w:val="000000"/>
          <w:sz w:val="24"/>
          <w:vertAlign w:val="subscript"/>
        </w:rPr>
        <w:t>3</w:t>
      </w:r>
      <w:r>
        <w:rPr>
          <w:rFonts w:ascii="Times New Roman" w:hAnsi="Times New Roman"/>
          <w:color w:val="000000"/>
          <w:sz w:val="24"/>
        </w:rPr>
        <w:t>-(F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)×L=0</w:t>
      </w:r>
    </w:p>
    <w:p w14:paraId="0584B1B6">
      <w:pPr>
        <w:spacing w:line="360" w:lineRule="auto"/>
      </w:pPr>
      <w:r>
        <w:rPr>
          <w:rFonts w:ascii="Times New Roman" w:hAnsi="Times New Roman"/>
          <w:color w:val="000000"/>
          <w:sz w:val="24"/>
        </w:rPr>
        <w:t xml:space="preserve">    6.7×7.43+12.75×2.85+12.75×1.5-(F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)×5.28=0</w:t>
      </w:r>
    </w:p>
    <w:p w14:paraId="6C44ABE4">
      <w:pPr>
        <w:spacing w:line="360" w:lineRule="auto"/>
      </w:pPr>
      <w:r>
        <w:rPr>
          <w:rFonts w:ascii="Times New Roman" w:hAnsi="Times New Roman"/>
          <w:color w:val="000000"/>
          <w:sz w:val="24"/>
        </w:rPr>
        <w:t xml:space="preserve">    并且F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，得到：</w:t>
      </w:r>
    </w:p>
    <w:p w14:paraId="2CF837C5">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=9.966吨</w:t>
      </w:r>
    </w:p>
    <w:p w14:paraId="70C1B6EC">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=[G-(F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)]/2=[32.2-(9.966+9.966)]/2=6.134吨</w:t>
      </w:r>
    </w:p>
    <w:p w14:paraId="00C66933">
      <w:pPr>
        <w:spacing w:line="360" w:lineRule="auto"/>
      </w:pPr>
      <w:r>
        <w:rPr>
          <w:rFonts w:ascii="Times New Roman" w:hAnsi="Times New Roman"/>
          <w:color w:val="000000"/>
          <w:sz w:val="24"/>
        </w:rPr>
        <w:t xml:space="preserve">    将吊重对支腿产生的影响分成吊重移动至回转中心后竖向力对支腿产生荷载+吊重幅度产生的弯矩对支腿力荷载</w:t>
      </w:r>
    </w:p>
    <w:p w14:paraId="0D117E94">
      <w:pPr>
        <w:spacing w:line="360" w:lineRule="auto"/>
      </w:pPr>
      <w:r>
        <w:rPr>
          <w:rFonts w:ascii="Times New Roman" w:hAnsi="Times New Roman"/>
          <w:b/>
          <w:color w:val="000000"/>
          <w:sz w:val="24"/>
        </w:rPr>
        <w:t xml:space="preserve">  3、吊重移至回转中心后竖向力对支腿产生荷载计算</w:t>
      </w:r>
    </w:p>
    <w:p w14:paraId="2321D3AD">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-(F</w:t>
      </w:r>
      <w:r>
        <w:rPr>
          <w:rFonts w:ascii="Times New Roman" w:hAnsi="Times New Roman"/>
          <w:color w:val="000000"/>
          <w:sz w:val="24"/>
          <w:vertAlign w:val="subscript"/>
        </w:rPr>
        <w:t>a2</w:t>
      </w:r>
      <w:r>
        <w:rPr>
          <w:rFonts w:ascii="Times New Roman" w:hAnsi="Times New Roman"/>
          <w:color w:val="000000"/>
          <w:sz w:val="24"/>
        </w:rPr>
        <w:t>+F</w:t>
      </w:r>
      <w:r>
        <w:rPr>
          <w:rFonts w:ascii="Times New Roman" w:hAnsi="Times New Roman"/>
          <w:color w:val="000000"/>
          <w:sz w:val="24"/>
          <w:vertAlign w:val="subscript"/>
        </w:rPr>
        <w:t>d2</w:t>
      </w:r>
      <w:r>
        <w:rPr>
          <w:rFonts w:ascii="Times New Roman" w:hAnsi="Times New Roman"/>
          <w:color w:val="000000"/>
          <w:sz w:val="24"/>
        </w:rPr>
        <w:t>)×L=0</w:t>
      </w:r>
    </w:p>
    <w:p w14:paraId="0B0D657D">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a2</w:t>
      </w:r>
      <w:r>
        <w:rPr>
          <w:rFonts w:ascii="Times New Roman" w:hAnsi="Times New Roman"/>
          <w:color w:val="000000"/>
          <w:sz w:val="24"/>
        </w:rPr>
        <w:t>=F</w:t>
      </w:r>
      <w:r>
        <w:rPr>
          <w:rFonts w:ascii="Times New Roman" w:hAnsi="Times New Roman"/>
          <w:color w:val="000000"/>
          <w:sz w:val="24"/>
          <w:vertAlign w:val="subscript"/>
        </w:rPr>
        <w:t>d2</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/(2L)=1.2×4.985×2.175/(2×5.28)=1.232吨</w:t>
      </w:r>
    </w:p>
    <w:p w14:paraId="6EA480E8">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b2</w:t>
      </w:r>
      <w:r>
        <w:rPr>
          <w:rFonts w:ascii="Times New Roman" w:hAnsi="Times New Roman"/>
          <w:color w:val="000000"/>
          <w:sz w:val="24"/>
        </w:rPr>
        <w:t>=F</w:t>
      </w:r>
      <w:r>
        <w:rPr>
          <w:rFonts w:ascii="Times New Roman" w:hAnsi="Times New Roman"/>
          <w:color w:val="000000"/>
          <w:sz w:val="24"/>
          <w:vertAlign w:val="subscript"/>
        </w:rPr>
        <w:t>c2</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)/(2L)=1.2×4.985×(5.28-2.175)/(2×5.28)=1.759吨</w:t>
      </w:r>
    </w:p>
    <w:p w14:paraId="6D02BC52">
      <w:pPr>
        <w:spacing w:line="360" w:lineRule="auto"/>
      </w:pPr>
      <w:r>
        <w:rPr>
          <w:rFonts w:ascii="Times New Roman" w:hAnsi="Times New Roman"/>
          <w:b/>
          <w:color w:val="000000"/>
          <w:sz w:val="24"/>
        </w:rPr>
        <w:t xml:space="preserve">   1）吊重考虑幅度后的弯矩对各支腿产生的荷载计算</w:t>
      </w:r>
    </w:p>
    <w:p w14:paraId="4CEE3898">
      <w:pPr>
        <w:spacing w:line="360" w:lineRule="auto"/>
      </w:pPr>
      <w:r>
        <w:rPr>
          <w:rFonts w:ascii="Times New Roman" w:hAnsi="Times New Roman"/>
          <w:b/>
          <w:color w:val="000000"/>
          <w:sz w:val="24"/>
        </w:rPr>
        <w:t xml:space="preserve">     ①求X方向吊重考虑幅度后的弯矩对各支腿荷载影响计算，各支腿荷载为F</w:t>
      </w:r>
      <w:r>
        <w:rPr>
          <w:rFonts w:ascii="Times New Roman" w:hAnsi="Times New Roman"/>
          <w:color w:val="000000"/>
          <w:sz w:val="24"/>
          <w:vertAlign w:val="subscript"/>
        </w:rPr>
        <w:t>ax</w:t>
      </w:r>
      <w:r>
        <w:rPr>
          <w:rFonts w:ascii="Times New Roman" w:hAnsi="Times New Roman"/>
          <w:b/>
          <w:color w:val="000000"/>
          <w:sz w:val="24"/>
        </w:rPr>
        <w:t>=F</w:t>
      </w:r>
      <w:r>
        <w:rPr>
          <w:rFonts w:ascii="Times New Roman" w:hAnsi="Times New Roman"/>
          <w:color w:val="000000"/>
          <w:sz w:val="24"/>
          <w:vertAlign w:val="subscript"/>
        </w:rPr>
        <w:t>dx</w:t>
      </w:r>
      <w:r>
        <w:rPr>
          <w:rFonts w:ascii="Times New Roman" w:hAnsi="Times New Roman"/>
          <w:b/>
          <w:color w:val="000000"/>
          <w:sz w:val="24"/>
        </w:rPr>
        <w:t>，F</w:t>
      </w:r>
      <w:r>
        <w:rPr>
          <w:rFonts w:ascii="Times New Roman" w:hAnsi="Times New Roman"/>
          <w:color w:val="000000"/>
          <w:sz w:val="24"/>
          <w:vertAlign w:val="subscript"/>
        </w:rPr>
        <w:t>bx</w:t>
      </w:r>
      <w:r>
        <w:rPr>
          <w:rFonts w:ascii="Times New Roman" w:hAnsi="Times New Roman"/>
          <w:b/>
          <w:color w:val="000000"/>
          <w:sz w:val="24"/>
        </w:rPr>
        <w:t>=F</w:t>
      </w:r>
      <w:r>
        <w:rPr>
          <w:rFonts w:ascii="Times New Roman" w:hAnsi="Times New Roman"/>
          <w:color w:val="000000"/>
          <w:sz w:val="24"/>
          <w:vertAlign w:val="subscript"/>
        </w:rPr>
        <w:t>cx</w:t>
      </w:r>
    </w:p>
    <w:p w14:paraId="06170727">
      <w:pPr>
        <w:spacing w:line="360" w:lineRule="auto"/>
        <w:jc w:val="center"/>
      </w:pPr>
      <w:r>
        <w:drawing>
          <wp:inline distT="0" distB="0" distL="0" distR="0">
            <wp:extent cx="4152900" cy="2350135"/>
            <wp:effectExtent l="0" t="0" r="0" b="0"/>
            <wp:docPr id="8"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 3"/>
                    <pic:cNvPicPr>
                      <a:picLocks noChangeAspect="1"/>
                    </pic:cNvPicPr>
                  </pic:nvPicPr>
                  <pic:blipFill>
                    <a:blip r:embed="rId24" cstate="print"/>
                    <a:srcRect l="-229" t="361" r="229" b="10566"/>
                    <a:stretch>
                      <a:fillRect/>
                    </a:stretch>
                  </pic:blipFill>
                  <pic:spPr>
                    <a:xfrm>
                      <a:off x="0" y="0"/>
                      <a:ext cx="4152900" cy="2350135"/>
                    </a:xfrm>
                    <a:prstGeom prst="rect">
                      <a:avLst/>
                    </a:prstGeom>
                  </pic:spPr>
                </pic:pic>
              </a:graphicData>
            </a:graphic>
          </wp:inline>
        </w:drawing>
      </w:r>
    </w:p>
    <w:p w14:paraId="736395A2">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×R)cosβ-(F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)×L=0</w:t>
      </w:r>
    </w:p>
    <w:p w14:paraId="3F76DA75">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×R)×cosβ/(2L)=(1.2×4.985×11)×cosβ/(2×5.28)=6.231cosβ</w:t>
      </w:r>
    </w:p>
    <w:p w14:paraId="188704F6">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=-6.231cosβ</w:t>
      </w:r>
    </w:p>
    <w:p w14:paraId="01CC7355">
      <w:pPr>
        <w:spacing w:line="360" w:lineRule="auto"/>
      </w:pPr>
      <w:r>
        <w:rPr>
          <w:rFonts w:ascii="Times New Roman" w:hAnsi="Times New Roman"/>
          <w:b/>
          <w:color w:val="000000"/>
          <w:sz w:val="24"/>
        </w:rPr>
        <w:t xml:space="preserve">     ②求Y方向吊重考虑幅度后的弯矩对各支腿荷载影响计算，各支腿荷载为F</w:t>
      </w:r>
      <w:r>
        <w:rPr>
          <w:rFonts w:ascii="Times New Roman" w:hAnsi="Times New Roman"/>
          <w:color w:val="000000"/>
          <w:sz w:val="24"/>
          <w:vertAlign w:val="subscript"/>
        </w:rPr>
        <w:t>ay</w:t>
      </w:r>
      <w:r>
        <w:rPr>
          <w:rFonts w:ascii="Times New Roman" w:hAnsi="Times New Roman"/>
          <w:b/>
          <w:color w:val="000000"/>
          <w:sz w:val="24"/>
        </w:rPr>
        <w:t>=F</w:t>
      </w:r>
      <w:r>
        <w:rPr>
          <w:rFonts w:ascii="Times New Roman" w:hAnsi="Times New Roman"/>
          <w:color w:val="000000"/>
          <w:sz w:val="24"/>
          <w:vertAlign w:val="subscript"/>
        </w:rPr>
        <w:t>by</w:t>
      </w:r>
      <w:r>
        <w:rPr>
          <w:rFonts w:ascii="Times New Roman" w:hAnsi="Times New Roman"/>
          <w:b/>
          <w:color w:val="000000"/>
          <w:sz w:val="24"/>
        </w:rPr>
        <w:t>，F</w:t>
      </w:r>
      <w:r>
        <w:rPr>
          <w:rFonts w:ascii="Times New Roman" w:hAnsi="Times New Roman"/>
          <w:color w:val="000000"/>
          <w:sz w:val="24"/>
          <w:vertAlign w:val="subscript"/>
        </w:rPr>
        <w:t>cy</w:t>
      </w:r>
      <w:r>
        <w:rPr>
          <w:rFonts w:ascii="Times New Roman" w:hAnsi="Times New Roman"/>
          <w:b/>
          <w:color w:val="000000"/>
          <w:sz w:val="24"/>
        </w:rPr>
        <w:t>=F</w:t>
      </w:r>
      <w:r>
        <w:rPr>
          <w:rFonts w:ascii="Times New Roman" w:hAnsi="Times New Roman"/>
          <w:color w:val="000000"/>
          <w:sz w:val="24"/>
          <w:vertAlign w:val="subscript"/>
        </w:rPr>
        <w:t>dy</w:t>
      </w:r>
    </w:p>
    <w:p w14:paraId="58A05872">
      <w:pPr>
        <w:spacing w:line="360" w:lineRule="auto"/>
        <w:jc w:val="center"/>
      </w:pPr>
      <w:r>
        <w:drawing>
          <wp:inline distT="0" distB="0" distL="0" distR="0">
            <wp:extent cx="4152900" cy="2531110"/>
            <wp:effectExtent l="0" t="0" r="0" b="0"/>
            <wp:docPr id="27"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 4"/>
                    <pic:cNvPicPr>
                      <a:picLocks noChangeAspect="1"/>
                    </pic:cNvPicPr>
                  </pic:nvPicPr>
                  <pic:blipFill>
                    <a:blip r:embed="rId25" cstate="print"/>
                    <a:srcRect b="4067"/>
                    <a:stretch>
                      <a:fillRect/>
                    </a:stretch>
                  </pic:blipFill>
                  <pic:spPr>
                    <a:xfrm>
                      <a:off x="0" y="0"/>
                      <a:ext cx="4152900" cy="2531110"/>
                    </a:xfrm>
                    <a:prstGeom prst="rect">
                      <a:avLst/>
                    </a:prstGeom>
                  </pic:spPr>
                </pic:pic>
              </a:graphicData>
            </a:graphic>
          </wp:inline>
        </w:drawing>
      </w:r>
    </w:p>
    <w:p w14:paraId="00720714">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×R)sinβ-(F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)×L=0</w:t>
      </w:r>
    </w:p>
    <w:p w14:paraId="6D05285B">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×R)×sinβ/(2L)=(1.2×4.985×11)×sinβ/(2×5.28)=6.231sinβ</w:t>
      </w:r>
    </w:p>
    <w:p w14:paraId="1F44834C">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=-6.231sinβ</w:t>
      </w:r>
    </w:p>
    <w:p w14:paraId="3A5E0F2F">
      <w:pPr>
        <w:spacing w:line="360" w:lineRule="auto"/>
      </w:pPr>
      <w:r>
        <w:rPr>
          <w:rFonts w:ascii="Times New Roman" w:hAnsi="Times New Roman"/>
          <w:b/>
          <w:color w:val="000000"/>
          <w:sz w:val="24"/>
        </w:rPr>
        <w:t xml:space="preserve">   2）考虑各因素影响后，各支腿的荷载分别为：</w:t>
      </w:r>
    </w:p>
    <w:p w14:paraId="31122F40">
      <w:pPr>
        <w:spacing w:line="360" w:lineRule="auto"/>
      </w:pPr>
      <w:r>
        <w:rPr>
          <w:rFonts w:ascii="Times New Roman" w:hAnsi="Times New Roman"/>
          <w:color w:val="000000"/>
          <w:sz w:val="24"/>
        </w:rPr>
        <w:t xml:space="preserve">    支腿a:F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a2</w:t>
      </w:r>
      <w:r>
        <w:rPr>
          <w:rFonts w:ascii="Times New Roman" w:hAnsi="Times New Roman"/>
          <w:color w:val="000000"/>
          <w:sz w:val="24"/>
        </w:rPr>
        <w:t>+F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ay</w:t>
      </w:r>
      <w:r>
        <w:rPr>
          <w:rFonts w:ascii="Times New Roman" w:hAnsi="Times New Roman"/>
          <w:color w:val="000000"/>
          <w:sz w:val="24"/>
        </w:rPr>
        <w:t>=9.966+1.232-6.231cosβ+6.231sinβ</w:t>
      </w:r>
    </w:p>
    <w:p w14:paraId="2A6BC1FC">
      <w:pPr>
        <w:spacing w:line="360" w:lineRule="auto"/>
      </w:pPr>
      <w:r>
        <w:rPr>
          <w:rFonts w:ascii="Times New Roman" w:hAnsi="Times New Roman"/>
          <w:color w:val="000000"/>
          <w:sz w:val="24"/>
        </w:rPr>
        <w:t xml:space="preserve">    支腿b:F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b2</w:t>
      </w:r>
      <w:r>
        <w:rPr>
          <w:rFonts w:ascii="Times New Roman" w:hAnsi="Times New Roman"/>
          <w:color w:val="000000"/>
          <w:sz w:val="24"/>
        </w:rPr>
        <w:t>+F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=6.134+1.759+6.231cosβ+6.231sinβ</w:t>
      </w:r>
    </w:p>
    <w:p w14:paraId="5939FBFC">
      <w:pPr>
        <w:spacing w:line="360" w:lineRule="auto"/>
      </w:pPr>
      <w:r>
        <w:rPr>
          <w:rFonts w:ascii="Times New Roman" w:hAnsi="Times New Roman"/>
          <w:color w:val="000000"/>
          <w:sz w:val="24"/>
        </w:rPr>
        <w:t xml:space="preserve">    支腿c:F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+F</w:t>
      </w:r>
      <w:r>
        <w:rPr>
          <w:rFonts w:ascii="Times New Roman" w:hAnsi="Times New Roman"/>
          <w:color w:val="000000"/>
          <w:sz w:val="24"/>
          <w:vertAlign w:val="subscript"/>
        </w:rPr>
        <w:t>c2</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=6.134+1.759+6.231cosβ-6.231sinβ</w:t>
      </w:r>
    </w:p>
    <w:p w14:paraId="1BAB2F95">
      <w:pPr>
        <w:spacing w:line="360" w:lineRule="auto"/>
      </w:pPr>
      <w:r>
        <w:rPr>
          <w:rFonts w:ascii="Times New Roman" w:hAnsi="Times New Roman"/>
          <w:color w:val="000000"/>
          <w:sz w:val="24"/>
        </w:rPr>
        <w:t xml:space="preserve">    支腿d:F</w:t>
      </w:r>
      <w:r>
        <w:rPr>
          <w:rFonts w:ascii="Times New Roman" w:hAnsi="Times New Roman"/>
          <w:color w:val="000000"/>
          <w:sz w:val="24"/>
          <w:vertAlign w:val="subscript"/>
        </w:rPr>
        <w:t>d</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+F</w:t>
      </w:r>
      <w:r>
        <w:rPr>
          <w:rFonts w:ascii="Times New Roman" w:hAnsi="Times New Roman"/>
          <w:color w:val="000000"/>
          <w:sz w:val="24"/>
          <w:vertAlign w:val="subscript"/>
        </w:rPr>
        <w:t>d2</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=9.966+1.232-6.231cosβ-6.231sinβ</w:t>
      </w:r>
    </w:p>
    <w:p w14:paraId="06D971FF">
      <w:pPr>
        <w:spacing w:line="360" w:lineRule="auto"/>
      </w:pPr>
      <w:r>
        <w:rPr>
          <w:rFonts w:ascii="Times New Roman" w:hAnsi="Times New Roman"/>
          <w:b/>
          <w:color w:val="000000"/>
          <w:sz w:val="24"/>
        </w:rPr>
        <w:t xml:space="preserve">   3）各吊装工况及最不利工况支腿荷载计算</w:t>
      </w:r>
    </w:p>
    <w:p w14:paraId="5D3D530F">
      <w:pPr>
        <w:spacing w:line="360" w:lineRule="auto"/>
      </w:pPr>
      <w:r>
        <w:rPr>
          <w:rFonts w:ascii="Times New Roman" w:hAnsi="Times New Roman"/>
          <w:b/>
          <w:color w:val="000000"/>
          <w:sz w:val="24"/>
        </w:rPr>
        <w:t xml:space="preserve">     ①当β=0°时，此时吊物在起重机后方</w:t>
      </w:r>
    </w:p>
    <w:p w14:paraId="71B58DC3">
      <w:pPr>
        <w:spacing w:line="360" w:lineRule="auto"/>
        <w:ind w:left="0" w:leftChars="0" w:firstLine="0" w:firstLineChars="0"/>
        <w:jc w:val="both"/>
      </w:pPr>
      <w:r>
        <w:drawing>
          <wp:inline distT="0" distB="0" distL="0" distR="0">
            <wp:extent cx="5620385" cy="2982595"/>
            <wp:effectExtent l="0" t="0" r="0" b="0"/>
            <wp:docPr id="29"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 5"/>
                    <pic:cNvPicPr>
                      <a:picLocks noChangeAspect="1"/>
                    </pic:cNvPicPr>
                  </pic:nvPicPr>
                  <pic:blipFill>
                    <a:blip r:embed="rId23" cstate="print"/>
                    <a:srcRect t="6124" b="5918"/>
                    <a:stretch>
                      <a:fillRect/>
                    </a:stretch>
                  </pic:blipFill>
                  <pic:spPr>
                    <a:xfrm>
                      <a:off x="0" y="0"/>
                      <a:ext cx="5620385" cy="2982595"/>
                    </a:xfrm>
                    <a:prstGeom prst="rect">
                      <a:avLst/>
                    </a:prstGeom>
                  </pic:spPr>
                </pic:pic>
              </a:graphicData>
            </a:graphic>
          </wp:inline>
        </w:drawing>
      </w:r>
    </w:p>
    <w:p w14:paraId="75ED8BD1">
      <w:pPr>
        <w:spacing w:line="360" w:lineRule="auto"/>
      </w:pPr>
      <w:r>
        <w:rPr>
          <w:rFonts w:ascii="Times New Roman" w:hAnsi="Times New Roman"/>
          <w:color w:val="000000"/>
          <w:sz w:val="24"/>
        </w:rPr>
        <w:t xml:space="preserve">    将β=0°代入得到：</w:t>
      </w:r>
    </w:p>
    <w:p w14:paraId="79DA63A9">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=4.967吨，F</w:t>
      </w:r>
      <w:r>
        <w:rPr>
          <w:rFonts w:ascii="Times New Roman" w:hAnsi="Times New Roman"/>
          <w:color w:val="000000"/>
          <w:sz w:val="24"/>
          <w:vertAlign w:val="subscript"/>
        </w:rPr>
        <w:t>b</w:t>
      </w:r>
      <w:r>
        <w:rPr>
          <w:rFonts w:ascii="Times New Roman" w:hAnsi="Times New Roman"/>
          <w:color w:val="000000"/>
          <w:sz w:val="24"/>
        </w:rPr>
        <w:t>=14.124吨，F</w:t>
      </w:r>
      <w:r>
        <w:rPr>
          <w:rFonts w:ascii="Times New Roman" w:hAnsi="Times New Roman"/>
          <w:color w:val="000000"/>
          <w:sz w:val="24"/>
          <w:vertAlign w:val="subscript"/>
        </w:rPr>
        <w:t>c</w:t>
      </w:r>
      <w:r>
        <w:rPr>
          <w:rFonts w:ascii="Times New Roman" w:hAnsi="Times New Roman"/>
          <w:color w:val="000000"/>
          <w:sz w:val="24"/>
        </w:rPr>
        <w:t>=14.124吨，F</w:t>
      </w:r>
      <w:r>
        <w:rPr>
          <w:rFonts w:ascii="Times New Roman" w:hAnsi="Times New Roman"/>
          <w:color w:val="000000"/>
          <w:sz w:val="24"/>
          <w:vertAlign w:val="subscript"/>
        </w:rPr>
        <w:t>d</w:t>
      </w:r>
      <w:r>
        <w:rPr>
          <w:rFonts w:ascii="Times New Roman" w:hAnsi="Times New Roman"/>
          <w:color w:val="000000"/>
          <w:sz w:val="24"/>
        </w:rPr>
        <w:t>=4.967吨</w:t>
      </w:r>
    </w:p>
    <w:p w14:paraId="5288CE27">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1</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)=max(4.967、14.124、14.124、4.967)=14.124吨</w:t>
      </w:r>
    </w:p>
    <w:p w14:paraId="6343061A">
      <w:pPr>
        <w:spacing w:line="360" w:lineRule="auto"/>
      </w:pPr>
      <w:r>
        <w:rPr>
          <w:rFonts w:ascii="Times New Roman" w:hAnsi="Times New Roman"/>
          <w:b/>
          <w:color w:val="000000"/>
          <w:sz w:val="24"/>
        </w:rPr>
        <w:t xml:space="preserve">     ②当β=90°时，此时吊物在起重机侧方</w:t>
      </w:r>
    </w:p>
    <w:p w14:paraId="455C7F48">
      <w:pPr>
        <w:spacing w:line="360" w:lineRule="auto"/>
        <w:ind w:left="0" w:leftChars="0" w:firstLine="0" w:firstLineChars="0"/>
        <w:jc w:val="both"/>
      </w:pPr>
      <w:r>
        <w:drawing>
          <wp:inline distT="0" distB="0" distL="0" distR="0">
            <wp:extent cx="5629910" cy="3876675"/>
            <wp:effectExtent l="0" t="0" r="8890" b="9525"/>
            <wp:docPr id="30"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 6"/>
                    <pic:cNvPicPr>
                      <a:picLocks noChangeAspect="1"/>
                    </pic:cNvPicPr>
                  </pic:nvPicPr>
                  <pic:blipFill>
                    <a:blip r:embed="rId26" cstate="print"/>
                    <a:stretch>
                      <a:fillRect/>
                    </a:stretch>
                  </pic:blipFill>
                  <pic:spPr>
                    <a:xfrm>
                      <a:off x="0" y="0"/>
                      <a:ext cx="5629910" cy="3876675"/>
                    </a:xfrm>
                    <a:prstGeom prst="rect">
                      <a:avLst/>
                    </a:prstGeom>
                  </pic:spPr>
                </pic:pic>
              </a:graphicData>
            </a:graphic>
          </wp:inline>
        </w:drawing>
      </w:r>
    </w:p>
    <w:p w14:paraId="3AE70A5D">
      <w:pPr>
        <w:spacing w:line="360" w:lineRule="auto"/>
      </w:pPr>
      <w:r>
        <w:rPr>
          <w:rFonts w:ascii="Times New Roman" w:hAnsi="Times New Roman"/>
          <w:color w:val="000000"/>
          <w:sz w:val="24"/>
        </w:rPr>
        <w:t xml:space="preserve">    将β=90°代入得到：</w:t>
      </w:r>
    </w:p>
    <w:p w14:paraId="042B8C41">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=17.43吨，F</w:t>
      </w:r>
      <w:r>
        <w:rPr>
          <w:rFonts w:ascii="Times New Roman" w:hAnsi="Times New Roman"/>
          <w:color w:val="000000"/>
          <w:sz w:val="24"/>
          <w:vertAlign w:val="subscript"/>
        </w:rPr>
        <w:t>b</w:t>
      </w:r>
      <w:r>
        <w:rPr>
          <w:rFonts w:ascii="Times New Roman" w:hAnsi="Times New Roman"/>
          <w:color w:val="000000"/>
          <w:sz w:val="24"/>
        </w:rPr>
        <w:t>=14.124吨，F</w:t>
      </w:r>
      <w:r>
        <w:rPr>
          <w:rFonts w:ascii="Times New Roman" w:hAnsi="Times New Roman"/>
          <w:color w:val="000000"/>
          <w:sz w:val="24"/>
          <w:vertAlign w:val="subscript"/>
        </w:rPr>
        <w:t>c</w:t>
      </w:r>
      <w:r>
        <w:rPr>
          <w:rFonts w:ascii="Times New Roman" w:hAnsi="Times New Roman"/>
          <w:color w:val="000000"/>
          <w:sz w:val="24"/>
        </w:rPr>
        <w:t>=1.661吨，F</w:t>
      </w:r>
      <w:r>
        <w:rPr>
          <w:rFonts w:ascii="Times New Roman" w:hAnsi="Times New Roman"/>
          <w:color w:val="000000"/>
          <w:sz w:val="24"/>
          <w:vertAlign w:val="subscript"/>
        </w:rPr>
        <w:t>d</w:t>
      </w:r>
      <w:r>
        <w:rPr>
          <w:rFonts w:ascii="Times New Roman" w:hAnsi="Times New Roman"/>
          <w:color w:val="000000"/>
          <w:sz w:val="24"/>
        </w:rPr>
        <w:t>=4.967吨</w:t>
      </w:r>
    </w:p>
    <w:p w14:paraId="1C795299">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2</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)=max(17.43、14.124、1.661、4.967)=17.43吨</w:t>
      </w:r>
    </w:p>
    <w:p w14:paraId="584207A8">
      <w:pPr>
        <w:spacing w:line="360" w:lineRule="auto"/>
      </w:pPr>
      <w:r>
        <w:rPr>
          <w:rFonts w:ascii="Times New Roman" w:hAnsi="Times New Roman"/>
          <w:b/>
          <w:color w:val="000000"/>
          <w:sz w:val="24"/>
        </w:rPr>
        <w:t xml:space="preserve">     ③起重臂位于支腿b方向工况</w:t>
      </w:r>
    </w:p>
    <w:p w14:paraId="252A824F">
      <w:pPr>
        <w:spacing w:line="360" w:lineRule="auto"/>
        <w:ind w:left="0" w:leftChars="0" w:firstLine="0" w:firstLineChars="0"/>
        <w:jc w:val="both"/>
      </w:pPr>
      <w:r>
        <w:drawing>
          <wp:inline distT="0" distB="0" distL="0" distR="0">
            <wp:extent cx="5506085" cy="3327400"/>
            <wp:effectExtent l="0" t="0" r="18415" b="6350"/>
            <wp:docPr id="45"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 7"/>
                    <pic:cNvPicPr>
                      <a:picLocks noChangeAspect="1"/>
                    </pic:cNvPicPr>
                  </pic:nvPicPr>
                  <pic:blipFill>
                    <a:blip r:embed="rId27" cstate="print"/>
                    <a:stretch>
                      <a:fillRect/>
                    </a:stretch>
                  </pic:blipFill>
                  <pic:spPr>
                    <a:xfrm>
                      <a:off x="0" y="0"/>
                      <a:ext cx="5506085" cy="3327400"/>
                    </a:xfrm>
                    <a:prstGeom prst="rect">
                      <a:avLst/>
                    </a:prstGeom>
                  </pic:spPr>
                </pic:pic>
              </a:graphicData>
            </a:graphic>
          </wp:inline>
        </w:drawing>
      </w:r>
    </w:p>
    <w:p w14:paraId="4D78467D">
      <w:pPr>
        <w:spacing w:line="360" w:lineRule="auto"/>
      </w:pPr>
      <w:r>
        <w:rPr>
          <w:rFonts w:ascii="Times New Roman" w:hAnsi="Times New Roman"/>
          <w:color w:val="000000"/>
          <w:sz w:val="24"/>
        </w:rPr>
        <w:t xml:space="preserve">    当β=55.797°时，起重臂在支腿b方向，此时：</w:t>
      </w:r>
    </w:p>
    <w:p w14:paraId="168C2C83">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=12.849吨，F</w:t>
      </w:r>
      <w:r>
        <w:rPr>
          <w:rFonts w:ascii="Times New Roman" w:hAnsi="Times New Roman"/>
          <w:color w:val="000000"/>
          <w:sz w:val="24"/>
          <w:vertAlign w:val="subscript"/>
        </w:rPr>
        <w:t>b</w:t>
      </w:r>
      <w:r>
        <w:rPr>
          <w:rFonts w:ascii="Times New Roman" w:hAnsi="Times New Roman"/>
          <w:color w:val="000000"/>
          <w:sz w:val="24"/>
        </w:rPr>
        <w:t>=16.549吨，F</w:t>
      </w:r>
      <w:r>
        <w:rPr>
          <w:rFonts w:ascii="Times New Roman" w:hAnsi="Times New Roman"/>
          <w:color w:val="000000"/>
          <w:sz w:val="24"/>
          <w:vertAlign w:val="subscript"/>
        </w:rPr>
        <w:t>c</w:t>
      </w:r>
      <w:r>
        <w:rPr>
          <w:rFonts w:ascii="Times New Roman" w:hAnsi="Times New Roman"/>
          <w:color w:val="000000"/>
          <w:sz w:val="24"/>
        </w:rPr>
        <w:t>=6.242吨，F</w:t>
      </w:r>
      <w:r>
        <w:rPr>
          <w:rFonts w:ascii="Times New Roman" w:hAnsi="Times New Roman"/>
          <w:color w:val="000000"/>
          <w:sz w:val="24"/>
          <w:vertAlign w:val="subscript"/>
        </w:rPr>
        <w:t>d</w:t>
      </w:r>
      <w:r>
        <w:rPr>
          <w:rFonts w:ascii="Times New Roman" w:hAnsi="Times New Roman"/>
          <w:color w:val="000000"/>
          <w:sz w:val="24"/>
        </w:rPr>
        <w:t>=2.542吨</w:t>
      </w:r>
    </w:p>
    <w:p w14:paraId="30F1E7CA">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3</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)=max(12.849、16.549、6.242、2.542)=16.549吨</w:t>
      </w:r>
    </w:p>
    <w:p w14:paraId="40CBB41A">
      <w:pPr>
        <w:spacing w:line="360" w:lineRule="auto"/>
      </w:pPr>
      <w:r>
        <w:rPr>
          <w:rFonts w:ascii="Times New Roman" w:hAnsi="Times New Roman"/>
          <w:color w:val="000000"/>
          <w:sz w:val="24"/>
        </w:rPr>
        <w:t xml:space="preserve">    考虑各个工况按最不利原则；支腿最大受力N</w:t>
      </w:r>
      <w:r>
        <w:rPr>
          <w:rFonts w:ascii="Times New Roman" w:hAnsi="Times New Roman"/>
          <w:color w:val="000000"/>
          <w:sz w:val="24"/>
          <w:vertAlign w:val="subscript"/>
        </w:rPr>
        <w:t>k</w:t>
      </w:r>
      <w:r>
        <w:rPr>
          <w:rFonts w:ascii="Times New Roman" w:hAnsi="Times New Roman"/>
          <w:color w:val="000000"/>
          <w:sz w:val="24"/>
        </w:rPr>
        <w:t>=max(F</w:t>
      </w:r>
      <w:r>
        <w:rPr>
          <w:rFonts w:ascii="Times New Roman" w:hAnsi="Times New Roman"/>
          <w:color w:val="000000"/>
          <w:sz w:val="24"/>
          <w:vertAlign w:val="subscript"/>
        </w:rPr>
        <w:t>1</w:t>
      </w:r>
      <w:r>
        <w:rPr>
          <w:rFonts w:ascii="Times New Roman" w:hAnsi="Times New Roman"/>
          <w:color w:val="000000"/>
          <w:sz w:val="24"/>
        </w:rPr>
        <w:t>,F</w:t>
      </w:r>
      <w:r>
        <w:rPr>
          <w:rFonts w:ascii="Times New Roman" w:hAnsi="Times New Roman"/>
          <w:color w:val="000000"/>
          <w:sz w:val="24"/>
          <w:vertAlign w:val="subscript"/>
        </w:rPr>
        <w:t>2</w:t>
      </w:r>
      <w:r>
        <w:rPr>
          <w:rFonts w:ascii="Times New Roman" w:hAnsi="Times New Roman"/>
          <w:color w:val="000000"/>
          <w:sz w:val="24"/>
        </w:rPr>
        <w:t>,F</w:t>
      </w:r>
      <w:r>
        <w:rPr>
          <w:rFonts w:ascii="Times New Roman" w:hAnsi="Times New Roman"/>
          <w:color w:val="000000"/>
          <w:sz w:val="24"/>
          <w:vertAlign w:val="subscript"/>
        </w:rPr>
        <w:t>3</w:t>
      </w:r>
      <w:r>
        <w:rPr>
          <w:rFonts w:ascii="Times New Roman" w:hAnsi="Times New Roman"/>
          <w:color w:val="000000"/>
          <w:sz w:val="24"/>
        </w:rPr>
        <w:t>)=max(14.124，17.43，16.549)=17.43吨</w:t>
      </w:r>
    </w:p>
    <w:p w14:paraId="2D832013">
      <w:pPr>
        <w:spacing w:line="360" w:lineRule="auto"/>
      </w:pPr>
      <w:r>
        <w:rPr>
          <w:rFonts w:ascii="Times New Roman" w:hAnsi="Times New Roman"/>
          <w:b/>
          <w:color w:val="000000"/>
          <w:sz w:val="28"/>
        </w:rPr>
        <w:t xml:space="preserve"> 三、地基基础验算</w:t>
      </w:r>
    </w:p>
    <w:p w14:paraId="07B64521">
      <w:pPr>
        <w:spacing w:line="360" w:lineRule="auto"/>
      </w:pPr>
      <w:r>
        <w:rPr>
          <w:rFonts w:ascii="Times New Roman" w:hAnsi="Times New Roman"/>
          <w:b/>
          <w:color w:val="000000"/>
          <w:sz w:val="24"/>
        </w:rPr>
        <w:t xml:space="preserve">  1、地基参数</w:t>
      </w:r>
    </w:p>
    <w:tbl>
      <w:tblPr>
        <w:tblStyle w:val="40"/>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5ABFA3F4">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4E8B0D96">
            <w:pPr>
              <w:spacing w:line="360" w:lineRule="auto"/>
            </w:pPr>
            <w:r>
              <w:rPr>
                <w:rFonts w:ascii="Times New Roman" w:hAnsi="Times New Roman"/>
                <w:color w:val="000000"/>
                <w:sz w:val="18"/>
              </w:rPr>
              <w:t>单根支腿受力面积A</w:t>
            </w:r>
            <w:r>
              <w:rPr>
                <w:rFonts w:ascii="Times New Roman" w:hAnsi="Times New Roman"/>
                <w:color w:val="000000"/>
                <w:sz w:val="24"/>
                <w:vertAlign w:val="subscript"/>
              </w:rPr>
              <w:t>d1</w:t>
            </w:r>
            <w:r>
              <w:rPr>
                <w:rFonts w:ascii="Times New Roman" w:hAnsi="Times New Roman"/>
                <w:color w:val="000000"/>
                <w:sz w:val="18"/>
              </w:rPr>
              <w:t>(m</w:t>
            </w:r>
            <w:r>
              <w:rPr>
                <w:rFonts w:ascii="Times New Roman" w:hAnsi="Times New Roman"/>
                <w:color w:val="000000"/>
                <w:sz w:val="24"/>
                <w:vertAlign w:val="superscript"/>
              </w:rPr>
              <w:t>2</w:t>
            </w:r>
            <w:r>
              <w:rPr>
                <w:rFonts w:ascii="Times New Roman" w:hAnsi="Times New Roman"/>
                <w:color w:val="000000"/>
                <w:sz w:val="18"/>
              </w:rPr>
              <w:t>)</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2D52DA53">
            <w:pPr>
              <w:spacing w:line="360" w:lineRule="auto"/>
            </w:pPr>
            <w:r>
              <w:rPr>
                <w:rFonts w:ascii="Times New Roman" w:hAnsi="Times New Roman"/>
                <w:color w:val="000000"/>
                <w:sz w:val="18"/>
              </w:rPr>
              <w:t>2.25</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068A5DA2">
            <w:pPr>
              <w:spacing w:line="360" w:lineRule="auto"/>
            </w:pPr>
            <w:r>
              <w:rPr>
                <w:rFonts w:ascii="Times New Roman" w:hAnsi="Times New Roman"/>
                <w:color w:val="000000"/>
                <w:sz w:val="18"/>
              </w:rPr>
              <w:t>地基土类型</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4751064A">
            <w:pPr>
              <w:spacing w:line="360" w:lineRule="auto"/>
            </w:pPr>
            <w:r>
              <w:rPr>
                <w:rFonts w:ascii="Times New Roman" w:hAnsi="Times New Roman"/>
                <w:color w:val="000000"/>
                <w:sz w:val="18"/>
              </w:rPr>
              <w:t>素填土</w:t>
            </w:r>
          </w:p>
        </w:tc>
      </w:tr>
      <w:tr w14:paraId="39949F70">
        <w:tblPrEx>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5CE450A3">
            <w:pPr>
              <w:spacing w:line="360" w:lineRule="auto"/>
            </w:pPr>
            <w:r>
              <w:rPr>
                <w:rFonts w:ascii="Times New Roman" w:hAnsi="Times New Roman"/>
                <w:color w:val="000000"/>
                <w:sz w:val="18"/>
              </w:rPr>
              <w:t>地基承载力特征值fak(kPa)</w:t>
            </w:r>
          </w:p>
        </w:tc>
        <w:tc>
          <w:tcPr>
            <w:tcW w:w="6105" w:type="dxa"/>
            <w:gridSpan w:val="3"/>
            <w:tcBorders>
              <w:top w:val="single" w:color="auto" w:sz="6" w:space="0"/>
              <w:left w:val="single" w:color="auto" w:sz="6" w:space="0"/>
              <w:bottom w:val="single" w:color="auto" w:sz="6" w:space="0"/>
              <w:right w:val="single" w:color="auto" w:sz="6" w:space="0"/>
            </w:tcBorders>
            <w:shd w:val="clear" w:color="auto" w:fill="FFFFFF"/>
          </w:tcPr>
          <w:p w14:paraId="6DB2DDF8">
            <w:pPr>
              <w:spacing w:line="360" w:lineRule="auto"/>
            </w:pPr>
            <w:r>
              <w:rPr>
                <w:rFonts w:ascii="Times New Roman" w:hAnsi="Times New Roman"/>
                <w:color w:val="000000"/>
                <w:sz w:val="18"/>
              </w:rPr>
              <w:t>135</w:t>
            </w:r>
          </w:p>
        </w:tc>
      </w:tr>
    </w:tbl>
    <w:p w14:paraId="1D5F4EBC">
      <w:pPr>
        <w:spacing w:line="360" w:lineRule="auto"/>
      </w:pPr>
      <w:r>
        <w:rPr>
          <w:rFonts w:ascii="Times New Roman" w:hAnsi="Times New Roman"/>
          <w:color w:val="000000"/>
          <w:sz w:val="24"/>
        </w:rPr>
        <w:t xml:space="preserve">    单个支腿传至基础顶面的轴向力标准值为：N'=9.8×N</w:t>
      </w:r>
      <w:r>
        <w:rPr>
          <w:rFonts w:ascii="Times New Roman" w:hAnsi="Times New Roman"/>
          <w:color w:val="000000"/>
          <w:sz w:val="24"/>
          <w:vertAlign w:val="subscript"/>
        </w:rPr>
        <w:t>k</w:t>
      </w:r>
      <w:r>
        <w:rPr>
          <w:rFonts w:ascii="Times New Roman" w:hAnsi="Times New Roman"/>
          <w:color w:val="000000"/>
          <w:sz w:val="24"/>
        </w:rPr>
        <w:t>=9.8×17.43=170.81kN</w:t>
      </w:r>
    </w:p>
    <w:p w14:paraId="4B6A0A24">
      <w:pPr>
        <w:spacing w:line="360" w:lineRule="auto"/>
      </w:pPr>
      <w:r>
        <w:rPr>
          <w:rFonts w:ascii="Times New Roman" w:hAnsi="Times New Roman"/>
          <w:color w:val="000000"/>
          <w:sz w:val="24"/>
        </w:rPr>
        <w:t xml:space="preserve">    单个支腿垫板的底面平均压力p=N'/A</w:t>
      </w:r>
      <w:r>
        <w:rPr>
          <w:rFonts w:ascii="Times New Roman" w:hAnsi="Times New Roman"/>
          <w:color w:val="000000"/>
          <w:sz w:val="24"/>
          <w:vertAlign w:val="subscript"/>
        </w:rPr>
        <w:t>d1</w:t>
      </w:r>
      <w:r>
        <w:rPr>
          <w:rFonts w:ascii="Times New Roman" w:hAnsi="Times New Roman"/>
          <w:color w:val="000000"/>
          <w:sz w:val="24"/>
        </w:rPr>
        <w:t>=170.81/2.25=75.915kPa≤f</w:t>
      </w:r>
      <w:r>
        <w:rPr>
          <w:rFonts w:ascii="Times New Roman" w:hAnsi="Times New Roman"/>
          <w:color w:val="000000"/>
          <w:sz w:val="24"/>
          <w:vertAlign w:val="subscript"/>
        </w:rPr>
        <w:t>ak</w:t>
      </w:r>
      <w:r>
        <w:rPr>
          <w:rFonts w:ascii="Times New Roman" w:hAnsi="Times New Roman"/>
          <w:color w:val="000000"/>
          <w:sz w:val="24"/>
        </w:rPr>
        <w:t>=135kPa</w:t>
      </w:r>
    </w:p>
    <w:p w14:paraId="1B030DBA">
      <w:pPr>
        <w:spacing w:line="360" w:lineRule="auto"/>
      </w:pPr>
      <w:r>
        <w:rPr>
          <w:rFonts w:ascii="Times New Roman" w:hAnsi="Times New Roman"/>
          <w:color w:val="008000"/>
          <w:sz w:val="24"/>
        </w:rPr>
        <w:t xml:space="preserve">    满足要求！</w:t>
      </w:r>
    </w:p>
    <w:p w14:paraId="3F7A074D">
      <w:pPr>
        <w:spacing w:line="360" w:lineRule="auto"/>
      </w:pPr>
      <w:r>
        <w:rPr>
          <w:rFonts w:ascii="Times New Roman" w:hAnsi="Times New Roman"/>
          <w:b/>
          <w:color w:val="000000"/>
          <w:sz w:val="28"/>
        </w:rPr>
        <w:t xml:space="preserve"> 四、汽车式起重机抗倾覆计算</w:t>
      </w:r>
    </w:p>
    <w:p w14:paraId="21852FED">
      <w:pPr>
        <w:spacing w:line="360" w:lineRule="auto"/>
      </w:pPr>
      <w:r>
        <w:rPr>
          <w:rFonts w:ascii="Times New Roman" w:hAnsi="Times New Roman"/>
          <w:color w:val="000000"/>
          <w:sz w:val="24"/>
        </w:rPr>
        <w:t xml:space="preserve">    考虑抗倾覆安全系数后，如果出现支腿力为负数时，代表抗倾覆不满足要求，反之抗倾覆满足要求。考虑最不利情况，分别计算吊物在起重机后方和吊物在起重机侧方两种工况。</w:t>
      </w:r>
    </w:p>
    <w:p w14:paraId="58BA565A">
      <w:pPr>
        <w:spacing w:line="360" w:lineRule="auto"/>
      </w:pPr>
      <w:r>
        <w:rPr>
          <w:rFonts w:ascii="Times New Roman" w:hAnsi="Times New Roman"/>
          <w:b/>
          <w:color w:val="000000"/>
          <w:sz w:val="24"/>
        </w:rPr>
        <w:t xml:space="preserve">  1、吊物在起重机后方时</w:t>
      </w:r>
    </w:p>
    <w:p w14:paraId="3166B6AE">
      <w:pPr>
        <w:spacing w:line="360" w:lineRule="auto"/>
      </w:pPr>
      <w:r>
        <w:rPr>
          <w:rFonts w:ascii="Times New Roman" w:hAnsi="Times New Roman"/>
          <w:color w:val="000000"/>
          <w:sz w:val="24"/>
        </w:rPr>
        <w:t xml:space="preserve">    参考起重机支腿力计算章节，吊物在起重机后方时取β=0°，同时将吊重产生的倾覆力矩乘以k</w:t>
      </w:r>
      <w:r>
        <w:rPr>
          <w:rFonts w:ascii="Times New Roman" w:hAnsi="Times New Roman"/>
          <w:color w:val="000000"/>
          <w:sz w:val="24"/>
          <w:vertAlign w:val="subscript"/>
        </w:rPr>
        <w:t>2</w:t>
      </w:r>
      <w:r>
        <w:rPr>
          <w:rFonts w:ascii="Times New Roman" w:hAnsi="Times New Roman"/>
          <w:color w:val="000000"/>
          <w:sz w:val="24"/>
        </w:rPr>
        <w:t>=1.2，此时支腿荷载分别为F</w:t>
      </w:r>
      <w:r>
        <w:rPr>
          <w:rFonts w:ascii="Times New Roman" w:hAnsi="Times New Roman"/>
          <w:color w:val="000000"/>
          <w:sz w:val="24"/>
          <w:vertAlign w:val="subscript"/>
        </w:rPr>
        <w:t>a</w:t>
      </w:r>
      <w:r>
        <w:rPr>
          <w:rFonts w:ascii="Times New Roman" w:hAnsi="Times New Roman"/>
          <w:color w:val="000000"/>
          <w:sz w:val="24"/>
        </w:rPr>
        <w:t>=3.967吨，F</w:t>
      </w:r>
      <w:r>
        <w:rPr>
          <w:rFonts w:ascii="Times New Roman" w:hAnsi="Times New Roman"/>
          <w:color w:val="000000"/>
          <w:sz w:val="24"/>
          <w:vertAlign w:val="subscript"/>
        </w:rPr>
        <w:t>b</w:t>
      </w:r>
      <w:r>
        <w:rPr>
          <w:rFonts w:ascii="Times New Roman" w:hAnsi="Times New Roman"/>
          <w:color w:val="000000"/>
          <w:sz w:val="24"/>
        </w:rPr>
        <w:t>=15.722吨，F</w:t>
      </w:r>
      <w:r>
        <w:rPr>
          <w:rFonts w:ascii="Times New Roman" w:hAnsi="Times New Roman"/>
          <w:color w:val="000000"/>
          <w:sz w:val="24"/>
          <w:vertAlign w:val="subscript"/>
        </w:rPr>
        <w:t>c</w:t>
      </w:r>
      <w:r>
        <w:rPr>
          <w:rFonts w:ascii="Times New Roman" w:hAnsi="Times New Roman"/>
          <w:color w:val="000000"/>
          <w:sz w:val="24"/>
        </w:rPr>
        <w:t>=15.722吨，F</w:t>
      </w:r>
      <w:r>
        <w:rPr>
          <w:rFonts w:ascii="Times New Roman" w:hAnsi="Times New Roman"/>
          <w:color w:val="000000"/>
          <w:sz w:val="24"/>
          <w:vertAlign w:val="subscript"/>
        </w:rPr>
        <w:t>d</w:t>
      </w:r>
      <w:r>
        <w:rPr>
          <w:rFonts w:ascii="Times New Roman" w:hAnsi="Times New Roman"/>
          <w:color w:val="000000"/>
          <w:sz w:val="24"/>
        </w:rPr>
        <w:t>=3.967吨。</w:t>
      </w:r>
    </w:p>
    <w:p w14:paraId="6A9FE34C">
      <w:pPr>
        <w:spacing w:line="360" w:lineRule="auto"/>
      </w:pPr>
      <w:r>
        <w:rPr>
          <w:rFonts w:ascii="Times New Roman" w:hAnsi="Times New Roman"/>
          <w:color w:val="000000"/>
          <w:sz w:val="24"/>
        </w:rPr>
        <w:t xml:space="preserve">    没有出现支腿荷载为负数。</w:t>
      </w:r>
    </w:p>
    <w:p w14:paraId="50623F03">
      <w:pPr>
        <w:spacing w:line="360" w:lineRule="auto"/>
      </w:pPr>
      <w:r>
        <w:rPr>
          <w:rFonts w:ascii="Times New Roman" w:hAnsi="Times New Roman"/>
          <w:color w:val="008000"/>
          <w:sz w:val="24"/>
        </w:rPr>
        <w:t xml:space="preserve">    抗倾覆满足要求！</w:t>
      </w:r>
    </w:p>
    <w:p w14:paraId="3B931066">
      <w:pPr>
        <w:spacing w:line="360" w:lineRule="auto"/>
      </w:pPr>
      <w:r>
        <w:rPr>
          <w:rFonts w:ascii="Times New Roman" w:hAnsi="Times New Roman"/>
          <w:b/>
          <w:color w:val="000000"/>
          <w:sz w:val="24"/>
        </w:rPr>
        <w:t xml:space="preserve">  2、吊物在起重机侧方时</w:t>
      </w:r>
    </w:p>
    <w:p w14:paraId="093C60A1">
      <w:pPr>
        <w:spacing w:line="360" w:lineRule="auto"/>
      </w:pPr>
      <w:r>
        <w:rPr>
          <w:rFonts w:ascii="Times New Roman" w:hAnsi="Times New Roman"/>
          <w:color w:val="000000"/>
          <w:sz w:val="24"/>
        </w:rPr>
        <w:t xml:space="preserve">    参考起重机支腿力计算章节，吊物在起重机侧方时取β=90°，同时将吊重产生的倾覆力矩乘以k</w:t>
      </w:r>
      <w:r>
        <w:rPr>
          <w:rFonts w:ascii="Times New Roman" w:hAnsi="Times New Roman"/>
          <w:color w:val="000000"/>
          <w:sz w:val="24"/>
          <w:vertAlign w:val="subscript"/>
        </w:rPr>
        <w:t>2</w:t>
      </w:r>
      <w:r>
        <w:rPr>
          <w:rFonts w:ascii="Times New Roman" w:hAnsi="Times New Roman"/>
          <w:color w:val="000000"/>
          <w:sz w:val="24"/>
        </w:rPr>
        <w:t>=1.2，此时支腿荷载分别为F</w:t>
      </w:r>
      <w:r>
        <w:rPr>
          <w:rFonts w:ascii="Times New Roman" w:hAnsi="Times New Roman"/>
          <w:color w:val="000000"/>
          <w:sz w:val="24"/>
          <w:vertAlign w:val="subscript"/>
        </w:rPr>
        <w:t>a</w:t>
      </w:r>
      <w:r>
        <w:rPr>
          <w:rFonts w:ascii="Times New Roman" w:hAnsi="Times New Roman"/>
          <w:color w:val="000000"/>
          <w:sz w:val="24"/>
        </w:rPr>
        <w:t>=16.527吨，F</w:t>
      </w:r>
      <w:r>
        <w:rPr>
          <w:rFonts w:ascii="Times New Roman" w:hAnsi="Times New Roman"/>
          <w:color w:val="000000"/>
          <w:sz w:val="24"/>
          <w:vertAlign w:val="subscript"/>
        </w:rPr>
        <w:t>b</w:t>
      </w:r>
      <w:r>
        <w:rPr>
          <w:rFonts w:ascii="Times New Roman" w:hAnsi="Times New Roman"/>
          <w:color w:val="000000"/>
          <w:sz w:val="24"/>
        </w:rPr>
        <w:t>=15.5吨，F</w:t>
      </w:r>
      <w:r>
        <w:rPr>
          <w:rFonts w:ascii="Times New Roman" w:hAnsi="Times New Roman"/>
          <w:color w:val="000000"/>
          <w:sz w:val="24"/>
          <w:vertAlign w:val="subscript"/>
        </w:rPr>
        <w:t>c</w:t>
      </w:r>
      <w:r>
        <w:rPr>
          <w:rFonts w:ascii="Times New Roman" w:hAnsi="Times New Roman"/>
          <w:color w:val="000000"/>
          <w:sz w:val="24"/>
        </w:rPr>
        <w:t>=0.989吨，F</w:t>
      </w:r>
      <w:r>
        <w:rPr>
          <w:rFonts w:ascii="Times New Roman" w:hAnsi="Times New Roman"/>
          <w:color w:val="000000"/>
          <w:sz w:val="24"/>
          <w:vertAlign w:val="subscript"/>
        </w:rPr>
        <w:t>d</w:t>
      </w:r>
      <w:r>
        <w:rPr>
          <w:rFonts w:ascii="Times New Roman" w:hAnsi="Times New Roman"/>
          <w:color w:val="000000"/>
          <w:sz w:val="24"/>
        </w:rPr>
        <w:t>=6.362吨。</w:t>
      </w:r>
    </w:p>
    <w:p w14:paraId="0AE0A265">
      <w:pPr>
        <w:spacing w:line="360" w:lineRule="auto"/>
      </w:pPr>
      <w:r>
        <w:rPr>
          <w:rFonts w:ascii="Times New Roman" w:hAnsi="Times New Roman"/>
          <w:color w:val="000000"/>
          <w:sz w:val="24"/>
        </w:rPr>
        <w:t xml:space="preserve">    没有出现支腿荷载为负数。</w:t>
      </w:r>
    </w:p>
    <w:p w14:paraId="40120E99">
      <w:pPr>
        <w:spacing w:line="360" w:lineRule="auto"/>
      </w:pPr>
      <w:r>
        <w:rPr>
          <w:rFonts w:ascii="Times New Roman" w:hAnsi="Times New Roman"/>
          <w:color w:val="008000"/>
          <w:sz w:val="24"/>
        </w:rPr>
        <w:t xml:space="preserve">    抗倾覆满足要求！</w:t>
      </w:r>
    </w:p>
    <w:p w14:paraId="73031C47">
      <w:pPr>
        <w:spacing w:line="360" w:lineRule="auto"/>
        <w:ind w:firstLine="480"/>
      </w:pPr>
    </w:p>
    <w:p w14:paraId="02D6B4EF">
      <w:pPr>
        <w:spacing w:line="360" w:lineRule="auto"/>
        <w:ind w:firstLine="560"/>
      </w:pPr>
    </w:p>
    <w:p w14:paraId="681E25DA">
      <w:pPr>
        <w:pStyle w:val="2"/>
        <w:ind w:right="1960"/>
        <w:jc w:val="center"/>
        <w:outlineLvl w:val="0"/>
        <w:rPr>
          <w:color w:val="000000"/>
        </w:rPr>
      </w:pPr>
      <w:bookmarkStart w:id="269" w:name="_Toc31067"/>
      <w:bookmarkStart w:id="270" w:name="_Toc11397"/>
      <w:bookmarkStart w:id="271" w:name="_Toc1524"/>
      <w:bookmarkStart w:id="272" w:name="_Toc10672"/>
      <w:bookmarkStart w:id="273" w:name="_Toc3319"/>
      <w:bookmarkStart w:id="274" w:name="_Toc14360"/>
      <w:bookmarkStart w:id="275" w:name="_Toc29110"/>
      <w:bookmarkStart w:id="276" w:name="_Toc9309"/>
      <w:bookmarkStart w:id="277" w:name="_Toc16506"/>
      <w:r>
        <w:rPr>
          <w:rFonts w:hint="eastAsia"/>
          <w:color w:val="000000"/>
        </w:rPr>
        <w:t>第五章 XGT6015A-8S安装施工方案</w:t>
      </w:r>
      <w:bookmarkEnd w:id="269"/>
      <w:bookmarkEnd w:id="270"/>
    </w:p>
    <w:bookmarkEnd w:id="271"/>
    <w:bookmarkEnd w:id="272"/>
    <w:bookmarkEnd w:id="273"/>
    <w:bookmarkEnd w:id="274"/>
    <w:bookmarkEnd w:id="275"/>
    <w:bookmarkEnd w:id="276"/>
    <w:bookmarkEnd w:id="277"/>
    <w:p w14:paraId="1B57CC30">
      <w:pPr>
        <w:pStyle w:val="3"/>
      </w:pPr>
      <w:bookmarkStart w:id="278" w:name="_Toc525111828"/>
      <w:bookmarkStart w:id="279" w:name="_Toc31742"/>
      <w:bookmarkStart w:id="280" w:name="_Toc26544_WPSOffice_Level2"/>
      <w:bookmarkStart w:id="281" w:name="_Toc29556"/>
      <w:bookmarkStart w:id="282" w:name="_Toc2298_WPSOffice_Level2"/>
      <w:bookmarkStart w:id="283" w:name="_Toc4906"/>
      <w:bookmarkStart w:id="284" w:name="_Toc14104"/>
      <w:bookmarkStart w:id="285" w:name="_Toc8978"/>
      <w:bookmarkStart w:id="286" w:name="_Toc21929"/>
      <w:r>
        <w:rPr>
          <w:rFonts w:hint="eastAsia"/>
        </w:rPr>
        <w:t>5.1塔机安装</w:t>
      </w:r>
      <w:bookmarkEnd w:id="278"/>
      <w:r>
        <w:rPr>
          <w:rFonts w:hint="eastAsia"/>
        </w:rPr>
        <w:t>流程</w:t>
      </w:r>
      <w:bookmarkEnd w:id="279"/>
      <w:bookmarkEnd w:id="280"/>
      <w:bookmarkEnd w:id="281"/>
      <w:bookmarkEnd w:id="282"/>
      <w:bookmarkEnd w:id="283"/>
      <w:bookmarkEnd w:id="284"/>
      <w:bookmarkEnd w:id="285"/>
      <w:bookmarkEnd w:id="286"/>
    </w:p>
    <w:p w14:paraId="53B7703D">
      <w:pPr>
        <w:pStyle w:val="4"/>
      </w:pPr>
      <w:r>
        <w:rPr>
          <w:rFonts w:hint="eastAsia"/>
        </w:rPr>
        <w:t>5.1.1  XGT6015A-8S塔机安装流程</w:t>
      </w:r>
    </w:p>
    <w:p w14:paraId="2DBAAB29">
      <w:pPr>
        <w:ind w:firstLine="560"/>
      </w:pPr>
      <w:r>
        <w:rPr>
          <w:rFonts w:hint="eastAsia"/>
          <w:color w:val="000000"/>
        </w:rPr>
        <w:t>安装工艺流程:</w:t>
      </w:r>
      <w:r>
        <w:t>吊装1节基础节及</w:t>
      </w:r>
      <w:r>
        <w:rPr>
          <w:rFonts w:hint="eastAsia"/>
        </w:rPr>
        <w:t>1</w:t>
      </w:r>
      <w:r>
        <w:t>节标准节→吊装爬升架→安装</w:t>
      </w:r>
      <w:r>
        <w:rPr>
          <w:rFonts w:hint="eastAsia"/>
        </w:rPr>
        <w:t>特殊节</w:t>
      </w:r>
      <w:r>
        <w:t>→</w:t>
      </w:r>
      <w:r>
        <w:rPr>
          <w:rFonts w:hint="eastAsia"/>
        </w:rPr>
        <w:t>安装回转总成→电工接线</w:t>
      </w:r>
      <w:r>
        <w:t>→安装</w:t>
      </w:r>
      <w:r>
        <w:rPr>
          <w:rFonts w:hint="eastAsia"/>
        </w:rPr>
        <w:t>起重臂根节</w:t>
      </w:r>
      <w:r>
        <w:t>→安装平衡臂总成→吊装</w:t>
      </w:r>
      <w:r>
        <w:rPr>
          <w:rFonts w:hint="eastAsia"/>
        </w:rPr>
        <w:t>2</w:t>
      </w:r>
      <w:r>
        <w:t>块3.</w:t>
      </w:r>
      <w:r>
        <w:rPr>
          <w:rFonts w:hint="eastAsia"/>
        </w:rPr>
        <w:t>2</w:t>
      </w:r>
      <w:r>
        <w:t>t配重→安装</w:t>
      </w:r>
      <w:r>
        <w:rPr>
          <w:rFonts w:hint="eastAsia"/>
        </w:rPr>
        <w:t>剩余</w:t>
      </w:r>
      <w:r>
        <w:t>起重臂总成→配装剩余平衡重→电工接线→钢丝绳穿绕→电气安全保护装置调整→试运转空载荷和负载荷实验→顶升加节→验收→合格后投入使用</w:t>
      </w:r>
      <w:r>
        <w:rPr>
          <w:rFonts w:hint="eastAsia"/>
        </w:rPr>
        <w:t>。</w:t>
      </w:r>
    </w:p>
    <w:p w14:paraId="112C7ADD">
      <w:pPr>
        <w:pStyle w:val="3"/>
      </w:pPr>
      <w:bookmarkStart w:id="287" w:name="_Toc20435"/>
      <w:bookmarkStart w:id="288" w:name="_Toc2901"/>
      <w:r>
        <w:rPr>
          <w:rFonts w:hint="eastAsia"/>
        </w:rPr>
        <w:t>5.2安装前准备工作</w:t>
      </w:r>
      <w:bookmarkEnd w:id="287"/>
      <w:bookmarkEnd w:id="288"/>
    </w:p>
    <w:p w14:paraId="704260D6">
      <w:pPr>
        <w:autoSpaceDE w:val="0"/>
        <w:autoSpaceDN w:val="0"/>
        <w:adjustRightInd w:val="0"/>
        <w:ind w:firstLine="560"/>
        <w:rPr>
          <w:rFonts w:ascii="宋体" w:hAnsi="宋体" w:cs="宋体"/>
          <w:color w:val="1E1C11" w:themeColor="background2" w:themeShade="1A"/>
          <w:kern w:val="0"/>
        </w:rPr>
      </w:pPr>
      <w:bookmarkStart w:id="289" w:name="_Toc27181"/>
      <w:bookmarkStart w:id="290" w:name="_Toc18971"/>
      <w:bookmarkStart w:id="291" w:name="_Toc12209"/>
      <w:bookmarkStart w:id="292" w:name="_Toc23602"/>
      <w:bookmarkStart w:id="293" w:name="_Toc9330"/>
      <w:bookmarkStart w:id="294" w:name="_Toc14060"/>
      <w:r>
        <w:rPr>
          <w:rFonts w:hint="eastAsia" w:ascii="宋体" w:hAnsi="宋体" w:cs="宋体"/>
          <w:color w:val="1E1C11" w:themeColor="background2" w:themeShade="1A"/>
          <w:kern w:val="0"/>
        </w:rPr>
        <w:t>1．由塔机使用单位对施工现场的道路进行铺设与平整，并清除障碍等。</w:t>
      </w:r>
    </w:p>
    <w:p w14:paraId="0688BCD2">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2．由塔机使用单位与塔机安装技术负责人按基础制作的技术要求共同对塔机砼基础进行验收。</w:t>
      </w:r>
    </w:p>
    <w:p w14:paraId="62D44C0E">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3．由塔机质检人员对塔机进行检查，检查内容如下：</w:t>
      </w:r>
    </w:p>
    <w:p w14:paraId="0A876FD2">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A.钢结构件有无严重锈蚀变形开裂与脱焊；</w:t>
      </w:r>
    </w:p>
    <w:p w14:paraId="462653B2">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B.钢丝绳是否牢固可靠，完好状态是否符合要求，绳扎头是否可靠；</w:t>
      </w:r>
    </w:p>
    <w:p w14:paraId="4B97846E">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C.各电路及电气元件是否正常；</w:t>
      </w:r>
    </w:p>
    <w:p w14:paraId="026E0E4A">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D.爬升机构导向轮是否转动灵活，与塔机间隙是否符合要求</w:t>
      </w:r>
    </w:p>
    <w:p w14:paraId="4D8CA86E">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E.顶升液压装置是否正常；</w:t>
      </w:r>
    </w:p>
    <w:p w14:paraId="74CDBD83">
      <w:pPr>
        <w:autoSpaceDE w:val="0"/>
        <w:autoSpaceDN w:val="0"/>
        <w:adjustRightInd w:val="0"/>
        <w:ind w:firstLine="840" w:firstLineChars="300"/>
        <w:rPr>
          <w:rFonts w:ascii="宋体" w:hAnsi="宋体" w:cs="宋体"/>
          <w:color w:val="1E1C11" w:themeColor="background2" w:themeShade="1A"/>
          <w:kern w:val="0"/>
        </w:rPr>
      </w:pPr>
      <w:r>
        <w:rPr>
          <w:rFonts w:hint="eastAsia" w:ascii="宋体" w:hAnsi="宋体" w:cs="宋体"/>
          <w:color w:val="1E1C11" w:themeColor="background2" w:themeShade="1A"/>
          <w:kern w:val="0"/>
        </w:rPr>
        <w:t>F.转场塔机安装前应认真进行检修、保养，对变形件及时修复，必要时全机涂装油漆。</w:t>
      </w:r>
    </w:p>
    <w:p w14:paraId="24C03C50">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4．按要求做好人员的组织工作。</w:t>
      </w:r>
    </w:p>
    <w:p w14:paraId="5D12181B">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5．要求做好常用工具、索具及材料的配备。</w:t>
      </w:r>
    </w:p>
    <w:p w14:paraId="1D96EEBE">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6．由技术负责人对全体作业人员进行技术交底。</w:t>
      </w:r>
    </w:p>
    <w:p w14:paraId="0EC77E8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7．由安全员对全体作业人员进行安全交底。</w:t>
      </w:r>
    </w:p>
    <w:p w14:paraId="4D207E5A">
      <w:pPr>
        <w:autoSpaceDE w:val="0"/>
        <w:autoSpaceDN w:val="0"/>
        <w:adjustRightInd w:val="0"/>
        <w:ind w:firstLine="560"/>
        <w:rPr>
          <w:color w:val="000000"/>
        </w:rPr>
      </w:pPr>
      <w:r>
        <w:rPr>
          <w:rFonts w:hint="eastAsia" w:ascii="宋体" w:hAnsi="宋体" w:cs="宋体"/>
          <w:color w:val="1E1C11" w:themeColor="background2" w:themeShade="1A"/>
          <w:kern w:val="0"/>
        </w:rPr>
        <w:t>8.明确分工职责，持证上岗，作业过程中做好安全防护。</w:t>
      </w:r>
      <w:r>
        <w:rPr>
          <w:rFonts w:hint="eastAsia"/>
          <w:color w:val="000000"/>
        </w:rPr>
        <w:br w:type="page"/>
      </w:r>
    </w:p>
    <w:p w14:paraId="274F89D3">
      <w:pPr>
        <w:pStyle w:val="3"/>
      </w:pPr>
      <w:bookmarkStart w:id="295" w:name="_Toc24103"/>
      <w:bookmarkStart w:id="296" w:name="_Toc1399"/>
      <w:r>
        <w:rPr>
          <w:rFonts w:hint="eastAsia"/>
        </w:rPr>
        <w:t>5.3 XGT6015A-8S塔机主机安装过程</w:t>
      </w:r>
      <w:bookmarkEnd w:id="289"/>
      <w:bookmarkEnd w:id="290"/>
      <w:bookmarkEnd w:id="291"/>
      <w:bookmarkEnd w:id="292"/>
      <w:bookmarkEnd w:id="293"/>
      <w:bookmarkEnd w:id="294"/>
      <w:bookmarkEnd w:id="295"/>
      <w:bookmarkEnd w:id="296"/>
    </w:p>
    <w:p w14:paraId="2B4EF8DD">
      <w:pPr>
        <w:autoSpaceDE w:val="0"/>
        <w:autoSpaceDN w:val="0"/>
        <w:adjustRightInd w:val="0"/>
        <w:ind w:firstLine="560"/>
        <w:rPr>
          <w:rFonts w:ascii="宋体" w:hAnsi="宋体" w:cs="宋体"/>
          <w:color w:val="1E1C11" w:themeColor="background2" w:themeShade="1A"/>
          <w:kern w:val="0"/>
        </w:rPr>
      </w:pPr>
      <w:bookmarkStart w:id="297" w:name="_Toc1401"/>
      <w:bookmarkStart w:id="298" w:name="_Toc29112"/>
      <w:bookmarkStart w:id="299" w:name="_Toc9554"/>
      <w:bookmarkStart w:id="300" w:name="_Toc535"/>
      <w:bookmarkStart w:id="301" w:name="_Toc16577"/>
      <w:bookmarkStart w:id="302" w:name="_Toc10727"/>
      <w:bookmarkStart w:id="303" w:name="_Toc22837"/>
      <w:bookmarkStart w:id="304" w:name="_Toc2085"/>
      <w:bookmarkStart w:id="305" w:name="_Toc27416"/>
      <w:bookmarkStart w:id="306" w:name="_Toc20360"/>
      <w:bookmarkStart w:id="307" w:name="_Toc533610108"/>
      <w:bookmarkStart w:id="308" w:name="_Toc326854323"/>
      <w:bookmarkStart w:id="309" w:name="_Toc31593"/>
      <w:bookmarkStart w:id="310" w:name="_Toc2791"/>
      <w:bookmarkStart w:id="311" w:name="_Toc26064"/>
      <w:r>
        <w:rPr>
          <w:rFonts w:hint="eastAsia" w:ascii="宋体" w:hAnsi="宋体" w:cs="宋体"/>
          <w:color w:val="1E1C11" w:themeColor="background2" w:themeShade="1A"/>
          <w:kern w:val="0"/>
        </w:rPr>
        <w:t>在塔机安装过程中只需要安装一节基础节、1节标准节即可安装爬升架和回转总成等部件。在安装平衡臂和大臂前要先接通回转电源，以便于大臂的安装。</w:t>
      </w:r>
    </w:p>
    <w:p w14:paraId="62A4F7E5">
      <w:pPr>
        <w:pStyle w:val="4"/>
        <w:spacing w:line="240" w:lineRule="auto"/>
        <w:rPr>
          <w:rFonts w:ascii="黑体" w:hAnsi="黑体" w:cs="黑体"/>
          <w:bCs/>
          <w:color w:val="000000"/>
        </w:rPr>
      </w:pPr>
      <w:bookmarkStart w:id="312" w:name="_Toc22888"/>
      <w:r>
        <w:rPr>
          <w:rFonts w:hint="eastAsia" w:ascii="黑体" w:hAnsi="黑体" w:cs="黑体"/>
          <w:bCs/>
          <w:color w:val="000000"/>
        </w:rPr>
        <w:t>5.3.1吊装一节基础节</w:t>
      </w:r>
      <w:bookmarkEnd w:id="312"/>
    </w:p>
    <w:p w14:paraId="272DDAC1">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基础节是一个整体节，不需要进行再拼装，安装前需注意顶升方向。</w:t>
      </w:r>
    </w:p>
    <w:p w14:paraId="50A99C79">
      <w:pPr>
        <w:autoSpaceDE w:val="0"/>
        <w:autoSpaceDN w:val="0"/>
        <w:adjustRightInd w:val="0"/>
        <w:ind w:firstLine="560"/>
        <w:rPr>
          <w:rFonts w:ascii="宋体" w:hAnsi="宋体" w:cs="宋体"/>
          <w:color w:val="1E1C11" w:themeColor="background2" w:themeShade="1A"/>
          <w:kern w:val="0"/>
        </w:rPr>
      </w:pPr>
      <w:r>
        <w:rPr>
          <w:rFonts w:hint="eastAsia"/>
          <w:color w:val="000000"/>
        </w:rPr>
        <w:t>基础节重1.751t，使用25T汽车吊，采用两根Φ24×6m钢丝绳，4个3.25t卸扣，4吊点起吊。</w:t>
      </w:r>
    </w:p>
    <w:p w14:paraId="6A9F7220">
      <w:pPr>
        <w:autoSpaceDE w:val="0"/>
        <w:autoSpaceDN w:val="0"/>
        <w:adjustRightInd w:val="0"/>
        <w:spacing w:line="240" w:lineRule="auto"/>
        <w:ind w:firstLine="0" w:firstLineChars="0"/>
        <w:jc w:val="center"/>
        <w:rPr>
          <w:rFonts w:ascii="宋体" w:hAnsi="宋体" w:cs="宋体"/>
          <w:color w:val="1E1C11" w:themeColor="background2" w:themeShade="1A"/>
          <w:kern w:val="0"/>
        </w:rPr>
      </w:pPr>
      <w:r>
        <w:rPr>
          <w:rFonts w:ascii="宋体" w:hAnsi="宋体" w:cs="宋体"/>
          <w:color w:val="1E1C11" w:themeColor="background2" w:themeShade="1A"/>
          <w:kern w:val="0"/>
        </w:rPr>
        <w:t>如下图所示，将基础节总成（1）吊起至固定支腿（2）的上方，缓缓放下，将主弦对齐，连接套孔（5、6）对准，用高强螺栓（3、4、7）将其紧固。</w:t>
      </w:r>
      <w:r>
        <w:drawing>
          <wp:inline distT="0" distB="0" distL="114300" distR="114300">
            <wp:extent cx="4110355" cy="2141855"/>
            <wp:effectExtent l="0" t="0" r="4445" b="1079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8"/>
                    <a:stretch>
                      <a:fillRect/>
                    </a:stretch>
                  </pic:blipFill>
                  <pic:spPr>
                    <a:xfrm>
                      <a:off x="0" y="0"/>
                      <a:ext cx="4110355" cy="2141855"/>
                    </a:xfrm>
                    <a:prstGeom prst="rect">
                      <a:avLst/>
                    </a:prstGeom>
                    <a:noFill/>
                    <a:ln>
                      <a:noFill/>
                    </a:ln>
                  </pic:spPr>
                </pic:pic>
              </a:graphicData>
            </a:graphic>
          </wp:inline>
        </w:drawing>
      </w:r>
      <w:r>
        <w:drawing>
          <wp:inline distT="0" distB="0" distL="114300" distR="114300">
            <wp:extent cx="1943735" cy="2880995"/>
            <wp:effectExtent l="0" t="0" r="18415" b="1460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29"/>
                    <a:stretch>
                      <a:fillRect/>
                    </a:stretch>
                  </pic:blipFill>
                  <pic:spPr>
                    <a:xfrm>
                      <a:off x="0" y="0"/>
                      <a:ext cx="1943735" cy="2880995"/>
                    </a:xfrm>
                    <a:prstGeom prst="rect">
                      <a:avLst/>
                    </a:prstGeom>
                    <a:noFill/>
                    <a:ln>
                      <a:noFill/>
                    </a:ln>
                  </pic:spPr>
                </pic:pic>
              </a:graphicData>
            </a:graphic>
          </wp:inline>
        </w:drawing>
      </w:r>
      <w:r>
        <w:drawing>
          <wp:inline distT="0" distB="0" distL="114300" distR="114300">
            <wp:extent cx="2847975" cy="2847975"/>
            <wp:effectExtent l="0" t="0" r="9525" b="952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30"/>
                    <a:stretch>
                      <a:fillRect/>
                    </a:stretch>
                  </pic:blipFill>
                  <pic:spPr>
                    <a:xfrm>
                      <a:off x="0" y="0"/>
                      <a:ext cx="2847975" cy="2847975"/>
                    </a:xfrm>
                    <a:prstGeom prst="rect">
                      <a:avLst/>
                    </a:prstGeom>
                    <a:noFill/>
                    <a:ln>
                      <a:noFill/>
                    </a:ln>
                  </pic:spPr>
                </pic:pic>
              </a:graphicData>
            </a:graphic>
          </wp:inline>
        </w:drawing>
      </w:r>
    </w:p>
    <w:p w14:paraId="5F84C365">
      <w:pPr>
        <w:pStyle w:val="122"/>
        <w:spacing w:before="29" w:line="360" w:lineRule="auto"/>
        <w:ind w:right="159"/>
        <w:outlineLvl w:val="9"/>
      </w:pPr>
      <w:r>
        <w:rPr>
          <w:rFonts w:hint="eastAsia"/>
        </w:rPr>
        <w:t>图5.3-1 基础节安装示意图</w:t>
      </w:r>
    </w:p>
    <w:p w14:paraId="412EB553">
      <w:pPr>
        <w:ind w:firstLine="560"/>
      </w:pPr>
      <w:r>
        <w:rPr>
          <w:rFonts w:hint="eastAsia"/>
        </w:rPr>
        <w:t>注意；</w:t>
      </w:r>
    </w:p>
    <w:p w14:paraId="60FF9074">
      <w:pPr>
        <w:ind w:firstLine="560"/>
      </w:pPr>
      <w:r>
        <w:rPr>
          <w:rFonts w:hint="eastAsia"/>
        </w:rPr>
        <w:t>1）确保安装过程中的吊装安全可靠。</w:t>
      </w:r>
    </w:p>
    <w:p w14:paraId="0208EBB2">
      <w:pPr>
        <w:ind w:firstLine="560"/>
      </w:pPr>
      <w:r>
        <w:rPr>
          <w:rFonts w:hint="eastAsia"/>
        </w:rPr>
        <w:t>2）注意基础节踏步安装方向应与建筑物方向垂直，否则将会造成后期无法降塔！</w:t>
      </w:r>
    </w:p>
    <w:p w14:paraId="3C564277">
      <w:pPr>
        <w:ind w:firstLine="560"/>
      </w:pPr>
      <w:r>
        <w:rPr>
          <w:rFonts w:hint="eastAsia"/>
        </w:rPr>
        <w:t>3）此处因受安装空间的限制，高强螺栓的安装方向为从上往下穿入。</w:t>
      </w:r>
    </w:p>
    <w:p w14:paraId="0FAA3B8D">
      <w:pPr>
        <w:ind w:firstLine="560"/>
      </w:pPr>
      <w:r>
        <w:rPr>
          <w:rFonts w:hint="eastAsia"/>
        </w:rPr>
        <w:t>4）高强螺栓安装前，须涂抹润滑脂，M30 高强螺栓的预紧力矩为 1600N·m，每根高强度螺栓均应装配两个垫圈（一个垫在螺栓头下，一个垫在螺母下，且使有倒角的一面朝向螺栓头或螺母）及两个螺母并拧紧防松，双螺母中防松螺母拧紧力矩应同样达到1600N.m。</w:t>
      </w:r>
    </w:p>
    <w:p w14:paraId="21F7635E">
      <w:pPr>
        <w:spacing w:line="240" w:lineRule="auto"/>
        <w:ind w:firstLine="0" w:firstLineChars="0"/>
        <w:jc w:val="center"/>
      </w:pPr>
      <w:r>
        <w:drawing>
          <wp:inline distT="0" distB="0" distL="114300" distR="114300">
            <wp:extent cx="2924175" cy="1847850"/>
            <wp:effectExtent l="0" t="0" r="9525"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31"/>
                    <a:stretch>
                      <a:fillRect/>
                    </a:stretch>
                  </pic:blipFill>
                  <pic:spPr>
                    <a:xfrm>
                      <a:off x="0" y="0"/>
                      <a:ext cx="2924175" cy="1847850"/>
                    </a:xfrm>
                    <a:prstGeom prst="rect">
                      <a:avLst/>
                    </a:prstGeom>
                    <a:noFill/>
                    <a:ln>
                      <a:noFill/>
                    </a:ln>
                  </pic:spPr>
                </pic:pic>
              </a:graphicData>
            </a:graphic>
          </wp:inline>
        </w:drawing>
      </w:r>
    </w:p>
    <w:p w14:paraId="0C3FE0F6">
      <w:pPr>
        <w:pStyle w:val="122"/>
        <w:spacing w:before="29" w:line="360" w:lineRule="auto"/>
        <w:ind w:right="159"/>
        <w:outlineLvl w:val="9"/>
      </w:pPr>
      <w:r>
        <w:rPr>
          <w:rFonts w:hint="eastAsia"/>
        </w:rPr>
        <w:t>图5.3-2基础节安装方向示意图</w:t>
      </w:r>
    </w:p>
    <w:p w14:paraId="275FF2D2">
      <w:pPr>
        <w:pStyle w:val="4"/>
        <w:spacing w:line="240" w:lineRule="auto"/>
        <w:rPr>
          <w:rFonts w:ascii="黑体" w:hAnsi="黑体" w:cs="黑体"/>
          <w:bCs/>
          <w:color w:val="000000"/>
        </w:rPr>
      </w:pPr>
      <w:r>
        <w:rPr>
          <w:rFonts w:hint="eastAsia" w:ascii="黑体" w:hAnsi="黑体" w:cs="黑体"/>
          <w:bCs/>
          <w:color w:val="000000"/>
        </w:rPr>
        <w:t>5.3.2吊装一节标准节</w:t>
      </w:r>
    </w:p>
    <w:p w14:paraId="24E9165E">
      <w:pPr>
        <w:autoSpaceDE w:val="0"/>
        <w:autoSpaceDN w:val="0"/>
        <w:adjustRightInd w:val="0"/>
        <w:ind w:firstLine="560"/>
        <w:rPr>
          <w:rFonts w:ascii="宋体" w:hAnsi="宋体" w:cs="宋体"/>
          <w:color w:val="1E1C11" w:themeColor="background2" w:themeShade="1A"/>
          <w:kern w:val="0"/>
        </w:rPr>
      </w:pPr>
      <w:r>
        <w:rPr>
          <w:rFonts w:hint="eastAsia"/>
          <w:color w:val="000000"/>
        </w:rPr>
        <w:t>标准节重0.856t，使用25T汽车吊，采用两根Φ24×6m钢丝绳，4个3.25t卸扣，4吊点起吊。</w:t>
      </w:r>
    </w:p>
    <w:p w14:paraId="5C6C421A">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如下图所示，将标准节吊起至下方塔身节的上方，缓缓放下，对准将连接套（4、5），用高强螺栓以及对应垫圈、螺母（2、3、6）将其连接。</w:t>
      </w:r>
    </w:p>
    <w:p w14:paraId="6903B2A0">
      <w:pPr>
        <w:wordWrap w:val="0"/>
        <w:spacing w:line="360" w:lineRule="auto"/>
        <w:ind w:firstLine="0" w:firstLineChars="0"/>
        <w:jc w:val="center"/>
        <w:rPr>
          <w:rFonts w:ascii="宋体" w:hAnsi="宋体" w:eastAsia="宋体" w:cs="宋体"/>
          <w:color w:val="000000"/>
          <w:sz w:val="24"/>
          <w:szCs w:val="20"/>
        </w:rPr>
      </w:pPr>
      <w:r>
        <w:drawing>
          <wp:inline distT="0" distB="0" distL="114300" distR="114300">
            <wp:extent cx="5248910" cy="3514725"/>
            <wp:effectExtent l="0" t="0" r="8890" b="952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32"/>
                    <a:stretch>
                      <a:fillRect/>
                    </a:stretch>
                  </pic:blipFill>
                  <pic:spPr>
                    <a:xfrm>
                      <a:off x="0" y="0"/>
                      <a:ext cx="5248910" cy="3514725"/>
                    </a:xfrm>
                    <a:prstGeom prst="rect">
                      <a:avLst/>
                    </a:prstGeom>
                    <a:noFill/>
                    <a:ln>
                      <a:noFill/>
                    </a:ln>
                  </pic:spPr>
                </pic:pic>
              </a:graphicData>
            </a:graphic>
          </wp:inline>
        </w:drawing>
      </w:r>
      <w:r>
        <w:drawing>
          <wp:inline distT="0" distB="0" distL="114300" distR="114300">
            <wp:extent cx="1677035" cy="2787015"/>
            <wp:effectExtent l="0" t="0" r="18415" b="13335"/>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33"/>
                    <a:stretch>
                      <a:fillRect/>
                    </a:stretch>
                  </pic:blipFill>
                  <pic:spPr>
                    <a:xfrm>
                      <a:off x="0" y="0"/>
                      <a:ext cx="1677035" cy="2787015"/>
                    </a:xfrm>
                    <a:prstGeom prst="rect">
                      <a:avLst/>
                    </a:prstGeom>
                    <a:noFill/>
                    <a:ln>
                      <a:noFill/>
                    </a:ln>
                  </pic:spPr>
                </pic:pic>
              </a:graphicData>
            </a:graphic>
          </wp:inline>
        </w:drawing>
      </w:r>
      <w:r>
        <w:drawing>
          <wp:inline distT="0" distB="0" distL="114300" distR="114300">
            <wp:extent cx="2847975" cy="2847975"/>
            <wp:effectExtent l="0" t="0" r="9525" b="952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30"/>
                    <a:stretch>
                      <a:fillRect/>
                    </a:stretch>
                  </pic:blipFill>
                  <pic:spPr>
                    <a:xfrm>
                      <a:off x="0" y="0"/>
                      <a:ext cx="2847975" cy="2847975"/>
                    </a:xfrm>
                    <a:prstGeom prst="rect">
                      <a:avLst/>
                    </a:prstGeom>
                    <a:noFill/>
                    <a:ln>
                      <a:noFill/>
                    </a:ln>
                  </pic:spPr>
                </pic:pic>
              </a:graphicData>
            </a:graphic>
          </wp:inline>
        </w:drawing>
      </w:r>
    </w:p>
    <w:p w14:paraId="72F51DC0">
      <w:pPr>
        <w:pStyle w:val="122"/>
        <w:spacing w:before="29" w:line="360" w:lineRule="auto"/>
        <w:ind w:right="159"/>
        <w:outlineLvl w:val="9"/>
      </w:pPr>
      <w:r>
        <w:rPr>
          <w:rFonts w:hint="eastAsia"/>
        </w:rPr>
        <w:t>图5.3-3吊装一节标准节</w:t>
      </w:r>
    </w:p>
    <w:p w14:paraId="40FF1AD1">
      <w:pPr>
        <w:ind w:firstLine="560"/>
      </w:pPr>
      <w:r>
        <w:rPr>
          <w:rFonts w:hint="eastAsia"/>
        </w:rPr>
        <w:t>注意；</w:t>
      </w:r>
    </w:p>
    <w:p w14:paraId="7EC0B590">
      <w:pPr>
        <w:ind w:firstLine="560"/>
      </w:pPr>
      <w:r>
        <w:rPr>
          <w:rFonts w:hint="eastAsia"/>
        </w:rPr>
        <w:t>1）该机型塔机的标准安装流程：安装基础节，再安装完一节标准节后，进行爬升架以及上部结构的安装，其余塔身节的安装依靠塔机自身顶升系统进行，否则将会提高安装所需吊装器械的需求。</w:t>
      </w:r>
    </w:p>
    <w:p w14:paraId="7081841D">
      <w:pPr>
        <w:ind w:firstLine="560"/>
      </w:pPr>
      <w:r>
        <w:rPr>
          <w:rFonts w:hint="eastAsia"/>
        </w:rPr>
        <w:t>2）注意顶升踏步的方向，确保和基础节踏步方向一致，否则会导致无法顶升。</w:t>
      </w:r>
    </w:p>
    <w:p w14:paraId="1DF660E8">
      <w:pPr>
        <w:ind w:firstLine="560"/>
      </w:pPr>
      <w:r>
        <w:rPr>
          <w:rFonts w:hint="eastAsia"/>
        </w:rPr>
        <w:t>3）注意高强螺栓的安装方向为从下往上穿入。</w:t>
      </w:r>
    </w:p>
    <w:p w14:paraId="6B8D66C5">
      <w:pPr>
        <w:ind w:firstLine="560"/>
      </w:pPr>
      <w:r>
        <w:rPr>
          <w:rFonts w:hint="eastAsia"/>
        </w:rPr>
        <w:t>4）高强螺栓安装前，须涂抹润滑脂，M30 高强螺栓的预紧力矩为 1600N·m，每根高强度螺栓均应装配两个垫圈（一个垫在螺栓头下，一个垫在螺母下，且使有倒角的一面朝向螺栓头或螺母）及两个螺母并拧紧防松，双螺母中防松螺母拧紧力矩应同样达到1600N.m。</w:t>
      </w:r>
    </w:p>
    <w:p w14:paraId="7F27BEF3">
      <w:pPr>
        <w:pStyle w:val="4"/>
        <w:spacing w:line="240" w:lineRule="auto"/>
        <w:rPr>
          <w:rFonts w:ascii="黑体" w:hAnsi="黑体" w:cs="黑体"/>
          <w:bCs/>
          <w:color w:val="000000"/>
        </w:rPr>
      </w:pPr>
      <w:bookmarkStart w:id="313" w:name="_Toc32208"/>
      <w:r>
        <w:rPr>
          <w:rFonts w:hint="eastAsia" w:ascii="黑体" w:hAnsi="黑体" w:cs="黑体"/>
          <w:bCs/>
          <w:color w:val="000000"/>
        </w:rPr>
        <w:t>5.3.3吊装爬升架</w:t>
      </w:r>
      <w:bookmarkEnd w:id="313"/>
    </w:p>
    <w:p w14:paraId="4611AE33">
      <w:pPr>
        <w:ind w:firstLine="560"/>
        <w:rPr>
          <w:color w:val="000000"/>
        </w:rPr>
      </w:pPr>
      <w:r>
        <w:rPr>
          <w:rFonts w:hint="eastAsia"/>
          <w:color w:val="000000"/>
        </w:rPr>
        <w:t>爬升架总重3.5t，使用25T汽车吊，采用4根Φ24×6m钢丝绳，4个5.5T卸扣，4吊点起吊。</w:t>
      </w:r>
    </w:p>
    <w:p w14:paraId="5735FEFA">
      <w:pPr>
        <w:ind w:firstLine="560"/>
        <w:rPr>
          <w:color w:val="000000"/>
        </w:rPr>
      </w:pPr>
      <w:r>
        <w:rPr>
          <w:color w:val="000000"/>
        </w:rPr>
        <w:t>a.</w:t>
      </w:r>
      <w:r>
        <w:rPr>
          <w:rFonts w:hint="eastAsia"/>
          <w:color w:val="000000"/>
        </w:rPr>
        <w:t xml:space="preserve">将爬升架组装完毕后，将吊具挂在爬升架上，拉紧钢丝绳吊起。切记安装顶升油缸的位置必须与塔身踏步同侧。 </w:t>
      </w:r>
    </w:p>
    <w:p w14:paraId="35FF51E6">
      <w:pPr>
        <w:ind w:firstLine="560"/>
        <w:rPr>
          <w:color w:val="000000"/>
        </w:rPr>
      </w:pPr>
      <w:r>
        <w:rPr>
          <w:color w:val="000000"/>
        </w:rPr>
        <w:t>b.</w:t>
      </w:r>
      <w:r>
        <w:rPr>
          <w:rFonts w:hint="eastAsia"/>
          <w:color w:val="000000"/>
        </w:rPr>
        <w:t xml:space="preserve">将爬升架缓慢套装在塔身节外侧。 </w:t>
      </w:r>
    </w:p>
    <w:p w14:paraId="72FC8D6F">
      <w:pPr>
        <w:ind w:firstLine="560"/>
        <w:rPr>
          <w:color w:val="000000"/>
        </w:rPr>
      </w:pPr>
      <w:r>
        <w:rPr>
          <w:color w:val="000000"/>
        </w:rPr>
        <w:t>c.</w:t>
      </w:r>
      <w:r>
        <w:rPr>
          <w:rFonts w:hint="eastAsia"/>
          <w:color w:val="000000"/>
        </w:rPr>
        <w:t>将爬升架上的爬爪放在塔身节的第二节上部的踏步上，再调整好爬升导轮与标准节的间隙</w:t>
      </w:r>
      <w:r>
        <w:rPr>
          <w:color w:val="000000"/>
        </w:rPr>
        <w:t>(</w:t>
      </w:r>
      <w:r>
        <w:rPr>
          <w:rFonts w:hint="eastAsia"/>
          <w:color w:val="000000"/>
        </w:rPr>
        <w:t xml:space="preserve">间隙最好为 </w:t>
      </w:r>
      <w:r>
        <w:rPr>
          <w:color w:val="000000"/>
        </w:rPr>
        <w:t>2</w:t>
      </w:r>
      <w:r>
        <w:rPr>
          <w:rFonts w:hint="eastAsia"/>
          <w:color w:val="000000"/>
        </w:rPr>
        <w:t>～</w:t>
      </w:r>
      <w:r>
        <w:rPr>
          <w:color w:val="000000"/>
        </w:rPr>
        <w:t>3mm)</w:t>
      </w:r>
      <w:r>
        <w:rPr>
          <w:rFonts w:hint="eastAsia"/>
          <w:color w:val="000000"/>
        </w:rPr>
        <w:t xml:space="preserve">。 </w:t>
      </w:r>
    </w:p>
    <w:p w14:paraId="69CF4D14">
      <w:pPr>
        <w:ind w:firstLine="560"/>
        <w:rPr>
          <w:color w:val="000000"/>
        </w:rPr>
      </w:pPr>
      <w:r>
        <w:rPr>
          <w:color w:val="000000"/>
        </w:rPr>
        <w:t>d.</w:t>
      </w:r>
      <w:r>
        <w:rPr>
          <w:rFonts w:hint="eastAsia"/>
          <w:color w:val="000000"/>
        </w:rPr>
        <w:t>安装好顶升油缸，将液压泵站吊装到平台一角，接好油管，检查液压系统的运转情况，应保证油泵电机风扇叶片旋向应与外壳箭头标识一致，以避免烧坏油泵。如有错误。则应重新接好电机接线。</w:t>
      </w:r>
    </w:p>
    <w:p w14:paraId="3369F867">
      <w:pPr>
        <w:pStyle w:val="172"/>
        <w:spacing w:line="240" w:lineRule="auto"/>
        <w:ind w:left="480" w:firstLine="0" w:firstLineChars="0"/>
        <w:jc w:val="center"/>
        <w:rPr>
          <w:kern w:val="0"/>
          <w:szCs w:val="24"/>
        </w:rPr>
      </w:pPr>
      <w:r>
        <w:drawing>
          <wp:inline distT="0" distB="0" distL="114300" distR="114300">
            <wp:extent cx="1924050" cy="3136265"/>
            <wp:effectExtent l="0" t="0" r="0" b="698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34"/>
                    <a:stretch>
                      <a:fillRect/>
                    </a:stretch>
                  </pic:blipFill>
                  <pic:spPr>
                    <a:xfrm>
                      <a:off x="0" y="0"/>
                      <a:ext cx="1924050" cy="3136265"/>
                    </a:xfrm>
                    <a:prstGeom prst="rect">
                      <a:avLst/>
                    </a:prstGeom>
                    <a:noFill/>
                    <a:ln>
                      <a:noFill/>
                    </a:ln>
                  </pic:spPr>
                </pic:pic>
              </a:graphicData>
            </a:graphic>
          </wp:inline>
        </w:drawing>
      </w:r>
      <w:r>
        <w:drawing>
          <wp:inline distT="0" distB="0" distL="114300" distR="114300">
            <wp:extent cx="2847975" cy="2847975"/>
            <wp:effectExtent l="0" t="0" r="9525" b="952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30"/>
                    <a:stretch>
                      <a:fillRect/>
                    </a:stretch>
                  </pic:blipFill>
                  <pic:spPr>
                    <a:xfrm>
                      <a:off x="0" y="0"/>
                      <a:ext cx="2847975" cy="2847975"/>
                    </a:xfrm>
                    <a:prstGeom prst="rect">
                      <a:avLst/>
                    </a:prstGeom>
                    <a:noFill/>
                    <a:ln>
                      <a:noFill/>
                    </a:ln>
                  </pic:spPr>
                </pic:pic>
              </a:graphicData>
            </a:graphic>
          </wp:inline>
        </w:drawing>
      </w:r>
    </w:p>
    <w:p w14:paraId="316325DC">
      <w:pPr>
        <w:pStyle w:val="122"/>
        <w:spacing w:before="29" w:line="360" w:lineRule="auto"/>
        <w:ind w:right="159"/>
        <w:outlineLvl w:val="9"/>
      </w:pPr>
      <w:r>
        <w:rPr>
          <w:rFonts w:hint="eastAsia"/>
        </w:rPr>
        <w:t>图5.3-4 吊装爬升架</w:t>
      </w:r>
    </w:p>
    <w:p w14:paraId="5BC88D56">
      <w:pPr>
        <w:pStyle w:val="4"/>
        <w:spacing w:line="240" w:lineRule="auto"/>
        <w:rPr>
          <w:rFonts w:ascii="黑体" w:hAnsi="黑体" w:cs="黑体"/>
          <w:bCs/>
          <w:color w:val="000000"/>
        </w:rPr>
      </w:pPr>
      <w:bookmarkStart w:id="314" w:name="_Toc14044"/>
      <w:r>
        <w:rPr>
          <w:rFonts w:hint="eastAsia" w:ascii="黑体" w:hAnsi="黑体" w:cs="黑体"/>
          <w:bCs/>
          <w:color w:val="000000"/>
        </w:rPr>
        <w:t>5.3.4安装特殊节</w:t>
      </w:r>
    </w:p>
    <w:p w14:paraId="560FFF0F">
      <w:pPr>
        <w:ind w:firstLine="560"/>
        <w:rPr>
          <w:color w:val="000000"/>
        </w:rPr>
      </w:pPr>
      <w:r>
        <w:rPr>
          <w:rFonts w:hint="eastAsia"/>
          <w:color w:val="000000"/>
          <w:lang w:eastAsia="zh-CN"/>
        </w:rPr>
        <w:t>特殊节</w:t>
      </w:r>
      <w:r>
        <w:rPr>
          <w:rFonts w:hint="eastAsia"/>
          <w:color w:val="000000"/>
        </w:rPr>
        <w:t>总重1.227t，使用25T汽车吊，采用4根Φ24×6m钢丝绳，4个3.25T卸扣，4吊点起吊。</w:t>
      </w:r>
    </w:p>
    <w:p w14:paraId="2CEB878F">
      <w:pPr>
        <w:ind w:firstLine="560"/>
      </w:pPr>
      <w:r>
        <w:rPr>
          <w:rFonts w:hint="eastAsia"/>
        </w:rPr>
        <w:t>将吊索绕入特殊节（1）四根主弦的连接套，并挂至吊钩，移动到塔身上方，确保与塔身节的爬梯一致后，缓缓落下，将特殊节支腿与与爬升架耳板孔对准后，插入销轴及开口销（7、8）；同时将特殊节与塔身节用螺栓（2、3、6）紧固。</w:t>
      </w:r>
    </w:p>
    <w:p w14:paraId="36EBA7BE">
      <w:pPr>
        <w:spacing w:line="240" w:lineRule="auto"/>
        <w:ind w:firstLine="0" w:firstLineChars="0"/>
        <w:jc w:val="center"/>
      </w:pPr>
      <w:r>
        <w:drawing>
          <wp:inline distT="0" distB="0" distL="114300" distR="114300">
            <wp:extent cx="4163695" cy="2874010"/>
            <wp:effectExtent l="0" t="0" r="8255" b="254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35"/>
                    <a:stretch>
                      <a:fillRect/>
                    </a:stretch>
                  </pic:blipFill>
                  <pic:spPr>
                    <a:xfrm>
                      <a:off x="0" y="0"/>
                      <a:ext cx="4163695" cy="2874010"/>
                    </a:xfrm>
                    <a:prstGeom prst="rect">
                      <a:avLst/>
                    </a:prstGeom>
                    <a:noFill/>
                    <a:ln>
                      <a:noFill/>
                    </a:ln>
                  </pic:spPr>
                </pic:pic>
              </a:graphicData>
            </a:graphic>
          </wp:inline>
        </w:drawing>
      </w:r>
      <w:r>
        <w:drawing>
          <wp:inline distT="0" distB="0" distL="114300" distR="114300">
            <wp:extent cx="1897380" cy="2952750"/>
            <wp:effectExtent l="0" t="0" r="7620" b="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36"/>
                    <a:stretch>
                      <a:fillRect/>
                    </a:stretch>
                  </pic:blipFill>
                  <pic:spPr>
                    <a:xfrm>
                      <a:off x="0" y="0"/>
                      <a:ext cx="1897380" cy="2952750"/>
                    </a:xfrm>
                    <a:prstGeom prst="rect">
                      <a:avLst/>
                    </a:prstGeom>
                    <a:noFill/>
                    <a:ln>
                      <a:noFill/>
                    </a:ln>
                  </pic:spPr>
                </pic:pic>
              </a:graphicData>
            </a:graphic>
          </wp:inline>
        </w:drawing>
      </w:r>
      <w:r>
        <w:drawing>
          <wp:inline distT="0" distB="0" distL="114300" distR="114300">
            <wp:extent cx="2847975" cy="2847975"/>
            <wp:effectExtent l="0" t="0" r="9525" b="952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30"/>
                    <a:stretch>
                      <a:fillRect/>
                    </a:stretch>
                  </pic:blipFill>
                  <pic:spPr>
                    <a:xfrm>
                      <a:off x="0" y="0"/>
                      <a:ext cx="2847975" cy="2847975"/>
                    </a:xfrm>
                    <a:prstGeom prst="rect">
                      <a:avLst/>
                    </a:prstGeom>
                    <a:noFill/>
                    <a:ln>
                      <a:noFill/>
                    </a:ln>
                  </pic:spPr>
                </pic:pic>
              </a:graphicData>
            </a:graphic>
          </wp:inline>
        </w:drawing>
      </w:r>
    </w:p>
    <w:p w14:paraId="18732EA0">
      <w:pPr>
        <w:pStyle w:val="122"/>
        <w:spacing w:before="29" w:line="360" w:lineRule="auto"/>
        <w:ind w:right="159"/>
        <w:outlineLvl w:val="9"/>
      </w:pPr>
      <w:r>
        <w:rPr>
          <w:rFonts w:hint="eastAsia"/>
        </w:rPr>
        <w:t>图5.3-5 吊装特殊节</w:t>
      </w:r>
    </w:p>
    <w:p w14:paraId="65DBC50D">
      <w:pPr>
        <w:pStyle w:val="4"/>
        <w:spacing w:line="240" w:lineRule="auto"/>
        <w:rPr>
          <w:rFonts w:ascii="黑体" w:hAnsi="黑体" w:cs="黑体"/>
          <w:bCs/>
          <w:color w:val="000000"/>
        </w:rPr>
      </w:pPr>
      <w:r>
        <w:rPr>
          <w:rFonts w:hint="eastAsia" w:ascii="黑体" w:hAnsi="黑体" w:cs="黑体"/>
          <w:bCs/>
          <w:color w:val="000000"/>
        </w:rPr>
        <w:t>5.3.5安装回转支承总成</w:t>
      </w:r>
      <w:bookmarkEnd w:id="314"/>
    </w:p>
    <w:p w14:paraId="0BCB2603">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t>在地面将下支座、回转支承、上支座、回转机构、工作平台栏杆、司机室等机构装配在一起。</w:t>
      </w:r>
    </w:p>
    <w:p w14:paraId="77295475">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t>回转总成重</w:t>
      </w:r>
      <w:r>
        <w:rPr>
          <w:rFonts w:hint="eastAsia" w:ascii="宋体" w:hAnsi="宋体" w:cs="宋体"/>
          <w:color w:val="1E1C11" w:themeColor="background2" w:themeShade="1A"/>
          <w:kern w:val="0"/>
        </w:rPr>
        <w:t>2.072</w:t>
      </w:r>
      <w:r>
        <w:rPr>
          <w:rFonts w:ascii="宋体" w:hAnsi="宋体" w:cs="宋体"/>
          <w:color w:val="1E1C11" w:themeColor="background2" w:themeShade="1A"/>
          <w:kern w:val="0"/>
        </w:rPr>
        <w:t>t，使用</w:t>
      </w:r>
      <w:r>
        <w:rPr>
          <w:rFonts w:hint="eastAsia" w:ascii="宋体" w:hAnsi="宋体" w:cs="宋体"/>
          <w:color w:val="1E1C11" w:themeColor="background2" w:themeShade="1A"/>
          <w:kern w:val="0"/>
        </w:rPr>
        <w:t>25T汽车吊</w:t>
      </w:r>
      <w:r>
        <w:rPr>
          <w:rFonts w:ascii="宋体" w:hAnsi="宋体" w:cs="宋体"/>
          <w:color w:val="1E1C11" w:themeColor="background2" w:themeShade="1A"/>
          <w:kern w:val="0"/>
        </w:rPr>
        <w:t>，4根Φ</w:t>
      </w:r>
      <w:r>
        <w:rPr>
          <w:rFonts w:hint="eastAsia" w:ascii="宋体" w:hAnsi="宋体" w:cs="宋体"/>
          <w:color w:val="1E1C11" w:themeColor="background2" w:themeShade="1A"/>
          <w:kern w:val="0"/>
        </w:rPr>
        <w:t>24</w:t>
      </w:r>
      <w:r>
        <w:rPr>
          <w:rFonts w:ascii="宋体" w:hAnsi="宋体" w:cs="宋体"/>
          <w:color w:val="1E1C11" w:themeColor="background2" w:themeShade="1A"/>
          <w:kern w:val="0"/>
        </w:rPr>
        <w:t>×</w:t>
      </w:r>
      <w:r>
        <w:rPr>
          <w:rFonts w:hint="eastAsia" w:ascii="宋体" w:hAnsi="宋体" w:cs="宋体"/>
          <w:color w:val="1E1C11" w:themeColor="background2" w:themeShade="1A"/>
          <w:kern w:val="0"/>
        </w:rPr>
        <w:t>6</w:t>
      </w:r>
      <w:r>
        <w:rPr>
          <w:rFonts w:ascii="宋体" w:hAnsi="宋体" w:cs="宋体"/>
          <w:color w:val="1E1C11" w:themeColor="background2" w:themeShade="1A"/>
          <w:kern w:val="0"/>
        </w:rPr>
        <w:t>m钢丝绳，4个</w:t>
      </w:r>
      <w:r>
        <w:rPr>
          <w:rFonts w:hint="eastAsia"/>
          <w:color w:val="000000"/>
        </w:rPr>
        <w:t>3.25t</w:t>
      </w:r>
      <w:r>
        <w:rPr>
          <w:rFonts w:ascii="宋体" w:hAnsi="宋体" w:cs="宋体"/>
          <w:color w:val="1E1C11" w:themeColor="background2" w:themeShade="1A"/>
          <w:kern w:val="0"/>
        </w:rPr>
        <w:t>卸扣，4吊点起吊。</w:t>
      </w:r>
    </w:p>
    <w:p w14:paraId="19802904">
      <w:pPr>
        <w:widowControl/>
        <w:ind w:firstLine="560"/>
        <w:jc w:val="left"/>
        <w:rPr>
          <w:rFonts w:ascii="宋体" w:hAnsi="宋体" w:cs="宋体"/>
          <w:color w:val="1E1C11" w:themeColor="background2" w:themeShade="1A"/>
          <w:kern w:val="0"/>
        </w:rPr>
      </w:pPr>
      <w:r>
        <w:rPr>
          <w:rFonts w:ascii="宋体" w:hAnsi="宋体" w:cs="宋体"/>
          <w:color w:val="1E1C11" w:themeColor="background2" w:themeShade="1A"/>
          <w:kern w:val="0"/>
        </w:rPr>
        <w:t>将吊具挂在上支座四个支柱耳套下，将回转支承总成吊起</w:t>
      </w:r>
      <w:r>
        <w:rPr>
          <w:rFonts w:hint="eastAsia" w:ascii="宋体" w:hAnsi="宋体" w:cs="宋体"/>
          <w:color w:val="1E1C11" w:themeColor="background2" w:themeShade="1A"/>
          <w:kern w:val="0"/>
        </w:rPr>
        <w:t>。</w:t>
      </w:r>
    </w:p>
    <w:p w14:paraId="3E23BA81">
      <w:pPr>
        <w:widowControl/>
        <w:ind w:firstLine="560"/>
        <w:jc w:val="left"/>
        <w:rPr>
          <w:rFonts w:ascii="宋体" w:hAnsi="宋体" w:cs="宋体"/>
          <w:color w:val="1E1C11" w:themeColor="background2" w:themeShade="1A"/>
          <w:kern w:val="0"/>
        </w:rPr>
      </w:pPr>
      <w:r>
        <w:rPr>
          <w:rFonts w:ascii="宋体" w:hAnsi="宋体" w:cs="宋体"/>
          <w:color w:val="1E1C11" w:themeColor="background2" w:themeShade="1A"/>
          <w:kern w:val="0"/>
        </w:rPr>
        <w:t>吊起回转总成（1）至特殊节上方，注意下支座爬梯方向与特殊节爬梯方向保持一致，将回转总成缓慢的落下，通过 8 个销轴（2）连接，为防止销轴脱出，两个销轴之间通过立销（3）固定，立销下端穿入葫芦销固定。</w:t>
      </w:r>
    </w:p>
    <w:p w14:paraId="2A31C5B3">
      <w:pPr>
        <w:widowControl/>
        <w:spacing w:line="240" w:lineRule="auto"/>
        <w:ind w:firstLine="0" w:firstLineChars="0"/>
        <w:jc w:val="center"/>
      </w:pPr>
      <w:r>
        <w:drawing>
          <wp:inline distT="0" distB="0" distL="114300" distR="114300">
            <wp:extent cx="3529965" cy="2495550"/>
            <wp:effectExtent l="0" t="0" r="13335" b="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37"/>
                    <a:stretch>
                      <a:fillRect/>
                    </a:stretch>
                  </pic:blipFill>
                  <pic:spPr>
                    <a:xfrm>
                      <a:off x="0" y="0"/>
                      <a:ext cx="3529965" cy="2495550"/>
                    </a:xfrm>
                    <a:prstGeom prst="rect">
                      <a:avLst/>
                    </a:prstGeom>
                    <a:noFill/>
                    <a:ln>
                      <a:noFill/>
                    </a:ln>
                  </pic:spPr>
                </pic:pic>
              </a:graphicData>
            </a:graphic>
          </wp:inline>
        </w:drawing>
      </w:r>
    </w:p>
    <w:p w14:paraId="68DA856F">
      <w:pPr>
        <w:widowControl/>
        <w:spacing w:line="240" w:lineRule="auto"/>
        <w:ind w:firstLine="0" w:firstLineChars="0"/>
        <w:jc w:val="center"/>
        <w:rPr>
          <w:rFonts w:ascii="宋体" w:hAnsi="宋体" w:eastAsia="宋体" w:cs="宋体"/>
          <w:color w:val="000000"/>
          <w:kern w:val="0"/>
          <w:sz w:val="24"/>
          <w:szCs w:val="24"/>
        </w:rPr>
      </w:pPr>
      <w:r>
        <w:drawing>
          <wp:inline distT="0" distB="0" distL="114300" distR="114300">
            <wp:extent cx="1870710" cy="2771775"/>
            <wp:effectExtent l="0" t="0" r="15240" b="952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38"/>
                    <a:stretch>
                      <a:fillRect/>
                    </a:stretch>
                  </pic:blipFill>
                  <pic:spPr>
                    <a:xfrm>
                      <a:off x="0" y="0"/>
                      <a:ext cx="1870710" cy="2771775"/>
                    </a:xfrm>
                    <a:prstGeom prst="rect">
                      <a:avLst/>
                    </a:prstGeom>
                    <a:noFill/>
                    <a:ln>
                      <a:noFill/>
                    </a:ln>
                  </pic:spPr>
                </pic:pic>
              </a:graphicData>
            </a:graphic>
          </wp:inline>
        </w:drawing>
      </w:r>
      <w:r>
        <w:drawing>
          <wp:inline distT="0" distB="0" distL="114300" distR="114300">
            <wp:extent cx="2847975" cy="2847975"/>
            <wp:effectExtent l="0" t="0" r="9525" b="9525"/>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30"/>
                    <a:stretch>
                      <a:fillRect/>
                    </a:stretch>
                  </pic:blipFill>
                  <pic:spPr>
                    <a:xfrm>
                      <a:off x="0" y="0"/>
                      <a:ext cx="2847975" cy="2847975"/>
                    </a:xfrm>
                    <a:prstGeom prst="rect">
                      <a:avLst/>
                    </a:prstGeom>
                    <a:noFill/>
                    <a:ln>
                      <a:noFill/>
                    </a:ln>
                  </pic:spPr>
                </pic:pic>
              </a:graphicData>
            </a:graphic>
          </wp:inline>
        </w:drawing>
      </w:r>
    </w:p>
    <w:p w14:paraId="19D52AB7">
      <w:pPr>
        <w:pStyle w:val="122"/>
        <w:spacing w:before="29" w:line="360" w:lineRule="auto"/>
        <w:ind w:right="159"/>
        <w:outlineLvl w:val="9"/>
        <w:rPr>
          <w:rFonts w:ascii="宋体" w:hAnsi="宋体" w:eastAsia="宋体" w:cs="宋体"/>
          <w:sz w:val="24"/>
          <w:szCs w:val="20"/>
        </w:rPr>
      </w:pPr>
      <w:r>
        <w:rPr>
          <w:rFonts w:hint="eastAsia"/>
        </w:rPr>
        <w:t>图5.3-6回转安装图</w:t>
      </w:r>
    </w:p>
    <w:p w14:paraId="4304901D">
      <w:pPr>
        <w:pStyle w:val="4"/>
        <w:spacing w:line="240" w:lineRule="auto"/>
        <w:rPr>
          <w:rFonts w:ascii="黑体" w:hAnsi="黑体" w:cs="黑体"/>
          <w:bCs/>
          <w:color w:val="000000"/>
        </w:rPr>
      </w:pPr>
      <w:bookmarkStart w:id="315" w:name="_Toc9619"/>
      <w:r>
        <w:rPr>
          <w:rFonts w:hint="eastAsia" w:ascii="黑体" w:hAnsi="黑体" w:cs="黑体"/>
          <w:bCs/>
          <w:color w:val="000000"/>
        </w:rPr>
        <w:t>5.3.6 安装</w:t>
      </w:r>
      <w:bookmarkEnd w:id="315"/>
      <w:r>
        <w:rPr>
          <w:rFonts w:hint="eastAsia" w:ascii="黑体" w:hAnsi="黑体" w:cs="黑体"/>
          <w:bCs/>
          <w:color w:val="000000"/>
        </w:rPr>
        <w:t>起重臂根节</w:t>
      </w:r>
    </w:p>
    <w:p w14:paraId="12DCC5FD">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起重臂根节</w:t>
      </w:r>
      <w:r>
        <w:rPr>
          <w:rFonts w:ascii="宋体" w:hAnsi="宋体" w:cs="宋体"/>
          <w:color w:val="1E1C11" w:themeColor="background2" w:themeShade="1A"/>
          <w:kern w:val="0"/>
        </w:rPr>
        <w:t>重</w:t>
      </w:r>
      <w:r>
        <w:rPr>
          <w:rFonts w:hint="eastAsia" w:ascii="宋体" w:hAnsi="宋体" w:cs="宋体"/>
          <w:color w:val="1E1C11" w:themeColor="background2" w:themeShade="1A"/>
          <w:kern w:val="0"/>
        </w:rPr>
        <w:t>2.998</w:t>
      </w:r>
      <w:r>
        <w:rPr>
          <w:rFonts w:ascii="宋体" w:hAnsi="宋体" w:cs="宋体"/>
          <w:color w:val="1E1C11" w:themeColor="background2" w:themeShade="1A"/>
          <w:kern w:val="0"/>
        </w:rPr>
        <w:t>t，使用</w:t>
      </w:r>
      <w:r>
        <w:rPr>
          <w:rFonts w:hint="eastAsia" w:ascii="宋体" w:hAnsi="宋体" w:cs="宋体"/>
          <w:color w:val="1E1C11" w:themeColor="background2" w:themeShade="1A"/>
          <w:kern w:val="0"/>
        </w:rPr>
        <w:t>25T汽车吊</w:t>
      </w:r>
      <w:r>
        <w:rPr>
          <w:rFonts w:ascii="宋体" w:hAnsi="宋体" w:cs="宋体"/>
          <w:color w:val="1E1C11" w:themeColor="background2" w:themeShade="1A"/>
          <w:kern w:val="0"/>
        </w:rPr>
        <w:t>，</w:t>
      </w:r>
      <w:r>
        <w:rPr>
          <w:rFonts w:hint="eastAsia" w:ascii="宋体" w:hAnsi="宋体" w:cs="宋体"/>
          <w:color w:val="1E1C11" w:themeColor="background2" w:themeShade="1A"/>
          <w:kern w:val="0"/>
        </w:rPr>
        <w:t>4</w:t>
      </w:r>
      <w:r>
        <w:rPr>
          <w:rFonts w:ascii="宋体" w:hAnsi="宋体" w:cs="宋体"/>
          <w:color w:val="1E1C11" w:themeColor="background2" w:themeShade="1A"/>
          <w:kern w:val="0"/>
        </w:rPr>
        <w:t>根Φ</w:t>
      </w:r>
      <w:r>
        <w:rPr>
          <w:rFonts w:hint="eastAsia" w:ascii="宋体" w:hAnsi="宋体" w:cs="宋体"/>
          <w:color w:val="1E1C11" w:themeColor="background2" w:themeShade="1A"/>
          <w:kern w:val="0"/>
        </w:rPr>
        <w:t>24</w:t>
      </w:r>
      <w:r>
        <w:rPr>
          <w:rFonts w:ascii="宋体" w:hAnsi="宋体" w:cs="宋体"/>
          <w:color w:val="1E1C11" w:themeColor="background2" w:themeShade="1A"/>
          <w:kern w:val="0"/>
        </w:rPr>
        <w:t>×</w:t>
      </w:r>
      <w:r>
        <w:rPr>
          <w:rFonts w:hint="eastAsia" w:ascii="宋体" w:hAnsi="宋体" w:cs="宋体"/>
          <w:color w:val="1E1C11" w:themeColor="background2" w:themeShade="1A"/>
          <w:kern w:val="0"/>
        </w:rPr>
        <w:t>6</w:t>
      </w:r>
      <w:r>
        <w:rPr>
          <w:rFonts w:ascii="宋体" w:hAnsi="宋体" w:cs="宋体"/>
          <w:color w:val="1E1C11" w:themeColor="background2" w:themeShade="1A"/>
          <w:kern w:val="0"/>
        </w:rPr>
        <w:t>m钢丝绳，</w:t>
      </w:r>
      <w:r>
        <w:rPr>
          <w:rFonts w:hint="eastAsia" w:ascii="宋体" w:hAnsi="宋体" w:cs="宋体"/>
          <w:color w:val="1E1C11" w:themeColor="background2" w:themeShade="1A"/>
          <w:kern w:val="0"/>
        </w:rPr>
        <w:t>4</w:t>
      </w:r>
      <w:r>
        <w:rPr>
          <w:rFonts w:ascii="宋体" w:hAnsi="宋体" w:cs="宋体"/>
          <w:color w:val="1E1C11" w:themeColor="background2" w:themeShade="1A"/>
          <w:kern w:val="0"/>
        </w:rPr>
        <w:t>个</w:t>
      </w:r>
      <w:r>
        <w:rPr>
          <w:rFonts w:hint="eastAsia" w:ascii="宋体" w:hAnsi="宋体" w:cs="宋体"/>
          <w:color w:val="1E1C11" w:themeColor="background2" w:themeShade="1A"/>
          <w:kern w:val="0"/>
        </w:rPr>
        <w:t>3.25</w:t>
      </w:r>
      <w:r>
        <w:rPr>
          <w:rFonts w:ascii="宋体" w:hAnsi="宋体" w:cs="宋体"/>
          <w:color w:val="1E1C11" w:themeColor="background2" w:themeShade="1A"/>
          <w:kern w:val="0"/>
        </w:rPr>
        <w:t>T卸扣，</w:t>
      </w:r>
      <w:r>
        <w:rPr>
          <w:rFonts w:hint="eastAsia" w:ascii="宋体" w:hAnsi="宋体" w:cs="宋体"/>
          <w:color w:val="1E1C11" w:themeColor="background2" w:themeShade="1A"/>
          <w:kern w:val="0"/>
        </w:rPr>
        <w:t>4</w:t>
      </w:r>
      <w:r>
        <w:rPr>
          <w:rFonts w:ascii="宋体" w:hAnsi="宋体" w:cs="宋体"/>
          <w:color w:val="1E1C11" w:themeColor="background2" w:themeShade="1A"/>
          <w:kern w:val="0"/>
        </w:rPr>
        <w:t>吊点起吊。</w:t>
      </w:r>
    </w:p>
    <w:p w14:paraId="5EC491D2">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如下图所示，在吊装臂根节时，选用四根钢丝绳分别穿过吊耳，最终统一悬挂在吊</w:t>
      </w:r>
      <w:r>
        <w:rPr>
          <w:rFonts w:ascii="宋体" w:hAnsi="宋体" w:cs="宋体"/>
          <w:color w:val="1E1C11" w:themeColor="background2" w:themeShade="1A"/>
          <w:kern w:val="0"/>
        </w:rPr>
        <w:t>钩上，吊装中保证吊装平衡，实现臂根节的吊装。将臂根节（1）与上支座通过销轴装配到一起。</w:t>
      </w:r>
    </w:p>
    <w:p w14:paraId="6A31C6A2">
      <w:pPr>
        <w:spacing w:line="240" w:lineRule="auto"/>
        <w:ind w:firstLine="0" w:firstLineChars="0"/>
        <w:jc w:val="center"/>
        <w:rPr>
          <w:rFonts w:ascii="Tahoma" w:hAnsi="Tahoma" w:eastAsia="宋体" w:cs="Tahoma"/>
          <w:szCs w:val="24"/>
        </w:rPr>
      </w:pPr>
      <w:r>
        <w:drawing>
          <wp:inline distT="0" distB="0" distL="114300" distR="114300">
            <wp:extent cx="4050030" cy="2751455"/>
            <wp:effectExtent l="0" t="0" r="7620" b="1079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39"/>
                    <a:stretch>
                      <a:fillRect/>
                    </a:stretch>
                  </pic:blipFill>
                  <pic:spPr>
                    <a:xfrm>
                      <a:off x="0" y="0"/>
                      <a:ext cx="4050030" cy="2751455"/>
                    </a:xfrm>
                    <a:prstGeom prst="rect">
                      <a:avLst/>
                    </a:prstGeom>
                    <a:noFill/>
                    <a:ln>
                      <a:noFill/>
                    </a:ln>
                  </pic:spPr>
                </pic:pic>
              </a:graphicData>
            </a:graphic>
          </wp:inline>
        </w:drawing>
      </w:r>
      <w:r>
        <w:drawing>
          <wp:inline distT="0" distB="0" distL="114300" distR="114300">
            <wp:extent cx="2486025" cy="3295650"/>
            <wp:effectExtent l="0" t="0" r="9525" b="0"/>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40"/>
                    <a:stretch>
                      <a:fillRect/>
                    </a:stretch>
                  </pic:blipFill>
                  <pic:spPr>
                    <a:xfrm>
                      <a:off x="0" y="0"/>
                      <a:ext cx="2486025" cy="3295650"/>
                    </a:xfrm>
                    <a:prstGeom prst="rect">
                      <a:avLst/>
                    </a:prstGeom>
                    <a:noFill/>
                    <a:ln>
                      <a:noFill/>
                    </a:ln>
                  </pic:spPr>
                </pic:pic>
              </a:graphicData>
            </a:graphic>
          </wp:inline>
        </w:drawing>
      </w:r>
      <w:r>
        <w:drawing>
          <wp:inline distT="0" distB="0" distL="114300" distR="114300">
            <wp:extent cx="3166745" cy="3257550"/>
            <wp:effectExtent l="0" t="0" r="14605" b="0"/>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1"/>
                    </pic:cNvPicPr>
                  </pic:nvPicPr>
                  <pic:blipFill>
                    <a:blip r:embed="rId41"/>
                    <a:srcRect l="4591" r="3820"/>
                    <a:stretch>
                      <a:fillRect/>
                    </a:stretch>
                  </pic:blipFill>
                  <pic:spPr>
                    <a:xfrm>
                      <a:off x="0" y="0"/>
                      <a:ext cx="3166745" cy="3257550"/>
                    </a:xfrm>
                    <a:prstGeom prst="rect">
                      <a:avLst/>
                    </a:prstGeom>
                    <a:noFill/>
                    <a:ln>
                      <a:noFill/>
                    </a:ln>
                  </pic:spPr>
                </pic:pic>
              </a:graphicData>
            </a:graphic>
          </wp:inline>
        </w:drawing>
      </w:r>
    </w:p>
    <w:p w14:paraId="5F0A927F">
      <w:pPr>
        <w:pStyle w:val="122"/>
        <w:spacing w:before="29" w:line="360" w:lineRule="auto"/>
        <w:ind w:right="159"/>
        <w:outlineLvl w:val="9"/>
      </w:pPr>
      <w:r>
        <w:rPr>
          <w:rFonts w:hint="eastAsia"/>
        </w:rPr>
        <w:t>图5.3-7吊装起重臂根节</w:t>
      </w:r>
    </w:p>
    <w:p w14:paraId="08D320DD">
      <w:pPr>
        <w:pStyle w:val="4"/>
        <w:spacing w:line="240" w:lineRule="auto"/>
        <w:rPr>
          <w:rFonts w:ascii="黑体" w:hAnsi="黑体" w:cs="黑体"/>
          <w:bCs/>
          <w:color w:val="000000"/>
        </w:rPr>
      </w:pPr>
      <w:bookmarkStart w:id="316" w:name="_Toc29482"/>
      <w:r>
        <w:rPr>
          <w:rFonts w:hint="eastAsia" w:ascii="黑体" w:hAnsi="黑体" w:cs="黑体"/>
          <w:bCs/>
          <w:color w:val="000000"/>
        </w:rPr>
        <w:t>5.3.7安装平衡臂总成</w:t>
      </w:r>
      <w:bookmarkEnd w:id="316"/>
      <w:r>
        <w:rPr>
          <w:rFonts w:hint="eastAsia" w:ascii="黑体" w:hAnsi="黑体" w:cs="黑体"/>
          <w:bCs/>
          <w:color w:val="000000"/>
        </w:rPr>
        <w:t>及部分平衡重</w:t>
      </w:r>
    </w:p>
    <w:p w14:paraId="77DAEB16">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在地面根据起重臂的长度组装好相应的平衡臂，将平衡臂上的栏杆、走道、工作平台、起升机构、电控柜、电阻柜、平衡臂拉杆等组装在一起并紧固好回转机构上接临时电源，将回转支承以上的部分回转到便于安装平衡臂的方位。</w:t>
      </w:r>
    </w:p>
    <w:p w14:paraId="5A50A31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平衡臂总成</w:t>
      </w:r>
      <w:r>
        <w:rPr>
          <w:rFonts w:ascii="宋体" w:hAnsi="宋体" w:cs="宋体"/>
          <w:color w:val="1E1C11" w:themeColor="background2" w:themeShade="1A"/>
          <w:kern w:val="0"/>
        </w:rPr>
        <w:t>重</w:t>
      </w:r>
      <w:r>
        <w:rPr>
          <w:rFonts w:hint="eastAsia" w:ascii="宋体" w:hAnsi="宋体" w:cs="宋体"/>
          <w:color w:val="1E1C11" w:themeColor="background2" w:themeShade="1A"/>
          <w:kern w:val="0"/>
        </w:rPr>
        <w:t>1.891</w:t>
      </w:r>
      <w:r>
        <w:rPr>
          <w:rFonts w:ascii="宋体" w:hAnsi="宋体" w:cs="宋体"/>
          <w:color w:val="1E1C11" w:themeColor="background2" w:themeShade="1A"/>
          <w:kern w:val="0"/>
        </w:rPr>
        <w:t>t，使用</w:t>
      </w:r>
      <w:r>
        <w:rPr>
          <w:rFonts w:hint="eastAsia" w:ascii="宋体" w:hAnsi="宋体" w:cs="宋体"/>
          <w:color w:val="1E1C11" w:themeColor="background2" w:themeShade="1A"/>
          <w:kern w:val="0"/>
        </w:rPr>
        <w:t>25T汽车</w:t>
      </w:r>
      <w:r>
        <w:rPr>
          <w:rFonts w:ascii="宋体" w:hAnsi="宋体" w:cs="宋体"/>
          <w:color w:val="1E1C11" w:themeColor="background2" w:themeShade="1A"/>
          <w:kern w:val="0"/>
        </w:rPr>
        <w:t>吊，</w:t>
      </w:r>
      <w:r>
        <w:rPr>
          <w:rFonts w:hint="eastAsia" w:ascii="宋体" w:hAnsi="宋体" w:cs="宋体"/>
          <w:color w:val="1E1C11" w:themeColor="background2" w:themeShade="1A"/>
          <w:kern w:val="0"/>
        </w:rPr>
        <w:t>4</w:t>
      </w:r>
      <w:r>
        <w:rPr>
          <w:rFonts w:ascii="宋体" w:hAnsi="宋体" w:cs="宋体"/>
          <w:color w:val="1E1C11" w:themeColor="background2" w:themeShade="1A"/>
          <w:kern w:val="0"/>
        </w:rPr>
        <w:t>根Φ</w:t>
      </w:r>
      <w:r>
        <w:rPr>
          <w:rFonts w:hint="eastAsia" w:ascii="宋体" w:hAnsi="宋体" w:cs="宋体"/>
          <w:color w:val="1E1C11" w:themeColor="background2" w:themeShade="1A"/>
          <w:kern w:val="0"/>
        </w:rPr>
        <w:t>24</w:t>
      </w:r>
      <w:r>
        <w:rPr>
          <w:rFonts w:ascii="宋体" w:hAnsi="宋体" w:cs="宋体"/>
          <w:color w:val="1E1C11" w:themeColor="background2" w:themeShade="1A"/>
          <w:kern w:val="0"/>
        </w:rPr>
        <w:t>×</w:t>
      </w:r>
      <w:r>
        <w:rPr>
          <w:rFonts w:hint="eastAsia" w:ascii="宋体" w:hAnsi="宋体" w:cs="宋体"/>
          <w:color w:val="1E1C11" w:themeColor="background2" w:themeShade="1A"/>
          <w:kern w:val="0"/>
        </w:rPr>
        <w:t>6</w:t>
      </w:r>
      <w:r>
        <w:rPr>
          <w:rFonts w:ascii="宋体" w:hAnsi="宋体" w:cs="宋体"/>
          <w:color w:val="1E1C11" w:themeColor="background2" w:themeShade="1A"/>
          <w:kern w:val="0"/>
        </w:rPr>
        <w:t>m钢丝绳，</w:t>
      </w:r>
      <w:r>
        <w:rPr>
          <w:rFonts w:hint="eastAsia" w:ascii="宋体" w:hAnsi="宋体" w:cs="宋体"/>
          <w:color w:val="1E1C11" w:themeColor="background2" w:themeShade="1A"/>
          <w:kern w:val="0"/>
        </w:rPr>
        <w:t>4</w:t>
      </w:r>
      <w:r>
        <w:rPr>
          <w:rFonts w:ascii="宋体" w:hAnsi="宋体" w:cs="宋体"/>
          <w:color w:val="1E1C11" w:themeColor="background2" w:themeShade="1A"/>
          <w:kern w:val="0"/>
        </w:rPr>
        <w:t>个</w:t>
      </w:r>
      <w:r>
        <w:rPr>
          <w:rFonts w:hint="eastAsia" w:ascii="宋体" w:hAnsi="宋体" w:cs="宋体"/>
          <w:color w:val="1E1C11" w:themeColor="background2" w:themeShade="1A"/>
          <w:kern w:val="0"/>
        </w:rPr>
        <w:t>3.25</w:t>
      </w:r>
      <w:r>
        <w:rPr>
          <w:rFonts w:ascii="宋体" w:hAnsi="宋体" w:cs="宋体"/>
          <w:color w:val="1E1C11" w:themeColor="background2" w:themeShade="1A"/>
          <w:kern w:val="0"/>
        </w:rPr>
        <w:t>T卸扣，</w:t>
      </w:r>
      <w:r>
        <w:rPr>
          <w:rFonts w:hint="eastAsia" w:ascii="宋体" w:hAnsi="宋体" w:cs="宋体"/>
          <w:color w:val="1E1C11" w:themeColor="background2" w:themeShade="1A"/>
          <w:kern w:val="0"/>
        </w:rPr>
        <w:t>4</w:t>
      </w:r>
      <w:r>
        <w:rPr>
          <w:rFonts w:ascii="宋体" w:hAnsi="宋体" w:cs="宋体"/>
          <w:color w:val="1E1C11" w:themeColor="background2" w:themeShade="1A"/>
          <w:kern w:val="0"/>
        </w:rPr>
        <w:t>吊点起吊。</w:t>
      </w:r>
      <w:r>
        <w:rPr>
          <w:rFonts w:hint="eastAsia" w:ascii="宋体" w:hAnsi="宋体" w:cs="宋体"/>
          <w:color w:val="1E1C11" w:themeColor="background2" w:themeShade="1A"/>
          <w:kern w:val="0"/>
        </w:rPr>
        <w:t>吊起平衡臂，用定轴架和销轴将平衡臂与起重臂根节固定好。</w:t>
      </w:r>
    </w:p>
    <w:p w14:paraId="2B2B2869">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再将平衡臂逐渐抬高至适当的位置，以便于平衡臂上拉杆与起重臂根节上的平衡拉杆板顺利相连，将拉杆用销轴铰接，穿好并张开开口销。</w:t>
      </w:r>
    </w:p>
    <w:p w14:paraId="3F58F90B">
      <w:pPr>
        <w:spacing w:line="240" w:lineRule="auto"/>
        <w:ind w:firstLine="0" w:firstLineChars="0"/>
        <w:jc w:val="center"/>
        <w:rPr>
          <w:rFonts w:ascii="Tahoma" w:hAnsi="Tahoma" w:eastAsia="宋体" w:cs="Tahoma"/>
          <w:szCs w:val="24"/>
        </w:rPr>
      </w:pPr>
      <w:r>
        <w:drawing>
          <wp:inline distT="0" distB="0" distL="114300" distR="114300">
            <wp:extent cx="4743450" cy="1770380"/>
            <wp:effectExtent l="0" t="0" r="0" b="127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42"/>
                    <a:srcRect t="3704"/>
                    <a:stretch>
                      <a:fillRect/>
                    </a:stretch>
                  </pic:blipFill>
                  <pic:spPr>
                    <a:xfrm>
                      <a:off x="0" y="0"/>
                      <a:ext cx="4743450" cy="1770380"/>
                    </a:xfrm>
                    <a:prstGeom prst="rect">
                      <a:avLst/>
                    </a:prstGeom>
                    <a:noFill/>
                    <a:ln>
                      <a:noFill/>
                    </a:ln>
                  </pic:spPr>
                </pic:pic>
              </a:graphicData>
            </a:graphic>
          </wp:inline>
        </w:drawing>
      </w:r>
      <w:r>
        <w:drawing>
          <wp:inline distT="0" distB="0" distL="114300" distR="114300">
            <wp:extent cx="2526030" cy="2752725"/>
            <wp:effectExtent l="0" t="0" r="7620" b="9525"/>
            <wp:docPr id="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
                    <pic:cNvPicPr>
                      <a:picLocks noChangeAspect="1"/>
                    </pic:cNvPicPr>
                  </pic:nvPicPr>
                  <pic:blipFill>
                    <a:blip r:embed="rId43"/>
                    <a:stretch>
                      <a:fillRect/>
                    </a:stretch>
                  </pic:blipFill>
                  <pic:spPr>
                    <a:xfrm>
                      <a:off x="0" y="0"/>
                      <a:ext cx="2526030" cy="2752725"/>
                    </a:xfrm>
                    <a:prstGeom prst="rect">
                      <a:avLst/>
                    </a:prstGeom>
                    <a:noFill/>
                    <a:ln>
                      <a:noFill/>
                    </a:ln>
                  </pic:spPr>
                </pic:pic>
              </a:graphicData>
            </a:graphic>
          </wp:inline>
        </w:drawing>
      </w:r>
      <w:r>
        <w:drawing>
          <wp:inline distT="0" distB="0" distL="114300" distR="114300">
            <wp:extent cx="2714625" cy="2781300"/>
            <wp:effectExtent l="0" t="0" r="9525" b="0"/>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44"/>
                    <a:stretch>
                      <a:fillRect/>
                    </a:stretch>
                  </pic:blipFill>
                  <pic:spPr>
                    <a:xfrm>
                      <a:off x="0" y="0"/>
                      <a:ext cx="2714625" cy="2781300"/>
                    </a:xfrm>
                    <a:prstGeom prst="rect">
                      <a:avLst/>
                    </a:prstGeom>
                    <a:noFill/>
                    <a:ln>
                      <a:noFill/>
                    </a:ln>
                  </pic:spPr>
                </pic:pic>
              </a:graphicData>
            </a:graphic>
          </wp:inline>
        </w:drawing>
      </w:r>
    </w:p>
    <w:p w14:paraId="2547721C">
      <w:pPr>
        <w:pStyle w:val="122"/>
        <w:spacing w:before="29" w:line="360" w:lineRule="auto"/>
        <w:ind w:right="159"/>
        <w:outlineLvl w:val="9"/>
      </w:pPr>
      <w:r>
        <w:rPr>
          <w:rFonts w:hint="eastAsia"/>
        </w:rPr>
        <w:t>图5.3-8 吊装平衡臂图</w:t>
      </w:r>
    </w:p>
    <w:p w14:paraId="2A5A3FF8">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按照下图所示，将吊具绕过专用吊耳，实现平衡重的吊装。依次吊装两块平衡重，平稳放置在平衡臂上。</w:t>
      </w:r>
    </w:p>
    <w:p w14:paraId="67236A6E">
      <w:pPr>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平衡重的安装共分为两个阶段：</w:t>
      </w:r>
    </w:p>
    <w:p w14:paraId="0C38EFFD">
      <w:pPr>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阶段 1：平衡臂安装完成后，安装 2 块 3200kg 的平衡重，安装位置为靠近起升机构方向，然后安装起重臂；</w:t>
      </w:r>
    </w:p>
    <w:p w14:paraId="7042074B">
      <w:pPr>
        <w:ind w:firstLine="560"/>
      </w:pPr>
      <w:r>
        <w:rPr>
          <w:rFonts w:hint="eastAsia" w:ascii="宋体" w:hAnsi="宋体" w:cs="宋体"/>
          <w:color w:val="1E1C11" w:themeColor="background2" w:themeShade="1A"/>
          <w:kern w:val="0"/>
        </w:rPr>
        <w:t>阶段 2：起重臂安装完成后按照平衡重配置完成剩余平衡重的安装。吊装完成后检查并确认相邻平衡重块的整个表面是否贴紧。</w:t>
      </w:r>
    </w:p>
    <w:p w14:paraId="11A8EA83">
      <w:pPr>
        <w:autoSpaceDE w:val="0"/>
        <w:spacing w:after="120" w:line="360" w:lineRule="auto"/>
        <w:ind w:firstLine="0" w:firstLineChars="0"/>
        <w:jc w:val="center"/>
        <w:rPr>
          <w:rFonts w:ascii="黑体" w:hAnsi="黑体" w:eastAsia="黑体"/>
          <w:sz w:val="21"/>
        </w:rPr>
      </w:pPr>
      <w:r>
        <w:drawing>
          <wp:inline distT="0" distB="0" distL="114300" distR="114300">
            <wp:extent cx="4646930" cy="2229485"/>
            <wp:effectExtent l="0" t="0" r="1270" b="1841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45"/>
                    <a:stretch>
                      <a:fillRect/>
                    </a:stretch>
                  </pic:blipFill>
                  <pic:spPr>
                    <a:xfrm>
                      <a:off x="0" y="0"/>
                      <a:ext cx="4646930" cy="2229485"/>
                    </a:xfrm>
                    <a:prstGeom prst="rect">
                      <a:avLst/>
                    </a:prstGeom>
                    <a:noFill/>
                    <a:ln>
                      <a:noFill/>
                    </a:ln>
                  </pic:spPr>
                </pic:pic>
              </a:graphicData>
            </a:graphic>
          </wp:inline>
        </w:drawing>
      </w:r>
      <w:r>
        <w:drawing>
          <wp:inline distT="0" distB="0" distL="114300" distR="114300">
            <wp:extent cx="2819400" cy="2663190"/>
            <wp:effectExtent l="0" t="0" r="0" b="3810"/>
            <wp:docPr id="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pic:cNvPicPr>
                      <a:picLocks noChangeAspect="1"/>
                    </pic:cNvPicPr>
                  </pic:nvPicPr>
                  <pic:blipFill>
                    <a:blip r:embed="rId46"/>
                    <a:stretch>
                      <a:fillRect/>
                    </a:stretch>
                  </pic:blipFill>
                  <pic:spPr>
                    <a:xfrm>
                      <a:off x="0" y="0"/>
                      <a:ext cx="2819400" cy="2663190"/>
                    </a:xfrm>
                    <a:prstGeom prst="rect">
                      <a:avLst/>
                    </a:prstGeom>
                    <a:noFill/>
                    <a:ln>
                      <a:noFill/>
                    </a:ln>
                  </pic:spPr>
                </pic:pic>
              </a:graphicData>
            </a:graphic>
          </wp:inline>
        </w:drawing>
      </w:r>
      <w:r>
        <w:drawing>
          <wp:inline distT="0" distB="0" distL="114300" distR="114300">
            <wp:extent cx="2591435" cy="2654935"/>
            <wp:effectExtent l="0" t="0" r="18415" b="12065"/>
            <wp:docPr id="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
                    <pic:cNvPicPr>
                      <a:picLocks noChangeAspect="1"/>
                    </pic:cNvPicPr>
                  </pic:nvPicPr>
                  <pic:blipFill>
                    <a:blip r:embed="rId44"/>
                    <a:stretch>
                      <a:fillRect/>
                    </a:stretch>
                  </pic:blipFill>
                  <pic:spPr>
                    <a:xfrm>
                      <a:off x="0" y="0"/>
                      <a:ext cx="2591435" cy="2654935"/>
                    </a:xfrm>
                    <a:prstGeom prst="rect">
                      <a:avLst/>
                    </a:prstGeom>
                    <a:noFill/>
                    <a:ln>
                      <a:noFill/>
                    </a:ln>
                  </pic:spPr>
                </pic:pic>
              </a:graphicData>
            </a:graphic>
          </wp:inline>
        </w:drawing>
      </w:r>
    </w:p>
    <w:p w14:paraId="43A687B3">
      <w:pPr>
        <w:pStyle w:val="122"/>
        <w:spacing w:before="29" w:line="360" w:lineRule="auto"/>
        <w:ind w:right="159"/>
        <w:outlineLvl w:val="9"/>
      </w:pPr>
      <w:r>
        <w:rPr>
          <w:rFonts w:hint="eastAsia"/>
        </w:rPr>
        <w:t>图5.3-9吊装2块3.2t配重</w:t>
      </w:r>
    </w:p>
    <w:p w14:paraId="004BA417">
      <w:pPr>
        <w:pStyle w:val="4"/>
        <w:spacing w:line="240" w:lineRule="auto"/>
        <w:rPr>
          <w:rFonts w:ascii="黑体" w:hAnsi="黑体" w:cs="黑体"/>
          <w:bCs/>
          <w:color w:val="000000"/>
        </w:rPr>
      </w:pPr>
      <w:bookmarkStart w:id="317" w:name="_Toc8955"/>
      <w:r>
        <w:rPr>
          <w:rFonts w:hint="eastAsia" w:ascii="黑体" w:hAnsi="黑体" w:cs="黑体"/>
          <w:bCs/>
          <w:color w:val="000000"/>
        </w:rPr>
        <w:t>5.3.8安装起重臂总成</w:t>
      </w:r>
      <w:bookmarkEnd w:id="317"/>
    </w:p>
    <w:p w14:paraId="2EFCC3FF">
      <w:pPr>
        <w:ind w:firstLine="560"/>
        <w:rPr>
          <w:kern w:val="0"/>
        </w:rPr>
      </w:pPr>
      <w:bookmarkStart w:id="318" w:name="_Toc20504"/>
      <w:r>
        <w:rPr>
          <w:rFonts w:hint="eastAsia"/>
          <w:kern w:val="0"/>
        </w:rPr>
        <w:t>(1)在离上横梁0.6m的支架或枕木上将需要的起重臂拼接好（拼接过程中先将载重小车套在起重臂下弦杆导轨上）。</w:t>
      </w:r>
    </w:p>
    <w:p w14:paraId="1F69DAFF">
      <w:pPr>
        <w:ind w:firstLine="560"/>
        <w:rPr>
          <w:kern w:val="0"/>
        </w:rPr>
      </w:pPr>
      <w:r>
        <w:rPr>
          <w:rFonts w:hint="eastAsia"/>
          <w:kern w:val="0"/>
        </w:rPr>
        <w:t xml:space="preserve">(2)将维修吊篮紧固在载重小车上，并使载重小车尽量靠近起重臂根部最小幅度处。 </w:t>
      </w:r>
    </w:p>
    <w:p w14:paraId="7161C05A">
      <w:pPr>
        <w:ind w:firstLine="560"/>
        <w:rPr>
          <w:kern w:val="0"/>
        </w:rPr>
      </w:pPr>
      <w:r>
        <w:rPr>
          <w:rFonts w:hint="eastAsia"/>
          <w:kern w:val="0"/>
        </w:rPr>
        <w:t>安装好起重臂根部处的变幅机构，卷筒绕出长、短两根钢丝绳，其中短的通过臂根导向滑轮固定于载重小车后部， 另一根长的通过起重臂中间及头部导向滑轮，固定于载重小车前部。</w:t>
      </w:r>
    </w:p>
    <w:p w14:paraId="6DABEC7D">
      <w:pPr>
        <w:ind w:firstLine="560"/>
        <w:rPr>
          <w:kern w:val="0"/>
        </w:rPr>
      </w:pPr>
      <w:r>
        <w:rPr>
          <w:rFonts w:hint="eastAsia"/>
          <w:kern w:val="0"/>
        </w:rPr>
        <w:t>(3)检查起重臂上的电路是否完善。使用回转机构的临时电源将塔机上部结构回转到便于安装起重臂的方位。</w:t>
      </w:r>
    </w:p>
    <w:p w14:paraId="151EACB8">
      <w:pPr>
        <w:ind w:firstLine="560"/>
        <w:rPr>
          <w:kern w:val="0"/>
        </w:rPr>
      </w:pPr>
      <w:r>
        <w:rPr>
          <w:rFonts w:hint="eastAsia"/>
          <w:kern w:val="0"/>
        </w:rPr>
        <w:t>(4)试吊是否平衡，否则可适当移动挂绳位置， 起吊起重臂总成至安装高度。用定轴架和销轴将塔头与起重臂根部联接固定。</w:t>
      </w:r>
    </w:p>
    <w:p w14:paraId="2C54E34B">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lang w:eastAsia="zh-CN"/>
        </w:rPr>
        <w:t>起重臂</w:t>
      </w:r>
      <w:r>
        <w:rPr>
          <w:rFonts w:hint="eastAsia" w:ascii="宋体" w:hAnsi="宋体" w:cs="宋体"/>
          <w:color w:val="1E1C11" w:themeColor="background2" w:themeShade="1A"/>
          <w:kern w:val="0"/>
        </w:rPr>
        <w:t>总成</w:t>
      </w:r>
      <w:r>
        <w:rPr>
          <w:rFonts w:ascii="宋体" w:hAnsi="宋体" w:cs="宋体"/>
          <w:color w:val="1E1C11" w:themeColor="background2" w:themeShade="1A"/>
          <w:kern w:val="0"/>
        </w:rPr>
        <w:t>重</w:t>
      </w:r>
      <w:r>
        <w:rPr>
          <w:rFonts w:hint="eastAsia" w:ascii="宋体" w:hAnsi="宋体" w:cs="宋体"/>
          <w:color w:val="1E1C11" w:themeColor="background2" w:themeShade="1A"/>
          <w:kern w:val="0"/>
          <w:lang w:val="en-US" w:eastAsia="zh-CN"/>
        </w:rPr>
        <w:t>4.985</w:t>
      </w:r>
      <w:r>
        <w:rPr>
          <w:rFonts w:ascii="宋体" w:hAnsi="宋体" w:cs="宋体"/>
          <w:color w:val="1E1C11" w:themeColor="background2" w:themeShade="1A"/>
          <w:kern w:val="0"/>
        </w:rPr>
        <w:t>t，使用</w:t>
      </w:r>
      <w:r>
        <w:rPr>
          <w:rFonts w:hint="eastAsia" w:ascii="宋体" w:hAnsi="宋体" w:cs="宋体"/>
          <w:color w:val="1E1C11" w:themeColor="background2" w:themeShade="1A"/>
          <w:kern w:val="0"/>
        </w:rPr>
        <w:t>25T汽车</w:t>
      </w:r>
      <w:r>
        <w:rPr>
          <w:rFonts w:ascii="宋体" w:hAnsi="宋体" w:cs="宋体"/>
          <w:color w:val="1E1C11" w:themeColor="background2" w:themeShade="1A"/>
          <w:kern w:val="0"/>
        </w:rPr>
        <w:t>吊，</w:t>
      </w:r>
      <w:r>
        <w:rPr>
          <w:rFonts w:hint="eastAsia" w:ascii="宋体" w:hAnsi="宋体" w:cs="宋体"/>
          <w:color w:val="1E1C11" w:themeColor="background2" w:themeShade="1A"/>
          <w:kern w:val="0"/>
        </w:rPr>
        <w:t>4</w:t>
      </w:r>
      <w:r>
        <w:rPr>
          <w:rFonts w:ascii="宋体" w:hAnsi="宋体" w:cs="宋体"/>
          <w:color w:val="1E1C11" w:themeColor="background2" w:themeShade="1A"/>
          <w:kern w:val="0"/>
        </w:rPr>
        <w:t>根Φ</w:t>
      </w:r>
      <w:r>
        <w:rPr>
          <w:rFonts w:hint="eastAsia" w:ascii="宋体" w:hAnsi="宋体" w:cs="宋体"/>
          <w:color w:val="1E1C11" w:themeColor="background2" w:themeShade="1A"/>
          <w:kern w:val="0"/>
        </w:rPr>
        <w:t>24</w:t>
      </w:r>
      <w:r>
        <w:rPr>
          <w:rFonts w:ascii="宋体" w:hAnsi="宋体" w:cs="宋体"/>
          <w:color w:val="1E1C11" w:themeColor="background2" w:themeShade="1A"/>
          <w:kern w:val="0"/>
        </w:rPr>
        <w:t>×</w:t>
      </w:r>
      <w:r>
        <w:rPr>
          <w:rFonts w:hint="eastAsia" w:ascii="宋体" w:hAnsi="宋体" w:cs="宋体"/>
          <w:color w:val="1E1C11" w:themeColor="background2" w:themeShade="1A"/>
          <w:kern w:val="0"/>
        </w:rPr>
        <w:t>6</w:t>
      </w:r>
      <w:r>
        <w:rPr>
          <w:rFonts w:ascii="宋体" w:hAnsi="宋体" w:cs="宋体"/>
          <w:color w:val="1E1C11" w:themeColor="background2" w:themeShade="1A"/>
          <w:kern w:val="0"/>
        </w:rPr>
        <w:t>m钢丝绳，</w:t>
      </w:r>
      <w:r>
        <w:rPr>
          <w:rFonts w:hint="eastAsia" w:ascii="宋体" w:hAnsi="宋体" w:cs="宋体"/>
          <w:color w:val="1E1C11" w:themeColor="background2" w:themeShade="1A"/>
          <w:kern w:val="0"/>
        </w:rPr>
        <w:t>2</w:t>
      </w:r>
      <w:r>
        <w:rPr>
          <w:rFonts w:ascii="宋体" w:hAnsi="宋体" w:cs="宋体"/>
          <w:color w:val="1E1C11" w:themeColor="background2" w:themeShade="1A"/>
          <w:kern w:val="0"/>
        </w:rPr>
        <w:t>个</w:t>
      </w:r>
      <w:r>
        <w:rPr>
          <w:rFonts w:hint="eastAsia" w:ascii="宋体" w:hAnsi="宋体" w:cs="宋体"/>
          <w:color w:val="1E1C11" w:themeColor="background2" w:themeShade="1A"/>
          <w:kern w:val="0"/>
        </w:rPr>
        <w:t>5.5</w:t>
      </w:r>
      <w:r>
        <w:rPr>
          <w:rFonts w:ascii="宋体" w:hAnsi="宋体" w:cs="宋体"/>
          <w:color w:val="1E1C11" w:themeColor="background2" w:themeShade="1A"/>
          <w:kern w:val="0"/>
        </w:rPr>
        <w:t>T卸扣，</w:t>
      </w:r>
      <w:r>
        <w:rPr>
          <w:rFonts w:hint="eastAsia" w:ascii="宋体" w:hAnsi="宋体" w:cs="宋体"/>
          <w:color w:val="1E1C11" w:themeColor="background2" w:themeShade="1A"/>
          <w:kern w:val="0"/>
        </w:rPr>
        <w:t>2</w:t>
      </w:r>
      <w:r>
        <w:rPr>
          <w:rFonts w:ascii="宋体" w:hAnsi="宋体" w:cs="宋体"/>
          <w:color w:val="1E1C11" w:themeColor="background2" w:themeShade="1A"/>
          <w:kern w:val="0"/>
        </w:rPr>
        <w:t>吊点起吊。</w:t>
      </w:r>
      <w:r>
        <w:rPr>
          <w:rFonts w:hint="eastAsia" w:ascii="宋体" w:hAnsi="宋体" w:cs="宋体"/>
          <w:color w:val="1E1C11" w:themeColor="background2" w:themeShade="1A"/>
          <w:kern w:val="0"/>
        </w:rPr>
        <w:t>吊起平衡臂，用定轴架和销轴将平衡臂与起重臂根节固定好。</w:t>
      </w:r>
    </w:p>
    <w:p w14:paraId="162A2B4A">
      <w:pPr>
        <w:spacing w:line="240" w:lineRule="auto"/>
        <w:ind w:firstLine="0" w:firstLineChars="0"/>
        <w:jc w:val="center"/>
        <w:rPr>
          <w:kern w:val="0"/>
          <w:szCs w:val="24"/>
        </w:rPr>
      </w:pPr>
      <w:r>
        <mc:AlternateContent>
          <mc:Choice Requires="wps">
            <w:drawing>
              <wp:anchor distT="0" distB="0" distL="114300" distR="114300" simplePos="0" relativeHeight="251661312" behindDoc="0" locked="0" layoutInCell="1" allowOverlap="1">
                <wp:simplePos x="0" y="0"/>
                <wp:positionH relativeFrom="column">
                  <wp:posOffset>2315210</wp:posOffset>
                </wp:positionH>
                <wp:positionV relativeFrom="paragraph">
                  <wp:posOffset>1229995</wp:posOffset>
                </wp:positionV>
                <wp:extent cx="657225" cy="875665"/>
                <wp:effectExtent l="19050" t="19050" r="28575" b="19685"/>
                <wp:wrapNone/>
                <wp:docPr id="36" name="矩形 36"/>
                <wp:cNvGraphicFramePr/>
                <a:graphic xmlns:a="http://schemas.openxmlformats.org/drawingml/2006/main">
                  <a:graphicData uri="http://schemas.microsoft.com/office/word/2010/wordprocessingShape">
                    <wps:wsp>
                      <wps:cNvSpPr/>
                      <wps:spPr>
                        <a:xfrm>
                          <a:off x="2646680" y="901065"/>
                          <a:ext cx="657225" cy="875665"/>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2.3pt;margin-top:96.85pt;height:68.95pt;width:51.75pt;z-index:251661312;v-text-anchor:middle;mso-width-relative:page;mso-height-relative:page;" filled="f" stroked="t" coordsize="21600,21600" o:gfxdata="UEsDBAoAAAAAAIdO4kAAAAAAAAAAAAAAAAAEAAAAZHJzL1BLAwQUAAAACACHTuJAPz2Vk9gAAAAL&#10;AQAADwAAAGRycy9kb3ducmV2LnhtbE2PwU7DMBBE70j8g7VI3KjjJnLbEKcHJEBwI4C4urFJotjr&#10;KHab8vcsJ3pcvdHM22p/9o6d7ByHgArEKgNmsQ1mwE7Bx/vj3RZYTBqNdgGtgh8bYV9fX1W6NGHB&#10;N3tqUseoBGOpFfQpTSXnse2t13EVJovEvsPsdaJz7riZ9ULl3vF1lknu9YC00OvJPvS2HZujV/Cy&#10;rN3w1enX52ZsPsdQPInNzit1eyOye2DJntN/GP70SR1qcjqEI5rInIJcFpKiBHb5BhglCrkVwA6E&#10;ciGB1xW//KH+BVBLAwQUAAAACACHTuJAuSVhfGkCAADABAAADgAAAGRycy9lMm9Eb2MueG1srVTN&#10;bhMxEL4j8Q6W73STkGzTqJsqahSEVEGlgjg7Xm/Wkv+wnWzKyyBx4yF4HMRr8Nm7/aFw6IEcnJmd&#10;2W/m+zyz5xdHrchB+CCtqej4ZESJMNzW0uwq+vHD5tWckhCZqZmyRlT0VgR6sXz54rxzCzGxrVW1&#10;8AQgJiw6V9E2RrcoisBboVk4sU4YBBvrNYtw/a6oPeuArlUxGY3KorO+dt5yEQKervsgHRD9cwBt&#10;00gu1pbvtTCxR/VCsQhKoZUu0GXutmkEj++bJohIVEXBNOYTRWBv01ksz9li55lrJR9aYM9p4Qkn&#10;zaRB0XuoNYuM7L38C0pL7m2wTTzhVhc9kawIWIxHT7S5aZkTmQukDu5e9PD/YPm7w7Unsq7o65IS&#10;wzRu/NfX7z9/fCN4AHU6FxZIunHXfvACzET12Hid/kGCHCs6KadlOYeutxU9A5dy1osrjpFwxMvZ&#10;6WQyo4QjPj+dlX28eMBxPsQ3wmqSjIp63F2WlB2uQkRtpN6lpLLGbqRS+f6UIR0IzMcjlOcMQ9lg&#10;GGBqB2LB7Chhaodp59FnyGCVrNPrCSj43fZSeXJgmJHNZoRf6hzl/khLtdcstH1eDg1pyiA76dQr&#10;k6ytrW+hq7f9wAXHNxLvX7EQr5nHhKFR7GB8j6NRFt3bwaKktf7Lv56nfFw8opR0mFgw+7xnXlCi&#10;3hqMxNl4OgVszM4UasPxjyPbxxGz15cWhMfYdsezmfKjujMbb/UnrOoqVUWIGY7avYaDcxn7TcKy&#10;c7Fa5TSMtWPxytw4nsD7m1rto21kvsQHdQbRMNhZ7GEJ0+Y89nPWw4dn+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PZWT2AAAAAsBAAAPAAAAAAAAAAEAIAAAACIAAABkcnMvZG93bnJldi54bWxQ&#10;SwECFAAUAAAACACHTuJAuSVhfGkCAADABAAADgAAAAAAAAABACAAAAAnAQAAZHJzL2Uyb0RvYy54&#10;bWxQSwUGAAAAAAYABgBZAQAAAgYAAAAA&#10;">
                <v:fill on="f" focussize="0,0"/>
                <v:stroke weight="3pt" color="#FF0000 [2404]" joinstyle="round"/>
                <v:imagedata o:title=""/>
                <o:lock v:ext="edit" aspectratio="f"/>
              </v:rect>
            </w:pict>
          </mc:Fallback>
        </mc:AlternateContent>
      </w:r>
      <w:r>
        <w:drawing>
          <wp:inline distT="0" distB="0" distL="114300" distR="114300">
            <wp:extent cx="4848860" cy="1176655"/>
            <wp:effectExtent l="0" t="0" r="8890" b="4445"/>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47"/>
                    <a:stretch>
                      <a:fillRect/>
                    </a:stretch>
                  </pic:blipFill>
                  <pic:spPr>
                    <a:xfrm>
                      <a:off x="0" y="0"/>
                      <a:ext cx="4848860" cy="1176655"/>
                    </a:xfrm>
                    <a:prstGeom prst="rect">
                      <a:avLst/>
                    </a:prstGeom>
                    <a:noFill/>
                    <a:ln>
                      <a:noFill/>
                    </a:ln>
                  </pic:spPr>
                </pic:pic>
              </a:graphicData>
            </a:graphic>
          </wp:inline>
        </w:drawing>
      </w:r>
      <w:r>
        <w:drawing>
          <wp:inline distT="0" distB="0" distL="114300" distR="114300">
            <wp:extent cx="5676900" cy="952500"/>
            <wp:effectExtent l="0" t="0" r="0" b="0"/>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48"/>
                    <a:stretch>
                      <a:fillRect/>
                    </a:stretch>
                  </pic:blipFill>
                  <pic:spPr>
                    <a:xfrm>
                      <a:off x="0" y="0"/>
                      <a:ext cx="5676900" cy="952500"/>
                    </a:xfrm>
                    <a:prstGeom prst="rect">
                      <a:avLst/>
                    </a:prstGeom>
                    <a:noFill/>
                    <a:ln>
                      <a:noFill/>
                    </a:ln>
                  </pic:spPr>
                </pic:pic>
              </a:graphicData>
            </a:graphic>
          </wp:inline>
        </w:drawing>
      </w:r>
      <w:r>
        <w:rPr>
          <w:rFonts w:ascii="宋体" w:hAnsi="宋体" w:eastAsia="宋体" w:cs="宋体"/>
          <w:kern w:val="0"/>
          <w:sz w:val="24"/>
          <w:szCs w:val="24"/>
          <w:lang w:bidi="ar"/>
        </w:rPr>
        <w:drawing>
          <wp:inline distT="0" distB="0" distL="114300" distR="114300">
            <wp:extent cx="4468495" cy="918845"/>
            <wp:effectExtent l="0" t="0" r="0" b="0"/>
            <wp:docPr id="6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descr="IMG_256"/>
                    <pic:cNvPicPr>
                      <a:picLocks noChangeAspect="1"/>
                    </pic:cNvPicPr>
                  </pic:nvPicPr>
                  <pic:blipFill>
                    <a:blip r:embed="rId49"/>
                    <a:srcRect r="13603"/>
                    <a:stretch>
                      <a:fillRect/>
                    </a:stretch>
                  </pic:blipFill>
                  <pic:spPr>
                    <a:xfrm>
                      <a:off x="0" y="0"/>
                      <a:ext cx="4468495" cy="918845"/>
                    </a:xfrm>
                    <a:prstGeom prst="rect">
                      <a:avLst/>
                    </a:prstGeom>
                    <a:noFill/>
                    <a:ln w="9525">
                      <a:noFill/>
                    </a:ln>
                  </pic:spPr>
                </pic:pic>
              </a:graphicData>
            </a:graphic>
          </wp:inline>
        </w:drawing>
      </w:r>
      <w:r>
        <w:drawing>
          <wp:inline distT="0" distB="0" distL="114300" distR="114300">
            <wp:extent cx="4458970" cy="2118360"/>
            <wp:effectExtent l="0" t="0" r="0" b="0"/>
            <wp:docPr id="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
                    <pic:cNvPicPr>
                      <a:picLocks noChangeAspect="1"/>
                    </pic:cNvPicPr>
                  </pic:nvPicPr>
                  <pic:blipFill>
                    <a:blip r:embed="rId50"/>
                    <a:srcRect r="16831"/>
                    <a:stretch>
                      <a:fillRect/>
                    </a:stretch>
                  </pic:blipFill>
                  <pic:spPr>
                    <a:xfrm>
                      <a:off x="0" y="0"/>
                      <a:ext cx="4458970" cy="2118360"/>
                    </a:xfrm>
                    <a:prstGeom prst="rect">
                      <a:avLst/>
                    </a:prstGeom>
                    <a:noFill/>
                    <a:ln>
                      <a:noFill/>
                    </a:ln>
                  </pic:spPr>
                </pic:pic>
              </a:graphicData>
            </a:graphic>
          </wp:inline>
        </w:drawing>
      </w:r>
      <w:r>
        <w:drawing>
          <wp:inline distT="0" distB="0" distL="114300" distR="114300">
            <wp:extent cx="4030345" cy="1536700"/>
            <wp:effectExtent l="0" t="0" r="0" b="0"/>
            <wp:docPr id="7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
                    <pic:cNvPicPr>
                      <a:picLocks noChangeAspect="1"/>
                    </pic:cNvPicPr>
                  </pic:nvPicPr>
                  <pic:blipFill>
                    <a:blip r:embed="rId51"/>
                    <a:srcRect r="14079"/>
                    <a:stretch>
                      <a:fillRect/>
                    </a:stretch>
                  </pic:blipFill>
                  <pic:spPr>
                    <a:xfrm>
                      <a:off x="0" y="0"/>
                      <a:ext cx="4030345" cy="1536700"/>
                    </a:xfrm>
                    <a:prstGeom prst="rect">
                      <a:avLst/>
                    </a:prstGeom>
                    <a:noFill/>
                    <a:ln>
                      <a:noFill/>
                    </a:ln>
                  </pic:spPr>
                </pic:pic>
              </a:graphicData>
            </a:graphic>
          </wp:inline>
        </w:drawing>
      </w:r>
    </w:p>
    <w:p w14:paraId="1862CFDE">
      <w:pPr>
        <w:pStyle w:val="122"/>
        <w:spacing w:before="29" w:line="360" w:lineRule="auto"/>
        <w:ind w:right="159"/>
        <w:outlineLvl w:val="9"/>
      </w:pPr>
      <w:r>
        <w:rPr>
          <w:rFonts w:hint="eastAsia"/>
        </w:rPr>
        <w:t>图5.3-9吊装起重臂总成示意图</w:t>
      </w:r>
    </w:p>
    <w:p w14:paraId="5982E6C2">
      <w:pPr>
        <w:pStyle w:val="4"/>
        <w:spacing w:line="240" w:lineRule="auto"/>
        <w:rPr>
          <w:rFonts w:ascii="黑体" w:hAnsi="黑体" w:cs="黑体"/>
          <w:bCs/>
          <w:color w:val="000000"/>
        </w:rPr>
      </w:pPr>
      <w:r>
        <w:rPr>
          <w:rFonts w:hint="eastAsia" w:ascii="黑体" w:hAnsi="黑体" w:cs="黑体"/>
          <w:bCs/>
          <w:color w:val="000000"/>
        </w:rPr>
        <w:t>5.3.9装配剩余平衡重</w:t>
      </w:r>
      <w:bookmarkEnd w:id="318"/>
    </w:p>
    <w:p w14:paraId="4E02CC2F">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根据塔基臂长装配剩余平衡重（平衡重的配置及安装位置严格按照要求安装），</w:t>
      </w:r>
      <w:r>
        <w:rPr>
          <w:rFonts w:hint="eastAsia" w:ascii="宋体" w:hAnsi="宋体" w:cs="宋体"/>
          <w:color w:val="1E1C11" w:themeColor="background2" w:themeShade="1A"/>
          <w:kern w:val="0"/>
          <w:lang w:val="en-US" w:eastAsia="zh-CN"/>
        </w:rPr>
        <w:t>50</w:t>
      </w:r>
      <w:r>
        <w:rPr>
          <w:rFonts w:hint="eastAsia" w:ascii="宋体" w:hAnsi="宋体" w:cs="宋体"/>
          <w:color w:val="1E1C11" w:themeColor="background2" w:themeShade="1A"/>
          <w:kern w:val="0"/>
        </w:rPr>
        <w:t>米起重臂时其配置要求如下图：</w:t>
      </w:r>
    </w:p>
    <w:p w14:paraId="2F0A9CB6">
      <w:pPr>
        <w:spacing w:line="240" w:lineRule="auto"/>
        <w:ind w:firstLine="0" w:firstLineChars="0"/>
        <w:jc w:val="center"/>
        <w:rPr>
          <w:rFonts w:ascii="Tahoma" w:hAnsi="Tahoma" w:eastAsia="宋体" w:cs="Tahoma"/>
          <w:szCs w:val="24"/>
        </w:rPr>
      </w:pPr>
      <w:r>
        <w:drawing>
          <wp:inline distT="0" distB="0" distL="114300" distR="114300">
            <wp:extent cx="2809875" cy="3219450"/>
            <wp:effectExtent l="0" t="0" r="9525" b="0"/>
            <wp:docPr id="8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9"/>
                    <pic:cNvPicPr>
                      <a:picLocks noChangeAspect="1"/>
                    </pic:cNvPicPr>
                  </pic:nvPicPr>
                  <pic:blipFill>
                    <a:blip r:embed="rId52"/>
                    <a:stretch>
                      <a:fillRect/>
                    </a:stretch>
                  </pic:blipFill>
                  <pic:spPr>
                    <a:xfrm>
                      <a:off x="0" y="0"/>
                      <a:ext cx="2809875" cy="3219450"/>
                    </a:xfrm>
                    <a:prstGeom prst="rect">
                      <a:avLst/>
                    </a:prstGeom>
                    <a:noFill/>
                    <a:ln>
                      <a:noFill/>
                    </a:ln>
                  </pic:spPr>
                </pic:pic>
              </a:graphicData>
            </a:graphic>
          </wp:inline>
        </w:drawing>
      </w:r>
      <w:r>
        <w:drawing>
          <wp:inline distT="0" distB="0" distL="114300" distR="114300">
            <wp:extent cx="4392295" cy="1728470"/>
            <wp:effectExtent l="0" t="0" r="0" b="0"/>
            <wp:docPr id="7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5"/>
                    <pic:cNvPicPr>
                      <a:picLocks noChangeAspect="1"/>
                    </pic:cNvPicPr>
                  </pic:nvPicPr>
                  <pic:blipFill>
                    <a:blip r:embed="rId53"/>
                    <a:srcRect r="13505"/>
                    <a:stretch>
                      <a:fillRect/>
                    </a:stretch>
                  </pic:blipFill>
                  <pic:spPr>
                    <a:xfrm>
                      <a:off x="0" y="0"/>
                      <a:ext cx="4392295" cy="1728470"/>
                    </a:xfrm>
                    <a:prstGeom prst="rect">
                      <a:avLst/>
                    </a:prstGeom>
                    <a:noFill/>
                    <a:ln>
                      <a:noFill/>
                    </a:ln>
                  </pic:spPr>
                </pic:pic>
              </a:graphicData>
            </a:graphic>
          </wp:inline>
        </w:drawing>
      </w:r>
      <w:r>
        <w:drawing>
          <wp:inline distT="0" distB="0" distL="114300" distR="114300">
            <wp:extent cx="4344670" cy="1635760"/>
            <wp:effectExtent l="0" t="0" r="0" b="0"/>
            <wp:docPr id="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4"/>
                    <pic:cNvPicPr>
                      <a:picLocks noChangeAspect="1"/>
                    </pic:cNvPicPr>
                  </pic:nvPicPr>
                  <pic:blipFill>
                    <a:blip r:embed="rId54"/>
                    <a:srcRect r="12192"/>
                    <a:stretch>
                      <a:fillRect/>
                    </a:stretch>
                  </pic:blipFill>
                  <pic:spPr>
                    <a:xfrm>
                      <a:off x="0" y="0"/>
                      <a:ext cx="4344670" cy="1635760"/>
                    </a:xfrm>
                    <a:prstGeom prst="rect">
                      <a:avLst/>
                    </a:prstGeom>
                    <a:noFill/>
                    <a:ln>
                      <a:noFill/>
                    </a:ln>
                  </pic:spPr>
                </pic:pic>
              </a:graphicData>
            </a:graphic>
          </wp:inline>
        </w:drawing>
      </w:r>
    </w:p>
    <w:p w14:paraId="1069DE12">
      <w:pPr>
        <w:pStyle w:val="122"/>
        <w:spacing w:before="29" w:line="360" w:lineRule="auto"/>
        <w:ind w:right="159"/>
        <w:outlineLvl w:val="9"/>
      </w:pPr>
      <w:r>
        <w:rPr>
          <w:rFonts w:hint="eastAsia"/>
        </w:rPr>
        <w:t>图5.3-11  5</w:t>
      </w:r>
      <w:r>
        <w:rPr>
          <w:rFonts w:hint="eastAsia"/>
          <w:lang w:val="en-US" w:eastAsia="zh-CN"/>
        </w:rPr>
        <w:t>0</w:t>
      </w:r>
      <w:r>
        <w:rPr>
          <w:rFonts w:hint="eastAsia"/>
        </w:rPr>
        <w:t>m起重臂时平衡重示意图</w:t>
      </w:r>
    </w:p>
    <w:p w14:paraId="663A4159">
      <w:pPr>
        <w:pStyle w:val="4"/>
        <w:spacing w:line="240" w:lineRule="auto"/>
        <w:rPr>
          <w:rFonts w:ascii="黑体" w:hAnsi="黑体" w:cs="黑体"/>
          <w:bCs/>
          <w:color w:val="000000"/>
        </w:rPr>
      </w:pPr>
      <w:r>
        <w:rPr>
          <w:rFonts w:hint="eastAsia" w:ascii="黑体" w:hAnsi="黑体" w:cs="黑体"/>
          <w:bCs/>
          <w:color w:val="000000"/>
        </w:rPr>
        <w:t>5.3.10穿绕起升钢丝绳</w:t>
      </w:r>
    </w:p>
    <w:p w14:paraId="6E92BDE6">
      <w:pPr>
        <w:pStyle w:val="172"/>
        <w:ind w:firstLine="560"/>
        <w:rPr>
          <w:kern w:val="0"/>
          <w:szCs w:val="24"/>
        </w:rPr>
      </w:pPr>
      <w:bookmarkStart w:id="319" w:name="_Toc28436"/>
      <w:r>
        <w:rPr>
          <w:rFonts w:hint="eastAsia"/>
          <w:kern w:val="0"/>
          <w:szCs w:val="24"/>
        </w:rPr>
        <w:t>吊装完毕后，进行起升钢丝绳穿绕。</w:t>
      </w:r>
    </w:p>
    <w:p w14:paraId="0BE2A147">
      <w:pPr>
        <w:pStyle w:val="172"/>
        <w:ind w:firstLine="0" w:firstLineChars="0"/>
        <w:rPr>
          <w:kern w:val="0"/>
          <w:szCs w:val="24"/>
        </w:rPr>
      </w:pPr>
      <w:r>
        <w:rPr>
          <w:rFonts w:hint="eastAsia"/>
          <w:kern w:val="0"/>
          <w:szCs w:val="24"/>
        </w:rPr>
        <w:t xml:space="preserve">    将钢丝绳从起升机构卷筒放出，通过排绳滑轮、塔顶滑轮、称重滑轮，将钢丝绳引至于位于起重臂根部的小车上，通过小车和吊钩之间的滑轮组，最后将绳头通过绳头夹用销轴固定在起重臂头部防扭装置上。注：钢丝绳穿绕完毕后检查防扭装置是否转动自如。</w:t>
      </w:r>
    </w:p>
    <w:p w14:paraId="2A923A96">
      <w:pPr>
        <w:pStyle w:val="172"/>
        <w:spacing w:line="240" w:lineRule="auto"/>
        <w:ind w:firstLine="0" w:firstLineChars="0"/>
        <w:jc w:val="center"/>
        <w:rPr>
          <w:kern w:val="0"/>
          <w:szCs w:val="24"/>
        </w:rPr>
      </w:pPr>
      <w:r>
        <w:drawing>
          <wp:inline distT="0" distB="0" distL="114300" distR="114300">
            <wp:extent cx="5718175" cy="2103755"/>
            <wp:effectExtent l="0" t="0" r="15875" b="10795"/>
            <wp:docPr id="7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4"/>
                    <pic:cNvPicPr>
                      <a:picLocks noChangeAspect="1"/>
                    </pic:cNvPicPr>
                  </pic:nvPicPr>
                  <pic:blipFill>
                    <a:blip r:embed="rId55"/>
                    <a:srcRect t="6067"/>
                    <a:stretch>
                      <a:fillRect/>
                    </a:stretch>
                  </pic:blipFill>
                  <pic:spPr>
                    <a:xfrm>
                      <a:off x="0" y="0"/>
                      <a:ext cx="5718175" cy="2103755"/>
                    </a:xfrm>
                    <a:prstGeom prst="rect">
                      <a:avLst/>
                    </a:prstGeom>
                    <a:noFill/>
                    <a:ln>
                      <a:noFill/>
                    </a:ln>
                  </pic:spPr>
                </pic:pic>
              </a:graphicData>
            </a:graphic>
          </wp:inline>
        </w:drawing>
      </w:r>
    </w:p>
    <w:p w14:paraId="299ABD63">
      <w:pPr>
        <w:pStyle w:val="122"/>
        <w:spacing w:before="29" w:line="360" w:lineRule="auto"/>
        <w:ind w:right="159"/>
        <w:outlineLvl w:val="9"/>
      </w:pPr>
      <w:r>
        <w:rPr>
          <w:rFonts w:hint="eastAsia"/>
        </w:rPr>
        <w:t>图5.3-12 钢丝绳穿绕图</w:t>
      </w:r>
    </w:p>
    <w:p w14:paraId="34F8A3F2">
      <w:pPr>
        <w:pStyle w:val="4"/>
        <w:spacing w:line="240" w:lineRule="auto"/>
        <w:rPr>
          <w:rFonts w:ascii="黑体" w:hAnsi="黑体" w:cs="黑体"/>
          <w:bCs/>
          <w:color w:val="000000"/>
        </w:rPr>
      </w:pPr>
      <w:r>
        <w:rPr>
          <w:rFonts w:hint="eastAsia" w:ascii="黑体" w:hAnsi="黑体" w:cs="黑体"/>
          <w:bCs/>
          <w:color w:val="000000"/>
        </w:rPr>
        <w:t>5.3.11电气安装与使用</w:t>
      </w:r>
      <w:bookmarkEnd w:id="319"/>
    </w:p>
    <w:p w14:paraId="391ABCDE">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电气安装处在塔机安装完毕后进行，参看原理图，外部接线图及控制箱连线图，连接各控制及动力电缆、制动器电缆，及安全装置，接地装置，障碍灯等；</w:t>
      </w:r>
    </w:p>
    <w:p w14:paraId="505A6028">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a.电气安装</w:t>
      </w:r>
    </w:p>
    <w:p w14:paraId="1B2A75A0">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t>送电之前应对所有线路进行检查，须固定的电缆应有可靠地固定，防止塔机在运行时损伤电缆，其主控制回路对地绝缘电阻不应小于0.5MΩ，塔机对地的接地电阻应不大于4Ω，电缆进入司机室时应穿入电缆保护圈后再进入司机室并留适当的长度。</w:t>
      </w:r>
    </w:p>
    <w:p w14:paraId="5386E32E">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b.通电调试</w:t>
      </w:r>
    </w:p>
    <w:p w14:paraId="77C73A75">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 xml:space="preserve">   场地内的电源采用单独分配箱控制采用</w:t>
      </w:r>
      <w:r>
        <w:rPr>
          <w:rFonts w:ascii="宋体" w:hAnsi="宋体" w:cs="宋体"/>
          <w:color w:val="1E1C11" w:themeColor="background2" w:themeShade="1A"/>
          <w:kern w:val="0"/>
        </w:rPr>
        <w:t>TNS</w:t>
      </w:r>
      <w:r>
        <w:rPr>
          <w:rFonts w:hint="eastAsia" w:ascii="宋体" w:hAnsi="宋体" w:cs="宋体"/>
          <w:color w:val="1E1C11" w:themeColor="background2" w:themeShade="1A"/>
          <w:kern w:val="0"/>
        </w:rPr>
        <w:t>五线三相制接线系统。地面电源合上，送电到司机室，检查三相电源应三相平衡，电压应为380V±10%（地面电网应提供足够的容量，以保护电机正常启动和运行）。松开高度限制器，幅度限制器，配合机械安装，穿好起升，载重小车钢丝绳，然后检查各机构运转是否正常，否则应调整接至起升电机的电源相序，以符合要求。</w:t>
      </w:r>
    </w:p>
    <w:p w14:paraId="7EF0104A">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c.使用应注意事项</w:t>
      </w:r>
    </w:p>
    <w:p w14:paraId="607FD5EB">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1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①</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电送到司机室后障碍灯和司机室照明可通过操作台上的开关送电，插座上也有电，可供插风扇之用。</w:t>
      </w:r>
    </w:p>
    <w:p w14:paraId="61E4D350">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2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②</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按启动按钮时，各操作手柄必须归零位，总接触器才可得电自保;</w:t>
      </w:r>
    </w:p>
    <w:p w14:paraId="6C7F36AD">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3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③</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严禁回转机构打反车制动和紧急刹车，为防止回转打反车和紧急刹车和回转手柄归零后不能马上刹车，电气上设置延时装置须设有几秒的延时间隔。</w:t>
      </w:r>
    </w:p>
    <w:p w14:paraId="0F96A6D0">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4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④</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小车变幅采用变频方案，工作时应根据需要选择适当的速度。</w:t>
      </w:r>
    </w:p>
    <w:p w14:paraId="64D55E0C">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5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⑤</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控制柜已调好的延时继电器不能随便调整，如更换元件应按电气系统说明书调整正确。</w:t>
      </w:r>
    </w:p>
    <w:p w14:paraId="091BCE11">
      <w:pPr>
        <w:autoSpaceDE w:val="0"/>
        <w:autoSpaceDN w:val="0"/>
        <w:adjustRightInd w:val="0"/>
        <w:ind w:firstLine="560"/>
        <w:rPr>
          <w:rFonts w:ascii="宋体" w:hAnsi="宋体" w:cs="宋体"/>
          <w:color w:val="1E1C11" w:themeColor="background2" w:themeShade="1A"/>
          <w:kern w:val="0"/>
        </w:rPr>
      </w:pPr>
      <w:r>
        <w:rPr>
          <w:rFonts w:ascii="宋体" w:hAnsi="宋体" w:cs="宋体"/>
          <w:color w:val="1E1C11" w:themeColor="background2" w:themeShade="1A"/>
          <w:kern w:val="0"/>
        </w:rPr>
        <w:fldChar w:fldCharType="begin"/>
      </w:r>
      <w:r>
        <w:rPr>
          <w:rFonts w:ascii="宋体" w:hAnsi="宋体" w:cs="宋体"/>
          <w:color w:val="1E1C11" w:themeColor="background2" w:themeShade="1A"/>
          <w:kern w:val="0"/>
        </w:rPr>
        <w:instrText xml:space="preserve"> </w:instrText>
      </w:r>
      <w:r>
        <w:rPr>
          <w:rFonts w:hint="eastAsia" w:ascii="宋体" w:hAnsi="宋体" w:cs="宋体"/>
          <w:color w:val="1E1C11" w:themeColor="background2" w:themeShade="1A"/>
          <w:kern w:val="0"/>
        </w:rPr>
        <w:instrText xml:space="preserve">= 6 \* GB3</w:instrText>
      </w:r>
      <w:r>
        <w:rPr>
          <w:rFonts w:ascii="宋体" w:hAnsi="宋体" w:cs="宋体"/>
          <w:color w:val="1E1C11" w:themeColor="background2" w:themeShade="1A"/>
          <w:kern w:val="0"/>
        </w:rPr>
        <w:instrText xml:space="preserve"> </w:instrText>
      </w:r>
      <w:r>
        <w:rPr>
          <w:rFonts w:ascii="宋体" w:hAnsi="宋体" w:cs="宋体"/>
          <w:color w:val="1E1C11" w:themeColor="background2" w:themeShade="1A"/>
          <w:kern w:val="0"/>
        </w:rPr>
        <w:fldChar w:fldCharType="separate"/>
      </w:r>
      <w:r>
        <w:rPr>
          <w:rFonts w:hint="eastAsia" w:ascii="宋体" w:hAnsi="宋体" w:cs="宋体"/>
          <w:color w:val="1E1C11" w:themeColor="background2" w:themeShade="1A"/>
          <w:kern w:val="0"/>
        </w:rPr>
        <w:t>⑥</w:t>
      </w:r>
      <w:r>
        <w:rPr>
          <w:rFonts w:ascii="宋体" w:hAnsi="宋体" w:cs="宋体"/>
          <w:color w:val="1E1C11" w:themeColor="background2" w:themeShade="1A"/>
          <w:kern w:val="0"/>
        </w:rPr>
        <w:fldChar w:fldCharType="end"/>
      </w:r>
      <w:r>
        <w:rPr>
          <w:rFonts w:hint="eastAsia" w:ascii="宋体" w:hAnsi="宋体" w:cs="宋体"/>
          <w:color w:val="1E1C11" w:themeColor="background2" w:themeShade="1A"/>
          <w:kern w:val="0"/>
        </w:rPr>
        <w:t>顶升前要检查泵站电机转向是否与要求一致，否则应将转向调整正确方向进行顶升，顶升时严禁回转变幅和起升，防止发生安全事故和绞断电缆。</w:t>
      </w:r>
    </w:p>
    <w:p w14:paraId="535BF974">
      <w:pPr>
        <w:autoSpaceDE w:val="0"/>
        <w:autoSpaceDN w:val="0"/>
        <w:adjustRightInd w:val="0"/>
        <w:ind w:firstLine="562"/>
        <w:rPr>
          <w:rFonts w:ascii="宋体" w:hAnsi="宋体" w:cs="宋体"/>
          <w:b/>
          <w:bCs/>
          <w:color w:val="1E1C11" w:themeColor="background2" w:themeShade="1A"/>
          <w:kern w:val="0"/>
        </w:rPr>
      </w:pPr>
      <w:r>
        <w:rPr>
          <w:rFonts w:hint="eastAsia" w:ascii="宋体" w:hAnsi="宋体" w:cs="宋体"/>
          <w:b/>
          <w:bCs/>
          <w:color w:val="1E1C11" w:themeColor="background2" w:themeShade="1A"/>
          <w:kern w:val="0"/>
        </w:rPr>
        <w:t>注：塔机接地保护应使用横截面积不小于16mm²的绝缘铜电缆或横截面30mm×35mm表面经电镀的金属条，接地件至少入地面以下1.5米。</w:t>
      </w:r>
      <w:bookmarkStart w:id="320" w:name="_Toc448152260"/>
    </w:p>
    <w:p w14:paraId="4BD38B7C">
      <w:pPr>
        <w:autoSpaceDE w:val="0"/>
        <w:autoSpaceDN w:val="0"/>
        <w:adjustRightInd w:val="0"/>
        <w:ind w:firstLine="562"/>
        <w:rPr>
          <w:rFonts w:ascii="宋体" w:hAnsi="宋体" w:cs="宋体"/>
          <w:b/>
          <w:bCs/>
          <w:color w:val="1E1C11" w:themeColor="background2" w:themeShade="1A"/>
          <w:kern w:val="0"/>
        </w:rPr>
      </w:pPr>
    </w:p>
    <w:bookmarkEnd w:id="320"/>
    <w:p w14:paraId="70CB9CB2">
      <w:pPr>
        <w:pStyle w:val="4"/>
        <w:spacing w:before="29" w:line="360" w:lineRule="auto"/>
        <w:ind w:right="159"/>
      </w:pPr>
      <w:bookmarkStart w:id="321" w:name="_Toc525111831"/>
      <w:bookmarkStart w:id="322" w:name="_Toc1148_WPSOffice_Level2"/>
      <w:bookmarkStart w:id="323" w:name="_Toc29436"/>
      <w:bookmarkStart w:id="324" w:name="_Toc3826"/>
      <w:bookmarkStart w:id="325" w:name="_Toc23403_WPSOffice_Level2"/>
      <w:bookmarkStart w:id="326" w:name="_Toc26444"/>
      <w:bookmarkStart w:id="327" w:name="_Toc20532"/>
      <w:bookmarkStart w:id="328" w:name="_Toc9940"/>
      <w:bookmarkStart w:id="329" w:name="_Toc32716"/>
      <w:bookmarkStart w:id="330" w:name="_Toc1251"/>
      <w:bookmarkStart w:id="331" w:name="_Toc4417"/>
      <w:bookmarkStart w:id="332" w:name="_Toc19782_WPSOffice_Level2"/>
      <w:bookmarkStart w:id="333" w:name="_Toc13112"/>
      <w:bookmarkStart w:id="334" w:name="_Toc7059"/>
      <w:bookmarkStart w:id="335" w:name="_Toc448152262"/>
      <w:r>
        <w:rPr>
          <w:rFonts w:hint="eastAsia" w:ascii="黑体" w:hAnsi="黑体" w:cs="黑体"/>
          <w:bCs/>
          <w:color w:val="000000"/>
        </w:rPr>
        <w:t>5.3.12调试前的检查工作</w:t>
      </w:r>
      <w:bookmarkEnd w:id="321"/>
      <w:bookmarkEnd w:id="322"/>
      <w:bookmarkEnd w:id="323"/>
      <w:bookmarkEnd w:id="324"/>
      <w:bookmarkEnd w:id="325"/>
    </w:p>
    <w:p w14:paraId="11272472">
      <w:pPr>
        <w:autoSpaceDE w:val="0"/>
        <w:autoSpaceDN w:val="0"/>
        <w:adjustRightInd w:val="0"/>
        <w:ind w:firstLine="560"/>
        <w:rPr>
          <w:rFonts w:ascii="宋体" w:hAnsi="宋体" w:cs="宋体"/>
          <w:color w:val="1E1C11" w:themeColor="background2" w:themeShade="1A"/>
          <w:kern w:val="0"/>
        </w:rPr>
      </w:pPr>
      <w:bookmarkStart w:id="336" w:name="_Toc525111832"/>
      <w:r>
        <w:rPr>
          <w:rFonts w:hint="eastAsia" w:ascii="宋体" w:hAnsi="宋体" w:cs="宋体"/>
          <w:color w:val="1E1C11" w:themeColor="background2" w:themeShade="1A"/>
          <w:kern w:val="0"/>
        </w:rPr>
        <w:t>1、检查塔机上的所有连接螺栓是否拧紧。</w:t>
      </w:r>
    </w:p>
    <w:p w14:paraId="64300ED5">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2、检查支腿与基础节连接销轴是否安装到位并锁紧。</w:t>
      </w:r>
    </w:p>
    <w:p w14:paraId="29B2E204">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3、检查塔机与相邻塔机或建筑物的安全距离是否符合要求。</w:t>
      </w:r>
    </w:p>
    <w:p w14:paraId="71692706">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4、检查的连接情况是否良好，是否有破损，与塔机接触的位置是否有保护措施。</w:t>
      </w:r>
    </w:p>
    <w:p w14:paraId="5906FF70">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5、检查各标准节的连接销轴是否安装到位并销紧。</w:t>
      </w:r>
    </w:p>
    <w:p w14:paraId="7E74A917">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6、检查塔机的各扶梯、平台、栏杆安装是否牢固可靠。</w:t>
      </w:r>
    </w:p>
    <w:p w14:paraId="654DD7E3">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7、检查塔机行走小车与起重臂之间的间隙是否符合要求。</w:t>
      </w:r>
    </w:p>
    <w:p w14:paraId="16A757CC">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8、检查钢丝绳的穿绕及卷筒上的缠绕是否正确，检查钢丝绳头是否松</w:t>
      </w:r>
      <w:r>
        <w:rPr>
          <w:rFonts w:hint="eastAsia"/>
        </w:rPr>
        <w:t>动</w:t>
      </w:r>
      <w:r>
        <w:rPr>
          <w:rFonts w:hint="eastAsia" w:ascii="宋体" w:hAnsi="宋体" w:cs="宋体"/>
          <w:color w:val="1E1C11" w:themeColor="background2" w:themeShade="1A"/>
          <w:kern w:val="0"/>
        </w:rPr>
        <w:t>。</w:t>
      </w:r>
    </w:p>
    <w:p w14:paraId="1400C8DD">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9、检查塔机各润滑面和润滑点的润滑情况是否符合要求。</w:t>
      </w:r>
    </w:p>
    <w:p w14:paraId="29456F3F">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10、检查塔机的相序是否正确。</w:t>
      </w:r>
    </w:p>
    <w:p w14:paraId="6C58AE5B">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11、检查平衡臂配重是否固定牢靠。</w:t>
      </w:r>
    </w:p>
    <w:p w14:paraId="2F621B1F">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12、检查各操作平台上是否有杂物，防止塔机运行时坠物伤人。</w:t>
      </w:r>
    </w:p>
    <w:p w14:paraId="47C1A401">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13、对塔机的接地电阻进行测试，确认其小于4Ω。</w:t>
      </w:r>
    </w:p>
    <w:p w14:paraId="477BD0E8">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14、对塔机进行垂直度检查,确认其垂直度在4/1000范围之内。</w:t>
      </w:r>
    </w:p>
    <w:p w14:paraId="21DDD501">
      <w:pPr>
        <w:autoSpaceDE w:val="0"/>
        <w:autoSpaceDN w:val="0"/>
        <w:adjustRightInd w:val="0"/>
        <w:ind w:firstLine="560"/>
        <w:rPr>
          <w:rFonts w:ascii="宋体" w:hAnsi="宋体" w:cs="宋体"/>
          <w:color w:val="1E1C11" w:themeColor="background2" w:themeShade="1A"/>
          <w:kern w:val="0"/>
        </w:rPr>
      </w:pPr>
      <w:r>
        <w:rPr>
          <w:rFonts w:hint="eastAsia" w:ascii="宋体" w:hAnsi="宋体" w:cs="宋体"/>
          <w:color w:val="1E1C11" w:themeColor="background2" w:themeShade="1A"/>
          <w:kern w:val="0"/>
        </w:rPr>
        <w:t>15、在塔机顶部，平衡臂尾部和起重臂端部安装风速仪。</w:t>
      </w:r>
      <w:bookmarkEnd w:id="336"/>
    </w:p>
    <w:p w14:paraId="076CCBCA">
      <w:pPr>
        <w:pStyle w:val="4"/>
        <w:spacing w:before="29" w:line="360" w:lineRule="auto"/>
        <w:ind w:right="159"/>
        <w:rPr>
          <w:rFonts w:ascii="黑体" w:hAnsi="黑体" w:cs="黑体"/>
          <w:bCs/>
          <w:color w:val="000000"/>
        </w:rPr>
      </w:pPr>
      <w:r>
        <w:rPr>
          <w:rFonts w:hint="eastAsia" w:ascii="黑体" w:hAnsi="黑体" w:cs="黑体"/>
          <w:bCs/>
          <w:color w:val="000000"/>
        </w:rPr>
        <w:t>5.3.13调试与试运转</w:t>
      </w:r>
    </w:p>
    <w:bookmarkEnd w:id="326"/>
    <w:bookmarkEnd w:id="327"/>
    <w:bookmarkEnd w:id="328"/>
    <w:bookmarkEnd w:id="329"/>
    <w:bookmarkEnd w:id="330"/>
    <w:bookmarkEnd w:id="331"/>
    <w:p w14:paraId="1B651C6B">
      <w:pPr>
        <w:ind w:firstLine="0" w:firstLineChars="0"/>
      </w:pPr>
      <w:r>
        <w:t>试</w:t>
      </w:r>
      <w:r>
        <w:rPr>
          <w:rFonts w:hint="eastAsia" w:ascii="黑体" w:hAnsi="黑体" w:cs="黑体"/>
          <w:color w:val="000000"/>
        </w:rPr>
        <w:t>运转</w:t>
      </w:r>
      <w:r>
        <w:t>目的</w:t>
      </w:r>
    </w:p>
    <w:p w14:paraId="380961C8">
      <w:pPr>
        <w:ind w:firstLine="560"/>
      </w:pPr>
      <w:r>
        <w:t>（1）验证塔式起重机的承载能力，保证塔式起重机正常使用。</w:t>
      </w:r>
    </w:p>
    <w:p w14:paraId="52A296B1">
      <w:pPr>
        <w:ind w:firstLine="560"/>
      </w:pPr>
      <w:r>
        <w:t>（2）通过加载试验，在塔式起重机正式使用前，消除其结构的非弹性变形。</w:t>
      </w:r>
    </w:p>
    <w:p w14:paraId="25195270">
      <w:pPr>
        <w:ind w:firstLine="560"/>
      </w:pPr>
      <w:r>
        <w:rPr>
          <w:rFonts w:hint="eastAsia"/>
        </w:rPr>
        <w:t>（3）</w:t>
      </w:r>
      <w:r>
        <w:t>试吊载荷</w:t>
      </w:r>
    </w:p>
    <w:p w14:paraId="7E789F46">
      <w:pPr>
        <w:adjustRightInd w:val="0"/>
        <w:snapToGrid w:val="0"/>
        <w:ind w:firstLine="560"/>
      </w:pPr>
      <w:r>
        <w:t>根据工程实际工程概况使用四倍率进行载荷试验，确定如下试吊载荷</w:t>
      </w:r>
    </w:p>
    <w:p w14:paraId="08EC3BA0">
      <w:pPr>
        <w:adjustRightInd w:val="0"/>
        <w:snapToGrid w:val="0"/>
        <w:ind w:firstLine="560"/>
      </w:pPr>
      <w:r>
        <w:rPr>
          <w:rFonts w:hint="eastAsia"/>
        </w:rPr>
        <w:t>XGT6015A-8S塔机</w:t>
      </w:r>
      <w:r>
        <w:t>最大试验载荷：</w:t>
      </w:r>
      <w:r>
        <w:rPr>
          <w:rFonts w:hint="eastAsia"/>
        </w:rPr>
        <w:t>8</w:t>
      </w:r>
      <w:r>
        <w:t>t （1.1倍载荷试验）</w:t>
      </w:r>
    </w:p>
    <w:p w14:paraId="430431F8">
      <w:pPr>
        <w:adjustRightInd w:val="0"/>
        <w:snapToGrid w:val="0"/>
        <w:ind w:firstLine="560"/>
      </w:pPr>
      <w:r>
        <w:t>力矩调试试验载荷： (</w:t>
      </w:r>
      <w:r>
        <w:rPr>
          <w:rFonts w:hint="eastAsia"/>
        </w:rPr>
        <w:t>1</w:t>
      </w:r>
      <w:r>
        <w:t xml:space="preserve">) </w:t>
      </w:r>
      <w:r>
        <w:rPr>
          <w:rFonts w:hint="eastAsia"/>
        </w:rPr>
        <w:t>8.8</w:t>
      </w:r>
      <w:r>
        <w:t>t(</w:t>
      </w:r>
      <w:r>
        <w:rPr>
          <w:rFonts w:hint="eastAsia"/>
        </w:rPr>
        <w:t>15</w:t>
      </w:r>
      <w:r>
        <w:t xml:space="preserve">m)       (2)  </w:t>
      </w:r>
      <w:r>
        <w:rPr>
          <w:rFonts w:hint="eastAsia"/>
          <w:lang w:val="en-US" w:eastAsia="zh-CN"/>
        </w:rPr>
        <w:t>2.387</w:t>
      </w:r>
      <w:r>
        <w:t>t(</w:t>
      </w:r>
      <w:r>
        <w:rPr>
          <w:rFonts w:hint="eastAsia"/>
        </w:rPr>
        <w:t>60m</w:t>
      </w:r>
      <w:r>
        <w:t xml:space="preserve">)    </w:t>
      </w:r>
    </w:p>
    <w:p w14:paraId="17518605">
      <w:pPr>
        <w:ind w:firstLine="562"/>
        <w:rPr>
          <w:b/>
          <w:bCs/>
        </w:rPr>
      </w:pPr>
      <w:bookmarkStart w:id="337" w:name="_Toc15536"/>
      <w:r>
        <w:rPr>
          <w:b/>
          <w:bCs/>
        </w:rPr>
        <w:t>塔式起重机加载试验工序</w:t>
      </w:r>
      <w:bookmarkEnd w:id="337"/>
    </w:p>
    <w:p w14:paraId="6BD4784D">
      <w:pPr>
        <w:ind w:firstLine="0" w:firstLineChars="0"/>
        <w:rPr>
          <w:b/>
          <w:bCs/>
        </w:rPr>
      </w:pPr>
      <w:r>
        <w:rPr>
          <w:b/>
          <w:bCs/>
        </w:rPr>
        <w:t>试验前检查</w:t>
      </w:r>
    </w:p>
    <w:p w14:paraId="154621BA">
      <w:pPr>
        <w:ind w:firstLine="560"/>
      </w:pPr>
      <w:r>
        <w:t>试吊前按人员分工进行全面检查：</w:t>
      </w:r>
    </w:p>
    <w:p w14:paraId="322226EF">
      <w:pPr>
        <w:numPr>
          <w:ilvl w:val="0"/>
          <w:numId w:val="4"/>
        </w:numPr>
        <w:ind w:firstLine="560"/>
      </w:pPr>
      <w:r>
        <w:t>对塔机基础和主体结构焊缝质量、油漆质量等外观质量进行目测检查；</w:t>
      </w:r>
    </w:p>
    <w:p w14:paraId="16A2E9C2">
      <w:pPr>
        <w:numPr>
          <w:ilvl w:val="0"/>
          <w:numId w:val="4"/>
        </w:numPr>
        <w:ind w:firstLine="560"/>
      </w:pPr>
      <w:r>
        <w:t>对电气系统、操作室进行检查；</w:t>
      </w:r>
    </w:p>
    <w:p w14:paraId="0C5F3ECE">
      <w:pPr>
        <w:numPr>
          <w:ilvl w:val="0"/>
          <w:numId w:val="4"/>
        </w:numPr>
        <w:ind w:firstLine="560"/>
      </w:pPr>
      <w:r>
        <w:t>对起升、回转、变幅等机构进行检查；</w:t>
      </w:r>
    </w:p>
    <w:p w14:paraId="22DB77CD">
      <w:pPr>
        <w:numPr>
          <w:ilvl w:val="0"/>
          <w:numId w:val="4"/>
        </w:numPr>
        <w:ind w:firstLine="560"/>
      </w:pPr>
      <w:r>
        <w:t>对吊索、吊具、试吊物进行全面检查；</w:t>
      </w:r>
    </w:p>
    <w:p w14:paraId="1884DEE2">
      <w:pPr>
        <w:numPr>
          <w:ilvl w:val="0"/>
          <w:numId w:val="4"/>
        </w:numPr>
        <w:ind w:firstLine="560"/>
      </w:pPr>
      <w:r>
        <w:t>测量组顺着起重臂方向测量塔身垂直度，需东西向与南北向测量两次</w:t>
      </w:r>
      <w:r>
        <w:rPr>
          <w:rFonts w:hint="eastAsia"/>
        </w:rPr>
        <w:t>.</w:t>
      </w:r>
    </w:p>
    <w:p w14:paraId="1982DDAF">
      <w:pPr>
        <w:pStyle w:val="11"/>
        <w:ind w:firstLine="0" w:firstLineChars="0"/>
        <w:rPr>
          <w:rFonts w:hint="default"/>
          <w:b/>
          <w:bCs/>
        </w:rPr>
      </w:pPr>
      <w:r>
        <w:rPr>
          <w:b/>
          <w:bCs/>
        </w:rPr>
        <w:t>绝缘试验</w:t>
      </w:r>
    </w:p>
    <w:p w14:paraId="17A99BD9">
      <w:pPr>
        <w:ind w:firstLine="560"/>
      </w:pPr>
      <w:r>
        <w:rPr>
          <w:rFonts w:hint="eastAsia"/>
        </w:rPr>
        <w:t>利用接地电阻仪，对附近土壤和预埋接地体进行阻值测试，利用兆欧表对塔身的接地测试是否良好</w:t>
      </w:r>
    </w:p>
    <w:p w14:paraId="1813378A">
      <w:pPr>
        <w:ind w:firstLine="0" w:firstLineChars="0"/>
        <w:rPr>
          <w:b/>
          <w:bCs/>
        </w:rPr>
      </w:pPr>
      <w:r>
        <w:rPr>
          <w:b/>
          <w:bCs/>
        </w:rPr>
        <w:t>空载试验</w:t>
      </w:r>
    </w:p>
    <w:p w14:paraId="6BD4A8BE">
      <w:pPr>
        <w:ind w:firstLine="560"/>
      </w:pPr>
      <w:r>
        <w:t>塔机空载状态下，起升、回转、变幅等各动作的操作试验。检查：</w:t>
      </w:r>
    </w:p>
    <w:p w14:paraId="0B0EFA22">
      <w:pPr>
        <w:ind w:firstLine="560"/>
      </w:pPr>
      <w:r>
        <w:t>（1）操作系统、控制系统、联锁装置动作准确性和灵活性；</w:t>
      </w:r>
    </w:p>
    <w:p w14:paraId="2370B4AB">
      <w:pPr>
        <w:ind w:firstLine="560"/>
      </w:pPr>
      <w:r>
        <w:t>（2）各行程限位器的动作准确性和可靠性，（本次试验测试高度限位器与幅度限位器）；</w:t>
      </w:r>
    </w:p>
    <w:p w14:paraId="7B7BA17A">
      <w:pPr>
        <w:ind w:firstLine="560"/>
      </w:pPr>
      <w:r>
        <w:t>（3）各机构中无相对运动部位是否有漏油现象，有相对运动部位的渗漏情况，各机构运动的平稳性，是否有爬行、振颤、冲击、过热、异常噪声等现象。</w:t>
      </w:r>
    </w:p>
    <w:p w14:paraId="67CB1A45">
      <w:pPr>
        <w:ind w:firstLine="0" w:firstLineChars="0"/>
        <w:rPr>
          <w:b/>
          <w:bCs/>
        </w:rPr>
      </w:pPr>
      <w:r>
        <w:rPr>
          <w:b/>
          <w:bCs/>
        </w:rPr>
        <w:t>额定荷载试验</w:t>
      </w:r>
    </w:p>
    <w:p w14:paraId="5AC2944A">
      <w:pPr>
        <w:ind w:firstLine="560"/>
      </w:pPr>
      <w:r>
        <w:t>根据设计的额定载荷，按照GB/T5031规定的工况、试验方法和要求，进行起升、变幅、回转试验，每一工况的试验次数不得少于3次。还应当检查以下内容是否符合要求：</w:t>
      </w:r>
    </w:p>
    <w:p w14:paraId="03085F60">
      <w:pPr>
        <w:ind w:firstLine="560"/>
      </w:pPr>
      <w:r>
        <w:t>（1）起升、回转、变幅的额定速度在允差范围内。</w:t>
      </w:r>
    </w:p>
    <w:p w14:paraId="6E3FAF3B">
      <w:pPr>
        <w:ind w:firstLine="560"/>
        <w:rPr>
          <w:b/>
          <w:sz w:val="21"/>
        </w:rPr>
      </w:pPr>
      <w:r>
        <w:t>（2）起重量限制器、起重力矩限制器信号显示、报警精度在允许范围内。</w:t>
      </w:r>
    </w:p>
    <w:p w14:paraId="1EDBC317">
      <w:pPr>
        <w:ind w:firstLine="422"/>
        <w:jc w:val="center"/>
        <w:rPr>
          <w:rFonts w:ascii="宋体" w:hAnsi="宋体" w:eastAsia="宋体" w:cs="宋体"/>
          <w:b/>
          <w:bCs/>
          <w:color w:val="171717"/>
          <w:sz w:val="21"/>
        </w:rPr>
      </w:pPr>
      <w:r>
        <w:rPr>
          <w:rFonts w:hint="eastAsia" w:ascii="宋体" w:hAnsi="宋体" w:eastAsia="宋体" w:cs="宋体"/>
          <w:b/>
          <w:bCs/>
          <w:color w:val="171717"/>
          <w:sz w:val="21"/>
        </w:rPr>
        <w:t>表5.4.2</w:t>
      </w:r>
      <w:r>
        <w:rPr>
          <w:rFonts w:hint="eastAsia" w:ascii="宋体" w:hAnsi="宋体" w:cs="宋体"/>
          <w:b/>
          <w:bCs/>
          <w:color w:val="171717"/>
          <w:sz w:val="21"/>
        </w:rPr>
        <w:t>-</w:t>
      </w:r>
      <w:r>
        <w:rPr>
          <w:rFonts w:hint="eastAsia" w:ascii="宋体" w:hAnsi="宋体" w:eastAsia="宋体" w:cs="宋体"/>
          <w:b/>
          <w:bCs/>
          <w:color w:val="171717"/>
          <w:sz w:val="21"/>
        </w:rPr>
        <w:t>1 额定载荷试验</w:t>
      </w:r>
    </w:p>
    <w:tbl>
      <w:tblPr>
        <w:tblStyle w:val="40"/>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27"/>
        <w:gridCol w:w="1806"/>
        <w:gridCol w:w="1808"/>
        <w:gridCol w:w="1813"/>
        <w:gridCol w:w="1791"/>
      </w:tblGrid>
      <w:tr w14:paraId="4C3565E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62" w:hRule="atLeast"/>
        </w:trPr>
        <w:tc>
          <w:tcPr>
            <w:tcW w:w="1010" w:type="pct"/>
            <w:vMerge w:val="restart"/>
            <w:vAlign w:val="center"/>
          </w:tcPr>
          <w:p w14:paraId="055A6FDF">
            <w:pPr>
              <w:adjustRightInd w:val="0"/>
              <w:snapToGrid w:val="0"/>
              <w:spacing w:line="240" w:lineRule="auto"/>
              <w:ind w:firstLine="0" w:firstLineChars="0"/>
              <w:jc w:val="center"/>
              <w:rPr>
                <w:sz w:val="21"/>
              </w:rPr>
            </w:pPr>
            <w:r>
              <w:rPr>
                <w:sz w:val="21"/>
              </w:rPr>
              <w:t>工况</w:t>
            </w:r>
          </w:p>
        </w:tc>
        <w:tc>
          <w:tcPr>
            <w:tcW w:w="2999" w:type="pct"/>
            <w:gridSpan w:val="3"/>
            <w:vAlign w:val="center"/>
          </w:tcPr>
          <w:p w14:paraId="5713C30D">
            <w:pPr>
              <w:adjustRightInd w:val="0"/>
              <w:snapToGrid w:val="0"/>
              <w:spacing w:line="240" w:lineRule="auto"/>
              <w:ind w:firstLine="0" w:firstLineChars="0"/>
              <w:jc w:val="center"/>
              <w:rPr>
                <w:sz w:val="21"/>
              </w:rPr>
            </w:pPr>
            <w:r>
              <w:rPr>
                <w:sz w:val="21"/>
              </w:rPr>
              <w:t>试验方法</w:t>
            </w:r>
          </w:p>
        </w:tc>
        <w:tc>
          <w:tcPr>
            <w:tcW w:w="990" w:type="pct"/>
            <w:vMerge w:val="restart"/>
            <w:vAlign w:val="center"/>
          </w:tcPr>
          <w:p w14:paraId="72A0B1F7">
            <w:pPr>
              <w:adjustRightInd w:val="0"/>
              <w:snapToGrid w:val="0"/>
              <w:spacing w:line="240" w:lineRule="auto"/>
              <w:ind w:firstLine="0" w:firstLineChars="0"/>
              <w:jc w:val="center"/>
              <w:rPr>
                <w:sz w:val="21"/>
              </w:rPr>
            </w:pPr>
            <w:r>
              <w:rPr>
                <w:sz w:val="21"/>
              </w:rPr>
              <w:t>试验目的</w:t>
            </w:r>
          </w:p>
        </w:tc>
      </w:tr>
      <w:tr w14:paraId="53E57A3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010" w:type="pct"/>
            <w:vMerge w:val="continue"/>
            <w:vAlign w:val="center"/>
          </w:tcPr>
          <w:p w14:paraId="06F74D87">
            <w:pPr>
              <w:adjustRightInd w:val="0"/>
              <w:snapToGrid w:val="0"/>
              <w:spacing w:line="240" w:lineRule="auto"/>
              <w:ind w:firstLine="0" w:firstLineChars="0"/>
              <w:jc w:val="center"/>
              <w:rPr>
                <w:sz w:val="21"/>
              </w:rPr>
            </w:pPr>
          </w:p>
        </w:tc>
        <w:tc>
          <w:tcPr>
            <w:tcW w:w="998" w:type="pct"/>
            <w:vAlign w:val="center"/>
          </w:tcPr>
          <w:p w14:paraId="4F05A6AF">
            <w:pPr>
              <w:adjustRightInd w:val="0"/>
              <w:snapToGrid w:val="0"/>
              <w:spacing w:line="240" w:lineRule="auto"/>
              <w:ind w:firstLine="0" w:firstLineChars="0"/>
              <w:jc w:val="center"/>
              <w:rPr>
                <w:sz w:val="21"/>
              </w:rPr>
            </w:pPr>
            <w:r>
              <w:rPr>
                <w:sz w:val="21"/>
              </w:rPr>
              <w:t>起升</w:t>
            </w:r>
          </w:p>
        </w:tc>
        <w:tc>
          <w:tcPr>
            <w:tcW w:w="999" w:type="pct"/>
            <w:vAlign w:val="center"/>
          </w:tcPr>
          <w:p w14:paraId="218548ED">
            <w:pPr>
              <w:adjustRightInd w:val="0"/>
              <w:snapToGrid w:val="0"/>
              <w:spacing w:line="240" w:lineRule="auto"/>
              <w:ind w:firstLine="0" w:firstLineChars="0"/>
              <w:jc w:val="center"/>
              <w:rPr>
                <w:sz w:val="21"/>
              </w:rPr>
            </w:pPr>
            <w:r>
              <w:rPr>
                <w:sz w:val="21"/>
              </w:rPr>
              <w:t>变幅</w:t>
            </w:r>
          </w:p>
        </w:tc>
        <w:tc>
          <w:tcPr>
            <w:tcW w:w="1002" w:type="pct"/>
            <w:vAlign w:val="center"/>
          </w:tcPr>
          <w:p w14:paraId="1722B228">
            <w:pPr>
              <w:adjustRightInd w:val="0"/>
              <w:snapToGrid w:val="0"/>
              <w:spacing w:line="240" w:lineRule="auto"/>
              <w:ind w:firstLine="0" w:firstLineChars="0"/>
              <w:jc w:val="center"/>
              <w:rPr>
                <w:sz w:val="21"/>
              </w:rPr>
            </w:pPr>
            <w:r>
              <w:rPr>
                <w:sz w:val="21"/>
              </w:rPr>
              <w:t>回转</w:t>
            </w:r>
          </w:p>
        </w:tc>
        <w:tc>
          <w:tcPr>
            <w:tcW w:w="990" w:type="pct"/>
            <w:vMerge w:val="continue"/>
            <w:vAlign w:val="center"/>
          </w:tcPr>
          <w:p w14:paraId="7DE12FDE">
            <w:pPr>
              <w:adjustRightInd w:val="0"/>
              <w:snapToGrid w:val="0"/>
              <w:spacing w:line="240" w:lineRule="auto"/>
              <w:ind w:firstLine="0" w:firstLineChars="0"/>
              <w:jc w:val="center"/>
              <w:rPr>
                <w:sz w:val="21"/>
              </w:rPr>
            </w:pPr>
          </w:p>
        </w:tc>
      </w:tr>
      <w:tr w14:paraId="63D2297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258" w:hRule="atLeast"/>
        </w:trPr>
        <w:tc>
          <w:tcPr>
            <w:tcW w:w="1010" w:type="pct"/>
            <w:vAlign w:val="center"/>
          </w:tcPr>
          <w:p w14:paraId="6DE68AFA">
            <w:pPr>
              <w:adjustRightInd w:val="0"/>
              <w:snapToGrid w:val="0"/>
              <w:spacing w:line="240" w:lineRule="auto"/>
              <w:ind w:firstLine="0" w:firstLineChars="0"/>
              <w:jc w:val="center"/>
              <w:rPr>
                <w:sz w:val="21"/>
              </w:rPr>
            </w:pPr>
            <w:r>
              <w:rPr>
                <w:sz w:val="21"/>
              </w:rPr>
              <w:t>最大幅度相应的额定起重量</w:t>
            </w:r>
          </w:p>
        </w:tc>
        <w:tc>
          <w:tcPr>
            <w:tcW w:w="998" w:type="pct"/>
            <w:vMerge w:val="restart"/>
            <w:vAlign w:val="center"/>
          </w:tcPr>
          <w:p w14:paraId="2CD50DAF">
            <w:pPr>
              <w:adjustRightInd w:val="0"/>
              <w:snapToGrid w:val="0"/>
              <w:spacing w:line="240" w:lineRule="auto"/>
              <w:ind w:firstLine="0" w:firstLineChars="0"/>
              <w:jc w:val="center"/>
              <w:rPr>
                <w:sz w:val="21"/>
              </w:rPr>
            </w:pPr>
            <w:r>
              <w:rPr>
                <w:sz w:val="21"/>
              </w:rPr>
              <w:t>在起升全程范围内以额定速度进行起升、下降，在每一起升、下降过程中进行不少于三次的正常制动</w:t>
            </w:r>
          </w:p>
        </w:tc>
        <w:tc>
          <w:tcPr>
            <w:tcW w:w="999" w:type="pct"/>
            <w:vAlign w:val="center"/>
          </w:tcPr>
          <w:p w14:paraId="201D911C">
            <w:pPr>
              <w:adjustRightInd w:val="0"/>
              <w:snapToGrid w:val="0"/>
              <w:spacing w:line="240" w:lineRule="auto"/>
              <w:ind w:firstLine="0" w:firstLineChars="0"/>
              <w:jc w:val="center"/>
              <w:rPr>
                <w:sz w:val="21"/>
              </w:rPr>
            </w:pPr>
            <w:r>
              <w:rPr>
                <w:sz w:val="21"/>
              </w:rPr>
              <w:t>在最大幅度和最小幅度间，小车以额定速度进行两个方向变幅</w:t>
            </w:r>
          </w:p>
        </w:tc>
        <w:tc>
          <w:tcPr>
            <w:tcW w:w="1002" w:type="pct"/>
            <w:vMerge w:val="restart"/>
            <w:vAlign w:val="center"/>
          </w:tcPr>
          <w:p w14:paraId="1BDDB850">
            <w:pPr>
              <w:adjustRightInd w:val="0"/>
              <w:snapToGrid w:val="0"/>
              <w:spacing w:line="240" w:lineRule="auto"/>
              <w:ind w:firstLine="0" w:firstLineChars="0"/>
              <w:jc w:val="center"/>
              <w:rPr>
                <w:sz w:val="21"/>
              </w:rPr>
            </w:pPr>
            <w:r>
              <w:rPr>
                <w:sz w:val="21"/>
              </w:rPr>
              <w:t>以额定速度进行左右回转。</w:t>
            </w:r>
          </w:p>
        </w:tc>
        <w:tc>
          <w:tcPr>
            <w:tcW w:w="990" w:type="pct"/>
            <w:vMerge w:val="restart"/>
            <w:vAlign w:val="center"/>
          </w:tcPr>
          <w:p w14:paraId="0275F364">
            <w:pPr>
              <w:adjustRightInd w:val="0"/>
              <w:snapToGrid w:val="0"/>
              <w:spacing w:line="240" w:lineRule="auto"/>
              <w:ind w:firstLine="0" w:firstLineChars="0"/>
              <w:jc w:val="center"/>
              <w:rPr>
                <w:sz w:val="21"/>
              </w:rPr>
            </w:pPr>
            <w:r>
              <w:rPr>
                <w:sz w:val="21"/>
              </w:rPr>
              <w:t>测量各机构的运动速度；机构及司机室噪声；力矩限制器、起重量限制器精度</w:t>
            </w:r>
          </w:p>
        </w:tc>
      </w:tr>
      <w:tr w14:paraId="1664277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756" w:hRule="atLeast"/>
        </w:trPr>
        <w:tc>
          <w:tcPr>
            <w:tcW w:w="1010" w:type="pct"/>
            <w:vAlign w:val="center"/>
          </w:tcPr>
          <w:p w14:paraId="4EEB86EC">
            <w:pPr>
              <w:adjustRightInd w:val="0"/>
              <w:snapToGrid w:val="0"/>
              <w:spacing w:line="240" w:lineRule="auto"/>
              <w:ind w:firstLine="0" w:firstLineChars="0"/>
              <w:jc w:val="center"/>
              <w:rPr>
                <w:sz w:val="21"/>
              </w:rPr>
            </w:pPr>
            <w:r>
              <w:rPr>
                <w:sz w:val="21"/>
              </w:rPr>
              <w:t>最大额定起重量相应的最大幅度</w:t>
            </w:r>
          </w:p>
        </w:tc>
        <w:tc>
          <w:tcPr>
            <w:tcW w:w="998" w:type="pct"/>
            <w:vMerge w:val="continue"/>
            <w:vAlign w:val="center"/>
          </w:tcPr>
          <w:p w14:paraId="2933E4B9">
            <w:pPr>
              <w:adjustRightInd w:val="0"/>
              <w:snapToGrid w:val="0"/>
              <w:spacing w:line="240" w:lineRule="auto"/>
              <w:ind w:firstLine="0" w:firstLineChars="0"/>
              <w:jc w:val="center"/>
              <w:rPr>
                <w:sz w:val="21"/>
              </w:rPr>
            </w:pPr>
          </w:p>
        </w:tc>
        <w:tc>
          <w:tcPr>
            <w:tcW w:w="999" w:type="pct"/>
            <w:vAlign w:val="center"/>
          </w:tcPr>
          <w:p w14:paraId="607B5C38">
            <w:pPr>
              <w:adjustRightInd w:val="0"/>
              <w:snapToGrid w:val="0"/>
              <w:spacing w:line="240" w:lineRule="auto"/>
              <w:ind w:firstLine="0" w:firstLineChars="0"/>
              <w:jc w:val="center"/>
              <w:rPr>
                <w:sz w:val="21"/>
              </w:rPr>
            </w:pPr>
            <w:r>
              <w:rPr>
                <w:sz w:val="21"/>
              </w:rPr>
              <w:t>在最小幅度和对应该起重量允许的最大幅度间，小车以额定速度进行两个方向变幅</w:t>
            </w:r>
          </w:p>
        </w:tc>
        <w:tc>
          <w:tcPr>
            <w:tcW w:w="1002" w:type="pct"/>
            <w:vMerge w:val="continue"/>
            <w:vAlign w:val="center"/>
          </w:tcPr>
          <w:p w14:paraId="357184C0">
            <w:pPr>
              <w:adjustRightInd w:val="0"/>
              <w:snapToGrid w:val="0"/>
              <w:spacing w:line="240" w:lineRule="auto"/>
              <w:ind w:firstLine="0" w:firstLineChars="0"/>
              <w:jc w:val="center"/>
              <w:rPr>
                <w:sz w:val="21"/>
              </w:rPr>
            </w:pPr>
          </w:p>
        </w:tc>
        <w:tc>
          <w:tcPr>
            <w:tcW w:w="990" w:type="pct"/>
            <w:vMerge w:val="continue"/>
            <w:vAlign w:val="center"/>
          </w:tcPr>
          <w:p w14:paraId="5B00F735">
            <w:pPr>
              <w:adjustRightInd w:val="0"/>
              <w:snapToGrid w:val="0"/>
              <w:spacing w:line="240" w:lineRule="auto"/>
              <w:ind w:firstLine="0" w:firstLineChars="0"/>
              <w:jc w:val="center"/>
              <w:rPr>
                <w:sz w:val="21"/>
              </w:rPr>
            </w:pPr>
          </w:p>
        </w:tc>
      </w:tr>
    </w:tbl>
    <w:p w14:paraId="3844BC60">
      <w:pPr>
        <w:ind w:firstLine="560"/>
      </w:pPr>
      <w:r>
        <w:t>具体过程如下：</w:t>
      </w:r>
      <w:r>
        <w:br w:type="textWrapping"/>
      </w:r>
      <w:r>
        <w:rPr>
          <w:rFonts w:hint="eastAsia"/>
        </w:rPr>
        <w:t>XGT6015A-8S塔机：</w:t>
      </w:r>
    </w:p>
    <w:p w14:paraId="50D1758F">
      <w:pPr>
        <w:ind w:firstLine="480" w:firstLineChars="0"/>
      </w:pPr>
      <w:r>
        <w:t>1.起重力矩定码变幅调整（4倍率）</w:t>
      </w:r>
    </w:p>
    <w:p w14:paraId="2D44B209">
      <w:pPr>
        <w:ind w:firstLine="480" w:firstLineChars="0"/>
      </w:pPr>
      <w:r>
        <w:t>吊重</w:t>
      </w:r>
      <w:r>
        <w:rPr>
          <w:rFonts w:hint="eastAsia"/>
        </w:rPr>
        <w:t>8</w:t>
      </w:r>
      <w:r>
        <w:t>t，载重小车以慢速由</w:t>
      </w:r>
      <w:r>
        <w:rPr>
          <w:rFonts w:hint="eastAsia"/>
        </w:rPr>
        <w:t>15.8</w:t>
      </w:r>
      <w:r>
        <w:t>m幅度开始向内变幅，使小车在</w:t>
      </w:r>
      <w:r>
        <w:rPr>
          <w:rFonts w:hint="eastAsia"/>
        </w:rPr>
        <w:t>14</w:t>
      </w:r>
      <w:r>
        <w:t>m-</w:t>
      </w:r>
      <w:r>
        <w:rPr>
          <w:rFonts w:hint="eastAsia"/>
        </w:rPr>
        <w:t>15.8</w:t>
      </w:r>
      <w:r>
        <w:t>m处，90%起重力矩开关发挥作用，司机室内预报警灯亮。</w:t>
      </w:r>
    </w:p>
    <w:p w14:paraId="236AA0E3">
      <w:pPr>
        <w:ind w:firstLine="480" w:firstLineChars="0"/>
      </w:pPr>
      <w:r>
        <w:t>调整定码变幅螺杆，使小车</w:t>
      </w:r>
      <w:r>
        <w:rPr>
          <w:rFonts w:hint="eastAsia"/>
        </w:rPr>
        <w:t>15.8</w:t>
      </w:r>
      <w:r>
        <w:t>m-</w:t>
      </w:r>
      <w:r>
        <w:rPr>
          <w:rFonts w:hint="eastAsia"/>
        </w:rPr>
        <w:t>16</w:t>
      </w:r>
      <w:r>
        <w:t>m处，起升向上、变幅向外断电，同时发出超载警报。</w:t>
      </w:r>
    </w:p>
    <w:p w14:paraId="504439A6">
      <w:pPr>
        <w:ind w:firstLine="480" w:firstLineChars="0"/>
      </w:pPr>
      <w:r>
        <w:t>2.起重力矩定幅变码调整（4倍率）</w:t>
      </w:r>
    </w:p>
    <w:p w14:paraId="59E10851">
      <w:pPr>
        <w:ind w:firstLine="480" w:firstLineChars="0"/>
      </w:pPr>
      <w:r>
        <w:t>在</w:t>
      </w:r>
      <w:r>
        <w:rPr>
          <w:rFonts w:hint="eastAsia"/>
          <w:lang w:val="en-US" w:eastAsia="zh-CN"/>
        </w:rPr>
        <w:t>5</w:t>
      </w:r>
      <w:r>
        <w:rPr>
          <w:rFonts w:hint="eastAsia"/>
        </w:rPr>
        <w:t>0</w:t>
      </w:r>
      <w:r>
        <w:t>m处吊重</w:t>
      </w:r>
      <w:r>
        <w:rPr>
          <w:rFonts w:hint="eastAsia"/>
          <w:lang w:val="en-US" w:eastAsia="zh-CN"/>
        </w:rPr>
        <w:t>2.387</w:t>
      </w:r>
      <w:r>
        <w:t>t，起升机构应能向上起升，之后再加载</w:t>
      </w:r>
      <w:r>
        <w:rPr>
          <w:rFonts w:hint="eastAsia"/>
        </w:rPr>
        <w:t>25</w:t>
      </w:r>
      <w:r>
        <w:t>0kg，调节定幅变码螺杆，使起升不能向上，同时发出超载警报。</w:t>
      </w:r>
    </w:p>
    <w:p w14:paraId="38E9F0E5">
      <w:pPr>
        <w:ind w:firstLine="480" w:firstLineChars="0"/>
      </w:pPr>
      <w:r>
        <w:t>3.上述动作重复三次，保持功能稳定。</w:t>
      </w:r>
    </w:p>
    <w:p w14:paraId="0421265F">
      <w:pPr>
        <w:ind w:firstLine="0" w:firstLineChars="0"/>
        <w:rPr>
          <w:b/>
          <w:bCs/>
        </w:rPr>
      </w:pPr>
      <w:r>
        <w:rPr>
          <w:b/>
          <w:bCs/>
        </w:rPr>
        <w:t>110 ％额定载荷动载试验</w:t>
      </w:r>
    </w:p>
    <w:p w14:paraId="2CC20AFD">
      <w:pPr>
        <w:ind w:firstLine="560"/>
        <w:rPr>
          <w:rFonts w:ascii="宋体" w:hAnsi="宋体" w:eastAsia="宋体" w:cs="宋体"/>
          <w:b/>
          <w:bCs/>
          <w:color w:val="171717"/>
          <w:sz w:val="21"/>
        </w:rPr>
      </w:pPr>
      <w:r>
        <w:t>110 ％额定载荷动载试验按表2进行。每一工况试验不少于3次。每一次的动作停稳后再进行下一次启动。</w:t>
      </w:r>
    </w:p>
    <w:p w14:paraId="034FA4AB">
      <w:pPr>
        <w:ind w:firstLine="422"/>
        <w:jc w:val="center"/>
        <w:rPr>
          <w:rFonts w:ascii="宋体" w:hAnsi="宋体" w:eastAsia="宋体" w:cs="宋体"/>
          <w:b/>
          <w:bCs/>
          <w:color w:val="171717"/>
          <w:sz w:val="21"/>
        </w:rPr>
      </w:pPr>
      <w:r>
        <w:rPr>
          <w:rFonts w:hint="eastAsia" w:ascii="宋体" w:hAnsi="宋体" w:eastAsia="宋体" w:cs="宋体"/>
          <w:b/>
          <w:bCs/>
          <w:color w:val="171717"/>
          <w:sz w:val="21"/>
        </w:rPr>
        <w:t>表5.4.2</w:t>
      </w:r>
      <w:r>
        <w:rPr>
          <w:rFonts w:hint="eastAsia" w:ascii="宋体" w:hAnsi="宋体" w:cs="宋体"/>
          <w:b/>
          <w:bCs/>
          <w:color w:val="171717"/>
          <w:sz w:val="21"/>
        </w:rPr>
        <w:t>-2</w:t>
      </w:r>
      <w:r>
        <w:rPr>
          <w:rFonts w:hint="eastAsia" w:ascii="宋体" w:hAnsi="宋体" w:eastAsia="宋体" w:cs="宋体"/>
          <w:b/>
          <w:bCs/>
          <w:color w:val="171717"/>
          <w:sz w:val="21"/>
        </w:rPr>
        <w:t xml:space="preserve">  110 ％额定载荷动载试验</w:t>
      </w:r>
    </w:p>
    <w:tbl>
      <w:tblPr>
        <w:tblStyle w:val="40"/>
        <w:tblW w:w="865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9"/>
        <w:gridCol w:w="1202"/>
        <w:gridCol w:w="2001"/>
        <w:gridCol w:w="1462"/>
        <w:gridCol w:w="1716"/>
      </w:tblGrid>
      <w:tr w14:paraId="005BAF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2269" w:type="dxa"/>
            <w:vMerge w:val="restart"/>
            <w:vAlign w:val="center"/>
          </w:tcPr>
          <w:p w14:paraId="5D30F5AE">
            <w:pPr>
              <w:adjustRightInd w:val="0"/>
              <w:snapToGrid w:val="0"/>
              <w:spacing w:line="240" w:lineRule="auto"/>
              <w:ind w:firstLine="0" w:firstLineChars="0"/>
              <w:jc w:val="center"/>
              <w:rPr>
                <w:sz w:val="21"/>
              </w:rPr>
            </w:pPr>
            <w:r>
              <w:rPr>
                <w:sz w:val="21"/>
              </w:rPr>
              <w:t>工况</w:t>
            </w:r>
          </w:p>
        </w:tc>
        <w:tc>
          <w:tcPr>
            <w:tcW w:w="4665" w:type="dxa"/>
            <w:gridSpan w:val="3"/>
            <w:vAlign w:val="center"/>
          </w:tcPr>
          <w:p w14:paraId="58EF21D3">
            <w:pPr>
              <w:adjustRightInd w:val="0"/>
              <w:snapToGrid w:val="0"/>
              <w:spacing w:line="240" w:lineRule="auto"/>
              <w:ind w:firstLine="0" w:firstLineChars="0"/>
              <w:jc w:val="center"/>
              <w:rPr>
                <w:sz w:val="21"/>
              </w:rPr>
            </w:pPr>
            <w:r>
              <w:rPr>
                <w:sz w:val="21"/>
              </w:rPr>
              <w:t>试验方法</w:t>
            </w:r>
          </w:p>
        </w:tc>
        <w:tc>
          <w:tcPr>
            <w:tcW w:w="1716" w:type="dxa"/>
            <w:vMerge w:val="restart"/>
            <w:vAlign w:val="center"/>
          </w:tcPr>
          <w:p w14:paraId="5D128CD0">
            <w:pPr>
              <w:adjustRightInd w:val="0"/>
              <w:snapToGrid w:val="0"/>
              <w:spacing w:line="240" w:lineRule="auto"/>
              <w:ind w:firstLine="0" w:firstLineChars="0"/>
              <w:jc w:val="center"/>
              <w:rPr>
                <w:sz w:val="21"/>
              </w:rPr>
            </w:pPr>
            <w:r>
              <w:rPr>
                <w:sz w:val="21"/>
              </w:rPr>
              <w:t>试验目的</w:t>
            </w:r>
          </w:p>
        </w:tc>
      </w:tr>
      <w:tr w14:paraId="0566BC7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2269" w:type="dxa"/>
            <w:vMerge w:val="continue"/>
            <w:vAlign w:val="center"/>
          </w:tcPr>
          <w:p w14:paraId="67E4319F">
            <w:pPr>
              <w:adjustRightInd w:val="0"/>
              <w:snapToGrid w:val="0"/>
              <w:spacing w:line="240" w:lineRule="auto"/>
              <w:ind w:firstLine="0" w:firstLineChars="0"/>
              <w:jc w:val="center"/>
              <w:rPr>
                <w:sz w:val="21"/>
              </w:rPr>
            </w:pPr>
          </w:p>
        </w:tc>
        <w:tc>
          <w:tcPr>
            <w:tcW w:w="1202" w:type="dxa"/>
            <w:vAlign w:val="center"/>
          </w:tcPr>
          <w:p w14:paraId="57FE0CAC">
            <w:pPr>
              <w:autoSpaceDE w:val="0"/>
              <w:autoSpaceDN w:val="0"/>
              <w:adjustRightInd w:val="0"/>
              <w:snapToGrid w:val="0"/>
              <w:ind w:firstLine="0" w:firstLineChars="0"/>
              <w:jc w:val="center"/>
              <w:rPr>
                <w:sz w:val="21"/>
              </w:rPr>
            </w:pPr>
            <w:r>
              <w:rPr>
                <w:sz w:val="21"/>
              </w:rPr>
              <w:t>起升</w:t>
            </w:r>
          </w:p>
        </w:tc>
        <w:tc>
          <w:tcPr>
            <w:tcW w:w="2001" w:type="dxa"/>
            <w:vAlign w:val="center"/>
          </w:tcPr>
          <w:p w14:paraId="5F02320B">
            <w:pPr>
              <w:autoSpaceDE w:val="0"/>
              <w:autoSpaceDN w:val="0"/>
              <w:adjustRightInd w:val="0"/>
              <w:snapToGrid w:val="0"/>
              <w:ind w:firstLine="0" w:firstLineChars="0"/>
              <w:jc w:val="center"/>
              <w:rPr>
                <w:sz w:val="21"/>
              </w:rPr>
            </w:pPr>
            <w:r>
              <w:rPr>
                <w:sz w:val="21"/>
              </w:rPr>
              <w:t>小车变幅</w:t>
            </w:r>
          </w:p>
        </w:tc>
        <w:tc>
          <w:tcPr>
            <w:tcW w:w="1462" w:type="dxa"/>
            <w:vAlign w:val="center"/>
          </w:tcPr>
          <w:p w14:paraId="26CD61BE">
            <w:pPr>
              <w:autoSpaceDE w:val="0"/>
              <w:autoSpaceDN w:val="0"/>
              <w:adjustRightInd w:val="0"/>
              <w:snapToGrid w:val="0"/>
              <w:ind w:firstLine="0" w:firstLineChars="0"/>
              <w:jc w:val="center"/>
              <w:rPr>
                <w:sz w:val="21"/>
              </w:rPr>
            </w:pPr>
            <w:r>
              <w:rPr>
                <w:sz w:val="21"/>
              </w:rPr>
              <w:t>回转</w:t>
            </w:r>
          </w:p>
        </w:tc>
        <w:tc>
          <w:tcPr>
            <w:tcW w:w="1716" w:type="dxa"/>
            <w:vMerge w:val="continue"/>
            <w:vAlign w:val="center"/>
          </w:tcPr>
          <w:p w14:paraId="7BAE2CC2">
            <w:pPr>
              <w:adjustRightInd w:val="0"/>
              <w:snapToGrid w:val="0"/>
              <w:spacing w:line="240" w:lineRule="auto"/>
              <w:ind w:firstLine="0" w:firstLineChars="0"/>
              <w:jc w:val="center"/>
              <w:rPr>
                <w:sz w:val="21"/>
              </w:rPr>
            </w:pPr>
          </w:p>
        </w:tc>
      </w:tr>
      <w:tr w14:paraId="4F52C2C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2269" w:type="dxa"/>
            <w:vAlign w:val="center"/>
          </w:tcPr>
          <w:p w14:paraId="0D7A3EEB">
            <w:pPr>
              <w:adjustRightInd w:val="0"/>
              <w:snapToGrid w:val="0"/>
              <w:spacing w:line="240" w:lineRule="auto"/>
              <w:ind w:firstLine="0" w:firstLineChars="0"/>
              <w:jc w:val="center"/>
              <w:rPr>
                <w:sz w:val="21"/>
              </w:rPr>
            </w:pPr>
            <w:r>
              <w:rPr>
                <w:sz w:val="21"/>
              </w:rPr>
              <w:t>最大幅度相应额定起重量的110%</w:t>
            </w:r>
          </w:p>
        </w:tc>
        <w:tc>
          <w:tcPr>
            <w:tcW w:w="1202" w:type="dxa"/>
            <w:vMerge w:val="restart"/>
            <w:vAlign w:val="center"/>
          </w:tcPr>
          <w:p w14:paraId="680FFC46">
            <w:pPr>
              <w:adjustRightInd w:val="0"/>
              <w:snapToGrid w:val="0"/>
              <w:spacing w:line="240" w:lineRule="auto"/>
              <w:ind w:firstLine="0" w:firstLineChars="0"/>
              <w:jc w:val="center"/>
              <w:rPr>
                <w:sz w:val="21"/>
              </w:rPr>
            </w:pPr>
            <w:r>
              <w:rPr>
                <w:sz w:val="21"/>
              </w:rPr>
              <w:t>在起升全程范围内以额定速度进行起升、下降</w:t>
            </w:r>
          </w:p>
        </w:tc>
        <w:tc>
          <w:tcPr>
            <w:tcW w:w="2001" w:type="dxa"/>
            <w:vAlign w:val="center"/>
          </w:tcPr>
          <w:p w14:paraId="372A3F5B">
            <w:pPr>
              <w:adjustRightInd w:val="0"/>
              <w:snapToGrid w:val="0"/>
              <w:spacing w:line="240" w:lineRule="auto"/>
              <w:ind w:firstLine="0" w:firstLineChars="0"/>
              <w:jc w:val="center"/>
              <w:rPr>
                <w:sz w:val="21"/>
              </w:rPr>
            </w:pPr>
            <w:r>
              <w:rPr>
                <w:sz w:val="21"/>
              </w:rPr>
              <w:t>在最大幅度和最小幅度间，小车以额定速度进行两个方向变幅</w:t>
            </w:r>
          </w:p>
        </w:tc>
        <w:tc>
          <w:tcPr>
            <w:tcW w:w="1462" w:type="dxa"/>
            <w:vMerge w:val="restart"/>
            <w:vAlign w:val="center"/>
          </w:tcPr>
          <w:p w14:paraId="2AEFABE4">
            <w:pPr>
              <w:adjustRightInd w:val="0"/>
              <w:snapToGrid w:val="0"/>
              <w:spacing w:line="240" w:lineRule="auto"/>
              <w:ind w:firstLine="0" w:firstLineChars="0"/>
              <w:jc w:val="center"/>
              <w:rPr>
                <w:sz w:val="21"/>
              </w:rPr>
            </w:pPr>
            <w:r>
              <w:rPr>
                <w:sz w:val="21"/>
              </w:rPr>
              <w:t>以额定速度进行左右回转。对不能全回转的塔机，应超过最大回转角</w:t>
            </w:r>
          </w:p>
        </w:tc>
        <w:tc>
          <w:tcPr>
            <w:tcW w:w="1716" w:type="dxa"/>
            <w:vMerge w:val="restart"/>
            <w:vAlign w:val="center"/>
          </w:tcPr>
          <w:p w14:paraId="56C32C2A">
            <w:pPr>
              <w:adjustRightInd w:val="0"/>
              <w:snapToGrid w:val="0"/>
              <w:spacing w:line="240" w:lineRule="auto"/>
              <w:ind w:firstLine="0" w:firstLineChars="0"/>
              <w:jc w:val="center"/>
              <w:rPr>
                <w:sz w:val="21"/>
              </w:rPr>
            </w:pPr>
            <w:r>
              <w:rPr>
                <w:sz w:val="21"/>
              </w:rPr>
              <w:t>根据设计要求进行组合动作试验，并目测检查各机构运转的灵活性和制动器的可靠性。卸载后检查机构及结构各部件有无松动和破坏等异常现象</w:t>
            </w:r>
          </w:p>
        </w:tc>
      </w:tr>
      <w:tr w14:paraId="13FE812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2269" w:type="dxa"/>
            <w:vAlign w:val="center"/>
          </w:tcPr>
          <w:p w14:paraId="55F457A7">
            <w:pPr>
              <w:adjustRightInd w:val="0"/>
              <w:snapToGrid w:val="0"/>
              <w:spacing w:line="240" w:lineRule="auto"/>
              <w:ind w:firstLine="0" w:firstLineChars="0"/>
              <w:jc w:val="center"/>
              <w:rPr>
                <w:sz w:val="21"/>
              </w:rPr>
            </w:pPr>
            <w:r>
              <w:rPr>
                <w:sz w:val="21"/>
              </w:rPr>
              <w:t>起吊最大额定起重量的110%，在该吊重相应的最大幅度时</w:t>
            </w:r>
          </w:p>
        </w:tc>
        <w:tc>
          <w:tcPr>
            <w:tcW w:w="1202" w:type="dxa"/>
            <w:vMerge w:val="continue"/>
            <w:vAlign w:val="center"/>
          </w:tcPr>
          <w:p w14:paraId="2D16E01E">
            <w:pPr>
              <w:adjustRightInd w:val="0"/>
              <w:snapToGrid w:val="0"/>
              <w:spacing w:line="240" w:lineRule="auto"/>
              <w:ind w:firstLine="0" w:firstLineChars="0"/>
              <w:jc w:val="center"/>
              <w:rPr>
                <w:sz w:val="21"/>
              </w:rPr>
            </w:pPr>
          </w:p>
        </w:tc>
        <w:tc>
          <w:tcPr>
            <w:tcW w:w="2001" w:type="dxa"/>
            <w:vMerge w:val="restart"/>
            <w:vAlign w:val="center"/>
          </w:tcPr>
          <w:p w14:paraId="19B040CB">
            <w:pPr>
              <w:adjustRightInd w:val="0"/>
              <w:snapToGrid w:val="0"/>
              <w:spacing w:line="240" w:lineRule="auto"/>
              <w:ind w:firstLine="0" w:firstLineChars="0"/>
              <w:jc w:val="center"/>
              <w:rPr>
                <w:sz w:val="21"/>
              </w:rPr>
            </w:pPr>
            <w:r>
              <w:rPr>
                <w:sz w:val="21"/>
              </w:rPr>
              <w:t>在最小幅度和对应该起重量允许的最大幅度间，小车以额定速度进行两个方向变幅</w:t>
            </w:r>
          </w:p>
        </w:tc>
        <w:tc>
          <w:tcPr>
            <w:tcW w:w="1462" w:type="dxa"/>
            <w:vMerge w:val="continue"/>
            <w:vAlign w:val="center"/>
          </w:tcPr>
          <w:p w14:paraId="094033B6">
            <w:pPr>
              <w:adjustRightInd w:val="0"/>
              <w:snapToGrid w:val="0"/>
              <w:spacing w:line="240" w:lineRule="auto"/>
              <w:ind w:firstLine="0" w:firstLineChars="0"/>
              <w:jc w:val="center"/>
              <w:rPr>
                <w:sz w:val="21"/>
              </w:rPr>
            </w:pPr>
          </w:p>
        </w:tc>
        <w:tc>
          <w:tcPr>
            <w:tcW w:w="1716" w:type="dxa"/>
            <w:vMerge w:val="continue"/>
            <w:vAlign w:val="center"/>
          </w:tcPr>
          <w:p w14:paraId="27674DA0">
            <w:pPr>
              <w:adjustRightInd w:val="0"/>
              <w:snapToGrid w:val="0"/>
              <w:spacing w:line="240" w:lineRule="auto"/>
              <w:ind w:firstLine="0" w:firstLineChars="0"/>
              <w:jc w:val="center"/>
              <w:rPr>
                <w:sz w:val="21"/>
              </w:rPr>
            </w:pPr>
          </w:p>
        </w:tc>
      </w:tr>
      <w:tr w14:paraId="3525950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074" w:hRule="atLeast"/>
          <w:jc w:val="center"/>
        </w:trPr>
        <w:tc>
          <w:tcPr>
            <w:tcW w:w="2269" w:type="dxa"/>
            <w:vAlign w:val="center"/>
          </w:tcPr>
          <w:p w14:paraId="65D12AB9">
            <w:pPr>
              <w:adjustRightInd w:val="0"/>
              <w:snapToGrid w:val="0"/>
              <w:spacing w:line="240" w:lineRule="auto"/>
              <w:ind w:firstLine="0" w:firstLineChars="0"/>
              <w:jc w:val="center"/>
              <w:rPr>
                <w:sz w:val="21"/>
              </w:rPr>
            </w:pPr>
            <w:r>
              <w:rPr>
                <w:sz w:val="21"/>
              </w:rPr>
              <w:t>在上两个幅度的中间幅度处，相应额定起重量的110%</w:t>
            </w:r>
          </w:p>
        </w:tc>
        <w:tc>
          <w:tcPr>
            <w:tcW w:w="1202" w:type="dxa"/>
            <w:vMerge w:val="continue"/>
            <w:vAlign w:val="center"/>
          </w:tcPr>
          <w:p w14:paraId="7C0CE117">
            <w:pPr>
              <w:adjustRightInd w:val="0"/>
              <w:snapToGrid w:val="0"/>
              <w:spacing w:line="240" w:lineRule="auto"/>
              <w:ind w:firstLine="0" w:firstLineChars="0"/>
              <w:jc w:val="center"/>
              <w:rPr>
                <w:sz w:val="21"/>
              </w:rPr>
            </w:pPr>
          </w:p>
        </w:tc>
        <w:tc>
          <w:tcPr>
            <w:tcW w:w="2001" w:type="dxa"/>
            <w:vMerge w:val="continue"/>
            <w:vAlign w:val="center"/>
          </w:tcPr>
          <w:p w14:paraId="5549BB64">
            <w:pPr>
              <w:adjustRightInd w:val="0"/>
              <w:snapToGrid w:val="0"/>
              <w:spacing w:line="240" w:lineRule="auto"/>
              <w:ind w:firstLine="0" w:firstLineChars="0"/>
              <w:jc w:val="center"/>
              <w:rPr>
                <w:sz w:val="21"/>
              </w:rPr>
            </w:pPr>
          </w:p>
        </w:tc>
        <w:tc>
          <w:tcPr>
            <w:tcW w:w="1462" w:type="dxa"/>
            <w:vMerge w:val="continue"/>
            <w:vAlign w:val="center"/>
          </w:tcPr>
          <w:p w14:paraId="26FB79D6">
            <w:pPr>
              <w:adjustRightInd w:val="0"/>
              <w:snapToGrid w:val="0"/>
              <w:spacing w:line="240" w:lineRule="auto"/>
              <w:ind w:firstLine="0" w:firstLineChars="0"/>
              <w:jc w:val="center"/>
              <w:rPr>
                <w:sz w:val="21"/>
              </w:rPr>
            </w:pPr>
          </w:p>
        </w:tc>
        <w:tc>
          <w:tcPr>
            <w:tcW w:w="1716" w:type="dxa"/>
            <w:vMerge w:val="continue"/>
            <w:vAlign w:val="center"/>
          </w:tcPr>
          <w:p w14:paraId="78FB6871">
            <w:pPr>
              <w:adjustRightInd w:val="0"/>
              <w:snapToGrid w:val="0"/>
              <w:spacing w:line="240" w:lineRule="auto"/>
              <w:ind w:firstLine="0" w:firstLineChars="0"/>
              <w:jc w:val="center"/>
              <w:rPr>
                <w:sz w:val="21"/>
              </w:rPr>
            </w:pPr>
          </w:p>
        </w:tc>
      </w:tr>
    </w:tbl>
    <w:p w14:paraId="361A5452">
      <w:pPr>
        <w:ind w:firstLine="560"/>
      </w:pPr>
      <w:r>
        <w:t>具体过程如下：</w:t>
      </w:r>
    </w:p>
    <w:p w14:paraId="399A7555">
      <w:pPr>
        <w:ind w:firstLine="0" w:firstLineChars="0"/>
      </w:pPr>
      <w:r>
        <w:rPr>
          <w:rFonts w:hint="eastAsia"/>
        </w:rPr>
        <w:t>XGT6015A-8S塔机：</w:t>
      </w:r>
    </w:p>
    <w:p w14:paraId="77874B4A">
      <w:pPr>
        <w:ind w:firstLine="560"/>
      </w:pPr>
      <w:r>
        <w:t>工况1：最大幅度相应额定起重量的110%（4倍率）</w:t>
      </w:r>
    </w:p>
    <w:p w14:paraId="0F625B24">
      <w:pPr>
        <w:ind w:firstLine="560"/>
      </w:pPr>
      <w:r>
        <w:t>起重量为G</w:t>
      </w:r>
      <w:r>
        <w:rPr>
          <w:rFonts w:hint="eastAsia"/>
        </w:rPr>
        <w:t>=</w:t>
      </w:r>
      <w:r>
        <w:rPr>
          <w:rFonts w:hint="eastAsia"/>
          <w:lang w:val="en-US" w:eastAsia="zh-CN"/>
        </w:rPr>
        <w:t>2.387</w:t>
      </w:r>
      <w:r>
        <w:t>；</w:t>
      </w:r>
    </w:p>
    <w:p w14:paraId="69F40EA4">
      <w:pPr>
        <w:ind w:firstLine="560"/>
      </w:pPr>
      <w:r>
        <w:t>将100%重量限制、100%力矩限制继电器临时短接屏蔽，缓慢起钩，离地20cm,检查各构件，确保无误后从</w:t>
      </w:r>
      <w:r>
        <w:rPr>
          <w:rFonts w:hint="eastAsia"/>
        </w:rPr>
        <w:t>60</w:t>
      </w:r>
      <w:r>
        <w:t>m幅度起向内至</w:t>
      </w:r>
      <w:r>
        <w:rPr>
          <w:rFonts w:hint="eastAsia"/>
        </w:rPr>
        <w:t>3</w:t>
      </w:r>
      <w:r>
        <w:t>m幅度进行来回起落钩、变幅、回转动作；卸载后检查各机构及结构有无松动和破坏等异常现象，测量组测量臂根铰点最大位移量并监测能否恢复原先位置；</w:t>
      </w:r>
    </w:p>
    <w:p w14:paraId="0D406C8E">
      <w:pPr>
        <w:ind w:firstLine="560"/>
      </w:pPr>
      <w:r>
        <w:t>试验完毕恢复起重量限制器与力矩限制器。</w:t>
      </w:r>
    </w:p>
    <w:p w14:paraId="32D8EBD9">
      <w:pPr>
        <w:ind w:firstLine="560"/>
      </w:pPr>
      <w:r>
        <w:t>工况2：起吊最大额定起重量的110%，在该吊重相应的最大幅度时（4倍率）</w:t>
      </w:r>
    </w:p>
    <w:p w14:paraId="300343CD">
      <w:pPr>
        <w:ind w:firstLine="560"/>
      </w:pPr>
      <w:r>
        <w:t>起重量为G=</w:t>
      </w:r>
      <w:r>
        <w:rPr>
          <w:rFonts w:hint="eastAsia"/>
        </w:rPr>
        <w:t>8.8</w:t>
      </w:r>
      <w:r>
        <w:t>t</w:t>
      </w:r>
    </w:p>
    <w:p w14:paraId="6465A01E">
      <w:pPr>
        <w:ind w:firstLine="560"/>
      </w:pPr>
      <w:r>
        <w:t>将100%重量限制、100%力矩限制继电器临时短接屏蔽，缓慢起钩，离地</w:t>
      </w:r>
      <w:r>
        <w:rPr>
          <w:rFonts w:hint="eastAsia"/>
        </w:rPr>
        <w:t>15.8</w:t>
      </w:r>
      <w:r>
        <w:t>cm,检查各构件，确保无误后在从</w:t>
      </w:r>
      <w:r>
        <w:rPr>
          <w:rFonts w:hint="eastAsia"/>
        </w:rPr>
        <w:t>20</w:t>
      </w:r>
      <w:r>
        <w:t>m幅度起向内至</w:t>
      </w:r>
      <w:r>
        <w:rPr>
          <w:rFonts w:hint="eastAsia"/>
        </w:rPr>
        <w:t>3</w:t>
      </w:r>
      <w:r>
        <w:t>m幅度内进行来回起落钩、变幅、回转动作；卸载后检查各机构及结构有无松动和破坏等异常现象，测量组测量臂根铰点最大位移量并监测能否恢复原先位置；</w:t>
      </w:r>
    </w:p>
    <w:p w14:paraId="542B48A9">
      <w:pPr>
        <w:ind w:firstLine="560"/>
      </w:pPr>
      <w:r>
        <w:t>试验完毕恢复起重量限制器与力矩限制器。</w:t>
      </w:r>
    </w:p>
    <w:p w14:paraId="2624497B">
      <w:pPr>
        <w:ind w:firstLine="560"/>
      </w:pPr>
      <w:r>
        <w:t>工况3：在上两个幅度的中间幅度处，相应额定起重量的110%，这里取</w:t>
      </w:r>
      <w:r>
        <w:rPr>
          <w:rFonts w:hint="eastAsia"/>
        </w:rPr>
        <w:t>25</w:t>
      </w:r>
      <w:r>
        <w:t>米幅度（4倍率额定起重量</w:t>
      </w:r>
      <w:r>
        <w:rPr>
          <w:rFonts w:hint="eastAsia"/>
          <w:lang w:val="en-US" w:eastAsia="zh-CN"/>
        </w:rPr>
        <w:t>5.032</w:t>
      </w:r>
      <w:r>
        <w:t>t）起重量为G=</w:t>
      </w:r>
      <w:r>
        <w:rPr>
          <w:rFonts w:hint="eastAsia"/>
          <w:lang w:val="en-US" w:eastAsia="zh-CN"/>
        </w:rPr>
        <w:t>5.5352</w:t>
      </w:r>
      <w:r>
        <w:t>t；</w:t>
      </w:r>
    </w:p>
    <w:p w14:paraId="3259BEDB">
      <w:pPr>
        <w:spacing w:before="29" w:line="360" w:lineRule="auto"/>
        <w:ind w:right="159" w:firstLine="280" w:firstLineChars="100"/>
      </w:pPr>
      <w:r>
        <w:t>将100%重量限制、100%力矩限制继电器临时短接屏蔽，缓慢起钩，离地20cm,检查各构件，确保无误后从</w:t>
      </w:r>
      <w:r>
        <w:rPr>
          <w:rFonts w:hint="eastAsia"/>
        </w:rPr>
        <w:t>25</w:t>
      </w:r>
      <w:r>
        <w:t>m幅度起向内至</w:t>
      </w:r>
      <w:r>
        <w:rPr>
          <w:rFonts w:hint="eastAsia"/>
        </w:rPr>
        <w:t>3</w:t>
      </w:r>
      <w:r>
        <w:t>m内进行来回起落钩、变幅、回转动作；卸载后检查各机构及结构有无松动和破坏等异常现象，测量组测量臂根铰点最大位移量并监测能否恢复原先位置。</w:t>
      </w:r>
    </w:p>
    <w:p w14:paraId="02B4F646">
      <w:pPr>
        <w:ind w:firstLine="0" w:firstLineChars="0"/>
        <w:rPr>
          <w:b/>
          <w:bCs/>
        </w:rPr>
      </w:pPr>
      <w:bookmarkStart w:id="338" w:name="_Toc25574"/>
      <w:bookmarkStart w:id="339" w:name="_Toc20814"/>
      <w:r>
        <w:rPr>
          <w:b/>
          <w:bCs/>
        </w:rPr>
        <w:t>125%额定载荷静载试验</w:t>
      </w:r>
      <w:bookmarkEnd w:id="338"/>
      <w:bookmarkEnd w:id="339"/>
    </w:p>
    <w:p w14:paraId="4B72407C">
      <w:pPr>
        <w:ind w:firstLine="560"/>
      </w:pPr>
      <w:r>
        <w:t>125%额定载荷静载试验按照下表进行，试验时臂架分别位于与塔身成0°和45°两个方位</w:t>
      </w:r>
    </w:p>
    <w:tbl>
      <w:tblPr>
        <w:tblStyle w:val="40"/>
        <w:tblW w:w="939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6"/>
        <w:gridCol w:w="2751"/>
        <w:gridCol w:w="3252"/>
      </w:tblGrid>
      <w:tr w14:paraId="1F8E63C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6" w:type="dxa"/>
            <w:noWrap/>
            <w:vAlign w:val="center"/>
          </w:tcPr>
          <w:p w14:paraId="3991A3F8">
            <w:pPr>
              <w:ind w:firstLine="0" w:firstLineChars="0"/>
              <w:jc w:val="center"/>
              <w:rPr>
                <w:sz w:val="24"/>
                <w:szCs w:val="24"/>
              </w:rPr>
            </w:pPr>
            <w:r>
              <w:rPr>
                <w:sz w:val="24"/>
                <w:szCs w:val="24"/>
              </w:rPr>
              <w:t>工况</w:t>
            </w:r>
          </w:p>
        </w:tc>
        <w:tc>
          <w:tcPr>
            <w:tcW w:w="2751" w:type="dxa"/>
            <w:noWrap/>
            <w:vAlign w:val="center"/>
          </w:tcPr>
          <w:p w14:paraId="5F84628D">
            <w:pPr>
              <w:ind w:firstLine="0" w:firstLineChars="0"/>
              <w:jc w:val="center"/>
              <w:rPr>
                <w:sz w:val="24"/>
                <w:szCs w:val="24"/>
              </w:rPr>
            </w:pPr>
            <w:r>
              <w:rPr>
                <w:sz w:val="24"/>
                <w:szCs w:val="24"/>
              </w:rPr>
              <w:t>试验方法</w:t>
            </w:r>
          </w:p>
        </w:tc>
        <w:tc>
          <w:tcPr>
            <w:tcW w:w="3252" w:type="dxa"/>
            <w:noWrap/>
            <w:vAlign w:val="center"/>
          </w:tcPr>
          <w:p w14:paraId="5A9AA68D">
            <w:pPr>
              <w:ind w:firstLine="0" w:firstLineChars="0"/>
              <w:jc w:val="center"/>
              <w:rPr>
                <w:sz w:val="24"/>
                <w:szCs w:val="24"/>
              </w:rPr>
            </w:pPr>
            <w:r>
              <w:rPr>
                <w:sz w:val="24"/>
                <w:szCs w:val="24"/>
              </w:rPr>
              <w:t>试验目的</w:t>
            </w:r>
          </w:p>
        </w:tc>
      </w:tr>
      <w:tr w14:paraId="2F02B25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396" w:type="dxa"/>
            <w:noWrap/>
            <w:vAlign w:val="center"/>
          </w:tcPr>
          <w:p w14:paraId="68DBFB6F">
            <w:pPr>
              <w:ind w:firstLine="0" w:firstLineChars="0"/>
              <w:jc w:val="center"/>
              <w:rPr>
                <w:sz w:val="24"/>
                <w:szCs w:val="24"/>
              </w:rPr>
            </w:pPr>
            <w:r>
              <w:rPr>
                <w:sz w:val="24"/>
                <w:szCs w:val="24"/>
              </w:rPr>
              <w:t>吊重</w:t>
            </w:r>
            <w:r>
              <w:rPr>
                <w:rFonts w:hint="eastAsia"/>
                <w:sz w:val="24"/>
                <w:szCs w:val="24"/>
                <w:lang w:val="en-US" w:eastAsia="zh-CN"/>
              </w:rPr>
              <w:t>2.17</w:t>
            </w:r>
            <w:r>
              <w:rPr>
                <w:sz w:val="24"/>
                <w:szCs w:val="24"/>
              </w:rPr>
              <w:t>t×125%=</w:t>
            </w:r>
            <w:r>
              <w:rPr>
                <w:rFonts w:hint="eastAsia"/>
                <w:sz w:val="24"/>
                <w:szCs w:val="24"/>
                <w:lang w:val="en-US" w:eastAsia="zh-CN"/>
              </w:rPr>
              <w:t>2.7125</w:t>
            </w:r>
            <w:r>
              <w:rPr>
                <w:sz w:val="24"/>
                <w:szCs w:val="24"/>
              </w:rPr>
              <w:t>t，工作幅度</w:t>
            </w:r>
            <w:r>
              <w:rPr>
                <w:rFonts w:hint="eastAsia"/>
                <w:sz w:val="24"/>
                <w:szCs w:val="24"/>
              </w:rPr>
              <w:t>5</w:t>
            </w:r>
            <w:r>
              <w:rPr>
                <w:rFonts w:hint="eastAsia"/>
                <w:sz w:val="24"/>
                <w:szCs w:val="24"/>
                <w:lang w:val="en-US" w:eastAsia="zh-CN"/>
              </w:rPr>
              <w:t>0</w:t>
            </w:r>
            <w:r>
              <w:rPr>
                <w:sz w:val="24"/>
                <w:szCs w:val="24"/>
              </w:rPr>
              <w:t>m</w:t>
            </w:r>
          </w:p>
        </w:tc>
        <w:tc>
          <w:tcPr>
            <w:tcW w:w="2751" w:type="dxa"/>
            <w:vMerge w:val="restart"/>
            <w:noWrap/>
            <w:vAlign w:val="center"/>
          </w:tcPr>
          <w:p w14:paraId="5E293548">
            <w:pPr>
              <w:ind w:firstLine="0" w:firstLineChars="0"/>
              <w:jc w:val="center"/>
              <w:rPr>
                <w:sz w:val="24"/>
                <w:szCs w:val="24"/>
              </w:rPr>
            </w:pPr>
            <w:r>
              <w:rPr>
                <w:sz w:val="24"/>
                <w:szCs w:val="24"/>
              </w:rPr>
              <w:t>起升额定载荷，离地100mm～200mm，停稳后，逐次加载至125%，测量载荷离地高度，停留10min后同一位置测量并进行比较。</w:t>
            </w:r>
          </w:p>
        </w:tc>
        <w:tc>
          <w:tcPr>
            <w:tcW w:w="3252" w:type="dxa"/>
            <w:vMerge w:val="restart"/>
            <w:noWrap/>
            <w:vAlign w:val="center"/>
          </w:tcPr>
          <w:p w14:paraId="41E374DB">
            <w:pPr>
              <w:ind w:firstLine="0" w:firstLineChars="0"/>
              <w:jc w:val="center"/>
              <w:rPr>
                <w:sz w:val="24"/>
                <w:szCs w:val="24"/>
              </w:rPr>
            </w:pPr>
            <w:r>
              <w:rPr>
                <w:sz w:val="24"/>
                <w:szCs w:val="24"/>
              </w:rPr>
              <w:t>检查制动器可靠性，并在卸载后目测检查塔机是否出现可见裂纹、永久变形、油漆剥落、连接松动及其他可能对塔机性能和安全有影响的隐患。</w:t>
            </w:r>
          </w:p>
        </w:tc>
      </w:tr>
      <w:tr w14:paraId="2DAB04C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3396" w:type="dxa"/>
            <w:noWrap/>
            <w:vAlign w:val="center"/>
          </w:tcPr>
          <w:p w14:paraId="07186814">
            <w:pPr>
              <w:ind w:firstLine="0" w:firstLineChars="0"/>
              <w:jc w:val="center"/>
              <w:rPr>
                <w:sz w:val="24"/>
                <w:szCs w:val="24"/>
              </w:rPr>
            </w:pPr>
            <w:r>
              <w:rPr>
                <w:sz w:val="24"/>
                <w:szCs w:val="24"/>
              </w:rPr>
              <w:t>吊重</w:t>
            </w:r>
            <w:r>
              <w:rPr>
                <w:rFonts w:hint="eastAsia"/>
                <w:sz w:val="24"/>
                <w:szCs w:val="24"/>
              </w:rPr>
              <w:t>8</w:t>
            </w:r>
            <w:r>
              <w:rPr>
                <w:sz w:val="24"/>
                <w:szCs w:val="24"/>
              </w:rPr>
              <w:t>t×125%=</w:t>
            </w:r>
            <w:r>
              <w:rPr>
                <w:rFonts w:hint="eastAsia"/>
                <w:sz w:val="24"/>
                <w:szCs w:val="24"/>
              </w:rPr>
              <w:t>10</w:t>
            </w:r>
            <w:r>
              <w:rPr>
                <w:sz w:val="24"/>
                <w:szCs w:val="24"/>
              </w:rPr>
              <w:t>t，工作幅度</w:t>
            </w:r>
            <w:r>
              <w:rPr>
                <w:rFonts w:hint="eastAsia"/>
                <w:sz w:val="24"/>
                <w:szCs w:val="24"/>
              </w:rPr>
              <w:t>15.8</w:t>
            </w:r>
            <w:r>
              <w:rPr>
                <w:sz w:val="24"/>
                <w:szCs w:val="24"/>
              </w:rPr>
              <w:t>m</w:t>
            </w:r>
          </w:p>
        </w:tc>
        <w:tc>
          <w:tcPr>
            <w:tcW w:w="2751" w:type="dxa"/>
            <w:vMerge w:val="continue"/>
            <w:noWrap/>
            <w:vAlign w:val="center"/>
          </w:tcPr>
          <w:p w14:paraId="6E8C5B96">
            <w:pPr>
              <w:ind w:firstLine="0" w:firstLineChars="0"/>
              <w:jc w:val="center"/>
              <w:rPr>
                <w:sz w:val="24"/>
                <w:szCs w:val="24"/>
              </w:rPr>
            </w:pPr>
          </w:p>
        </w:tc>
        <w:tc>
          <w:tcPr>
            <w:tcW w:w="3252" w:type="dxa"/>
            <w:vMerge w:val="continue"/>
            <w:noWrap/>
            <w:vAlign w:val="center"/>
          </w:tcPr>
          <w:p w14:paraId="456A1B5C">
            <w:pPr>
              <w:ind w:firstLine="0" w:firstLineChars="0"/>
              <w:jc w:val="center"/>
              <w:rPr>
                <w:sz w:val="24"/>
                <w:szCs w:val="24"/>
              </w:rPr>
            </w:pPr>
          </w:p>
        </w:tc>
      </w:tr>
      <w:tr w14:paraId="28DD16B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3396" w:type="dxa"/>
            <w:noWrap/>
            <w:vAlign w:val="center"/>
          </w:tcPr>
          <w:p w14:paraId="0046D699">
            <w:pPr>
              <w:ind w:firstLine="0" w:firstLineChars="0"/>
              <w:jc w:val="center"/>
              <w:rPr>
                <w:sz w:val="24"/>
                <w:szCs w:val="24"/>
              </w:rPr>
            </w:pPr>
            <w:r>
              <w:rPr>
                <w:sz w:val="24"/>
                <w:szCs w:val="24"/>
              </w:rPr>
              <w:t>吊重</w:t>
            </w:r>
            <w:r>
              <w:rPr>
                <w:rFonts w:hint="eastAsia"/>
                <w:sz w:val="24"/>
                <w:szCs w:val="24"/>
                <w:lang w:val="en-US" w:eastAsia="zh-CN"/>
              </w:rPr>
              <w:t>5.032</w:t>
            </w:r>
            <w:r>
              <w:rPr>
                <w:sz w:val="24"/>
                <w:szCs w:val="24"/>
              </w:rPr>
              <w:t>t×125%=</w:t>
            </w:r>
            <w:r>
              <w:rPr>
                <w:rFonts w:hint="eastAsia"/>
                <w:sz w:val="24"/>
                <w:szCs w:val="24"/>
                <w:lang w:val="en-US" w:eastAsia="zh-CN"/>
              </w:rPr>
              <w:t>6.29</w:t>
            </w:r>
            <w:r>
              <w:rPr>
                <w:sz w:val="24"/>
                <w:szCs w:val="24"/>
              </w:rPr>
              <w:t>t，</w:t>
            </w:r>
            <w:r>
              <w:rPr>
                <w:rFonts w:hint="eastAsia"/>
                <w:sz w:val="24"/>
                <w:szCs w:val="24"/>
              </w:rPr>
              <w:t>最大</w:t>
            </w:r>
            <w:r>
              <w:rPr>
                <w:sz w:val="24"/>
                <w:szCs w:val="24"/>
              </w:rPr>
              <w:t>工作幅度</w:t>
            </w:r>
            <w:r>
              <w:rPr>
                <w:rFonts w:hint="eastAsia"/>
                <w:sz w:val="24"/>
                <w:szCs w:val="24"/>
              </w:rPr>
              <w:t>25</w:t>
            </w:r>
            <w:r>
              <w:rPr>
                <w:sz w:val="24"/>
                <w:szCs w:val="24"/>
              </w:rPr>
              <w:t>m</w:t>
            </w:r>
          </w:p>
        </w:tc>
        <w:tc>
          <w:tcPr>
            <w:tcW w:w="2751" w:type="dxa"/>
            <w:vMerge w:val="continue"/>
            <w:noWrap/>
            <w:vAlign w:val="center"/>
          </w:tcPr>
          <w:p w14:paraId="3E8F781A">
            <w:pPr>
              <w:ind w:firstLine="0" w:firstLineChars="0"/>
              <w:jc w:val="center"/>
              <w:rPr>
                <w:sz w:val="24"/>
                <w:szCs w:val="24"/>
              </w:rPr>
            </w:pPr>
          </w:p>
        </w:tc>
        <w:tc>
          <w:tcPr>
            <w:tcW w:w="3252" w:type="dxa"/>
            <w:vMerge w:val="continue"/>
            <w:noWrap/>
            <w:vAlign w:val="center"/>
          </w:tcPr>
          <w:p w14:paraId="4F538B4B">
            <w:pPr>
              <w:ind w:firstLine="0" w:firstLineChars="0"/>
              <w:jc w:val="center"/>
              <w:rPr>
                <w:sz w:val="24"/>
                <w:szCs w:val="24"/>
              </w:rPr>
            </w:pPr>
          </w:p>
        </w:tc>
      </w:tr>
    </w:tbl>
    <w:p w14:paraId="18F1F1E9">
      <w:pPr>
        <w:pStyle w:val="3"/>
      </w:pPr>
      <w:bookmarkStart w:id="340" w:name="_Toc32388"/>
      <w:bookmarkStart w:id="341" w:name="_Toc31313"/>
      <w:r>
        <w:rPr>
          <w:rFonts w:hint="eastAsia"/>
        </w:rPr>
        <w:t>5.4 顶升加节</w:t>
      </w:r>
      <w:bookmarkEnd w:id="332"/>
      <w:bookmarkEnd w:id="333"/>
      <w:bookmarkEnd w:id="334"/>
      <w:bookmarkEnd w:id="335"/>
      <w:bookmarkEnd w:id="340"/>
      <w:bookmarkEnd w:id="341"/>
    </w:p>
    <w:p w14:paraId="2C8753EC">
      <w:pPr>
        <w:ind w:firstLine="560"/>
      </w:pPr>
      <w:r>
        <w:rPr>
          <w:rFonts w:hint="eastAsia"/>
        </w:rPr>
        <w:t>顶升前准备：</w:t>
      </w:r>
    </w:p>
    <w:p w14:paraId="0E846B39">
      <w:pPr>
        <w:autoSpaceDE w:val="0"/>
        <w:autoSpaceDN w:val="0"/>
        <w:adjustRightInd w:val="0"/>
        <w:ind w:firstLine="560"/>
        <w:rPr>
          <w:rFonts w:ascii="宋体" w:hAnsi="宋体" w:cs="宋体"/>
          <w:bCs/>
          <w:kern w:val="0"/>
        </w:rPr>
      </w:pPr>
      <w:r>
        <w:rPr>
          <w:rFonts w:hint="eastAsia" w:ascii="宋体" w:hAnsi="宋体" w:cs="宋体"/>
          <w:bCs/>
          <w:kern w:val="0"/>
        </w:rPr>
        <w:t>液压泵站要求给其油箱加油，同时清理好各个塔身节，做好顶升前各项准备工作，准备连接标准节的销轴。</w:t>
      </w:r>
    </w:p>
    <w:p w14:paraId="0E767A60">
      <w:pPr>
        <w:pStyle w:val="4"/>
      </w:pPr>
      <w:r>
        <w:rPr>
          <w:rFonts w:hint="eastAsia"/>
        </w:rPr>
        <w:t>5</w:t>
      </w:r>
      <w:r>
        <w:t>.</w:t>
      </w:r>
      <w:r>
        <w:rPr>
          <w:rFonts w:hint="eastAsia"/>
        </w:rPr>
        <w:t>4</w:t>
      </w:r>
      <w:r>
        <w:t>.1</w:t>
      </w:r>
      <w:r>
        <w:rPr>
          <w:rFonts w:hint="eastAsia"/>
        </w:rPr>
        <w:t>顶升配平</w:t>
      </w:r>
    </w:p>
    <w:p w14:paraId="65774CB1">
      <w:pPr>
        <w:autoSpaceDE w:val="0"/>
        <w:autoSpaceDN w:val="0"/>
        <w:adjustRightInd w:val="0"/>
        <w:ind w:firstLine="560"/>
        <w:rPr>
          <w:rFonts w:ascii="宋体" w:hAnsi="宋体" w:cs="宋体"/>
          <w:bCs/>
          <w:kern w:val="0"/>
        </w:rPr>
      </w:pPr>
      <w:r>
        <w:rPr>
          <w:rFonts w:hint="eastAsia" w:ascii="宋体" w:hAnsi="宋体" w:cs="宋体"/>
          <w:bCs/>
          <w:kern w:val="0"/>
        </w:rPr>
        <w:t xml:space="preserve">（1）将标准节悬挂在引进梁上。 </w:t>
      </w:r>
    </w:p>
    <w:p w14:paraId="7FD36D9D">
      <w:pPr>
        <w:autoSpaceDE w:val="0"/>
        <w:autoSpaceDN w:val="0"/>
        <w:adjustRightInd w:val="0"/>
        <w:ind w:firstLine="560"/>
        <w:rPr>
          <w:rFonts w:ascii="宋体" w:hAnsi="宋体" w:cs="宋体"/>
          <w:bCs/>
          <w:kern w:val="0"/>
        </w:rPr>
      </w:pPr>
      <w:r>
        <w:rPr>
          <w:rFonts w:hint="eastAsia" w:ascii="宋体" w:hAnsi="宋体" w:cs="宋体"/>
          <w:bCs/>
          <w:kern w:val="0"/>
        </w:rPr>
        <w:t>配平位置如图：</w:t>
      </w:r>
    </w:p>
    <w:p w14:paraId="61339EA1">
      <w:pPr>
        <w:autoSpaceDE w:val="0"/>
        <w:autoSpaceDN w:val="0"/>
        <w:adjustRightInd w:val="0"/>
        <w:spacing w:line="240" w:lineRule="auto"/>
        <w:ind w:firstLine="0" w:firstLineChars="0"/>
        <w:jc w:val="center"/>
        <w:rPr>
          <w:rFonts w:ascii="宋体" w:hAnsi="宋体" w:cs="宋体"/>
          <w:bCs/>
          <w:kern w:val="0"/>
        </w:rPr>
      </w:pPr>
      <w:r>
        <w:drawing>
          <wp:inline distT="0" distB="0" distL="114300" distR="114300">
            <wp:extent cx="5429250" cy="1543050"/>
            <wp:effectExtent l="0" t="0" r="0" b="0"/>
            <wp:docPr id="7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
                    <pic:cNvPicPr>
                      <a:picLocks noChangeAspect="1"/>
                    </pic:cNvPicPr>
                  </pic:nvPicPr>
                  <pic:blipFill>
                    <a:blip r:embed="rId56"/>
                    <a:stretch>
                      <a:fillRect/>
                    </a:stretch>
                  </pic:blipFill>
                  <pic:spPr>
                    <a:xfrm>
                      <a:off x="0" y="0"/>
                      <a:ext cx="5429250" cy="1543050"/>
                    </a:xfrm>
                    <a:prstGeom prst="rect">
                      <a:avLst/>
                    </a:prstGeom>
                    <a:noFill/>
                    <a:ln>
                      <a:noFill/>
                    </a:ln>
                  </pic:spPr>
                </pic:pic>
              </a:graphicData>
            </a:graphic>
          </wp:inline>
        </w:drawing>
      </w:r>
      <w:r>
        <mc:AlternateContent>
          <mc:Choice Requires="wps">
            <w:drawing>
              <wp:anchor distT="0" distB="0" distL="114300" distR="114300" simplePos="0" relativeHeight="251662336" behindDoc="0" locked="0" layoutInCell="1" allowOverlap="1">
                <wp:simplePos x="0" y="0"/>
                <wp:positionH relativeFrom="column">
                  <wp:posOffset>133985</wp:posOffset>
                </wp:positionH>
                <wp:positionV relativeFrom="paragraph">
                  <wp:posOffset>689610</wp:posOffset>
                </wp:positionV>
                <wp:extent cx="5458460" cy="304800"/>
                <wp:effectExtent l="19050" t="19050" r="27940" b="19050"/>
                <wp:wrapNone/>
                <wp:docPr id="78" name="矩形 78"/>
                <wp:cNvGraphicFramePr/>
                <a:graphic xmlns:a="http://schemas.openxmlformats.org/drawingml/2006/main">
                  <a:graphicData uri="http://schemas.microsoft.com/office/word/2010/wordprocessingShape">
                    <wps:wsp>
                      <wps:cNvSpPr/>
                      <wps:spPr>
                        <a:xfrm>
                          <a:off x="1084580" y="5034915"/>
                          <a:ext cx="5458460" cy="304800"/>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5pt;margin-top:54.3pt;height:24pt;width:429.8pt;z-index:251662336;v-text-anchor:middle;mso-width-relative:page;mso-height-relative:page;" filled="f" stroked="t" coordsize="21600,21600" o:gfxdata="UEsDBAoAAAAAAIdO4kAAAAAAAAAAAAAAAAAEAAAAZHJzL1BLAwQUAAAACACHTuJADsmhL9YAAAAK&#10;AQAADwAAAGRycy9kb3ducmV2LnhtbE2PwU6EMBCG7ya+QzMm3ty2RFlEyh5M1OhN1HidpRUIdEpo&#10;d1nf3vGkx/nnyz/fVLuTn8TRLXEIZEBvFAhHbbADdQbe3x6uChAxIVmcAjkD3y7Crj4/q7C0YaVX&#10;d2xSJ7iEYokG+pTmUsrY9s5j3ITZEe++wuIx8bh00i64crmfZKZULj0OxBd6nN1979qxOXgDz2s2&#10;DZ8dvjw1Y/MxhutHvb31xlxeaHUHIrlT+oPhV5/VoWanfTiQjWIykGnNJOeqyEEwUBRqC2LPyU2e&#10;g6wr+f+F+gdQSwMEFAAAAAgAh07iQM85ElFrAgAAwgQAAA4AAABkcnMvZTJvRG9jLnhtbK1US27b&#10;MBDdF+gdCO4byYmcOEbkwLDhokDQBHCLrmmKsgTwV5K2nF6mQHc9RI9T9Bp9pJQ4TbvIol7QM5qn&#10;N5w3M7q6PihJ9sL51uiSjk5ySoTmpmr1tqQfP6zeTCjxgemKSaNFSe+Fp9ez16+uOjsVp6YxshKO&#10;gET7aWdL2oRgp1nmeSMU8yfGCo1gbZxiAa7bZpVjHdiVzE7z/DzrjKusM1x4j6fLPkgHRvcSQlPX&#10;LRdLw3dK6NCzOiFZQEm+aa2ns3TbuhY83Na1F4HIkqLSkE4kgb2JZza7YtOtY7Zp+XAF9pIrPKtJ&#10;sVYj6SPVkgVGdq79i0q13Blv6nDCjcr6QpIiqGKUP9Nm3TArUi2Q2ttH0f3/o+Xv93eOtFVJL9B3&#10;zRQ6/uvr958/vhE8gDqd9VOA1vbODZ6HGUs91E7FfxRBDpikfFKMJ9D1vqTj/Ky4HI17dcUhEA7A&#10;GOHiHAAOxFleTPIkf3Zkss6Ht8IoEo2SOnQvicr2Nz4gO6APkJhYm1UrZeqg1KQD6WQETsIZxrLG&#10;OMBUFqV5vaWEyS3mnQeXKL2RbRVfj0TebTcL6cieYUpWqxy/eHWk+wMWcy+Zb3pcCg0wqYGOSvXa&#10;RGtjqnso60w/ct7yVYv3b5gPd8xhxnBRbGG4xVFLg9ubwaKkMe7Lv55HPFqPKCUdZhaVfd4xJyiR&#10;7zSG4nJUFKANySnGF6dw3NPI5mlE79TCoOAR9t3yZEZ8kA9m7Yz6hGWdx6wIMc2Ru9dwcBah3yWs&#10;OxfzeYJhsC0LN3pteSTvOzXfBVO3qYlHdQbRMNpJ7GEN4+489RPq+OmZ/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OyaEv1gAAAAoBAAAPAAAAAAAAAAEAIAAAACIAAABkcnMvZG93bnJldi54bWxQ&#10;SwECFAAUAAAACACHTuJAzzkSUWsCAADCBAAADgAAAAAAAAABACAAAAAlAQAAZHJzL2Uyb0RvYy54&#10;bWxQSwUGAAAAAAYABgBZAQAAAgYAAAAA&#10;">
                <v:fill on="f" focussize="0,0"/>
                <v:stroke weight="3pt" color="#FF0000 [2404]" joinstyle="round"/>
                <v:imagedata o:title=""/>
                <o:lock v:ext="edit" aspectratio="f"/>
              </v:rect>
            </w:pict>
          </mc:Fallback>
        </mc:AlternateContent>
      </w:r>
      <w:r>
        <w:drawing>
          <wp:inline distT="0" distB="0" distL="114300" distR="114300">
            <wp:extent cx="5448300" cy="1562100"/>
            <wp:effectExtent l="0" t="0" r="0" b="0"/>
            <wp:docPr id="8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0"/>
                    <pic:cNvPicPr>
                      <a:picLocks noChangeAspect="1"/>
                    </pic:cNvPicPr>
                  </pic:nvPicPr>
                  <pic:blipFill>
                    <a:blip r:embed="rId57"/>
                    <a:stretch>
                      <a:fillRect/>
                    </a:stretch>
                  </pic:blipFill>
                  <pic:spPr>
                    <a:xfrm>
                      <a:off x="0" y="0"/>
                      <a:ext cx="5448300" cy="1562100"/>
                    </a:xfrm>
                    <a:prstGeom prst="rect">
                      <a:avLst/>
                    </a:prstGeom>
                    <a:noFill/>
                    <a:ln>
                      <a:noFill/>
                    </a:ln>
                  </pic:spPr>
                </pic:pic>
              </a:graphicData>
            </a:graphic>
          </wp:inline>
        </w:drawing>
      </w:r>
    </w:p>
    <w:p w14:paraId="71EA0477">
      <w:pPr>
        <w:pStyle w:val="122"/>
        <w:spacing w:before="29" w:line="360" w:lineRule="auto"/>
        <w:ind w:right="159"/>
        <w:outlineLvl w:val="9"/>
      </w:pPr>
      <w:r>
        <w:rPr>
          <w:rFonts w:hint="eastAsia"/>
        </w:rPr>
        <w:t>图5.4-1 XGT6015A-8S塔机顶升配平图</w:t>
      </w:r>
    </w:p>
    <w:p w14:paraId="288695FA">
      <w:pPr>
        <w:autoSpaceDE w:val="0"/>
        <w:autoSpaceDN w:val="0"/>
        <w:adjustRightInd w:val="0"/>
        <w:ind w:firstLine="560"/>
        <w:rPr>
          <w:rFonts w:ascii="宋体" w:hAnsi="宋体" w:cs="宋体"/>
          <w:bCs/>
          <w:kern w:val="0"/>
        </w:rPr>
      </w:pPr>
      <w:r>
        <w:rPr>
          <w:rFonts w:hint="eastAsia" w:ascii="宋体" w:hAnsi="宋体" w:cs="宋体"/>
          <w:bCs/>
          <w:kern w:val="0"/>
        </w:rPr>
        <w:t>为了保证顶升安全，塔机在顶升之前必须进行配平，配平的主要方法为：在一定幅度上悬吊一重物，通过小车的位置移动最终实现塔机的配平。配平时通过检验下支座支腿与塔身主弦杆是否在一条垂直线上，并观察爬升架导轮与塔身主弦杆间隙是否基本相同来检查塔机是否平衡。略微调整载重小车的配平位置，直至平衡。记录实际配平位置，以后顶升或降节时使用。</w:t>
      </w:r>
    </w:p>
    <w:p w14:paraId="117F1120">
      <w:pPr>
        <w:autoSpaceDE w:val="0"/>
        <w:autoSpaceDN w:val="0"/>
        <w:adjustRightInd w:val="0"/>
        <w:ind w:firstLine="560"/>
        <w:rPr>
          <w:rFonts w:ascii="宋体" w:hAnsi="宋体" w:cs="宋体"/>
          <w:bCs/>
          <w:kern w:val="0"/>
        </w:rPr>
      </w:pPr>
      <w:r>
        <w:rPr>
          <w:rFonts w:hint="eastAsia" w:ascii="宋体" w:hAnsi="宋体" w:cs="宋体"/>
          <w:bCs/>
          <w:kern w:val="0"/>
        </w:rPr>
        <w:t>注意：上表中的数据为理论配平尺寸，实际配平时以观察下支座支腿与塔身主弦杆在一条垂直线上，并观察爬升架 8 个导轮与塔身主弦杆间隙基本相同为准，否则可能造成配平错误，导致顶升倾覆安全事故。</w:t>
      </w:r>
    </w:p>
    <w:p w14:paraId="117DEF1B">
      <w:pPr>
        <w:pStyle w:val="4"/>
      </w:pPr>
      <w:r>
        <w:rPr>
          <w:rFonts w:hint="eastAsia"/>
        </w:rPr>
        <w:t>5</w:t>
      </w:r>
      <w:r>
        <w:t>.</w:t>
      </w:r>
      <w:r>
        <w:rPr>
          <w:rFonts w:hint="eastAsia"/>
        </w:rPr>
        <w:t>4</w:t>
      </w:r>
      <w:r>
        <w:t>.2</w:t>
      </w:r>
      <w:r>
        <w:rPr>
          <w:rFonts w:hint="eastAsia"/>
        </w:rPr>
        <w:t>顶升操作程序</w:t>
      </w:r>
    </w:p>
    <w:p w14:paraId="79579254">
      <w:pPr>
        <w:autoSpaceDE w:val="0"/>
        <w:autoSpaceDN w:val="0"/>
        <w:adjustRightInd w:val="0"/>
        <w:ind w:firstLine="560"/>
        <w:rPr>
          <w:rFonts w:ascii="宋体" w:hAnsi="宋体" w:cs="宋体"/>
          <w:bCs/>
          <w:kern w:val="0"/>
        </w:rPr>
      </w:pPr>
      <w:r>
        <w:rPr>
          <w:rFonts w:hint="eastAsia" w:ascii="宋体" w:hAnsi="宋体" w:cs="宋体"/>
          <w:bCs/>
          <w:kern w:val="0"/>
        </w:rPr>
        <w:t>1）顶升作业顺序</w:t>
      </w:r>
    </w:p>
    <w:p w14:paraId="1AAF7FBE">
      <w:pPr>
        <w:autoSpaceDE w:val="0"/>
        <w:autoSpaceDN w:val="0"/>
        <w:adjustRightInd w:val="0"/>
        <w:ind w:firstLine="560"/>
        <w:rPr>
          <w:rFonts w:ascii="宋体" w:hAnsi="宋体" w:cs="宋体"/>
          <w:bCs/>
          <w:kern w:val="0"/>
        </w:rPr>
      </w:pPr>
      <w:r>
        <w:rPr>
          <w:rFonts w:hint="eastAsia" w:ascii="宋体" w:hAnsi="宋体" w:cs="宋体"/>
          <w:bCs/>
          <w:kern w:val="0"/>
        </w:rPr>
        <w:t xml:space="preserve">顶升作业顺序包括了一连串将重复数次的操作：在地面将四个引进轮安装固定在待吊标节下部横腹杆的四个角上（引进轮的安装位置参考下图），然后吊起标节并安放在引进平台上；再吊一节标准节，将载重小车开至顶升平衡位置。 </w:t>
      </w:r>
    </w:p>
    <w:p w14:paraId="04509726">
      <w:pPr>
        <w:widowControl/>
        <w:spacing w:line="240" w:lineRule="auto"/>
        <w:ind w:firstLine="0" w:firstLineChars="0"/>
        <w:jc w:val="center"/>
      </w:pPr>
      <w:r>
        <w:drawing>
          <wp:inline distT="0" distB="0" distL="114300" distR="114300">
            <wp:extent cx="5266690" cy="1518920"/>
            <wp:effectExtent l="0" t="0" r="10160" b="508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58"/>
                    <a:stretch>
                      <a:fillRect/>
                    </a:stretch>
                  </pic:blipFill>
                  <pic:spPr>
                    <a:xfrm>
                      <a:off x="0" y="0"/>
                      <a:ext cx="5266690" cy="1518920"/>
                    </a:xfrm>
                    <a:prstGeom prst="rect">
                      <a:avLst/>
                    </a:prstGeom>
                    <a:noFill/>
                    <a:ln>
                      <a:noFill/>
                    </a:ln>
                  </pic:spPr>
                </pic:pic>
              </a:graphicData>
            </a:graphic>
          </wp:inline>
        </w:drawing>
      </w:r>
    </w:p>
    <w:p w14:paraId="538AEEBA">
      <w:pPr>
        <w:widowControl/>
        <w:ind w:firstLine="0" w:firstLineChars="0"/>
        <w:jc w:val="center"/>
      </w:pPr>
      <w:r>
        <w:rPr>
          <w:rFonts w:hint="eastAsia" w:ascii="宋体" w:hAnsi="宋体" w:cs="宋体"/>
          <w:b/>
          <w:bCs/>
          <w:sz w:val="21"/>
        </w:rPr>
        <w:t>图5.4-2</w:t>
      </w:r>
      <w:r>
        <w:rPr>
          <w:rFonts w:hint="eastAsia" w:ascii="宋体" w:hAnsi="宋体" w:cs="宋体"/>
          <w:b/>
          <w:bCs/>
          <w:color w:val="000000"/>
          <w:kern w:val="0"/>
          <w:sz w:val="21"/>
          <w:lang w:bidi="ar"/>
        </w:rPr>
        <w:t>塔机配平调整</w:t>
      </w:r>
      <w:r>
        <w:rPr>
          <w:rFonts w:hint="eastAsia" w:ascii="宋体" w:hAnsi="宋体" w:cs="宋体"/>
          <w:b/>
          <w:bCs/>
          <w:sz w:val="21"/>
        </w:rPr>
        <w:t>示意图</w:t>
      </w:r>
    </w:p>
    <w:p w14:paraId="3D0C169C">
      <w:pPr>
        <w:widowControl/>
        <w:ind w:firstLine="560"/>
        <w:jc w:val="left"/>
      </w:pPr>
      <w:r>
        <w:rPr>
          <w:rFonts w:hint="eastAsia" w:ascii="宋体" w:hAnsi="宋体" w:cs="宋体"/>
          <w:color w:val="000000"/>
          <w:kern w:val="0"/>
          <w:szCs w:val="24"/>
          <w:lang w:bidi="ar"/>
        </w:rPr>
        <w:t xml:space="preserve">使用回转装置上的回转制动器，将塔机上部装置处于制动状态，卸下塔身顶部与特殊节连接的 </w:t>
      </w:r>
      <w:r>
        <w:rPr>
          <w:rFonts w:ascii="Calibri" w:hAnsi="Calibri" w:cs="Calibri"/>
          <w:color w:val="000000"/>
          <w:kern w:val="0"/>
          <w:szCs w:val="24"/>
          <w:lang w:bidi="ar"/>
        </w:rPr>
        <w:t xml:space="preserve">8 </w:t>
      </w:r>
      <w:r>
        <w:rPr>
          <w:rFonts w:hint="eastAsia" w:ascii="宋体" w:hAnsi="宋体" w:cs="宋体"/>
          <w:color w:val="000000"/>
          <w:kern w:val="0"/>
          <w:szCs w:val="24"/>
          <w:lang w:bidi="ar"/>
        </w:rPr>
        <w:t xml:space="preserve">个高强度螺栓。 </w:t>
      </w:r>
    </w:p>
    <w:p w14:paraId="5A7D1083">
      <w:pPr>
        <w:widowControl/>
        <w:ind w:firstLine="560"/>
        <w:jc w:val="left"/>
      </w:pPr>
      <w:r>
        <w:rPr>
          <w:rFonts w:hint="eastAsia" w:ascii="宋体" w:hAnsi="宋体" w:cs="宋体"/>
          <w:color w:val="000000"/>
          <w:kern w:val="0"/>
          <w:szCs w:val="24"/>
          <w:lang w:bidi="ar"/>
        </w:rPr>
        <w:t xml:space="preserve">开动液压顶升系统，使油缸活塞杆伸出，将顶升横梁两端的销轴落入距顶升横梁最近的塔身节踏步的圆弧槽内，插入防脱销（要设专人负责观察顶升横梁两端销轴都必须落入踏步圆弧槽内），确认无误后继续顶升， 将爬升架及以上部分顶起 </w:t>
      </w:r>
      <w:r>
        <w:rPr>
          <w:rFonts w:ascii="Calibri" w:hAnsi="Calibri" w:cs="Calibri"/>
          <w:color w:val="000000"/>
          <w:kern w:val="0"/>
          <w:szCs w:val="24"/>
          <w:lang w:bidi="ar"/>
        </w:rPr>
        <w:t>10</w:t>
      </w:r>
      <w:r>
        <w:rPr>
          <w:rFonts w:hint="eastAsia" w:ascii="宋体" w:hAnsi="宋体" w:cs="宋体"/>
          <w:color w:val="000000"/>
          <w:kern w:val="0"/>
          <w:szCs w:val="24"/>
          <w:lang w:bidi="ar"/>
        </w:rPr>
        <w:t>～</w:t>
      </w:r>
      <w:r>
        <w:rPr>
          <w:rFonts w:ascii="Calibri" w:hAnsi="Calibri" w:cs="Calibri"/>
          <w:color w:val="000000"/>
          <w:kern w:val="0"/>
          <w:szCs w:val="24"/>
          <w:lang w:bidi="ar"/>
        </w:rPr>
        <w:t xml:space="preserve">50mm </w:t>
      </w:r>
      <w:r>
        <w:rPr>
          <w:rFonts w:hint="eastAsia" w:ascii="宋体" w:hAnsi="宋体" w:cs="宋体"/>
          <w:color w:val="000000"/>
          <w:kern w:val="0"/>
          <w:szCs w:val="24"/>
          <w:lang w:bidi="ar"/>
        </w:rPr>
        <w:t>时停止，检查顶升横梁等爬升架传力部件是否有异响、变形，油缸活塞杆是否有自动回缩等异常现象，确认正常后，继续顶升。</w:t>
      </w:r>
    </w:p>
    <w:p w14:paraId="56EBB4F1">
      <w:pPr>
        <w:widowControl/>
        <w:ind w:firstLine="560"/>
        <w:jc w:val="left"/>
      </w:pPr>
      <w:r>
        <w:rPr>
          <w:rFonts w:hint="eastAsia" w:ascii="宋体" w:hAnsi="宋体" w:cs="宋体"/>
          <w:color w:val="000000"/>
          <w:kern w:val="0"/>
          <w:szCs w:val="24"/>
          <w:lang w:bidi="ar"/>
        </w:rPr>
        <w:t xml:space="preserve">顶升略超过半个塔身节高度并使爬升架上的活动爬爪滑过一对踏步并自动复位后， 停止顶升，并回缩油缸；确认两个活动爬爪全部准确地压在踏步顶端的平面上并承受住爬升架及其以上部分的重量，且无局部变形、异响等异常情况。 </w:t>
      </w:r>
    </w:p>
    <w:p w14:paraId="60D37934">
      <w:pPr>
        <w:widowControl/>
        <w:spacing w:line="240" w:lineRule="auto"/>
        <w:ind w:firstLine="0" w:firstLineChars="0"/>
        <w:jc w:val="center"/>
      </w:pPr>
      <w:r>
        <w:rPr>
          <w:rFonts w:ascii="宋体" w:hAnsi="宋体" w:cs="宋体"/>
          <w:kern w:val="0"/>
          <w:szCs w:val="24"/>
          <w:lang w:bidi="ar"/>
        </w:rPr>
        <w:fldChar w:fldCharType="begin"/>
      </w:r>
      <w:r>
        <w:rPr>
          <w:rFonts w:ascii="宋体" w:hAnsi="宋体" w:cs="宋体"/>
          <w:kern w:val="0"/>
          <w:szCs w:val="24"/>
          <w:lang w:bidi="ar"/>
        </w:rPr>
        <w:instrText xml:space="preserve">INCLUDEPICTURE \d "C:\\Users\\Administrator\\AppData\\Roaming\\Tencent\\Users\\406205469\\QQ\\WinTemp\\RichOle\\8D`_M@(Y3E9WE7][NEH4CXS.png" \* MERGEFORMATINET </w:instrText>
      </w:r>
      <w:r>
        <w:rPr>
          <w:rFonts w:ascii="宋体" w:hAnsi="宋体" w:cs="宋体"/>
          <w:kern w:val="0"/>
          <w:szCs w:val="24"/>
          <w:lang w:bidi="ar"/>
        </w:rPr>
        <w:fldChar w:fldCharType="separate"/>
      </w:r>
      <w:r>
        <w:rPr>
          <w:rFonts w:ascii="宋体" w:hAnsi="宋体" w:cs="宋体"/>
          <w:kern w:val="0"/>
          <w:szCs w:val="24"/>
          <w:lang w:bidi="ar"/>
        </w:rPr>
        <w:drawing>
          <wp:inline distT="0" distB="0" distL="114300" distR="114300">
            <wp:extent cx="4040505" cy="2000885"/>
            <wp:effectExtent l="0" t="0" r="17145" b="1841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59"/>
                    <a:stretch>
                      <a:fillRect/>
                    </a:stretch>
                  </pic:blipFill>
                  <pic:spPr>
                    <a:xfrm>
                      <a:off x="0" y="0"/>
                      <a:ext cx="4040505" cy="2000885"/>
                    </a:xfrm>
                    <a:prstGeom prst="rect">
                      <a:avLst/>
                    </a:prstGeom>
                    <a:noFill/>
                    <a:ln>
                      <a:noFill/>
                    </a:ln>
                  </pic:spPr>
                </pic:pic>
              </a:graphicData>
            </a:graphic>
          </wp:inline>
        </w:drawing>
      </w:r>
      <w:r>
        <w:rPr>
          <w:rFonts w:ascii="宋体" w:hAnsi="宋体" w:cs="宋体"/>
          <w:kern w:val="0"/>
          <w:szCs w:val="24"/>
          <w:lang w:bidi="ar"/>
        </w:rPr>
        <w:fldChar w:fldCharType="end"/>
      </w:r>
    </w:p>
    <w:p w14:paraId="1768B763">
      <w:pPr>
        <w:widowControl/>
        <w:ind w:firstLine="0" w:firstLineChars="0"/>
        <w:jc w:val="center"/>
      </w:pPr>
      <w:r>
        <w:rPr>
          <w:rFonts w:hint="eastAsia" w:ascii="宋体" w:hAnsi="宋体" w:cs="宋体"/>
          <w:b/>
          <w:bCs/>
          <w:sz w:val="21"/>
        </w:rPr>
        <w:t>图5.4-3</w:t>
      </w:r>
      <w:r>
        <w:rPr>
          <w:rFonts w:hint="eastAsia" w:ascii="宋体" w:hAnsi="宋体" w:cs="宋体"/>
          <w:b/>
          <w:bCs/>
          <w:color w:val="000000"/>
          <w:kern w:val="0"/>
          <w:sz w:val="21"/>
          <w:lang w:bidi="ar"/>
        </w:rPr>
        <w:t>塔机顶升示</w:t>
      </w:r>
      <w:r>
        <w:rPr>
          <w:rFonts w:hint="eastAsia" w:ascii="宋体" w:hAnsi="宋体" w:cs="宋体"/>
          <w:b/>
          <w:bCs/>
          <w:sz w:val="21"/>
        </w:rPr>
        <w:t>意图一</w:t>
      </w:r>
    </w:p>
    <w:p w14:paraId="3546B943">
      <w:pPr>
        <w:ind w:firstLine="560"/>
        <w:rPr>
          <w:lang w:bidi="ar"/>
        </w:rPr>
      </w:pPr>
      <w:r>
        <w:rPr>
          <w:rFonts w:hint="eastAsia"/>
          <w:lang w:bidi="ar"/>
        </w:rPr>
        <w:t xml:space="preserve">将顶升横梁防脱销收回，将油缸活塞全部缩回，提起顶升横梁，重新使顶升横梁顶在向上一对踏步的圆弧槽内，防脱销插入，再次伸出油缸，将塔机上部结构再顶起略超过半个塔身节高度，此时塔身上方恰好又能装入一个塔身节的空间，将爬升架引进平台上的标准节拉进至塔身正上方，稍微缩回油缸，将新引进的标准节落在塔身顶部并对正，拆下引进轮。用 </w:t>
      </w:r>
      <w:r>
        <w:rPr>
          <w:rFonts w:ascii="Calibri" w:hAnsi="Calibri" w:cs="Calibri"/>
          <w:lang w:bidi="ar"/>
        </w:rPr>
        <w:t xml:space="preserve">8 </w:t>
      </w:r>
      <w:r>
        <w:rPr>
          <w:rFonts w:hint="eastAsia"/>
          <w:lang w:bidi="ar"/>
        </w:rPr>
        <w:t xml:space="preserve">件高强度螺栓（每根高强度螺栓必须有两个螺母）将上、下标准节连接牢靠（预紧力矩 </w:t>
      </w:r>
      <w:r>
        <w:rPr>
          <w:rFonts w:ascii="Calibri" w:hAnsi="Calibri" w:cs="Calibri"/>
          <w:lang w:bidi="ar"/>
        </w:rPr>
        <w:t>1600N·m</w:t>
      </w:r>
      <w:r>
        <w:rPr>
          <w:rFonts w:hint="eastAsia"/>
          <w:lang w:bidi="ar"/>
        </w:rPr>
        <w:t>）。</w:t>
      </w:r>
    </w:p>
    <w:p w14:paraId="3630B630">
      <w:pPr>
        <w:widowControl/>
        <w:spacing w:line="240" w:lineRule="auto"/>
        <w:ind w:firstLine="0" w:firstLineChars="0"/>
        <w:jc w:val="center"/>
      </w:pPr>
      <w:r>
        <w:rPr>
          <w:rFonts w:ascii="宋体" w:hAnsi="宋体" w:cs="宋体"/>
          <w:kern w:val="0"/>
          <w:szCs w:val="24"/>
          <w:lang w:bidi="ar"/>
        </w:rPr>
        <w:fldChar w:fldCharType="begin"/>
      </w:r>
      <w:r>
        <w:rPr>
          <w:rFonts w:ascii="宋体" w:hAnsi="宋体" w:cs="宋体"/>
          <w:kern w:val="0"/>
          <w:szCs w:val="24"/>
          <w:lang w:bidi="ar"/>
        </w:rPr>
        <w:instrText xml:space="preserve">INCLUDEPICTURE \d "C:\\Users\\Administrator\\AppData\\Roaming\\Tencent\\Users\\406205469\\QQ\\WinTemp\\RichOle\\5@(3)~DFIMTW)19QNNGU)FX.png" \* MERGEFORMATINET </w:instrText>
      </w:r>
      <w:r>
        <w:rPr>
          <w:rFonts w:ascii="宋体" w:hAnsi="宋体" w:cs="宋体"/>
          <w:kern w:val="0"/>
          <w:szCs w:val="24"/>
          <w:lang w:bidi="ar"/>
        </w:rPr>
        <w:fldChar w:fldCharType="separate"/>
      </w:r>
      <w:r>
        <w:rPr>
          <w:rFonts w:ascii="宋体" w:hAnsi="宋体" w:cs="宋体"/>
          <w:kern w:val="0"/>
          <w:szCs w:val="24"/>
          <w:lang w:bidi="ar"/>
        </w:rPr>
        <w:drawing>
          <wp:inline distT="0" distB="0" distL="114300" distR="114300">
            <wp:extent cx="1884680" cy="2339340"/>
            <wp:effectExtent l="0" t="0" r="1270" b="3810"/>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60"/>
                    <a:stretch>
                      <a:fillRect/>
                    </a:stretch>
                  </pic:blipFill>
                  <pic:spPr>
                    <a:xfrm>
                      <a:off x="0" y="0"/>
                      <a:ext cx="1884680" cy="2339340"/>
                    </a:xfrm>
                    <a:prstGeom prst="rect">
                      <a:avLst/>
                    </a:prstGeom>
                    <a:noFill/>
                    <a:ln>
                      <a:noFill/>
                    </a:ln>
                  </pic:spPr>
                </pic:pic>
              </a:graphicData>
            </a:graphic>
          </wp:inline>
        </w:drawing>
      </w:r>
      <w:r>
        <w:rPr>
          <w:rFonts w:ascii="宋体" w:hAnsi="宋体" w:cs="宋体"/>
          <w:kern w:val="0"/>
          <w:szCs w:val="24"/>
          <w:lang w:bidi="ar"/>
        </w:rPr>
        <w:fldChar w:fldCharType="end"/>
      </w:r>
    </w:p>
    <w:p w14:paraId="5FE6C7D3">
      <w:pPr>
        <w:widowControl/>
        <w:ind w:firstLine="0" w:firstLineChars="0"/>
        <w:jc w:val="center"/>
      </w:pPr>
      <w:r>
        <w:rPr>
          <w:rFonts w:hint="eastAsia" w:ascii="宋体" w:hAnsi="宋体" w:cs="宋体"/>
          <w:b/>
          <w:bCs/>
          <w:sz w:val="21"/>
        </w:rPr>
        <w:t>图5.4-4</w:t>
      </w:r>
      <w:r>
        <w:rPr>
          <w:rFonts w:hint="eastAsia" w:ascii="宋体" w:hAnsi="宋体" w:cs="宋体"/>
          <w:b/>
          <w:bCs/>
          <w:color w:val="000000"/>
          <w:kern w:val="0"/>
          <w:sz w:val="21"/>
          <w:lang w:bidi="ar"/>
        </w:rPr>
        <w:t>塔机顶升示</w:t>
      </w:r>
      <w:r>
        <w:rPr>
          <w:rFonts w:hint="eastAsia" w:ascii="宋体" w:hAnsi="宋体" w:cs="宋体"/>
          <w:b/>
          <w:bCs/>
          <w:sz w:val="21"/>
        </w:rPr>
        <w:t>意图二</w:t>
      </w:r>
    </w:p>
    <w:p w14:paraId="739A9B83">
      <w:pPr>
        <w:widowControl/>
        <w:ind w:firstLine="560"/>
        <w:jc w:val="left"/>
      </w:pPr>
      <w:r>
        <w:rPr>
          <w:rFonts w:hint="eastAsia" w:ascii="宋体" w:hAnsi="宋体" w:cs="宋体"/>
          <w:color w:val="000000"/>
          <w:kern w:val="0"/>
          <w:szCs w:val="24"/>
          <w:lang w:bidi="ar"/>
        </w:rPr>
        <w:t>销轴及防脱销收回后，继续缩回油缸，将特殊节落在新的塔身顶部上，并对正，用</w:t>
      </w:r>
      <w:r>
        <w:rPr>
          <w:rFonts w:ascii="Calibri" w:hAnsi="Calibri" w:cs="Calibri"/>
          <w:color w:val="000000"/>
          <w:kern w:val="0"/>
          <w:szCs w:val="24"/>
          <w:lang w:bidi="ar"/>
        </w:rPr>
        <w:t>8</w:t>
      </w:r>
      <w:r>
        <w:rPr>
          <w:rFonts w:hint="eastAsia" w:ascii="宋体" w:hAnsi="宋体" w:cs="宋体"/>
          <w:color w:val="000000"/>
          <w:kern w:val="0"/>
          <w:szCs w:val="24"/>
          <w:lang w:bidi="ar"/>
        </w:rPr>
        <w:t xml:space="preserve">件高强度螺栓将下支座与塔身连接牢靠（每根高强度螺栓必须有两个螺母），即完成一节标准节的加节工作。 </w:t>
      </w:r>
    </w:p>
    <w:p w14:paraId="1E6F9DC9">
      <w:pPr>
        <w:widowControl/>
        <w:ind w:firstLine="560"/>
        <w:jc w:val="left"/>
        <w:rPr>
          <w:rFonts w:ascii="宋体" w:hAnsi="宋体" w:cs="宋体"/>
        </w:rPr>
      </w:pPr>
      <w:r>
        <w:rPr>
          <w:rFonts w:hint="eastAsia" w:ascii="宋体" w:hAnsi="宋体" w:cs="宋体"/>
        </w:rPr>
        <w:t>（7）</w:t>
      </w:r>
      <w:r>
        <w:rPr>
          <w:rFonts w:hint="eastAsia" w:ascii="宋体" w:hAnsi="宋体" w:cs="宋体"/>
          <w:color w:val="000000"/>
          <w:kern w:val="0"/>
          <w:szCs w:val="24"/>
          <w:lang w:bidi="ar"/>
        </w:rPr>
        <w:t>顶升作业注意事项</w:t>
      </w:r>
    </w:p>
    <w:p w14:paraId="614B39C8">
      <w:pPr>
        <w:ind w:firstLine="560"/>
      </w:pPr>
      <w:r>
        <w:rPr>
          <w:rFonts w:hint="eastAsia"/>
          <w:lang w:bidi="ar"/>
        </w:rPr>
        <w:t>塔机最高处风速大于</w:t>
      </w:r>
      <w:r>
        <w:rPr>
          <w:rFonts w:ascii="Calibri" w:hAnsi="Calibri" w:cs="Calibri"/>
          <w:lang w:bidi="ar"/>
        </w:rPr>
        <w:t>12m/s</w:t>
      </w:r>
      <w:r>
        <w:rPr>
          <w:rFonts w:hint="eastAsia"/>
          <w:lang w:bidi="ar"/>
        </w:rPr>
        <w:t xml:space="preserve">时，不得进行顶升作业。 </w:t>
      </w:r>
    </w:p>
    <w:p w14:paraId="50A17325">
      <w:pPr>
        <w:ind w:firstLine="560"/>
      </w:pPr>
      <w:r>
        <w:rPr>
          <w:rFonts w:hint="eastAsia"/>
          <w:lang w:bidi="ar"/>
        </w:rPr>
        <w:t xml:space="preserve">塔机的爬升机构，其爬升作业时应确保爬升架上支承在塔身上的受力部位与塔身顶升支承部位应可靠定位和结合。并应及时查看顶升支承部位焊缝情况，若有异常情况应排除后才能继续进行爬升作业。 </w:t>
      </w:r>
    </w:p>
    <w:p w14:paraId="2F979A13">
      <w:pPr>
        <w:ind w:firstLine="560"/>
      </w:pPr>
      <w:r>
        <w:rPr>
          <w:rFonts w:hint="eastAsia"/>
          <w:lang w:bidi="ar"/>
        </w:rPr>
        <w:t xml:space="preserve">顶升过程中必须保证起重臂与引入标准节方向一致，并利用回转机构制动器将起重臂制动住，载重小车必须停靠在顶升配平位置。 </w:t>
      </w:r>
    </w:p>
    <w:p w14:paraId="00FA8D99">
      <w:pPr>
        <w:ind w:firstLine="560"/>
      </w:pPr>
      <w:r>
        <w:rPr>
          <w:rFonts w:hint="eastAsia"/>
          <w:lang w:bidi="ar"/>
        </w:rPr>
        <w:t>若要连续加高几节标准节，则每加完一节后，用塔机自身起吊下一节标准节前，塔身</w:t>
      </w:r>
      <w:r>
        <w:rPr>
          <w:rFonts w:ascii="Calibri" w:hAnsi="Calibri" w:cs="Calibri"/>
          <w:lang w:bidi="ar"/>
        </w:rPr>
        <w:t>4</w:t>
      </w:r>
      <w:r>
        <w:rPr>
          <w:rFonts w:hint="eastAsia"/>
          <w:lang w:bidi="ar"/>
        </w:rPr>
        <w:t>个主弦杆和特殊节必须有</w:t>
      </w:r>
      <w:r>
        <w:rPr>
          <w:rFonts w:ascii="Calibri" w:hAnsi="Calibri" w:cs="Calibri"/>
          <w:lang w:bidi="ar"/>
        </w:rPr>
        <w:t>12</w:t>
      </w:r>
      <w:r>
        <w:rPr>
          <w:rFonts w:hint="eastAsia"/>
          <w:lang w:bidi="ar"/>
        </w:rPr>
        <w:t>个的螺栓连接，唯有在这种情况下，允许这</w:t>
      </w:r>
      <w:r>
        <w:rPr>
          <w:rFonts w:ascii="Calibri" w:hAnsi="Calibri" w:cs="Calibri"/>
          <w:lang w:bidi="ar"/>
        </w:rPr>
        <w:t>12</w:t>
      </w:r>
      <w:r>
        <w:rPr>
          <w:rFonts w:hint="eastAsia"/>
          <w:lang w:bidi="ar"/>
        </w:rPr>
        <w:t xml:space="preserve">根螺栓每根只用一个螺母。 </w:t>
      </w:r>
    </w:p>
    <w:p w14:paraId="2503A096">
      <w:pPr>
        <w:ind w:firstLine="560"/>
      </w:pPr>
      <w:r>
        <w:rPr>
          <w:rFonts w:hint="eastAsia"/>
          <w:lang w:bidi="ar"/>
        </w:rPr>
        <w:t xml:space="preserve">所加标准节上的踏步，必须与已有塔身节对正。 </w:t>
      </w:r>
    </w:p>
    <w:p w14:paraId="385572BC">
      <w:pPr>
        <w:ind w:firstLine="560"/>
      </w:pPr>
      <w:r>
        <w:rPr>
          <w:rFonts w:hint="eastAsia"/>
          <w:lang w:bidi="ar"/>
        </w:rPr>
        <w:t xml:space="preserve">在特殊节与塔身没有用螺栓连接好之前，严禁起重臂回转、载重小车变幅和吊装作业。 </w:t>
      </w:r>
    </w:p>
    <w:p w14:paraId="5C02059E">
      <w:pPr>
        <w:ind w:firstLine="560"/>
      </w:pPr>
      <w:r>
        <w:rPr>
          <w:rFonts w:hint="eastAsia"/>
          <w:lang w:bidi="ar"/>
        </w:rPr>
        <w:t>在顶升过程中，若液压顶升系统出现异常，应立即停止顶升，收回油缸，将下支座落在塔身顶部，并用</w:t>
      </w:r>
      <w:r>
        <w:rPr>
          <w:rFonts w:ascii="Calibri" w:hAnsi="Calibri" w:cs="Calibri"/>
          <w:lang w:bidi="ar"/>
        </w:rPr>
        <w:t>12</w:t>
      </w:r>
      <w:r>
        <w:rPr>
          <w:rFonts w:hint="eastAsia"/>
          <w:lang w:bidi="ar"/>
        </w:rPr>
        <w:t xml:space="preserve">件高强度螺栓将特殊节与塔身连接牢靠后，再排除液压系统的故障。 </w:t>
      </w:r>
    </w:p>
    <w:p w14:paraId="02ACFED7">
      <w:pPr>
        <w:ind w:firstLine="560"/>
      </w:pPr>
      <w:r>
        <w:rPr>
          <w:rFonts w:hint="eastAsia"/>
          <w:lang w:bidi="ar"/>
        </w:rPr>
        <w:t>塔机加节达到所需工作高度（但不超过独立高度）后，应旋转起重臂至不同的角度，检查塔身各接头处、基础支脚处螺栓的拧紧问题（哪一根主弦杆位于平衡臂正下方时就把这根主弦杆从下到上的所有螺母拧紧，上述连接处均为双螺母防松）。</w:t>
      </w:r>
    </w:p>
    <w:p w14:paraId="475C49FF">
      <w:pPr>
        <w:ind w:firstLine="560"/>
      </w:pPr>
      <w:r>
        <w:rPr>
          <w:rFonts w:hint="eastAsia"/>
        </w:rPr>
        <w:t>（8）</w:t>
      </w:r>
      <w:r>
        <w:rPr>
          <w:rFonts w:hint="eastAsia"/>
          <w:lang w:bidi="ar"/>
        </w:rPr>
        <w:t>防脱销装置的使用方法</w:t>
      </w:r>
    </w:p>
    <w:p w14:paraId="5FE9DE2C">
      <w:pPr>
        <w:ind w:firstLine="560"/>
      </w:pPr>
      <w:r>
        <w:rPr>
          <w:rFonts w:hint="eastAsia"/>
          <w:lang w:bidi="ar"/>
        </w:rPr>
        <w:t xml:space="preserve">防脱装置由两部分组成，一是顶升横梁上的插销，二是标准节踏步的防脱插销孔，其使用方法如下： </w:t>
      </w:r>
    </w:p>
    <w:p w14:paraId="0485CB0A">
      <w:pPr>
        <w:ind w:firstLine="560"/>
      </w:pPr>
      <w:r>
        <w:rPr>
          <w:rFonts w:ascii="Calibri" w:hAnsi="Calibri" w:cs="Calibri"/>
          <w:lang w:bidi="ar"/>
        </w:rPr>
        <w:t>1</w:t>
      </w:r>
      <w:r>
        <w:rPr>
          <w:rFonts w:hint="eastAsia"/>
          <w:lang w:bidi="ar"/>
        </w:rPr>
        <w:t xml:space="preserve">）塔机开始顶升加节或降塔减节时，顶升横梁的销轴搁置在标准节的圆弧槽内，须将顶升横梁的防脱销插入标准节的防脱销孔内，且固定在前槽内。 </w:t>
      </w:r>
    </w:p>
    <w:p w14:paraId="5AA4D964">
      <w:pPr>
        <w:ind w:firstLine="560"/>
      </w:pPr>
      <w:r>
        <w:rPr>
          <w:rFonts w:ascii="Calibri" w:hAnsi="Calibri" w:cs="Calibri"/>
          <w:lang w:bidi="ar"/>
        </w:rPr>
        <w:t>2</w:t>
      </w:r>
      <w:r>
        <w:rPr>
          <w:rFonts w:hint="eastAsia"/>
          <w:lang w:bidi="ar"/>
        </w:rPr>
        <w:t>）在完成一个顶升步骤、顶升横梁要脱离标准节踏步时，须先将防脱销轴退出标准节防脱销孔，固定在后槽内。</w:t>
      </w:r>
    </w:p>
    <w:p w14:paraId="45680420">
      <w:pPr>
        <w:ind w:firstLine="560"/>
      </w:pPr>
      <w:r>
        <w:rPr>
          <w:rFonts w:hint="eastAsia"/>
        </w:rPr>
        <w:t>注意：</w:t>
      </w:r>
      <w:r>
        <w:rPr>
          <w:rFonts w:hint="eastAsia"/>
          <w:lang w:bidi="ar"/>
        </w:rPr>
        <w:t xml:space="preserve">防脱销轴未退出标准节防脱销孔，启动顶升装置强行使顶升横梁脱离标准节踏步会损坏防脱销轴。 </w:t>
      </w:r>
    </w:p>
    <w:p w14:paraId="595148DE">
      <w:pPr>
        <w:widowControl/>
        <w:spacing w:line="240" w:lineRule="auto"/>
        <w:ind w:firstLine="0" w:firstLineChars="0"/>
        <w:jc w:val="center"/>
      </w:pPr>
      <w:r>
        <w:rPr>
          <w:rFonts w:ascii="宋体" w:hAnsi="宋体" w:cs="宋体"/>
          <w:kern w:val="0"/>
          <w:szCs w:val="24"/>
          <w:lang w:bidi="ar"/>
        </w:rPr>
        <w:fldChar w:fldCharType="begin"/>
      </w:r>
      <w:r>
        <w:rPr>
          <w:rFonts w:ascii="宋体" w:hAnsi="宋体" w:cs="宋体"/>
          <w:kern w:val="0"/>
          <w:szCs w:val="24"/>
          <w:lang w:bidi="ar"/>
        </w:rPr>
        <w:instrText xml:space="preserve">INCLUDEPICTURE \d "C:\\Users\\Administrator\\AppData\\Roaming\\Tencent\\Users\\406205469\\QQ\\WinTemp\\RichOle\\2[0FSEPH}@I2T60`BY1ILG2.png" \* MERGEFORMATINET </w:instrText>
      </w:r>
      <w:r>
        <w:rPr>
          <w:rFonts w:ascii="宋体" w:hAnsi="宋体" w:cs="宋体"/>
          <w:kern w:val="0"/>
          <w:szCs w:val="24"/>
          <w:lang w:bidi="ar"/>
        </w:rPr>
        <w:fldChar w:fldCharType="separate"/>
      </w:r>
      <w:r>
        <w:rPr>
          <w:rFonts w:ascii="宋体" w:hAnsi="宋体" w:cs="宋体"/>
          <w:kern w:val="0"/>
          <w:szCs w:val="24"/>
          <w:lang w:bidi="ar"/>
        </w:rPr>
        <w:drawing>
          <wp:inline distT="0" distB="0" distL="114300" distR="114300">
            <wp:extent cx="2858770" cy="2228850"/>
            <wp:effectExtent l="0" t="0" r="17780" b="0"/>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61"/>
                    <a:stretch>
                      <a:fillRect/>
                    </a:stretch>
                  </pic:blipFill>
                  <pic:spPr>
                    <a:xfrm>
                      <a:off x="0" y="0"/>
                      <a:ext cx="2858770" cy="2228850"/>
                    </a:xfrm>
                    <a:prstGeom prst="rect">
                      <a:avLst/>
                    </a:prstGeom>
                    <a:noFill/>
                    <a:ln>
                      <a:noFill/>
                    </a:ln>
                  </pic:spPr>
                </pic:pic>
              </a:graphicData>
            </a:graphic>
          </wp:inline>
        </w:drawing>
      </w:r>
      <w:r>
        <w:rPr>
          <w:rFonts w:ascii="宋体" w:hAnsi="宋体" w:cs="宋体"/>
          <w:kern w:val="0"/>
          <w:szCs w:val="24"/>
          <w:lang w:bidi="ar"/>
        </w:rPr>
        <w:fldChar w:fldCharType="end"/>
      </w:r>
    </w:p>
    <w:p w14:paraId="494E48BB">
      <w:pPr>
        <w:widowControl/>
        <w:ind w:firstLine="0" w:firstLineChars="0"/>
        <w:jc w:val="center"/>
        <w:rPr>
          <w:rFonts w:ascii="宋体" w:hAnsi="宋体" w:cs="宋体"/>
          <w:b/>
          <w:bCs/>
          <w:sz w:val="21"/>
        </w:rPr>
      </w:pPr>
      <w:r>
        <w:rPr>
          <w:rFonts w:hint="eastAsia" w:ascii="宋体" w:hAnsi="宋体" w:cs="宋体"/>
          <w:b/>
          <w:bCs/>
          <w:sz w:val="21"/>
        </w:rPr>
        <w:t>图5.4-5</w:t>
      </w:r>
      <w:r>
        <w:rPr>
          <w:rFonts w:hint="eastAsia" w:ascii="宋体" w:hAnsi="宋体" w:cs="宋体"/>
          <w:b/>
          <w:bCs/>
          <w:color w:val="000000"/>
          <w:kern w:val="0"/>
          <w:sz w:val="21"/>
          <w:lang w:bidi="ar"/>
        </w:rPr>
        <w:t>塔机顶升防脱示</w:t>
      </w:r>
      <w:r>
        <w:rPr>
          <w:rFonts w:hint="eastAsia" w:ascii="宋体" w:hAnsi="宋体" w:cs="宋体"/>
          <w:b/>
          <w:bCs/>
          <w:sz w:val="21"/>
        </w:rPr>
        <w:t>意图</w:t>
      </w:r>
    </w:p>
    <w:p w14:paraId="75E8C094">
      <w:pPr>
        <w:pStyle w:val="4"/>
      </w:pPr>
      <w:r>
        <w:rPr>
          <w:rFonts w:hint="eastAsia"/>
        </w:rPr>
        <w:t>5.4.3顶升后的收尾工作</w:t>
      </w:r>
    </w:p>
    <w:p w14:paraId="4029D1AB">
      <w:pPr>
        <w:ind w:firstLine="560"/>
      </w:pPr>
      <w:r>
        <w:rPr>
          <w:rFonts w:hint="eastAsia"/>
        </w:rPr>
        <w:t>1）顶升结束后利用套架制动块将顶升套架支承在塔身上，收回压缩升油缸。</w:t>
      </w:r>
    </w:p>
    <w:p w14:paraId="6B47C4CA">
      <w:pPr>
        <w:ind w:firstLine="560"/>
      </w:pPr>
      <w:r>
        <w:rPr>
          <w:rFonts w:hint="eastAsia"/>
        </w:rPr>
        <w:t>2）顶升工作全面完成后可以半顶升套架下降到标准节底部或拆除顶升套架，以降低整个塔机的重心和减小迎风面积，沿海及其他风压较大的地区必须将顶升套架下降至塔机底部或拆除顶升套架。</w:t>
      </w:r>
    </w:p>
    <w:p w14:paraId="40F51E44">
      <w:pPr>
        <w:ind w:firstLine="560"/>
      </w:pPr>
      <w:r>
        <w:rPr>
          <w:rFonts w:hint="eastAsia"/>
        </w:rPr>
        <w:t xml:space="preserve"> 3）顶升完毕后可将引进梁缩回下支座内或者拆除引进梁。以免吊钩在最小幅度工作时碰到。</w:t>
      </w:r>
    </w:p>
    <w:p w14:paraId="05CAABD7">
      <w:pPr>
        <w:pStyle w:val="4"/>
      </w:pPr>
      <w:bookmarkStart w:id="342" w:name="_Toc10409851"/>
      <w:bookmarkStart w:id="343" w:name="_Toc15800"/>
      <w:r>
        <w:rPr>
          <w:rFonts w:hint="eastAsia"/>
        </w:rPr>
        <w:t>5.4.4塔式起重机验收</w:t>
      </w:r>
      <w:bookmarkEnd w:id="342"/>
      <w:r>
        <w:rPr>
          <w:rFonts w:hint="eastAsia"/>
        </w:rPr>
        <w:t>内容</w:t>
      </w:r>
      <w:bookmarkEnd w:id="343"/>
    </w:p>
    <w:p w14:paraId="179DD80C">
      <w:pPr>
        <w:widowControl/>
        <w:ind w:firstLine="0" w:firstLineChars="0"/>
        <w:jc w:val="center"/>
        <w:rPr>
          <w:rFonts w:ascii="宋体" w:hAnsi="宋体" w:cs="宋体"/>
          <w:b/>
          <w:bCs/>
          <w:sz w:val="21"/>
        </w:rPr>
      </w:pPr>
      <w:r>
        <w:rPr>
          <w:rFonts w:hint="eastAsia" w:ascii="宋体" w:hAnsi="宋体" w:cs="宋体"/>
          <w:b/>
          <w:bCs/>
          <w:sz w:val="21"/>
        </w:rPr>
        <w:t>表5.4-1 塔式起重机验收内容</w:t>
      </w:r>
    </w:p>
    <w:tbl>
      <w:tblPr>
        <w:tblStyle w:val="4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534"/>
        <w:gridCol w:w="607"/>
        <w:gridCol w:w="757"/>
        <w:gridCol w:w="9"/>
        <w:gridCol w:w="91"/>
        <w:gridCol w:w="12"/>
        <w:gridCol w:w="2171"/>
        <w:gridCol w:w="2363"/>
        <w:gridCol w:w="966"/>
        <w:gridCol w:w="921"/>
      </w:tblGrid>
      <w:tr w14:paraId="06CA5B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725EE661">
            <w:pPr>
              <w:ind w:firstLine="0" w:firstLineChars="0"/>
              <w:rPr>
                <w:rFonts w:ascii="宋体" w:hAnsi="宋体"/>
                <w:sz w:val="21"/>
              </w:rPr>
            </w:pPr>
            <w:r>
              <w:rPr>
                <w:rFonts w:hint="eastAsia" w:ascii="宋体" w:hAnsi="宋体"/>
                <w:sz w:val="21"/>
              </w:rPr>
              <w:t>序号</w:t>
            </w:r>
          </w:p>
        </w:tc>
        <w:tc>
          <w:tcPr>
            <w:tcW w:w="6010" w:type="dxa"/>
            <w:gridSpan w:val="7"/>
            <w:vAlign w:val="center"/>
          </w:tcPr>
          <w:p w14:paraId="3303EE7D">
            <w:pPr>
              <w:ind w:firstLine="420"/>
              <w:jc w:val="center"/>
              <w:rPr>
                <w:rFonts w:ascii="宋体" w:hAnsi="宋体"/>
                <w:sz w:val="21"/>
              </w:rPr>
            </w:pPr>
            <w:r>
              <w:rPr>
                <w:rFonts w:hint="eastAsia" w:ascii="宋体" w:hAnsi="宋体"/>
                <w:sz w:val="21"/>
              </w:rPr>
              <w:t>监检项目及其内容</w:t>
            </w:r>
          </w:p>
        </w:tc>
        <w:tc>
          <w:tcPr>
            <w:tcW w:w="966" w:type="dxa"/>
            <w:vAlign w:val="center"/>
          </w:tcPr>
          <w:p w14:paraId="3B977A91">
            <w:pPr>
              <w:ind w:firstLine="0" w:firstLineChars="0"/>
              <w:rPr>
                <w:rFonts w:ascii="宋体" w:hAnsi="宋体"/>
                <w:sz w:val="21"/>
              </w:rPr>
            </w:pPr>
            <w:r>
              <w:rPr>
                <w:rFonts w:hint="eastAsia" w:ascii="宋体" w:hAnsi="宋体"/>
                <w:sz w:val="21"/>
              </w:rPr>
              <w:t>检验结果</w:t>
            </w:r>
          </w:p>
        </w:tc>
        <w:tc>
          <w:tcPr>
            <w:tcW w:w="921" w:type="dxa"/>
            <w:vAlign w:val="center"/>
          </w:tcPr>
          <w:p w14:paraId="4A21FEA9">
            <w:pPr>
              <w:ind w:firstLine="210" w:firstLineChars="100"/>
              <w:rPr>
                <w:rFonts w:ascii="宋体" w:hAnsi="宋体"/>
                <w:sz w:val="21"/>
              </w:rPr>
            </w:pPr>
            <w:r>
              <w:rPr>
                <w:rFonts w:hint="eastAsia" w:ascii="宋体" w:hAnsi="宋体"/>
                <w:sz w:val="21"/>
              </w:rPr>
              <w:t>结论</w:t>
            </w:r>
          </w:p>
        </w:tc>
      </w:tr>
      <w:tr w14:paraId="65F6A1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5D54C8DF">
            <w:pPr>
              <w:ind w:firstLine="210" w:firstLineChars="100"/>
              <w:rPr>
                <w:rFonts w:ascii="宋体" w:hAnsi="宋体"/>
                <w:sz w:val="21"/>
              </w:rPr>
            </w:pPr>
            <w:r>
              <w:rPr>
                <w:rFonts w:hint="eastAsia" w:ascii="宋体" w:hAnsi="宋体"/>
                <w:sz w:val="21"/>
              </w:rPr>
              <w:t>1</w:t>
            </w:r>
          </w:p>
        </w:tc>
        <w:tc>
          <w:tcPr>
            <w:tcW w:w="6010" w:type="dxa"/>
            <w:gridSpan w:val="7"/>
            <w:vAlign w:val="center"/>
          </w:tcPr>
          <w:p w14:paraId="37974384">
            <w:pPr>
              <w:ind w:firstLine="0" w:firstLineChars="0"/>
              <w:rPr>
                <w:rFonts w:ascii="宋体" w:hAnsi="宋体"/>
                <w:sz w:val="21"/>
              </w:rPr>
            </w:pPr>
            <w:r>
              <w:rPr>
                <w:rFonts w:hint="eastAsia" w:ascii="宋体" w:hAnsi="宋体"/>
                <w:sz w:val="21"/>
              </w:rPr>
              <w:t>设备选型</w:t>
            </w:r>
          </w:p>
        </w:tc>
        <w:tc>
          <w:tcPr>
            <w:tcW w:w="966" w:type="dxa"/>
            <w:vAlign w:val="center"/>
          </w:tcPr>
          <w:p w14:paraId="37DB3D2A">
            <w:pPr>
              <w:ind w:firstLine="0" w:firstLineChars="0"/>
              <w:jc w:val="center"/>
              <w:rPr>
                <w:rFonts w:ascii="宋体" w:hAnsi="宋体"/>
                <w:sz w:val="21"/>
              </w:rPr>
            </w:pPr>
          </w:p>
        </w:tc>
        <w:tc>
          <w:tcPr>
            <w:tcW w:w="921" w:type="dxa"/>
            <w:vAlign w:val="center"/>
          </w:tcPr>
          <w:p w14:paraId="6F74845A">
            <w:pPr>
              <w:ind w:firstLine="0" w:firstLineChars="0"/>
              <w:jc w:val="center"/>
              <w:rPr>
                <w:rFonts w:ascii="宋体" w:hAnsi="宋体"/>
                <w:sz w:val="21"/>
              </w:rPr>
            </w:pPr>
          </w:p>
        </w:tc>
      </w:tr>
      <w:tr w14:paraId="6E0C7D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8BB75C6">
            <w:pPr>
              <w:ind w:firstLine="210" w:firstLineChars="100"/>
              <w:rPr>
                <w:rFonts w:ascii="宋体" w:hAnsi="宋体"/>
                <w:sz w:val="21"/>
              </w:rPr>
            </w:pPr>
            <w:r>
              <w:rPr>
                <w:rFonts w:hint="eastAsia" w:ascii="宋体" w:hAnsi="宋体"/>
                <w:sz w:val="21"/>
              </w:rPr>
              <w:t>2</w:t>
            </w:r>
          </w:p>
        </w:tc>
        <w:tc>
          <w:tcPr>
            <w:tcW w:w="1364" w:type="dxa"/>
            <w:gridSpan w:val="2"/>
            <w:vMerge w:val="restart"/>
            <w:vAlign w:val="center"/>
          </w:tcPr>
          <w:p w14:paraId="4E017F82">
            <w:pPr>
              <w:ind w:firstLine="0" w:firstLineChars="0"/>
              <w:rPr>
                <w:rFonts w:ascii="宋体" w:hAnsi="宋体"/>
                <w:sz w:val="21"/>
              </w:rPr>
            </w:pPr>
            <w:r>
              <w:rPr>
                <w:rFonts w:hint="eastAsia" w:ascii="宋体" w:hAnsi="宋体"/>
                <w:sz w:val="21"/>
              </w:rPr>
              <w:t>产品技术文件</w:t>
            </w:r>
          </w:p>
        </w:tc>
        <w:tc>
          <w:tcPr>
            <w:tcW w:w="4646" w:type="dxa"/>
            <w:gridSpan w:val="5"/>
            <w:vAlign w:val="center"/>
          </w:tcPr>
          <w:p w14:paraId="79E19AE2">
            <w:pPr>
              <w:ind w:firstLine="0" w:firstLineChars="0"/>
              <w:rPr>
                <w:rFonts w:ascii="宋体" w:hAnsi="宋体"/>
                <w:sz w:val="21"/>
              </w:rPr>
            </w:pPr>
            <w:r>
              <w:rPr>
                <w:rFonts w:hint="eastAsia" w:ascii="宋体" w:hAnsi="宋体"/>
                <w:sz w:val="21"/>
              </w:rPr>
              <w:t>(1)产品设计文件</w:t>
            </w:r>
          </w:p>
        </w:tc>
        <w:tc>
          <w:tcPr>
            <w:tcW w:w="966" w:type="dxa"/>
            <w:vAlign w:val="center"/>
          </w:tcPr>
          <w:p w14:paraId="461252C6">
            <w:pPr>
              <w:ind w:firstLine="0" w:firstLineChars="0"/>
              <w:jc w:val="center"/>
              <w:rPr>
                <w:rFonts w:ascii="宋体" w:hAnsi="宋体"/>
                <w:sz w:val="21"/>
              </w:rPr>
            </w:pPr>
          </w:p>
        </w:tc>
        <w:tc>
          <w:tcPr>
            <w:tcW w:w="921" w:type="dxa"/>
            <w:vAlign w:val="center"/>
          </w:tcPr>
          <w:p w14:paraId="6A6E4087">
            <w:pPr>
              <w:ind w:firstLine="0" w:firstLineChars="0"/>
              <w:jc w:val="center"/>
              <w:rPr>
                <w:rFonts w:ascii="宋体" w:hAnsi="宋体"/>
                <w:sz w:val="21"/>
              </w:rPr>
            </w:pPr>
          </w:p>
        </w:tc>
      </w:tr>
      <w:tr w14:paraId="639582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46273F9D">
            <w:pPr>
              <w:ind w:firstLine="0" w:firstLineChars="0"/>
              <w:jc w:val="center"/>
              <w:rPr>
                <w:rFonts w:ascii="宋体" w:hAnsi="宋体"/>
                <w:sz w:val="21"/>
              </w:rPr>
            </w:pPr>
            <w:r>
              <w:rPr>
                <w:rFonts w:hint="eastAsia" w:ascii="宋体" w:hAnsi="宋体"/>
                <w:sz w:val="21"/>
              </w:rPr>
              <w:t xml:space="preserve"> 3</w:t>
            </w:r>
          </w:p>
        </w:tc>
        <w:tc>
          <w:tcPr>
            <w:tcW w:w="1364" w:type="dxa"/>
            <w:gridSpan w:val="2"/>
            <w:vMerge w:val="continue"/>
            <w:vAlign w:val="center"/>
          </w:tcPr>
          <w:p w14:paraId="61DE9047">
            <w:pPr>
              <w:ind w:firstLine="0" w:firstLineChars="0"/>
              <w:jc w:val="center"/>
              <w:rPr>
                <w:rFonts w:ascii="宋体" w:hAnsi="宋体"/>
                <w:sz w:val="21"/>
              </w:rPr>
            </w:pPr>
          </w:p>
        </w:tc>
        <w:tc>
          <w:tcPr>
            <w:tcW w:w="4646" w:type="dxa"/>
            <w:gridSpan w:val="5"/>
            <w:vAlign w:val="center"/>
          </w:tcPr>
          <w:p w14:paraId="33C11D50">
            <w:pPr>
              <w:ind w:firstLine="0" w:firstLineChars="0"/>
              <w:rPr>
                <w:rFonts w:ascii="宋体" w:hAnsi="宋体"/>
                <w:sz w:val="21"/>
              </w:rPr>
            </w:pPr>
            <w:r>
              <w:rPr>
                <w:rFonts w:hint="eastAsia" w:ascii="宋体" w:hAnsi="宋体"/>
                <w:sz w:val="21"/>
              </w:rPr>
              <w:t>(2)产品质量合格证明、安装及其使用维护说明</w:t>
            </w:r>
          </w:p>
        </w:tc>
        <w:tc>
          <w:tcPr>
            <w:tcW w:w="966" w:type="dxa"/>
            <w:vAlign w:val="center"/>
          </w:tcPr>
          <w:p w14:paraId="5E50F851">
            <w:pPr>
              <w:ind w:firstLine="0" w:firstLineChars="0"/>
              <w:jc w:val="center"/>
              <w:rPr>
                <w:rFonts w:ascii="宋体" w:hAnsi="宋体"/>
                <w:sz w:val="21"/>
              </w:rPr>
            </w:pPr>
          </w:p>
        </w:tc>
        <w:tc>
          <w:tcPr>
            <w:tcW w:w="921" w:type="dxa"/>
            <w:vAlign w:val="center"/>
          </w:tcPr>
          <w:p w14:paraId="3D39C982">
            <w:pPr>
              <w:ind w:firstLine="0" w:firstLineChars="0"/>
              <w:jc w:val="center"/>
              <w:rPr>
                <w:rFonts w:ascii="宋体" w:hAnsi="宋体"/>
                <w:sz w:val="21"/>
              </w:rPr>
            </w:pPr>
          </w:p>
        </w:tc>
      </w:tr>
      <w:tr w14:paraId="79180C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46B021E1">
            <w:pPr>
              <w:ind w:firstLine="0" w:firstLineChars="0"/>
              <w:jc w:val="center"/>
              <w:rPr>
                <w:rFonts w:ascii="宋体" w:hAnsi="宋体"/>
                <w:sz w:val="21"/>
              </w:rPr>
            </w:pPr>
            <w:r>
              <w:rPr>
                <w:rFonts w:hint="eastAsia" w:ascii="宋体" w:hAnsi="宋体"/>
                <w:sz w:val="21"/>
              </w:rPr>
              <w:t xml:space="preserve"> 4</w:t>
            </w:r>
          </w:p>
        </w:tc>
        <w:tc>
          <w:tcPr>
            <w:tcW w:w="1364" w:type="dxa"/>
            <w:gridSpan w:val="2"/>
            <w:vMerge w:val="continue"/>
            <w:vAlign w:val="center"/>
          </w:tcPr>
          <w:p w14:paraId="324B08E7">
            <w:pPr>
              <w:ind w:firstLine="0" w:firstLineChars="0"/>
              <w:jc w:val="center"/>
              <w:rPr>
                <w:rFonts w:ascii="宋体" w:hAnsi="宋体"/>
                <w:sz w:val="21"/>
              </w:rPr>
            </w:pPr>
          </w:p>
        </w:tc>
        <w:tc>
          <w:tcPr>
            <w:tcW w:w="4646" w:type="dxa"/>
            <w:gridSpan w:val="5"/>
            <w:vAlign w:val="center"/>
          </w:tcPr>
          <w:p w14:paraId="3185D7B5">
            <w:pPr>
              <w:ind w:firstLine="0" w:firstLineChars="0"/>
              <w:rPr>
                <w:rFonts w:ascii="宋体" w:hAnsi="宋体"/>
                <w:sz w:val="21"/>
              </w:rPr>
            </w:pPr>
            <w:r>
              <w:rPr>
                <w:rFonts w:hint="eastAsia" w:ascii="宋体" w:hAnsi="宋体"/>
                <w:sz w:val="21"/>
              </w:rPr>
              <w:t>(3)型式试验合格证明</w:t>
            </w:r>
          </w:p>
        </w:tc>
        <w:tc>
          <w:tcPr>
            <w:tcW w:w="966" w:type="dxa"/>
            <w:vAlign w:val="center"/>
          </w:tcPr>
          <w:p w14:paraId="1B93A1C3">
            <w:pPr>
              <w:ind w:firstLine="0" w:firstLineChars="0"/>
              <w:jc w:val="center"/>
              <w:rPr>
                <w:rFonts w:ascii="宋体" w:hAnsi="宋体"/>
                <w:sz w:val="21"/>
              </w:rPr>
            </w:pPr>
          </w:p>
        </w:tc>
        <w:tc>
          <w:tcPr>
            <w:tcW w:w="921" w:type="dxa"/>
            <w:vAlign w:val="center"/>
          </w:tcPr>
          <w:p w14:paraId="68C4AC8E">
            <w:pPr>
              <w:ind w:firstLine="0" w:firstLineChars="0"/>
              <w:jc w:val="center"/>
              <w:rPr>
                <w:rFonts w:ascii="宋体" w:hAnsi="宋体"/>
                <w:sz w:val="21"/>
              </w:rPr>
            </w:pPr>
          </w:p>
        </w:tc>
      </w:tr>
      <w:tr w14:paraId="3BFFAD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54BAA424">
            <w:pPr>
              <w:ind w:firstLine="0" w:firstLineChars="0"/>
              <w:jc w:val="center"/>
              <w:rPr>
                <w:rFonts w:ascii="宋体" w:hAnsi="宋体"/>
                <w:sz w:val="21"/>
              </w:rPr>
            </w:pPr>
            <w:r>
              <w:rPr>
                <w:rFonts w:hint="eastAsia" w:ascii="宋体" w:hAnsi="宋体"/>
                <w:sz w:val="21"/>
              </w:rPr>
              <w:t xml:space="preserve"> 5</w:t>
            </w:r>
          </w:p>
        </w:tc>
        <w:tc>
          <w:tcPr>
            <w:tcW w:w="1364" w:type="dxa"/>
            <w:gridSpan w:val="2"/>
            <w:vMerge w:val="continue"/>
            <w:vAlign w:val="center"/>
          </w:tcPr>
          <w:p w14:paraId="0C186060">
            <w:pPr>
              <w:ind w:firstLine="0" w:firstLineChars="0"/>
              <w:jc w:val="center"/>
              <w:rPr>
                <w:rFonts w:ascii="宋体" w:hAnsi="宋体"/>
                <w:sz w:val="21"/>
              </w:rPr>
            </w:pPr>
          </w:p>
        </w:tc>
        <w:tc>
          <w:tcPr>
            <w:tcW w:w="4646" w:type="dxa"/>
            <w:gridSpan w:val="5"/>
            <w:vAlign w:val="center"/>
          </w:tcPr>
          <w:p w14:paraId="06FBFDD9">
            <w:pPr>
              <w:ind w:firstLine="0" w:firstLineChars="0"/>
              <w:rPr>
                <w:rFonts w:ascii="宋体" w:hAnsi="宋体"/>
                <w:sz w:val="21"/>
              </w:rPr>
            </w:pPr>
            <w:r>
              <w:rPr>
                <w:rFonts w:hint="eastAsia" w:ascii="宋体" w:hAnsi="宋体"/>
                <w:sz w:val="21"/>
              </w:rPr>
              <w:t>(4)制造监督检验证书</w:t>
            </w:r>
          </w:p>
        </w:tc>
        <w:tc>
          <w:tcPr>
            <w:tcW w:w="966" w:type="dxa"/>
            <w:vAlign w:val="center"/>
          </w:tcPr>
          <w:p w14:paraId="4E03E3A2">
            <w:pPr>
              <w:ind w:firstLine="0" w:firstLineChars="0"/>
              <w:jc w:val="center"/>
              <w:rPr>
                <w:rFonts w:ascii="宋体" w:hAnsi="宋体"/>
                <w:sz w:val="21"/>
              </w:rPr>
            </w:pPr>
          </w:p>
        </w:tc>
        <w:tc>
          <w:tcPr>
            <w:tcW w:w="921" w:type="dxa"/>
            <w:vAlign w:val="center"/>
          </w:tcPr>
          <w:p w14:paraId="49A7532C">
            <w:pPr>
              <w:ind w:firstLine="0" w:firstLineChars="0"/>
              <w:jc w:val="center"/>
              <w:rPr>
                <w:rFonts w:ascii="宋体" w:hAnsi="宋体"/>
                <w:sz w:val="21"/>
              </w:rPr>
            </w:pPr>
          </w:p>
        </w:tc>
      </w:tr>
      <w:tr w14:paraId="60C994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55A53AC8">
            <w:pPr>
              <w:ind w:firstLine="0" w:firstLineChars="0"/>
              <w:jc w:val="center"/>
              <w:rPr>
                <w:rFonts w:ascii="宋体" w:hAnsi="宋体"/>
                <w:sz w:val="21"/>
              </w:rPr>
            </w:pPr>
            <w:r>
              <w:rPr>
                <w:rFonts w:hint="eastAsia" w:ascii="宋体" w:hAnsi="宋体"/>
                <w:sz w:val="21"/>
              </w:rPr>
              <w:t xml:space="preserve"> 6</w:t>
            </w:r>
          </w:p>
        </w:tc>
        <w:tc>
          <w:tcPr>
            <w:tcW w:w="1373" w:type="dxa"/>
            <w:gridSpan w:val="3"/>
            <w:vMerge w:val="restart"/>
            <w:vAlign w:val="center"/>
          </w:tcPr>
          <w:p w14:paraId="3359C078">
            <w:pPr>
              <w:ind w:firstLine="0" w:firstLineChars="0"/>
              <w:rPr>
                <w:rFonts w:ascii="宋体" w:hAnsi="宋体"/>
                <w:sz w:val="21"/>
              </w:rPr>
            </w:pPr>
            <w:r>
              <w:rPr>
                <w:rFonts w:hint="eastAsia" w:ascii="宋体" w:hAnsi="宋体"/>
                <w:sz w:val="21"/>
              </w:rPr>
              <w:t>安装改造维修资格</w:t>
            </w:r>
          </w:p>
        </w:tc>
        <w:tc>
          <w:tcPr>
            <w:tcW w:w="4637" w:type="dxa"/>
            <w:gridSpan w:val="4"/>
            <w:vAlign w:val="center"/>
          </w:tcPr>
          <w:p w14:paraId="2581D924">
            <w:pPr>
              <w:ind w:firstLine="0" w:firstLineChars="0"/>
              <w:rPr>
                <w:rFonts w:ascii="宋体" w:hAnsi="宋体"/>
                <w:sz w:val="21"/>
              </w:rPr>
            </w:pPr>
            <w:r>
              <w:rPr>
                <w:rFonts w:hint="eastAsia" w:ascii="宋体" w:hAnsi="宋体"/>
                <w:sz w:val="21"/>
              </w:rPr>
              <w:t>(1)安装改造维修许可证</w:t>
            </w:r>
          </w:p>
        </w:tc>
        <w:tc>
          <w:tcPr>
            <w:tcW w:w="966" w:type="dxa"/>
            <w:vAlign w:val="center"/>
          </w:tcPr>
          <w:p w14:paraId="258E3342">
            <w:pPr>
              <w:ind w:firstLine="0" w:firstLineChars="0"/>
              <w:jc w:val="center"/>
              <w:rPr>
                <w:rFonts w:ascii="宋体" w:hAnsi="宋体"/>
                <w:sz w:val="21"/>
              </w:rPr>
            </w:pPr>
          </w:p>
        </w:tc>
        <w:tc>
          <w:tcPr>
            <w:tcW w:w="921" w:type="dxa"/>
            <w:vAlign w:val="center"/>
          </w:tcPr>
          <w:p w14:paraId="2D3BBA0A">
            <w:pPr>
              <w:ind w:firstLine="0" w:firstLineChars="0"/>
              <w:jc w:val="center"/>
              <w:rPr>
                <w:rFonts w:ascii="宋体" w:hAnsi="宋体"/>
                <w:sz w:val="21"/>
              </w:rPr>
            </w:pPr>
          </w:p>
        </w:tc>
      </w:tr>
      <w:tr w14:paraId="2D3ED3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FA961DE">
            <w:pPr>
              <w:ind w:firstLine="0" w:firstLineChars="0"/>
              <w:jc w:val="center"/>
              <w:rPr>
                <w:rFonts w:ascii="宋体" w:hAnsi="宋体"/>
                <w:sz w:val="21"/>
              </w:rPr>
            </w:pPr>
            <w:r>
              <w:rPr>
                <w:rFonts w:hint="eastAsia" w:ascii="宋体" w:hAnsi="宋体"/>
                <w:sz w:val="21"/>
              </w:rPr>
              <w:t xml:space="preserve"> 7</w:t>
            </w:r>
          </w:p>
        </w:tc>
        <w:tc>
          <w:tcPr>
            <w:tcW w:w="1373" w:type="dxa"/>
            <w:gridSpan w:val="3"/>
            <w:vMerge w:val="continue"/>
            <w:vAlign w:val="center"/>
          </w:tcPr>
          <w:p w14:paraId="41C08201">
            <w:pPr>
              <w:ind w:firstLine="0" w:firstLineChars="0"/>
              <w:jc w:val="center"/>
              <w:rPr>
                <w:rFonts w:ascii="宋体" w:hAnsi="宋体"/>
                <w:sz w:val="21"/>
              </w:rPr>
            </w:pPr>
          </w:p>
        </w:tc>
        <w:tc>
          <w:tcPr>
            <w:tcW w:w="4637" w:type="dxa"/>
            <w:gridSpan w:val="4"/>
            <w:vAlign w:val="center"/>
          </w:tcPr>
          <w:p w14:paraId="05F09AF0">
            <w:pPr>
              <w:ind w:firstLine="0" w:firstLineChars="0"/>
              <w:rPr>
                <w:rFonts w:ascii="宋体" w:hAnsi="宋体"/>
                <w:sz w:val="21"/>
              </w:rPr>
            </w:pPr>
            <w:r>
              <w:rPr>
                <w:rFonts w:hint="eastAsia" w:ascii="宋体" w:hAnsi="宋体"/>
                <w:sz w:val="21"/>
              </w:rPr>
              <w:t>(2)安装改造重大维修告知书</w:t>
            </w:r>
          </w:p>
        </w:tc>
        <w:tc>
          <w:tcPr>
            <w:tcW w:w="966" w:type="dxa"/>
            <w:vAlign w:val="center"/>
          </w:tcPr>
          <w:p w14:paraId="6B71A4E1">
            <w:pPr>
              <w:ind w:firstLine="0" w:firstLineChars="0"/>
              <w:jc w:val="center"/>
              <w:rPr>
                <w:rFonts w:ascii="宋体" w:hAnsi="宋体"/>
                <w:sz w:val="21"/>
              </w:rPr>
            </w:pPr>
          </w:p>
        </w:tc>
        <w:tc>
          <w:tcPr>
            <w:tcW w:w="921" w:type="dxa"/>
            <w:vAlign w:val="center"/>
          </w:tcPr>
          <w:p w14:paraId="1C0A3CD6">
            <w:pPr>
              <w:ind w:firstLine="0" w:firstLineChars="0"/>
              <w:jc w:val="center"/>
              <w:rPr>
                <w:rFonts w:ascii="宋体" w:hAnsi="宋体"/>
                <w:sz w:val="21"/>
              </w:rPr>
            </w:pPr>
          </w:p>
        </w:tc>
      </w:tr>
      <w:tr w14:paraId="5ACED0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16A9232">
            <w:pPr>
              <w:ind w:firstLine="0" w:firstLineChars="0"/>
              <w:jc w:val="center"/>
              <w:rPr>
                <w:rFonts w:ascii="宋体" w:hAnsi="宋体"/>
                <w:sz w:val="21"/>
              </w:rPr>
            </w:pPr>
            <w:r>
              <w:rPr>
                <w:rFonts w:hint="eastAsia" w:ascii="宋体" w:hAnsi="宋体"/>
                <w:sz w:val="21"/>
              </w:rPr>
              <w:t xml:space="preserve"> 8</w:t>
            </w:r>
          </w:p>
        </w:tc>
        <w:tc>
          <w:tcPr>
            <w:tcW w:w="1373" w:type="dxa"/>
            <w:gridSpan w:val="3"/>
            <w:vMerge w:val="continue"/>
            <w:vAlign w:val="center"/>
          </w:tcPr>
          <w:p w14:paraId="3FF3340C">
            <w:pPr>
              <w:ind w:firstLine="0" w:firstLineChars="0"/>
              <w:jc w:val="center"/>
              <w:rPr>
                <w:rFonts w:ascii="宋体" w:hAnsi="宋体"/>
                <w:sz w:val="21"/>
              </w:rPr>
            </w:pPr>
          </w:p>
        </w:tc>
        <w:tc>
          <w:tcPr>
            <w:tcW w:w="4637" w:type="dxa"/>
            <w:gridSpan w:val="4"/>
            <w:vAlign w:val="center"/>
          </w:tcPr>
          <w:p w14:paraId="1BAADBA9">
            <w:pPr>
              <w:ind w:firstLine="0" w:firstLineChars="0"/>
              <w:rPr>
                <w:rFonts w:ascii="宋体" w:hAnsi="宋体"/>
                <w:sz w:val="21"/>
              </w:rPr>
            </w:pPr>
            <w:r>
              <w:rPr>
                <w:rFonts w:hint="eastAsia" w:ascii="宋体" w:hAnsi="宋体"/>
                <w:sz w:val="21"/>
              </w:rPr>
              <w:t>(3)现场安装改造维修作业人员的资格证件</w:t>
            </w:r>
          </w:p>
        </w:tc>
        <w:tc>
          <w:tcPr>
            <w:tcW w:w="966" w:type="dxa"/>
            <w:vAlign w:val="center"/>
          </w:tcPr>
          <w:p w14:paraId="6657D107">
            <w:pPr>
              <w:ind w:firstLine="0" w:firstLineChars="0"/>
              <w:jc w:val="center"/>
              <w:rPr>
                <w:rFonts w:ascii="宋体" w:hAnsi="宋体"/>
                <w:sz w:val="21"/>
              </w:rPr>
            </w:pPr>
          </w:p>
        </w:tc>
        <w:tc>
          <w:tcPr>
            <w:tcW w:w="921" w:type="dxa"/>
            <w:vAlign w:val="center"/>
          </w:tcPr>
          <w:p w14:paraId="1930C53A">
            <w:pPr>
              <w:ind w:firstLine="0" w:firstLineChars="0"/>
              <w:jc w:val="center"/>
              <w:rPr>
                <w:rFonts w:ascii="宋体" w:hAnsi="宋体"/>
                <w:sz w:val="21"/>
              </w:rPr>
            </w:pPr>
          </w:p>
        </w:tc>
      </w:tr>
      <w:tr w14:paraId="094DFA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5774E53">
            <w:pPr>
              <w:ind w:firstLine="0" w:firstLineChars="0"/>
              <w:jc w:val="center"/>
              <w:rPr>
                <w:rFonts w:ascii="宋体" w:hAnsi="宋体"/>
                <w:sz w:val="21"/>
              </w:rPr>
            </w:pPr>
            <w:r>
              <w:rPr>
                <w:rFonts w:hint="eastAsia" w:ascii="宋体" w:hAnsi="宋体"/>
                <w:sz w:val="21"/>
              </w:rPr>
              <w:t xml:space="preserve"> 9</w:t>
            </w:r>
          </w:p>
        </w:tc>
        <w:tc>
          <w:tcPr>
            <w:tcW w:w="6010" w:type="dxa"/>
            <w:gridSpan w:val="7"/>
            <w:vAlign w:val="center"/>
          </w:tcPr>
          <w:p w14:paraId="0134E69C">
            <w:pPr>
              <w:ind w:firstLine="0" w:firstLineChars="0"/>
              <w:rPr>
                <w:rFonts w:ascii="宋体" w:hAnsi="宋体"/>
                <w:sz w:val="21"/>
              </w:rPr>
            </w:pPr>
            <w:r>
              <w:rPr>
                <w:rFonts w:hint="eastAsia" w:ascii="宋体" w:hAnsi="宋体"/>
                <w:sz w:val="21"/>
              </w:rPr>
              <w:t xml:space="preserve"> 施工作业（工艺）文件</w:t>
            </w:r>
          </w:p>
        </w:tc>
        <w:tc>
          <w:tcPr>
            <w:tcW w:w="966" w:type="dxa"/>
            <w:vAlign w:val="center"/>
          </w:tcPr>
          <w:p w14:paraId="6E028616">
            <w:pPr>
              <w:ind w:firstLine="0" w:firstLineChars="0"/>
              <w:jc w:val="center"/>
              <w:rPr>
                <w:rFonts w:ascii="宋体" w:hAnsi="宋体"/>
                <w:sz w:val="21"/>
              </w:rPr>
            </w:pPr>
          </w:p>
        </w:tc>
        <w:tc>
          <w:tcPr>
            <w:tcW w:w="921" w:type="dxa"/>
            <w:vAlign w:val="center"/>
          </w:tcPr>
          <w:p w14:paraId="6E3F100F">
            <w:pPr>
              <w:ind w:firstLine="0" w:firstLineChars="0"/>
              <w:jc w:val="center"/>
              <w:rPr>
                <w:rFonts w:ascii="宋体" w:hAnsi="宋体"/>
                <w:sz w:val="21"/>
              </w:rPr>
            </w:pPr>
          </w:p>
        </w:tc>
      </w:tr>
      <w:tr w14:paraId="77F444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9A4569C">
            <w:pPr>
              <w:ind w:firstLine="0" w:firstLineChars="0"/>
              <w:jc w:val="center"/>
              <w:rPr>
                <w:rFonts w:ascii="宋体" w:hAnsi="宋体"/>
                <w:sz w:val="21"/>
              </w:rPr>
            </w:pPr>
            <w:r>
              <w:rPr>
                <w:rFonts w:hint="eastAsia" w:ascii="宋体" w:hAnsi="宋体"/>
                <w:sz w:val="21"/>
              </w:rPr>
              <w:t>10</w:t>
            </w:r>
          </w:p>
        </w:tc>
        <w:tc>
          <w:tcPr>
            <w:tcW w:w="1373" w:type="dxa"/>
            <w:gridSpan w:val="3"/>
            <w:vMerge w:val="restart"/>
            <w:vAlign w:val="center"/>
          </w:tcPr>
          <w:p w14:paraId="5CC343AE">
            <w:pPr>
              <w:ind w:firstLine="0" w:firstLineChars="0"/>
              <w:rPr>
                <w:rFonts w:ascii="宋体" w:hAnsi="宋体"/>
                <w:sz w:val="21"/>
              </w:rPr>
            </w:pPr>
            <w:r>
              <w:rPr>
                <w:rFonts w:hint="eastAsia" w:ascii="宋体" w:hAnsi="宋体"/>
                <w:sz w:val="21"/>
              </w:rPr>
              <w:t>现场施工条件</w:t>
            </w:r>
          </w:p>
        </w:tc>
        <w:tc>
          <w:tcPr>
            <w:tcW w:w="4637" w:type="dxa"/>
            <w:gridSpan w:val="4"/>
            <w:vAlign w:val="center"/>
          </w:tcPr>
          <w:p w14:paraId="27276A0D">
            <w:pPr>
              <w:ind w:firstLine="0" w:firstLineChars="0"/>
              <w:rPr>
                <w:rFonts w:ascii="宋体" w:hAnsi="宋体"/>
                <w:sz w:val="21"/>
              </w:rPr>
            </w:pPr>
            <w:r>
              <w:rPr>
                <w:rFonts w:hint="eastAsia" w:ascii="宋体" w:hAnsi="宋体"/>
                <w:sz w:val="21"/>
              </w:rPr>
              <w:t>(1)基础验收证明</w:t>
            </w:r>
          </w:p>
        </w:tc>
        <w:tc>
          <w:tcPr>
            <w:tcW w:w="966" w:type="dxa"/>
            <w:vAlign w:val="center"/>
          </w:tcPr>
          <w:p w14:paraId="54CF2DC4">
            <w:pPr>
              <w:ind w:firstLine="0" w:firstLineChars="0"/>
              <w:jc w:val="center"/>
              <w:rPr>
                <w:rFonts w:ascii="宋体" w:hAnsi="宋体"/>
                <w:sz w:val="21"/>
              </w:rPr>
            </w:pPr>
          </w:p>
        </w:tc>
        <w:tc>
          <w:tcPr>
            <w:tcW w:w="921" w:type="dxa"/>
            <w:vAlign w:val="center"/>
          </w:tcPr>
          <w:p w14:paraId="46DAC78F">
            <w:pPr>
              <w:ind w:firstLine="0" w:firstLineChars="0"/>
              <w:jc w:val="center"/>
              <w:rPr>
                <w:rFonts w:ascii="宋体" w:hAnsi="宋体"/>
                <w:sz w:val="21"/>
              </w:rPr>
            </w:pPr>
          </w:p>
        </w:tc>
      </w:tr>
      <w:tr w14:paraId="6F569C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6251F4AB">
            <w:pPr>
              <w:ind w:firstLine="0" w:firstLineChars="0"/>
              <w:jc w:val="center"/>
              <w:rPr>
                <w:rFonts w:ascii="宋体" w:hAnsi="宋体"/>
                <w:sz w:val="21"/>
              </w:rPr>
            </w:pPr>
            <w:r>
              <w:rPr>
                <w:rFonts w:hint="eastAsia" w:ascii="宋体" w:hAnsi="宋体"/>
                <w:sz w:val="21"/>
              </w:rPr>
              <w:t>11</w:t>
            </w:r>
          </w:p>
        </w:tc>
        <w:tc>
          <w:tcPr>
            <w:tcW w:w="1373" w:type="dxa"/>
            <w:gridSpan w:val="3"/>
            <w:vMerge w:val="continue"/>
            <w:vAlign w:val="center"/>
          </w:tcPr>
          <w:p w14:paraId="43694F45">
            <w:pPr>
              <w:ind w:firstLine="0" w:firstLineChars="0"/>
              <w:rPr>
                <w:rFonts w:ascii="宋体" w:hAnsi="宋体"/>
                <w:sz w:val="21"/>
              </w:rPr>
            </w:pPr>
          </w:p>
        </w:tc>
        <w:tc>
          <w:tcPr>
            <w:tcW w:w="4637" w:type="dxa"/>
            <w:gridSpan w:val="4"/>
            <w:vAlign w:val="center"/>
          </w:tcPr>
          <w:p w14:paraId="700ADF4C">
            <w:pPr>
              <w:ind w:firstLine="0" w:firstLineChars="0"/>
              <w:rPr>
                <w:rFonts w:ascii="宋体" w:hAnsi="宋体"/>
                <w:sz w:val="21"/>
              </w:rPr>
            </w:pPr>
            <w:r>
              <w:rPr>
                <w:rFonts w:hint="eastAsia" w:ascii="宋体" w:hAnsi="宋体"/>
                <w:sz w:val="21"/>
              </w:rPr>
              <w:t xml:space="preserve">(2)安全距离和红色障碍灯 </w:t>
            </w:r>
          </w:p>
        </w:tc>
        <w:tc>
          <w:tcPr>
            <w:tcW w:w="966" w:type="dxa"/>
            <w:vAlign w:val="center"/>
          </w:tcPr>
          <w:p w14:paraId="740A9A03">
            <w:pPr>
              <w:ind w:firstLine="0" w:firstLineChars="0"/>
              <w:jc w:val="center"/>
              <w:rPr>
                <w:rFonts w:ascii="宋体" w:hAnsi="宋体"/>
                <w:sz w:val="21"/>
              </w:rPr>
            </w:pPr>
          </w:p>
        </w:tc>
        <w:tc>
          <w:tcPr>
            <w:tcW w:w="921" w:type="dxa"/>
            <w:vAlign w:val="center"/>
          </w:tcPr>
          <w:p w14:paraId="06C9EF55">
            <w:pPr>
              <w:ind w:firstLine="0" w:firstLineChars="0"/>
              <w:jc w:val="center"/>
              <w:rPr>
                <w:rFonts w:ascii="宋体" w:hAnsi="宋体"/>
                <w:sz w:val="21"/>
              </w:rPr>
            </w:pPr>
          </w:p>
        </w:tc>
      </w:tr>
      <w:tr w14:paraId="6D70DE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4DE0FFF9">
            <w:pPr>
              <w:ind w:firstLine="0" w:firstLineChars="0"/>
              <w:jc w:val="center"/>
              <w:rPr>
                <w:rFonts w:ascii="宋体" w:hAnsi="宋体"/>
                <w:sz w:val="21"/>
              </w:rPr>
            </w:pPr>
            <w:r>
              <w:rPr>
                <w:rFonts w:hint="eastAsia" w:ascii="宋体" w:hAnsi="宋体"/>
                <w:sz w:val="21"/>
              </w:rPr>
              <w:t>12</w:t>
            </w:r>
          </w:p>
        </w:tc>
        <w:tc>
          <w:tcPr>
            <w:tcW w:w="1373" w:type="dxa"/>
            <w:gridSpan w:val="3"/>
            <w:vMerge w:val="restart"/>
            <w:vAlign w:val="center"/>
          </w:tcPr>
          <w:p w14:paraId="57EB9D4D">
            <w:pPr>
              <w:ind w:firstLine="0" w:firstLineChars="0"/>
              <w:rPr>
                <w:rFonts w:ascii="宋体" w:hAnsi="宋体"/>
                <w:sz w:val="21"/>
              </w:rPr>
            </w:pPr>
            <w:r>
              <w:rPr>
                <w:rFonts w:hint="eastAsia" w:ascii="宋体" w:hAnsi="宋体"/>
                <w:sz w:val="21"/>
              </w:rPr>
              <w:t>部件施工前检验</w:t>
            </w:r>
          </w:p>
        </w:tc>
        <w:tc>
          <w:tcPr>
            <w:tcW w:w="4637" w:type="dxa"/>
            <w:gridSpan w:val="4"/>
            <w:vAlign w:val="center"/>
          </w:tcPr>
          <w:p w14:paraId="513A10B2">
            <w:pPr>
              <w:ind w:firstLine="0" w:firstLineChars="0"/>
              <w:rPr>
                <w:rFonts w:ascii="宋体" w:hAnsi="宋体"/>
                <w:sz w:val="21"/>
              </w:rPr>
            </w:pPr>
            <w:r>
              <w:rPr>
                <w:rFonts w:hint="eastAsia" w:ascii="宋体" w:hAnsi="宋体"/>
                <w:sz w:val="21"/>
              </w:rPr>
              <w:t>(1)主要零部件合格证、铭牌</w:t>
            </w:r>
          </w:p>
        </w:tc>
        <w:tc>
          <w:tcPr>
            <w:tcW w:w="966" w:type="dxa"/>
            <w:vAlign w:val="center"/>
          </w:tcPr>
          <w:p w14:paraId="323E8945">
            <w:pPr>
              <w:ind w:firstLine="0" w:firstLineChars="0"/>
              <w:jc w:val="center"/>
              <w:rPr>
                <w:rFonts w:ascii="宋体" w:hAnsi="宋体"/>
                <w:sz w:val="21"/>
              </w:rPr>
            </w:pPr>
          </w:p>
        </w:tc>
        <w:tc>
          <w:tcPr>
            <w:tcW w:w="921" w:type="dxa"/>
            <w:vAlign w:val="center"/>
          </w:tcPr>
          <w:p w14:paraId="484F7685">
            <w:pPr>
              <w:ind w:firstLine="0" w:firstLineChars="0"/>
              <w:jc w:val="center"/>
              <w:rPr>
                <w:rFonts w:ascii="宋体" w:hAnsi="宋体"/>
                <w:sz w:val="21"/>
              </w:rPr>
            </w:pPr>
          </w:p>
        </w:tc>
      </w:tr>
      <w:tr w14:paraId="19C38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57477CD7">
            <w:pPr>
              <w:ind w:firstLine="0" w:firstLineChars="0"/>
              <w:jc w:val="center"/>
              <w:rPr>
                <w:rFonts w:ascii="宋体" w:hAnsi="宋体"/>
                <w:sz w:val="21"/>
              </w:rPr>
            </w:pPr>
            <w:r>
              <w:rPr>
                <w:rFonts w:hint="eastAsia" w:ascii="宋体" w:hAnsi="宋体"/>
                <w:sz w:val="21"/>
              </w:rPr>
              <w:t>13</w:t>
            </w:r>
          </w:p>
        </w:tc>
        <w:tc>
          <w:tcPr>
            <w:tcW w:w="1373" w:type="dxa"/>
            <w:gridSpan w:val="3"/>
            <w:vMerge w:val="continue"/>
            <w:vAlign w:val="center"/>
          </w:tcPr>
          <w:p w14:paraId="07CFCD64">
            <w:pPr>
              <w:ind w:firstLine="0" w:firstLineChars="0"/>
              <w:rPr>
                <w:rFonts w:ascii="宋体" w:hAnsi="宋体"/>
                <w:sz w:val="21"/>
              </w:rPr>
            </w:pPr>
          </w:p>
        </w:tc>
        <w:tc>
          <w:tcPr>
            <w:tcW w:w="4637" w:type="dxa"/>
            <w:gridSpan w:val="4"/>
            <w:vAlign w:val="center"/>
          </w:tcPr>
          <w:p w14:paraId="1378D03D">
            <w:pPr>
              <w:ind w:firstLine="0" w:firstLineChars="0"/>
              <w:rPr>
                <w:rFonts w:ascii="宋体" w:hAnsi="宋体"/>
                <w:sz w:val="21"/>
              </w:rPr>
            </w:pPr>
            <w:r>
              <w:rPr>
                <w:rFonts w:hint="eastAsia" w:ascii="宋体" w:hAnsi="宋体"/>
                <w:sz w:val="21"/>
              </w:rPr>
              <w:t>(2) 安全保护装置合格证、铭牌、型式试验证明</w:t>
            </w:r>
          </w:p>
        </w:tc>
        <w:tc>
          <w:tcPr>
            <w:tcW w:w="966" w:type="dxa"/>
            <w:vAlign w:val="center"/>
          </w:tcPr>
          <w:p w14:paraId="0CBD2D5C">
            <w:pPr>
              <w:ind w:firstLine="0" w:firstLineChars="0"/>
              <w:jc w:val="center"/>
              <w:rPr>
                <w:rFonts w:ascii="宋体" w:hAnsi="宋体"/>
                <w:sz w:val="21"/>
              </w:rPr>
            </w:pPr>
          </w:p>
        </w:tc>
        <w:tc>
          <w:tcPr>
            <w:tcW w:w="921" w:type="dxa"/>
            <w:vAlign w:val="center"/>
          </w:tcPr>
          <w:p w14:paraId="22D745A4">
            <w:pPr>
              <w:ind w:firstLine="0" w:firstLineChars="0"/>
              <w:jc w:val="center"/>
              <w:rPr>
                <w:rFonts w:ascii="宋体" w:hAnsi="宋体"/>
                <w:sz w:val="21"/>
              </w:rPr>
            </w:pPr>
          </w:p>
        </w:tc>
      </w:tr>
      <w:tr w14:paraId="0AD72D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362E7F5">
            <w:pPr>
              <w:ind w:firstLine="0" w:firstLineChars="0"/>
              <w:jc w:val="center"/>
              <w:rPr>
                <w:rFonts w:ascii="宋体" w:hAnsi="宋体"/>
                <w:sz w:val="21"/>
              </w:rPr>
            </w:pPr>
            <w:r>
              <w:rPr>
                <w:rFonts w:hint="eastAsia" w:ascii="宋体" w:hAnsi="宋体"/>
                <w:sz w:val="21"/>
              </w:rPr>
              <w:t>14</w:t>
            </w:r>
          </w:p>
        </w:tc>
        <w:tc>
          <w:tcPr>
            <w:tcW w:w="1373" w:type="dxa"/>
            <w:gridSpan w:val="3"/>
            <w:vMerge w:val="continue"/>
            <w:vAlign w:val="center"/>
          </w:tcPr>
          <w:p w14:paraId="6C178CDB">
            <w:pPr>
              <w:ind w:firstLine="0" w:firstLineChars="0"/>
              <w:rPr>
                <w:rFonts w:ascii="宋体" w:hAnsi="宋体"/>
                <w:sz w:val="21"/>
              </w:rPr>
            </w:pPr>
          </w:p>
        </w:tc>
        <w:tc>
          <w:tcPr>
            <w:tcW w:w="4637" w:type="dxa"/>
            <w:gridSpan w:val="4"/>
            <w:vAlign w:val="center"/>
          </w:tcPr>
          <w:p w14:paraId="76349B68">
            <w:pPr>
              <w:ind w:firstLine="0" w:firstLineChars="0"/>
              <w:rPr>
                <w:rFonts w:ascii="宋体" w:hAnsi="宋体"/>
                <w:sz w:val="21"/>
              </w:rPr>
            </w:pPr>
            <w:r>
              <w:rPr>
                <w:rFonts w:hint="eastAsia" w:ascii="宋体" w:hAnsi="宋体"/>
                <w:sz w:val="21"/>
              </w:rPr>
              <w:t>(3)主要受力结构件主要几何尺寸</w:t>
            </w:r>
          </w:p>
        </w:tc>
        <w:tc>
          <w:tcPr>
            <w:tcW w:w="966" w:type="dxa"/>
            <w:vAlign w:val="center"/>
          </w:tcPr>
          <w:p w14:paraId="4A3053DA">
            <w:pPr>
              <w:ind w:firstLine="0" w:firstLineChars="0"/>
              <w:jc w:val="center"/>
              <w:rPr>
                <w:rFonts w:ascii="宋体" w:hAnsi="宋体"/>
                <w:sz w:val="21"/>
              </w:rPr>
            </w:pPr>
          </w:p>
        </w:tc>
        <w:tc>
          <w:tcPr>
            <w:tcW w:w="921" w:type="dxa"/>
            <w:vAlign w:val="center"/>
          </w:tcPr>
          <w:p w14:paraId="7298DF15">
            <w:pPr>
              <w:ind w:firstLine="0" w:firstLineChars="0"/>
              <w:jc w:val="center"/>
              <w:rPr>
                <w:rFonts w:ascii="宋体" w:hAnsi="宋体"/>
                <w:sz w:val="21"/>
              </w:rPr>
            </w:pPr>
          </w:p>
        </w:tc>
      </w:tr>
      <w:tr w14:paraId="544EFA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6AC987BB">
            <w:pPr>
              <w:ind w:firstLine="0" w:firstLineChars="0"/>
              <w:jc w:val="center"/>
              <w:rPr>
                <w:rFonts w:ascii="宋体" w:hAnsi="宋体"/>
                <w:sz w:val="21"/>
              </w:rPr>
            </w:pPr>
            <w:r>
              <w:rPr>
                <w:rFonts w:hint="eastAsia" w:ascii="宋体" w:hAnsi="宋体"/>
                <w:sz w:val="21"/>
              </w:rPr>
              <w:t>15</w:t>
            </w:r>
          </w:p>
        </w:tc>
        <w:tc>
          <w:tcPr>
            <w:tcW w:w="1373" w:type="dxa"/>
            <w:gridSpan w:val="3"/>
            <w:vMerge w:val="restart"/>
            <w:vAlign w:val="center"/>
          </w:tcPr>
          <w:p w14:paraId="1E3B6F50">
            <w:pPr>
              <w:ind w:firstLine="0" w:firstLineChars="0"/>
              <w:rPr>
                <w:rFonts w:ascii="宋体" w:hAnsi="宋体"/>
                <w:sz w:val="21"/>
              </w:rPr>
            </w:pPr>
            <w:r>
              <w:rPr>
                <w:rFonts w:hint="eastAsia" w:ascii="宋体" w:hAnsi="宋体"/>
                <w:sz w:val="21"/>
              </w:rPr>
              <w:t>主要零部件施工过程与施工后检验</w:t>
            </w:r>
          </w:p>
        </w:tc>
        <w:tc>
          <w:tcPr>
            <w:tcW w:w="4637" w:type="dxa"/>
            <w:gridSpan w:val="4"/>
            <w:vAlign w:val="center"/>
          </w:tcPr>
          <w:p w14:paraId="7F9C3722">
            <w:pPr>
              <w:ind w:firstLine="0" w:firstLineChars="0"/>
              <w:rPr>
                <w:rFonts w:ascii="宋体" w:hAnsi="宋体"/>
                <w:sz w:val="21"/>
              </w:rPr>
            </w:pPr>
            <w:r>
              <w:rPr>
                <w:rFonts w:hint="eastAsia" w:ascii="宋体" w:hAnsi="宋体"/>
                <w:sz w:val="21"/>
              </w:rPr>
              <w:t>(1)主要受力结构件连接</w:t>
            </w:r>
          </w:p>
        </w:tc>
        <w:tc>
          <w:tcPr>
            <w:tcW w:w="966" w:type="dxa"/>
            <w:vAlign w:val="center"/>
          </w:tcPr>
          <w:p w14:paraId="7DAFDE41">
            <w:pPr>
              <w:ind w:firstLine="0" w:firstLineChars="0"/>
              <w:rPr>
                <w:rFonts w:ascii="宋体" w:hAnsi="宋体"/>
                <w:sz w:val="21"/>
              </w:rPr>
            </w:pPr>
          </w:p>
        </w:tc>
        <w:tc>
          <w:tcPr>
            <w:tcW w:w="921" w:type="dxa"/>
            <w:vAlign w:val="center"/>
          </w:tcPr>
          <w:p w14:paraId="75524BEC">
            <w:pPr>
              <w:ind w:firstLine="0" w:firstLineChars="0"/>
              <w:rPr>
                <w:rFonts w:ascii="宋体" w:hAnsi="宋体"/>
                <w:sz w:val="21"/>
              </w:rPr>
            </w:pPr>
          </w:p>
        </w:tc>
      </w:tr>
      <w:tr w14:paraId="27EFCF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761104B">
            <w:pPr>
              <w:ind w:firstLine="0" w:firstLineChars="0"/>
              <w:jc w:val="center"/>
              <w:rPr>
                <w:rFonts w:ascii="宋体" w:hAnsi="宋体"/>
                <w:sz w:val="21"/>
              </w:rPr>
            </w:pPr>
            <w:r>
              <w:rPr>
                <w:rFonts w:hint="eastAsia" w:ascii="宋体" w:hAnsi="宋体"/>
                <w:sz w:val="21"/>
              </w:rPr>
              <w:t>16</w:t>
            </w:r>
          </w:p>
        </w:tc>
        <w:tc>
          <w:tcPr>
            <w:tcW w:w="1373" w:type="dxa"/>
            <w:gridSpan w:val="3"/>
            <w:vMerge w:val="continue"/>
            <w:vAlign w:val="center"/>
          </w:tcPr>
          <w:p w14:paraId="72A4B7CB">
            <w:pPr>
              <w:ind w:firstLine="0" w:firstLineChars="0"/>
              <w:jc w:val="center"/>
              <w:rPr>
                <w:rFonts w:ascii="宋体" w:hAnsi="宋体"/>
                <w:sz w:val="21"/>
              </w:rPr>
            </w:pPr>
          </w:p>
        </w:tc>
        <w:tc>
          <w:tcPr>
            <w:tcW w:w="4637" w:type="dxa"/>
            <w:gridSpan w:val="4"/>
            <w:vAlign w:val="center"/>
          </w:tcPr>
          <w:p w14:paraId="0DB5B0DC">
            <w:pPr>
              <w:ind w:firstLine="0" w:firstLineChars="0"/>
              <w:rPr>
                <w:rFonts w:ascii="宋体" w:hAnsi="宋体"/>
                <w:sz w:val="21"/>
              </w:rPr>
            </w:pPr>
            <w:r>
              <w:rPr>
                <w:rFonts w:hint="eastAsia" w:ascii="宋体" w:hAnsi="宋体"/>
                <w:sz w:val="21"/>
              </w:rPr>
              <w:t>(2)施工后主要受力结构件的主要几何尺寸</w:t>
            </w:r>
          </w:p>
        </w:tc>
        <w:tc>
          <w:tcPr>
            <w:tcW w:w="966" w:type="dxa"/>
            <w:vAlign w:val="center"/>
          </w:tcPr>
          <w:p w14:paraId="54E3563F">
            <w:pPr>
              <w:ind w:firstLine="0" w:firstLineChars="0"/>
              <w:jc w:val="center"/>
              <w:rPr>
                <w:rFonts w:ascii="宋体" w:hAnsi="宋体"/>
                <w:sz w:val="21"/>
              </w:rPr>
            </w:pPr>
          </w:p>
        </w:tc>
        <w:tc>
          <w:tcPr>
            <w:tcW w:w="921" w:type="dxa"/>
            <w:vAlign w:val="center"/>
          </w:tcPr>
          <w:p w14:paraId="49CACAB5">
            <w:pPr>
              <w:ind w:firstLine="0" w:firstLineChars="0"/>
              <w:jc w:val="center"/>
              <w:rPr>
                <w:rFonts w:ascii="宋体" w:hAnsi="宋体"/>
                <w:sz w:val="21"/>
              </w:rPr>
            </w:pPr>
          </w:p>
        </w:tc>
      </w:tr>
      <w:tr w14:paraId="481100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33EE9530">
            <w:pPr>
              <w:ind w:firstLine="0" w:firstLineChars="0"/>
              <w:jc w:val="center"/>
              <w:rPr>
                <w:rFonts w:ascii="宋体" w:hAnsi="宋体"/>
                <w:sz w:val="21"/>
              </w:rPr>
            </w:pPr>
            <w:r>
              <w:rPr>
                <w:rFonts w:hint="eastAsia" w:ascii="宋体" w:hAnsi="宋体"/>
                <w:sz w:val="21"/>
              </w:rPr>
              <w:t>17</w:t>
            </w:r>
          </w:p>
        </w:tc>
        <w:tc>
          <w:tcPr>
            <w:tcW w:w="1373" w:type="dxa"/>
            <w:gridSpan w:val="3"/>
            <w:vMerge w:val="continue"/>
            <w:vAlign w:val="center"/>
          </w:tcPr>
          <w:p w14:paraId="461D7CF0">
            <w:pPr>
              <w:ind w:firstLine="0" w:firstLineChars="0"/>
              <w:jc w:val="center"/>
              <w:rPr>
                <w:rFonts w:ascii="宋体" w:hAnsi="宋体"/>
                <w:sz w:val="21"/>
              </w:rPr>
            </w:pPr>
          </w:p>
        </w:tc>
        <w:tc>
          <w:tcPr>
            <w:tcW w:w="4637" w:type="dxa"/>
            <w:gridSpan w:val="4"/>
            <w:vAlign w:val="center"/>
          </w:tcPr>
          <w:p w14:paraId="0D00A205">
            <w:pPr>
              <w:ind w:firstLine="0" w:firstLineChars="0"/>
              <w:rPr>
                <w:rFonts w:ascii="宋体" w:hAnsi="宋体"/>
                <w:sz w:val="21"/>
              </w:rPr>
            </w:pPr>
            <w:r>
              <w:rPr>
                <w:rFonts w:hint="eastAsia" w:ascii="宋体" w:hAnsi="宋体"/>
                <w:sz w:val="21"/>
              </w:rPr>
              <w:t>(3)钢丝绳及其连接、吊具、滑轮组、卷筒</w:t>
            </w:r>
          </w:p>
        </w:tc>
        <w:tc>
          <w:tcPr>
            <w:tcW w:w="966" w:type="dxa"/>
            <w:vAlign w:val="center"/>
          </w:tcPr>
          <w:p w14:paraId="20AA38B0">
            <w:pPr>
              <w:ind w:firstLine="0" w:firstLineChars="0"/>
              <w:jc w:val="center"/>
              <w:rPr>
                <w:rFonts w:ascii="宋体" w:hAnsi="宋体"/>
                <w:sz w:val="21"/>
              </w:rPr>
            </w:pPr>
          </w:p>
        </w:tc>
        <w:tc>
          <w:tcPr>
            <w:tcW w:w="921" w:type="dxa"/>
            <w:vAlign w:val="center"/>
          </w:tcPr>
          <w:p w14:paraId="3544559F">
            <w:pPr>
              <w:ind w:firstLine="0" w:firstLineChars="0"/>
              <w:jc w:val="center"/>
              <w:rPr>
                <w:rFonts w:ascii="宋体" w:hAnsi="宋体"/>
                <w:sz w:val="21"/>
              </w:rPr>
            </w:pPr>
          </w:p>
        </w:tc>
      </w:tr>
      <w:tr w14:paraId="027B98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12C063AD">
            <w:pPr>
              <w:ind w:firstLine="0" w:firstLineChars="0"/>
              <w:jc w:val="center"/>
              <w:rPr>
                <w:rFonts w:ascii="宋体" w:hAnsi="宋体"/>
                <w:sz w:val="21"/>
              </w:rPr>
            </w:pPr>
            <w:r>
              <w:rPr>
                <w:rFonts w:hint="eastAsia" w:ascii="宋体" w:hAnsi="宋体"/>
                <w:sz w:val="21"/>
              </w:rPr>
              <w:t>18</w:t>
            </w:r>
          </w:p>
        </w:tc>
        <w:tc>
          <w:tcPr>
            <w:tcW w:w="1373" w:type="dxa"/>
            <w:gridSpan w:val="3"/>
            <w:vMerge w:val="continue"/>
            <w:vAlign w:val="center"/>
          </w:tcPr>
          <w:p w14:paraId="25B22BCA">
            <w:pPr>
              <w:ind w:firstLine="0" w:firstLineChars="0"/>
              <w:jc w:val="center"/>
              <w:rPr>
                <w:rFonts w:ascii="宋体" w:hAnsi="宋体"/>
                <w:sz w:val="21"/>
              </w:rPr>
            </w:pPr>
          </w:p>
        </w:tc>
        <w:tc>
          <w:tcPr>
            <w:tcW w:w="4637" w:type="dxa"/>
            <w:gridSpan w:val="4"/>
            <w:vAlign w:val="center"/>
          </w:tcPr>
          <w:p w14:paraId="168BD08A">
            <w:pPr>
              <w:ind w:firstLine="0" w:firstLineChars="0"/>
              <w:rPr>
                <w:rFonts w:ascii="宋体" w:hAnsi="宋体"/>
                <w:sz w:val="21"/>
              </w:rPr>
            </w:pPr>
            <w:r>
              <w:rPr>
                <w:rFonts w:hint="eastAsia" w:ascii="宋体" w:hAnsi="宋体"/>
                <w:sz w:val="21"/>
              </w:rPr>
              <w:t>(4)安全警示标识</w:t>
            </w:r>
          </w:p>
        </w:tc>
        <w:tc>
          <w:tcPr>
            <w:tcW w:w="966" w:type="dxa"/>
            <w:vAlign w:val="center"/>
          </w:tcPr>
          <w:p w14:paraId="1F03E559">
            <w:pPr>
              <w:ind w:firstLine="0" w:firstLineChars="0"/>
              <w:jc w:val="center"/>
              <w:rPr>
                <w:rFonts w:ascii="宋体" w:hAnsi="宋体"/>
                <w:sz w:val="21"/>
              </w:rPr>
            </w:pPr>
          </w:p>
        </w:tc>
        <w:tc>
          <w:tcPr>
            <w:tcW w:w="921" w:type="dxa"/>
            <w:vAlign w:val="center"/>
          </w:tcPr>
          <w:p w14:paraId="2996DDAA">
            <w:pPr>
              <w:ind w:firstLine="0" w:firstLineChars="0"/>
              <w:jc w:val="center"/>
              <w:rPr>
                <w:rFonts w:ascii="宋体" w:hAnsi="宋体"/>
                <w:sz w:val="21"/>
              </w:rPr>
            </w:pPr>
          </w:p>
        </w:tc>
      </w:tr>
      <w:tr w14:paraId="6429B5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23E80A7C">
            <w:pPr>
              <w:ind w:firstLine="0" w:firstLineChars="0"/>
              <w:jc w:val="center"/>
              <w:rPr>
                <w:rFonts w:ascii="宋体" w:hAnsi="宋体"/>
                <w:sz w:val="21"/>
              </w:rPr>
            </w:pPr>
            <w:r>
              <w:rPr>
                <w:rFonts w:hint="eastAsia" w:ascii="宋体" w:hAnsi="宋体"/>
                <w:sz w:val="21"/>
              </w:rPr>
              <w:t>19</w:t>
            </w:r>
          </w:p>
        </w:tc>
        <w:tc>
          <w:tcPr>
            <w:tcW w:w="607" w:type="dxa"/>
            <w:vMerge w:val="restart"/>
            <w:vAlign w:val="center"/>
          </w:tcPr>
          <w:p w14:paraId="02EB8A4D">
            <w:pPr>
              <w:ind w:firstLine="0" w:firstLineChars="0"/>
              <w:rPr>
                <w:rFonts w:ascii="宋体" w:hAnsi="宋体"/>
                <w:sz w:val="21"/>
              </w:rPr>
            </w:pPr>
            <w:r>
              <w:rPr>
                <w:rFonts w:hint="eastAsia" w:ascii="宋体" w:hAnsi="宋体"/>
                <w:sz w:val="21"/>
              </w:rPr>
              <w:t>电气与控制系统检验</w:t>
            </w:r>
          </w:p>
        </w:tc>
        <w:tc>
          <w:tcPr>
            <w:tcW w:w="5403" w:type="dxa"/>
            <w:gridSpan w:val="6"/>
            <w:vAlign w:val="center"/>
          </w:tcPr>
          <w:p w14:paraId="2F477BC7">
            <w:pPr>
              <w:ind w:firstLine="0" w:firstLineChars="0"/>
              <w:rPr>
                <w:rFonts w:ascii="宋体" w:hAnsi="宋体"/>
                <w:sz w:val="21"/>
              </w:rPr>
            </w:pPr>
            <w:r>
              <w:rPr>
                <w:rFonts w:hint="eastAsia" w:ascii="宋体" w:hAnsi="宋体"/>
                <w:sz w:val="21"/>
              </w:rPr>
              <w:t>电气设备与控制系统</w:t>
            </w:r>
          </w:p>
        </w:tc>
        <w:tc>
          <w:tcPr>
            <w:tcW w:w="966" w:type="dxa"/>
            <w:vAlign w:val="center"/>
          </w:tcPr>
          <w:p w14:paraId="6A866784">
            <w:pPr>
              <w:ind w:firstLine="0" w:firstLineChars="0"/>
              <w:jc w:val="center"/>
              <w:rPr>
                <w:rFonts w:ascii="宋体" w:hAnsi="宋体"/>
                <w:sz w:val="21"/>
              </w:rPr>
            </w:pPr>
          </w:p>
        </w:tc>
        <w:tc>
          <w:tcPr>
            <w:tcW w:w="921" w:type="dxa"/>
            <w:vAlign w:val="center"/>
          </w:tcPr>
          <w:p w14:paraId="55F69E3C">
            <w:pPr>
              <w:ind w:firstLine="0" w:firstLineChars="0"/>
              <w:jc w:val="center"/>
              <w:rPr>
                <w:rFonts w:ascii="宋体" w:hAnsi="宋体"/>
                <w:sz w:val="21"/>
              </w:rPr>
            </w:pPr>
          </w:p>
        </w:tc>
      </w:tr>
      <w:tr w14:paraId="5D0287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4C272C29">
            <w:pPr>
              <w:ind w:firstLine="0" w:firstLineChars="0"/>
              <w:jc w:val="center"/>
              <w:rPr>
                <w:rFonts w:ascii="宋体" w:hAnsi="宋体"/>
                <w:sz w:val="21"/>
              </w:rPr>
            </w:pPr>
            <w:r>
              <w:rPr>
                <w:rFonts w:hint="eastAsia" w:ascii="宋体" w:hAnsi="宋体"/>
                <w:sz w:val="21"/>
              </w:rPr>
              <w:t>20</w:t>
            </w:r>
          </w:p>
        </w:tc>
        <w:tc>
          <w:tcPr>
            <w:tcW w:w="607" w:type="dxa"/>
            <w:vMerge w:val="continue"/>
            <w:vAlign w:val="center"/>
          </w:tcPr>
          <w:p w14:paraId="16EF2046">
            <w:pPr>
              <w:ind w:firstLine="0" w:firstLineChars="0"/>
              <w:rPr>
                <w:rFonts w:ascii="宋体" w:hAnsi="宋体"/>
                <w:sz w:val="21"/>
              </w:rPr>
            </w:pPr>
          </w:p>
        </w:tc>
        <w:tc>
          <w:tcPr>
            <w:tcW w:w="857" w:type="dxa"/>
            <w:gridSpan w:val="3"/>
            <w:vMerge w:val="restart"/>
            <w:vAlign w:val="center"/>
          </w:tcPr>
          <w:p w14:paraId="2732CBCF">
            <w:pPr>
              <w:ind w:firstLine="0" w:firstLineChars="0"/>
              <w:rPr>
                <w:rFonts w:ascii="宋体" w:hAnsi="宋体"/>
                <w:sz w:val="21"/>
              </w:rPr>
            </w:pPr>
            <w:r>
              <w:rPr>
                <w:rFonts w:hint="eastAsia" w:ascii="宋体" w:hAnsi="宋体"/>
                <w:sz w:val="21"/>
              </w:rPr>
              <w:t>电气保护装置</w:t>
            </w:r>
          </w:p>
        </w:tc>
        <w:tc>
          <w:tcPr>
            <w:tcW w:w="4546" w:type="dxa"/>
            <w:gridSpan w:val="3"/>
            <w:vAlign w:val="center"/>
          </w:tcPr>
          <w:p w14:paraId="4EFCD4C2">
            <w:pPr>
              <w:ind w:firstLine="0" w:firstLineChars="0"/>
              <w:rPr>
                <w:rFonts w:ascii="宋体" w:hAnsi="宋体"/>
                <w:sz w:val="21"/>
              </w:rPr>
            </w:pPr>
            <w:r>
              <w:rPr>
                <w:rFonts w:hint="eastAsia" w:ascii="宋体" w:hAnsi="宋体"/>
                <w:sz w:val="21"/>
              </w:rPr>
              <w:t>接地保护</w:t>
            </w:r>
          </w:p>
        </w:tc>
        <w:tc>
          <w:tcPr>
            <w:tcW w:w="966" w:type="dxa"/>
            <w:vAlign w:val="center"/>
          </w:tcPr>
          <w:p w14:paraId="0529AAB4">
            <w:pPr>
              <w:ind w:firstLine="0" w:firstLineChars="0"/>
              <w:jc w:val="center"/>
              <w:rPr>
                <w:rFonts w:ascii="宋体" w:hAnsi="宋体"/>
                <w:sz w:val="21"/>
              </w:rPr>
            </w:pPr>
          </w:p>
        </w:tc>
        <w:tc>
          <w:tcPr>
            <w:tcW w:w="921" w:type="dxa"/>
            <w:vAlign w:val="center"/>
          </w:tcPr>
          <w:p w14:paraId="3F02FE61">
            <w:pPr>
              <w:ind w:firstLine="0" w:firstLineChars="0"/>
              <w:jc w:val="center"/>
              <w:rPr>
                <w:rFonts w:ascii="宋体" w:hAnsi="宋体"/>
                <w:sz w:val="21"/>
              </w:rPr>
            </w:pPr>
          </w:p>
        </w:tc>
      </w:tr>
      <w:tr w14:paraId="3F07FD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7AEAA50B">
            <w:pPr>
              <w:ind w:firstLine="0" w:firstLineChars="0"/>
              <w:jc w:val="center"/>
              <w:rPr>
                <w:rFonts w:ascii="宋体" w:hAnsi="宋体"/>
                <w:sz w:val="21"/>
              </w:rPr>
            </w:pPr>
            <w:r>
              <w:rPr>
                <w:rFonts w:hint="eastAsia" w:ascii="宋体" w:hAnsi="宋体"/>
                <w:sz w:val="21"/>
              </w:rPr>
              <w:t>21</w:t>
            </w:r>
          </w:p>
        </w:tc>
        <w:tc>
          <w:tcPr>
            <w:tcW w:w="607" w:type="dxa"/>
            <w:vMerge w:val="continue"/>
            <w:vAlign w:val="center"/>
          </w:tcPr>
          <w:p w14:paraId="3EB2EC89">
            <w:pPr>
              <w:ind w:firstLine="0" w:firstLineChars="0"/>
              <w:jc w:val="center"/>
              <w:rPr>
                <w:rFonts w:ascii="宋体" w:hAnsi="宋体"/>
                <w:sz w:val="21"/>
              </w:rPr>
            </w:pPr>
          </w:p>
        </w:tc>
        <w:tc>
          <w:tcPr>
            <w:tcW w:w="857" w:type="dxa"/>
            <w:gridSpan w:val="3"/>
            <w:vMerge w:val="continue"/>
            <w:vAlign w:val="center"/>
          </w:tcPr>
          <w:p w14:paraId="05ED0160">
            <w:pPr>
              <w:ind w:firstLine="0" w:firstLineChars="0"/>
              <w:rPr>
                <w:rFonts w:ascii="宋体" w:hAnsi="宋体"/>
                <w:sz w:val="21"/>
              </w:rPr>
            </w:pPr>
          </w:p>
        </w:tc>
        <w:tc>
          <w:tcPr>
            <w:tcW w:w="4546" w:type="dxa"/>
            <w:gridSpan w:val="3"/>
            <w:vAlign w:val="center"/>
          </w:tcPr>
          <w:p w14:paraId="1229B74B">
            <w:pPr>
              <w:ind w:firstLine="0" w:firstLineChars="0"/>
              <w:rPr>
                <w:rFonts w:ascii="宋体" w:hAnsi="宋体"/>
                <w:sz w:val="21"/>
              </w:rPr>
            </w:pPr>
            <w:r>
              <w:rPr>
                <w:rFonts w:hint="eastAsia" w:ascii="宋体" w:hAnsi="宋体"/>
                <w:sz w:val="21"/>
              </w:rPr>
              <w:t>绝缘电阻</w:t>
            </w:r>
          </w:p>
        </w:tc>
        <w:tc>
          <w:tcPr>
            <w:tcW w:w="966" w:type="dxa"/>
            <w:vAlign w:val="center"/>
          </w:tcPr>
          <w:p w14:paraId="1381EDB2">
            <w:pPr>
              <w:ind w:firstLine="0" w:firstLineChars="0"/>
              <w:jc w:val="center"/>
              <w:rPr>
                <w:rFonts w:ascii="宋体" w:hAnsi="宋体"/>
                <w:sz w:val="21"/>
              </w:rPr>
            </w:pPr>
          </w:p>
        </w:tc>
        <w:tc>
          <w:tcPr>
            <w:tcW w:w="921" w:type="dxa"/>
            <w:vAlign w:val="center"/>
          </w:tcPr>
          <w:p w14:paraId="672CA952">
            <w:pPr>
              <w:ind w:firstLine="0" w:firstLineChars="0"/>
              <w:jc w:val="center"/>
              <w:rPr>
                <w:rFonts w:ascii="宋体" w:hAnsi="宋体"/>
                <w:sz w:val="21"/>
              </w:rPr>
            </w:pPr>
          </w:p>
        </w:tc>
      </w:tr>
      <w:tr w14:paraId="62E9B7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675822FE">
            <w:pPr>
              <w:ind w:firstLine="0" w:firstLineChars="0"/>
              <w:jc w:val="center"/>
              <w:rPr>
                <w:rFonts w:ascii="宋体" w:hAnsi="宋体"/>
                <w:sz w:val="21"/>
              </w:rPr>
            </w:pPr>
            <w:r>
              <w:rPr>
                <w:rFonts w:hint="eastAsia" w:ascii="宋体" w:hAnsi="宋体"/>
                <w:sz w:val="21"/>
              </w:rPr>
              <w:t>22</w:t>
            </w:r>
          </w:p>
        </w:tc>
        <w:tc>
          <w:tcPr>
            <w:tcW w:w="607" w:type="dxa"/>
            <w:vMerge w:val="continue"/>
            <w:vAlign w:val="center"/>
          </w:tcPr>
          <w:p w14:paraId="0347AB9A">
            <w:pPr>
              <w:ind w:firstLine="0" w:firstLineChars="0"/>
              <w:rPr>
                <w:rFonts w:ascii="宋体" w:hAnsi="宋体"/>
                <w:sz w:val="21"/>
              </w:rPr>
            </w:pPr>
          </w:p>
        </w:tc>
        <w:tc>
          <w:tcPr>
            <w:tcW w:w="857" w:type="dxa"/>
            <w:gridSpan w:val="3"/>
            <w:vMerge w:val="continue"/>
            <w:vAlign w:val="center"/>
          </w:tcPr>
          <w:p w14:paraId="0ABE8688">
            <w:pPr>
              <w:ind w:firstLine="0" w:firstLineChars="0"/>
              <w:rPr>
                <w:rFonts w:ascii="宋体" w:hAnsi="宋体"/>
                <w:sz w:val="21"/>
              </w:rPr>
            </w:pPr>
          </w:p>
        </w:tc>
        <w:tc>
          <w:tcPr>
            <w:tcW w:w="4546" w:type="dxa"/>
            <w:gridSpan w:val="3"/>
            <w:vAlign w:val="center"/>
          </w:tcPr>
          <w:p w14:paraId="54AB00BB">
            <w:pPr>
              <w:ind w:firstLine="0" w:firstLineChars="0"/>
              <w:rPr>
                <w:rFonts w:ascii="宋体" w:hAnsi="宋体"/>
                <w:sz w:val="21"/>
              </w:rPr>
            </w:pPr>
            <w:r>
              <w:rPr>
                <w:rFonts w:hint="eastAsia" w:ascii="宋体" w:hAnsi="宋体"/>
                <w:sz w:val="21"/>
              </w:rPr>
              <w:t>短路保护</w:t>
            </w:r>
          </w:p>
        </w:tc>
        <w:tc>
          <w:tcPr>
            <w:tcW w:w="966" w:type="dxa"/>
            <w:vAlign w:val="center"/>
          </w:tcPr>
          <w:p w14:paraId="22299A46">
            <w:pPr>
              <w:ind w:firstLine="0" w:firstLineChars="0"/>
              <w:jc w:val="center"/>
              <w:rPr>
                <w:rFonts w:ascii="宋体" w:hAnsi="宋体"/>
                <w:sz w:val="21"/>
              </w:rPr>
            </w:pPr>
          </w:p>
        </w:tc>
        <w:tc>
          <w:tcPr>
            <w:tcW w:w="921" w:type="dxa"/>
            <w:vAlign w:val="center"/>
          </w:tcPr>
          <w:p w14:paraId="71F94CE0">
            <w:pPr>
              <w:ind w:firstLine="0" w:firstLineChars="0"/>
              <w:jc w:val="center"/>
              <w:rPr>
                <w:rFonts w:ascii="宋体" w:hAnsi="宋体"/>
                <w:sz w:val="21"/>
              </w:rPr>
            </w:pPr>
          </w:p>
        </w:tc>
      </w:tr>
      <w:tr w14:paraId="533415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70385068">
            <w:pPr>
              <w:ind w:firstLine="0" w:firstLineChars="0"/>
              <w:jc w:val="center"/>
              <w:rPr>
                <w:rFonts w:ascii="宋体" w:hAnsi="宋体"/>
                <w:sz w:val="21"/>
              </w:rPr>
            </w:pPr>
            <w:r>
              <w:rPr>
                <w:rFonts w:hint="eastAsia" w:ascii="宋体" w:hAnsi="宋体"/>
                <w:sz w:val="21"/>
              </w:rPr>
              <w:t>23</w:t>
            </w:r>
          </w:p>
        </w:tc>
        <w:tc>
          <w:tcPr>
            <w:tcW w:w="607" w:type="dxa"/>
            <w:vMerge w:val="continue"/>
            <w:vAlign w:val="center"/>
          </w:tcPr>
          <w:p w14:paraId="469D31B4">
            <w:pPr>
              <w:ind w:firstLine="0" w:firstLineChars="0"/>
              <w:rPr>
                <w:rFonts w:ascii="宋体" w:hAnsi="宋体"/>
                <w:sz w:val="21"/>
              </w:rPr>
            </w:pPr>
          </w:p>
        </w:tc>
        <w:tc>
          <w:tcPr>
            <w:tcW w:w="857" w:type="dxa"/>
            <w:gridSpan w:val="3"/>
            <w:vMerge w:val="continue"/>
            <w:vAlign w:val="center"/>
          </w:tcPr>
          <w:p w14:paraId="6C2206E0">
            <w:pPr>
              <w:ind w:firstLine="0" w:firstLineChars="0"/>
              <w:rPr>
                <w:rFonts w:ascii="宋体" w:hAnsi="宋体"/>
                <w:sz w:val="21"/>
              </w:rPr>
            </w:pPr>
          </w:p>
        </w:tc>
        <w:tc>
          <w:tcPr>
            <w:tcW w:w="4546" w:type="dxa"/>
            <w:gridSpan w:val="3"/>
            <w:vAlign w:val="center"/>
          </w:tcPr>
          <w:p w14:paraId="1423AE1B">
            <w:pPr>
              <w:ind w:firstLine="0" w:firstLineChars="0"/>
              <w:rPr>
                <w:rFonts w:ascii="宋体" w:hAnsi="宋体"/>
                <w:sz w:val="21"/>
              </w:rPr>
            </w:pPr>
            <w:r>
              <w:rPr>
                <w:rFonts w:hint="eastAsia" w:ascii="宋体" w:hAnsi="宋体"/>
                <w:sz w:val="21"/>
              </w:rPr>
              <w:t>失压保护</w:t>
            </w:r>
          </w:p>
        </w:tc>
        <w:tc>
          <w:tcPr>
            <w:tcW w:w="966" w:type="dxa"/>
            <w:vAlign w:val="center"/>
          </w:tcPr>
          <w:p w14:paraId="08B7197F">
            <w:pPr>
              <w:ind w:firstLine="0" w:firstLineChars="0"/>
              <w:jc w:val="center"/>
              <w:rPr>
                <w:rFonts w:ascii="宋体" w:hAnsi="宋体"/>
                <w:sz w:val="21"/>
              </w:rPr>
            </w:pPr>
          </w:p>
        </w:tc>
        <w:tc>
          <w:tcPr>
            <w:tcW w:w="921" w:type="dxa"/>
            <w:vAlign w:val="center"/>
          </w:tcPr>
          <w:p w14:paraId="772172DB">
            <w:pPr>
              <w:ind w:firstLine="0" w:firstLineChars="0"/>
              <w:jc w:val="center"/>
              <w:rPr>
                <w:rFonts w:ascii="宋体" w:hAnsi="宋体"/>
                <w:sz w:val="21"/>
              </w:rPr>
            </w:pPr>
          </w:p>
        </w:tc>
      </w:tr>
      <w:tr w14:paraId="64AEC3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534" w:type="dxa"/>
            <w:vAlign w:val="center"/>
          </w:tcPr>
          <w:p w14:paraId="026A8381">
            <w:pPr>
              <w:ind w:firstLine="0" w:firstLineChars="0"/>
              <w:jc w:val="center"/>
              <w:rPr>
                <w:rFonts w:ascii="宋体" w:hAnsi="宋体"/>
                <w:sz w:val="21"/>
              </w:rPr>
            </w:pPr>
            <w:r>
              <w:rPr>
                <w:rFonts w:hint="eastAsia" w:ascii="宋体" w:hAnsi="宋体"/>
                <w:sz w:val="21"/>
              </w:rPr>
              <w:t>24</w:t>
            </w:r>
          </w:p>
        </w:tc>
        <w:tc>
          <w:tcPr>
            <w:tcW w:w="607" w:type="dxa"/>
            <w:vMerge w:val="continue"/>
            <w:vAlign w:val="center"/>
          </w:tcPr>
          <w:p w14:paraId="19807D20">
            <w:pPr>
              <w:ind w:firstLine="0" w:firstLineChars="0"/>
              <w:rPr>
                <w:rFonts w:ascii="宋体" w:hAnsi="宋体"/>
                <w:sz w:val="21"/>
              </w:rPr>
            </w:pPr>
          </w:p>
        </w:tc>
        <w:tc>
          <w:tcPr>
            <w:tcW w:w="857" w:type="dxa"/>
            <w:gridSpan w:val="3"/>
            <w:vMerge w:val="continue"/>
            <w:vAlign w:val="center"/>
          </w:tcPr>
          <w:p w14:paraId="63F0C6EE">
            <w:pPr>
              <w:ind w:firstLine="0" w:firstLineChars="0"/>
              <w:rPr>
                <w:rFonts w:ascii="宋体" w:hAnsi="宋体"/>
                <w:sz w:val="21"/>
              </w:rPr>
            </w:pPr>
          </w:p>
        </w:tc>
        <w:tc>
          <w:tcPr>
            <w:tcW w:w="4546" w:type="dxa"/>
            <w:gridSpan w:val="3"/>
            <w:vAlign w:val="center"/>
          </w:tcPr>
          <w:p w14:paraId="754DF476">
            <w:pPr>
              <w:ind w:firstLine="0" w:firstLineChars="0"/>
              <w:rPr>
                <w:rFonts w:ascii="宋体" w:hAnsi="宋体"/>
                <w:sz w:val="21"/>
              </w:rPr>
            </w:pPr>
            <w:r>
              <w:rPr>
                <w:rFonts w:hint="eastAsia" w:ascii="宋体" w:hAnsi="宋体"/>
                <w:sz w:val="21"/>
              </w:rPr>
              <w:t>零位保护</w:t>
            </w:r>
          </w:p>
        </w:tc>
        <w:tc>
          <w:tcPr>
            <w:tcW w:w="966" w:type="dxa"/>
            <w:vAlign w:val="center"/>
          </w:tcPr>
          <w:p w14:paraId="25C60ACF">
            <w:pPr>
              <w:ind w:firstLine="0" w:firstLineChars="0"/>
              <w:jc w:val="center"/>
              <w:rPr>
                <w:rFonts w:ascii="宋体" w:hAnsi="宋体"/>
                <w:sz w:val="21"/>
              </w:rPr>
            </w:pPr>
          </w:p>
        </w:tc>
        <w:tc>
          <w:tcPr>
            <w:tcW w:w="921" w:type="dxa"/>
            <w:vAlign w:val="center"/>
          </w:tcPr>
          <w:p w14:paraId="6EA3E108">
            <w:pPr>
              <w:ind w:firstLine="0" w:firstLineChars="0"/>
              <w:jc w:val="center"/>
              <w:rPr>
                <w:rFonts w:ascii="宋体" w:hAnsi="宋体"/>
                <w:sz w:val="21"/>
              </w:rPr>
            </w:pPr>
          </w:p>
        </w:tc>
      </w:tr>
      <w:tr w14:paraId="2E8723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7C836763">
            <w:pPr>
              <w:ind w:firstLine="0" w:firstLineChars="0"/>
              <w:jc w:val="center"/>
              <w:rPr>
                <w:rFonts w:ascii="宋体" w:hAnsi="宋体"/>
                <w:sz w:val="21"/>
              </w:rPr>
            </w:pPr>
            <w:r>
              <w:rPr>
                <w:rFonts w:hint="eastAsia" w:ascii="宋体" w:hAnsi="宋体"/>
                <w:sz w:val="21"/>
              </w:rPr>
              <w:t>25</w:t>
            </w:r>
          </w:p>
        </w:tc>
        <w:tc>
          <w:tcPr>
            <w:tcW w:w="607" w:type="dxa"/>
            <w:vMerge w:val="restart"/>
            <w:vAlign w:val="center"/>
          </w:tcPr>
          <w:p w14:paraId="4F184162">
            <w:pPr>
              <w:ind w:firstLine="0" w:firstLineChars="0"/>
              <w:rPr>
                <w:rFonts w:ascii="宋体" w:hAnsi="宋体"/>
                <w:sz w:val="21"/>
              </w:rPr>
            </w:pPr>
            <w:r>
              <w:rPr>
                <w:rFonts w:hint="eastAsia" w:ascii="宋体" w:hAnsi="宋体"/>
                <w:sz w:val="21"/>
              </w:rPr>
              <w:t>电气与控制系统检验</w:t>
            </w:r>
          </w:p>
        </w:tc>
        <w:tc>
          <w:tcPr>
            <w:tcW w:w="869" w:type="dxa"/>
            <w:gridSpan w:val="4"/>
            <w:vMerge w:val="restart"/>
            <w:vAlign w:val="center"/>
          </w:tcPr>
          <w:p w14:paraId="5F6E9CD0">
            <w:pPr>
              <w:ind w:firstLine="0" w:firstLineChars="0"/>
              <w:rPr>
                <w:rFonts w:ascii="宋体" w:hAnsi="宋体"/>
                <w:sz w:val="21"/>
              </w:rPr>
            </w:pPr>
            <w:r>
              <w:rPr>
                <w:rFonts w:hint="eastAsia" w:ascii="宋体" w:hAnsi="宋体"/>
                <w:sz w:val="21"/>
              </w:rPr>
              <w:t>电气保护装置</w:t>
            </w:r>
          </w:p>
        </w:tc>
        <w:tc>
          <w:tcPr>
            <w:tcW w:w="4534" w:type="dxa"/>
            <w:gridSpan w:val="2"/>
            <w:vAlign w:val="center"/>
          </w:tcPr>
          <w:p w14:paraId="1387E387">
            <w:pPr>
              <w:ind w:firstLine="0" w:firstLineChars="0"/>
              <w:rPr>
                <w:rFonts w:ascii="宋体" w:hAnsi="宋体"/>
                <w:sz w:val="21"/>
              </w:rPr>
            </w:pPr>
            <w:r>
              <w:rPr>
                <w:rFonts w:hint="eastAsia" w:ascii="宋体" w:hAnsi="宋体"/>
                <w:sz w:val="21"/>
              </w:rPr>
              <w:t>过流（过载）保护</w:t>
            </w:r>
          </w:p>
        </w:tc>
        <w:tc>
          <w:tcPr>
            <w:tcW w:w="966" w:type="dxa"/>
            <w:vAlign w:val="center"/>
          </w:tcPr>
          <w:p w14:paraId="063E8D6A">
            <w:pPr>
              <w:ind w:firstLine="0" w:firstLineChars="0"/>
              <w:jc w:val="center"/>
              <w:rPr>
                <w:rFonts w:ascii="宋体" w:hAnsi="宋体"/>
                <w:sz w:val="21"/>
              </w:rPr>
            </w:pPr>
          </w:p>
        </w:tc>
        <w:tc>
          <w:tcPr>
            <w:tcW w:w="921" w:type="dxa"/>
            <w:vAlign w:val="center"/>
          </w:tcPr>
          <w:p w14:paraId="031CACE2">
            <w:pPr>
              <w:ind w:firstLine="0" w:firstLineChars="0"/>
              <w:jc w:val="center"/>
              <w:rPr>
                <w:rFonts w:ascii="宋体" w:hAnsi="宋体"/>
                <w:sz w:val="21"/>
              </w:rPr>
            </w:pPr>
          </w:p>
        </w:tc>
      </w:tr>
      <w:tr w14:paraId="590C47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58E1F392">
            <w:pPr>
              <w:ind w:firstLine="0" w:firstLineChars="0"/>
              <w:jc w:val="center"/>
              <w:rPr>
                <w:rFonts w:ascii="宋体" w:hAnsi="宋体"/>
                <w:sz w:val="21"/>
              </w:rPr>
            </w:pPr>
            <w:r>
              <w:rPr>
                <w:rFonts w:hint="eastAsia" w:ascii="宋体" w:hAnsi="宋体"/>
                <w:sz w:val="21"/>
              </w:rPr>
              <w:t>26</w:t>
            </w:r>
          </w:p>
        </w:tc>
        <w:tc>
          <w:tcPr>
            <w:tcW w:w="607" w:type="dxa"/>
            <w:vMerge w:val="continue"/>
            <w:vAlign w:val="center"/>
          </w:tcPr>
          <w:p w14:paraId="7EB4540F">
            <w:pPr>
              <w:ind w:firstLine="0" w:firstLineChars="0"/>
              <w:rPr>
                <w:rFonts w:ascii="宋体" w:hAnsi="宋体"/>
                <w:sz w:val="21"/>
              </w:rPr>
            </w:pPr>
          </w:p>
        </w:tc>
        <w:tc>
          <w:tcPr>
            <w:tcW w:w="869" w:type="dxa"/>
            <w:gridSpan w:val="4"/>
            <w:vMerge w:val="continue"/>
            <w:vAlign w:val="center"/>
          </w:tcPr>
          <w:p w14:paraId="624DE8B3">
            <w:pPr>
              <w:ind w:firstLine="0" w:firstLineChars="0"/>
              <w:rPr>
                <w:rFonts w:ascii="宋体" w:hAnsi="宋体"/>
                <w:sz w:val="21"/>
              </w:rPr>
            </w:pPr>
          </w:p>
        </w:tc>
        <w:tc>
          <w:tcPr>
            <w:tcW w:w="4534" w:type="dxa"/>
            <w:gridSpan w:val="2"/>
            <w:vAlign w:val="center"/>
          </w:tcPr>
          <w:p w14:paraId="4F18F83A">
            <w:pPr>
              <w:ind w:firstLine="0" w:firstLineChars="0"/>
              <w:rPr>
                <w:rFonts w:ascii="宋体" w:hAnsi="宋体"/>
                <w:sz w:val="21"/>
              </w:rPr>
            </w:pPr>
            <w:r>
              <w:rPr>
                <w:rFonts w:hint="eastAsia" w:ascii="宋体" w:hAnsi="宋体"/>
                <w:sz w:val="21"/>
              </w:rPr>
              <w:t>失磁保护</w:t>
            </w:r>
          </w:p>
        </w:tc>
        <w:tc>
          <w:tcPr>
            <w:tcW w:w="966" w:type="dxa"/>
            <w:vAlign w:val="center"/>
          </w:tcPr>
          <w:p w14:paraId="4B67FC3B">
            <w:pPr>
              <w:ind w:firstLine="0" w:firstLineChars="0"/>
              <w:jc w:val="center"/>
              <w:rPr>
                <w:rFonts w:ascii="宋体" w:hAnsi="宋体"/>
                <w:sz w:val="21"/>
              </w:rPr>
            </w:pPr>
          </w:p>
        </w:tc>
        <w:tc>
          <w:tcPr>
            <w:tcW w:w="921" w:type="dxa"/>
            <w:vAlign w:val="center"/>
          </w:tcPr>
          <w:p w14:paraId="56390DF7">
            <w:pPr>
              <w:ind w:firstLine="0" w:firstLineChars="0"/>
              <w:jc w:val="center"/>
              <w:rPr>
                <w:rFonts w:ascii="宋体" w:hAnsi="宋体"/>
                <w:sz w:val="21"/>
              </w:rPr>
            </w:pPr>
          </w:p>
        </w:tc>
      </w:tr>
      <w:tr w14:paraId="004EB6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234CB57A">
            <w:pPr>
              <w:ind w:firstLine="0" w:firstLineChars="0"/>
              <w:jc w:val="center"/>
              <w:rPr>
                <w:rFonts w:ascii="宋体" w:hAnsi="宋体"/>
                <w:sz w:val="21"/>
              </w:rPr>
            </w:pPr>
            <w:r>
              <w:rPr>
                <w:rFonts w:hint="eastAsia" w:ascii="宋体" w:hAnsi="宋体"/>
                <w:sz w:val="21"/>
              </w:rPr>
              <w:t>27</w:t>
            </w:r>
          </w:p>
        </w:tc>
        <w:tc>
          <w:tcPr>
            <w:tcW w:w="607" w:type="dxa"/>
            <w:vMerge w:val="continue"/>
            <w:vAlign w:val="center"/>
          </w:tcPr>
          <w:p w14:paraId="7819158E">
            <w:pPr>
              <w:ind w:firstLine="0" w:firstLineChars="0"/>
              <w:rPr>
                <w:rFonts w:ascii="宋体" w:hAnsi="宋体"/>
                <w:sz w:val="21"/>
              </w:rPr>
            </w:pPr>
          </w:p>
        </w:tc>
        <w:tc>
          <w:tcPr>
            <w:tcW w:w="869" w:type="dxa"/>
            <w:gridSpan w:val="4"/>
            <w:vMerge w:val="continue"/>
            <w:vAlign w:val="center"/>
          </w:tcPr>
          <w:p w14:paraId="21522A21">
            <w:pPr>
              <w:ind w:firstLine="0" w:firstLineChars="0"/>
              <w:rPr>
                <w:rFonts w:ascii="宋体" w:hAnsi="宋体"/>
                <w:sz w:val="21"/>
              </w:rPr>
            </w:pPr>
          </w:p>
        </w:tc>
        <w:tc>
          <w:tcPr>
            <w:tcW w:w="4534" w:type="dxa"/>
            <w:gridSpan w:val="2"/>
            <w:vAlign w:val="center"/>
          </w:tcPr>
          <w:p w14:paraId="71EE228B">
            <w:pPr>
              <w:ind w:firstLine="0" w:firstLineChars="0"/>
              <w:rPr>
                <w:rFonts w:ascii="宋体" w:hAnsi="宋体"/>
                <w:sz w:val="21"/>
              </w:rPr>
            </w:pPr>
            <w:r>
              <w:rPr>
                <w:rFonts w:hint="eastAsia" w:ascii="宋体" w:hAnsi="宋体"/>
                <w:sz w:val="21"/>
              </w:rPr>
              <w:t>供电电源断错相保护</w:t>
            </w:r>
          </w:p>
        </w:tc>
        <w:tc>
          <w:tcPr>
            <w:tcW w:w="966" w:type="dxa"/>
            <w:vAlign w:val="center"/>
          </w:tcPr>
          <w:p w14:paraId="1250B732">
            <w:pPr>
              <w:ind w:firstLine="0" w:firstLineChars="0"/>
              <w:jc w:val="center"/>
              <w:rPr>
                <w:rFonts w:ascii="宋体" w:hAnsi="宋体"/>
                <w:sz w:val="21"/>
              </w:rPr>
            </w:pPr>
          </w:p>
        </w:tc>
        <w:tc>
          <w:tcPr>
            <w:tcW w:w="921" w:type="dxa"/>
            <w:vAlign w:val="center"/>
          </w:tcPr>
          <w:p w14:paraId="35F4C869">
            <w:pPr>
              <w:ind w:firstLine="0" w:firstLineChars="0"/>
              <w:jc w:val="center"/>
              <w:rPr>
                <w:rFonts w:ascii="宋体" w:hAnsi="宋体"/>
                <w:sz w:val="21"/>
              </w:rPr>
            </w:pPr>
          </w:p>
        </w:tc>
      </w:tr>
      <w:tr w14:paraId="4931D5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85B8702">
            <w:pPr>
              <w:ind w:firstLine="0" w:firstLineChars="0"/>
              <w:jc w:val="center"/>
              <w:rPr>
                <w:rFonts w:ascii="宋体" w:hAnsi="宋体"/>
                <w:sz w:val="21"/>
              </w:rPr>
            </w:pPr>
            <w:r>
              <w:rPr>
                <w:rFonts w:hint="eastAsia" w:ascii="宋体" w:hAnsi="宋体"/>
                <w:sz w:val="21"/>
              </w:rPr>
              <w:t>28</w:t>
            </w:r>
          </w:p>
        </w:tc>
        <w:tc>
          <w:tcPr>
            <w:tcW w:w="607" w:type="dxa"/>
            <w:vMerge w:val="continue"/>
            <w:vAlign w:val="center"/>
          </w:tcPr>
          <w:p w14:paraId="30280ED4">
            <w:pPr>
              <w:ind w:firstLine="0" w:firstLineChars="0"/>
              <w:rPr>
                <w:rFonts w:ascii="宋体" w:hAnsi="宋体"/>
                <w:sz w:val="21"/>
              </w:rPr>
            </w:pPr>
          </w:p>
        </w:tc>
        <w:tc>
          <w:tcPr>
            <w:tcW w:w="869" w:type="dxa"/>
            <w:gridSpan w:val="4"/>
            <w:vMerge w:val="continue"/>
            <w:vAlign w:val="center"/>
          </w:tcPr>
          <w:p w14:paraId="1DB02766">
            <w:pPr>
              <w:ind w:firstLine="0" w:firstLineChars="0"/>
              <w:rPr>
                <w:rFonts w:ascii="宋体" w:hAnsi="宋体"/>
                <w:sz w:val="21"/>
              </w:rPr>
            </w:pPr>
          </w:p>
        </w:tc>
        <w:tc>
          <w:tcPr>
            <w:tcW w:w="4534" w:type="dxa"/>
            <w:gridSpan w:val="2"/>
            <w:vAlign w:val="center"/>
          </w:tcPr>
          <w:p w14:paraId="17F7BE36">
            <w:pPr>
              <w:ind w:firstLine="0" w:firstLineChars="0"/>
              <w:rPr>
                <w:rFonts w:ascii="宋体" w:hAnsi="宋体"/>
                <w:sz w:val="21"/>
              </w:rPr>
            </w:pPr>
            <w:r>
              <w:rPr>
                <w:rFonts w:hint="eastAsia" w:ascii="宋体" w:hAnsi="宋体"/>
                <w:sz w:val="21"/>
              </w:rPr>
              <w:t>正反向接触器故障保护</w:t>
            </w:r>
          </w:p>
        </w:tc>
        <w:tc>
          <w:tcPr>
            <w:tcW w:w="966" w:type="dxa"/>
            <w:vAlign w:val="center"/>
          </w:tcPr>
          <w:p w14:paraId="4AE1E42F">
            <w:pPr>
              <w:ind w:firstLine="0" w:firstLineChars="0"/>
              <w:jc w:val="center"/>
              <w:rPr>
                <w:rFonts w:ascii="宋体" w:hAnsi="宋体"/>
                <w:sz w:val="21"/>
              </w:rPr>
            </w:pPr>
          </w:p>
        </w:tc>
        <w:tc>
          <w:tcPr>
            <w:tcW w:w="921" w:type="dxa"/>
            <w:vAlign w:val="center"/>
          </w:tcPr>
          <w:p w14:paraId="18D4038B">
            <w:pPr>
              <w:ind w:firstLine="0" w:firstLineChars="0"/>
              <w:jc w:val="center"/>
              <w:rPr>
                <w:rFonts w:ascii="宋体" w:hAnsi="宋体"/>
                <w:sz w:val="21"/>
              </w:rPr>
            </w:pPr>
          </w:p>
        </w:tc>
      </w:tr>
      <w:tr w14:paraId="1AAC90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6227CDD7">
            <w:pPr>
              <w:ind w:firstLine="0" w:firstLineChars="0"/>
              <w:jc w:val="center"/>
              <w:rPr>
                <w:rFonts w:ascii="宋体" w:hAnsi="宋体"/>
                <w:sz w:val="21"/>
              </w:rPr>
            </w:pPr>
            <w:r>
              <w:rPr>
                <w:rFonts w:hint="eastAsia" w:ascii="宋体" w:hAnsi="宋体"/>
                <w:sz w:val="21"/>
              </w:rPr>
              <w:t>29</w:t>
            </w:r>
          </w:p>
        </w:tc>
        <w:tc>
          <w:tcPr>
            <w:tcW w:w="607" w:type="dxa"/>
            <w:vMerge w:val="restart"/>
            <w:vAlign w:val="center"/>
          </w:tcPr>
          <w:p w14:paraId="4350D9B9">
            <w:pPr>
              <w:ind w:firstLine="0" w:firstLineChars="0"/>
              <w:jc w:val="left"/>
              <w:rPr>
                <w:rFonts w:ascii="宋体" w:hAnsi="宋体"/>
                <w:sz w:val="21"/>
              </w:rPr>
            </w:pPr>
            <w:r>
              <w:rPr>
                <w:rFonts w:hint="eastAsia" w:ascii="宋体" w:hAnsi="宋体"/>
                <w:sz w:val="21"/>
              </w:rPr>
              <w:t>安全保护与</w:t>
            </w:r>
          </w:p>
          <w:p w14:paraId="1ABAD579">
            <w:pPr>
              <w:ind w:firstLine="0" w:firstLineChars="0"/>
              <w:jc w:val="left"/>
              <w:rPr>
                <w:rFonts w:ascii="宋体" w:hAnsi="宋体"/>
                <w:sz w:val="21"/>
              </w:rPr>
            </w:pPr>
            <w:r>
              <w:rPr>
                <w:rFonts w:hint="eastAsia" w:ascii="宋体" w:hAnsi="宋体"/>
                <w:sz w:val="21"/>
              </w:rPr>
              <w:t>防护装置</w:t>
            </w:r>
          </w:p>
          <w:p w14:paraId="0DB3FAD2">
            <w:pPr>
              <w:ind w:firstLine="0" w:firstLineChars="0"/>
              <w:jc w:val="left"/>
              <w:rPr>
                <w:rFonts w:ascii="宋体" w:hAnsi="宋体"/>
                <w:sz w:val="21"/>
              </w:rPr>
            </w:pPr>
            <w:r>
              <w:rPr>
                <w:rFonts w:hint="eastAsia" w:ascii="宋体" w:hAnsi="宋体"/>
                <w:sz w:val="21"/>
              </w:rPr>
              <w:t>检验</w:t>
            </w:r>
          </w:p>
        </w:tc>
        <w:tc>
          <w:tcPr>
            <w:tcW w:w="869" w:type="dxa"/>
            <w:gridSpan w:val="4"/>
            <w:vMerge w:val="restart"/>
            <w:vAlign w:val="center"/>
          </w:tcPr>
          <w:p w14:paraId="1B955A27">
            <w:pPr>
              <w:ind w:firstLine="0" w:firstLineChars="0"/>
              <w:rPr>
                <w:rFonts w:ascii="宋体" w:hAnsi="宋体"/>
                <w:sz w:val="21"/>
              </w:rPr>
            </w:pPr>
            <w:r>
              <w:rPr>
                <w:rFonts w:hint="eastAsia" w:ascii="宋体" w:hAnsi="宋体"/>
                <w:sz w:val="21"/>
              </w:rPr>
              <w:t>制动器</w:t>
            </w:r>
          </w:p>
        </w:tc>
        <w:tc>
          <w:tcPr>
            <w:tcW w:w="4534" w:type="dxa"/>
            <w:gridSpan w:val="2"/>
            <w:vAlign w:val="center"/>
          </w:tcPr>
          <w:p w14:paraId="3A43491D">
            <w:pPr>
              <w:ind w:firstLine="0" w:firstLineChars="0"/>
              <w:rPr>
                <w:rFonts w:ascii="宋体" w:hAnsi="宋体"/>
                <w:sz w:val="21"/>
              </w:rPr>
            </w:pPr>
            <w:r>
              <w:rPr>
                <w:rFonts w:hint="eastAsia" w:ascii="宋体" w:hAnsi="宋体"/>
                <w:sz w:val="21"/>
              </w:rPr>
              <w:t>工作制动器与安全制动器的设置</w:t>
            </w:r>
          </w:p>
        </w:tc>
        <w:tc>
          <w:tcPr>
            <w:tcW w:w="966" w:type="dxa"/>
            <w:vAlign w:val="center"/>
          </w:tcPr>
          <w:p w14:paraId="0C6F31B3">
            <w:pPr>
              <w:ind w:firstLine="0" w:firstLineChars="0"/>
              <w:jc w:val="center"/>
              <w:rPr>
                <w:rFonts w:ascii="宋体" w:hAnsi="宋体"/>
                <w:sz w:val="21"/>
              </w:rPr>
            </w:pPr>
          </w:p>
        </w:tc>
        <w:tc>
          <w:tcPr>
            <w:tcW w:w="921" w:type="dxa"/>
            <w:vAlign w:val="center"/>
          </w:tcPr>
          <w:p w14:paraId="632261C5">
            <w:pPr>
              <w:ind w:firstLine="0" w:firstLineChars="0"/>
              <w:jc w:val="center"/>
              <w:rPr>
                <w:rFonts w:ascii="宋体" w:hAnsi="宋体"/>
                <w:sz w:val="21"/>
              </w:rPr>
            </w:pPr>
          </w:p>
        </w:tc>
      </w:tr>
      <w:tr w14:paraId="6866DE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E13F4FB">
            <w:pPr>
              <w:ind w:firstLine="0" w:firstLineChars="0"/>
              <w:jc w:val="center"/>
              <w:rPr>
                <w:rFonts w:ascii="宋体" w:hAnsi="宋体"/>
                <w:sz w:val="21"/>
              </w:rPr>
            </w:pPr>
            <w:r>
              <w:rPr>
                <w:rFonts w:hint="eastAsia" w:ascii="宋体" w:hAnsi="宋体"/>
                <w:sz w:val="21"/>
              </w:rPr>
              <w:t>30</w:t>
            </w:r>
          </w:p>
        </w:tc>
        <w:tc>
          <w:tcPr>
            <w:tcW w:w="607" w:type="dxa"/>
            <w:vMerge w:val="continue"/>
            <w:vAlign w:val="center"/>
          </w:tcPr>
          <w:p w14:paraId="3FC5AEBF">
            <w:pPr>
              <w:ind w:firstLine="0" w:firstLineChars="0"/>
              <w:jc w:val="center"/>
              <w:rPr>
                <w:rFonts w:ascii="宋体" w:hAnsi="宋体"/>
                <w:sz w:val="21"/>
              </w:rPr>
            </w:pPr>
          </w:p>
        </w:tc>
        <w:tc>
          <w:tcPr>
            <w:tcW w:w="869" w:type="dxa"/>
            <w:gridSpan w:val="4"/>
            <w:vMerge w:val="continue"/>
            <w:vAlign w:val="center"/>
          </w:tcPr>
          <w:p w14:paraId="538EF29F">
            <w:pPr>
              <w:ind w:firstLine="0" w:firstLineChars="0"/>
              <w:rPr>
                <w:rFonts w:ascii="宋体" w:hAnsi="宋体"/>
                <w:sz w:val="21"/>
              </w:rPr>
            </w:pPr>
          </w:p>
        </w:tc>
        <w:tc>
          <w:tcPr>
            <w:tcW w:w="4534" w:type="dxa"/>
            <w:gridSpan w:val="2"/>
            <w:vAlign w:val="center"/>
          </w:tcPr>
          <w:p w14:paraId="57E86A1D">
            <w:pPr>
              <w:ind w:firstLine="0" w:firstLineChars="0"/>
              <w:rPr>
                <w:rFonts w:ascii="宋体" w:hAnsi="宋体"/>
                <w:sz w:val="21"/>
              </w:rPr>
            </w:pPr>
            <w:r>
              <w:rPr>
                <w:rFonts w:hint="eastAsia" w:ascii="宋体" w:hAnsi="宋体"/>
                <w:sz w:val="21"/>
              </w:rPr>
              <w:t>制动器型式、制动性能</w:t>
            </w:r>
          </w:p>
        </w:tc>
        <w:tc>
          <w:tcPr>
            <w:tcW w:w="966" w:type="dxa"/>
            <w:vAlign w:val="center"/>
          </w:tcPr>
          <w:p w14:paraId="0EFC0DE6">
            <w:pPr>
              <w:ind w:firstLine="0" w:firstLineChars="0"/>
              <w:jc w:val="center"/>
              <w:rPr>
                <w:rFonts w:ascii="宋体" w:hAnsi="宋体"/>
                <w:sz w:val="21"/>
              </w:rPr>
            </w:pPr>
          </w:p>
        </w:tc>
        <w:tc>
          <w:tcPr>
            <w:tcW w:w="921" w:type="dxa"/>
            <w:vAlign w:val="center"/>
          </w:tcPr>
          <w:p w14:paraId="675A59DA">
            <w:pPr>
              <w:ind w:firstLine="0" w:firstLineChars="0"/>
              <w:jc w:val="center"/>
              <w:rPr>
                <w:rFonts w:ascii="宋体" w:hAnsi="宋体"/>
                <w:sz w:val="21"/>
              </w:rPr>
            </w:pPr>
          </w:p>
        </w:tc>
      </w:tr>
      <w:tr w14:paraId="58EB3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09E73EEE">
            <w:pPr>
              <w:ind w:firstLine="0" w:firstLineChars="0"/>
              <w:jc w:val="center"/>
              <w:rPr>
                <w:rFonts w:ascii="宋体" w:hAnsi="宋体"/>
                <w:sz w:val="21"/>
              </w:rPr>
            </w:pPr>
            <w:r>
              <w:rPr>
                <w:rFonts w:hint="eastAsia" w:ascii="宋体" w:hAnsi="宋体"/>
                <w:sz w:val="21"/>
              </w:rPr>
              <w:t>31</w:t>
            </w:r>
          </w:p>
        </w:tc>
        <w:tc>
          <w:tcPr>
            <w:tcW w:w="607" w:type="dxa"/>
            <w:vMerge w:val="continue"/>
            <w:vAlign w:val="center"/>
          </w:tcPr>
          <w:p w14:paraId="594C9AB5">
            <w:pPr>
              <w:ind w:firstLine="0" w:firstLineChars="0"/>
              <w:jc w:val="center"/>
              <w:rPr>
                <w:rFonts w:ascii="宋体" w:hAnsi="宋体"/>
                <w:sz w:val="21"/>
              </w:rPr>
            </w:pPr>
          </w:p>
        </w:tc>
        <w:tc>
          <w:tcPr>
            <w:tcW w:w="869" w:type="dxa"/>
            <w:gridSpan w:val="4"/>
            <w:vMerge w:val="continue"/>
            <w:vAlign w:val="center"/>
          </w:tcPr>
          <w:p w14:paraId="5E896C6D">
            <w:pPr>
              <w:ind w:firstLine="0" w:firstLineChars="0"/>
              <w:rPr>
                <w:rFonts w:ascii="宋体" w:hAnsi="宋体"/>
                <w:sz w:val="21"/>
              </w:rPr>
            </w:pPr>
          </w:p>
        </w:tc>
        <w:tc>
          <w:tcPr>
            <w:tcW w:w="4534" w:type="dxa"/>
            <w:gridSpan w:val="2"/>
            <w:vAlign w:val="center"/>
          </w:tcPr>
          <w:p w14:paraId="151DC0B4">
            <w:pPr>
              <w:ind w:firstLine="0" w:firstLineChars="0"/>
              <w:rPr>
                <w:rFonts w:ascii="宋体" w:hAnsi="宋体"/>
                <w:sz w:val="21"/>
              </w:rPr>
            </w:pPr>
            <w:r>
              <w:rPr>
                <w:rFonts w:hint="eastAsia" w:ascii="宋体" w:hAnsi="宋体"/>
                <w:sz w:val="21"/>
              </w:rPr>
              <w:t>制动器推动器漏油现象</w:t>
            </w:r>
          </w:p>
        </w:tc>
        <w:tc>
          <w:tcPr>
            <w:tcW w:w="966" w:type="dxa"/>
            <w:vAlign w:val="center"/>
          </w:tcPr>
          <w:p w14:paraId="58B38EE9">
            <w:pPr>
              <w:ind w:firstLine="0" w:firstLineChars="0"/>
              <w:jc w:val="center"/>
              <w:rPr>
                <w:rFonts w:ascii="宋体" w:hAnsi="宋体"/>
                <w:sz w:val="21"/>
              </w:rPr>
            </w:pPr>
          </w:p>
        </w:tc>
        <w:tc>
          <w:tcPr>
            <w:tcW w:w="921" w:type="dxa"/>
            <w:vAlign w:val="center"/>
          </w:tcPr>
          <w:p w14:paraId="0EFEB5F9">
            <w:pPr>
              <w:ind w:firstLine="0" w:firstLineChars="0"/>
              <w:jc w:val="center"/>
              <w:rPr>
                <w:rFonts w:ascii="宋体" w:hAnsi="宋体"/>
                <w:sz w:val="21"/>
              </w:rPr>
            </w:pPr>
          </w:p>
        </w:tc>
      </w:tr>
      <w:tr w14:paraId="676830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63369B58">
            <w:pPr>
              <w:ind w:firstLine="0" w:firstLineChars="0"/>
              <w:jc w:val="center"/>
              <w:rPr>
                <w:rFonts w:ascii="宋体" w:hAnsi="宋体"/>
                <w:sz w:val="21"/>
              </w:rPr>
            </w:pPr>
            <w:r>
              <w:rPr>
                <w:rFonts w:hint="eastAsia" w:ascii="宋体" w:hAnsi="宋体"/>
                <w:sz w:val="21"/>
              </w:rPr>
              <w:t>32</w:t>
            </w:r>
          </w:p>
        </w:tc>
        <w:tc>
          <w:tcPr>
            <w:tcW w:w="607" w:type="dxa"/>
            <w:vMerge w:val="continue"/>
            <w:vAlign w:val="center"/>
          </w:tcPr>
          <w:p w14:paraId="4B831721">
            <w:pPr>
              <w:ind w:firstLine="0" w:firstLineChars="0"/>
              <w:jc w:val="center"/>
              <w:rPr>
                <w:rFonts w:ascii="宋体" w:hAnsi="宋体"/>
                <w:sz w:val="21"/>
              </w:rPr>
            </w:pPr>
          </w:p>
        </w:tc>
        <w:tc>
          <w:tcPr>
            <w:tcW w:w="869" w:type="dxa"/>
            <w:gridSpan w:val="4"/>
            <w:vMerge w:val="continue"/>
            <w:vAlign w:val="center"/>
          </w:tcPr>
          <w:p w14:paraId="79B764D1">
            <w:pPr>
              <w:ind w:firstLine="0" w:firstLineChars="0"/>
              <w:rPr>
                <w:rFonts w:ascii="宋体" w:hAnsi="宋体"/>
                <w:sz w:val="21"/>
              </w:rPr>
            </w:pPr>
          </w:p>
        </w:tc>
        <w:tc>
          <w:tcPr>
            <w:tcW w:w="4534" w:type="dxa"/>
            <w:gridSpan w:val="2"/>
            <w:vAlign w:val="center"/>
          </w:tcPr>
          <w:p w14:paraId="27B65627">
            <w:pPr>
              <w:ind w:firstLine="0" w:firstLineChars="0"/>
              <w:rPr>
                <w:rFonts w:ascii="宋体" w:hAnsi="宋体"/>
                <w:sz w:val="21"/>
              </w:rPr>
            </w:pPr>
            <w:r>
              <w:rPr>
                <w:rFonts w:hint="eastAsia" w:ascii="宋体" w:hAnsi="宋体"/>
                <w:sz w:val="21"/>
              </w:rPr>
              <w:t>制动轮与摩擦片摩擦、缺陷和油污现象</w:t>
            </w:r>
          </w:p>
        </w:tc>
        <w:tc>
          <w:tcPr>
            <w:tcW w:w="966" w:type="dxa"/>
            <w:vAlign w:val="center"/>
          </w:tcPr>
          <w:p w14:paraId="1E0DC75D">
            <w:pPr>
              <w:ind w:firstLine="0" w:firstLineChars="0"/>
              <w:jc w:val="center"/>
              <w:rPr>
                <w:rFonts w:ascii="宋体" w:hAnsi="宋体"/>
                <w:sz w:val="21"/>
              </w:rPr>
            </w:pPr>
          </w:p>
        </w:tc>
        <w:tc>
          <w:tcPr>
            <w:tcW w:w="921" w:type="dxa"/>
            <w:vAlign w:val="center"/>
          </w:tcPr>
          <w:p w14:paraId="6C5FE1C2">
            <w:pPr>
              <w:ind w:firstLine="0" w:firstLineChars="0"/>
              <w:jc w:val="center"/>
              <w:rPr>
                <w:rFonts w:ascii="宋体" w:hAnsi="宋体"/>
                <w:sz w:val="21"/>
              </w:rPr>
            </w:pPr>
          </w:p>
        </w:tc>
      </w:tr>
      <w:tr w14:paraId="047C8F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6F87F9FF">
            <w:pPr>
              <w:ind w:firstLine="0" w:firstLineChars="0"/>
              <w:jc w:val="center"/>
              <w:rPr>
                <w:rFonts w:ascii="宋体" w:hAnsi="宋体"/>
                <w:sz w:val="21"/>
              </w:rPr>
            </w:pPr>
            <w:r>
              <w:rPr>
                <w:rFonts w:hint="eastAsia" w:ascii="宋体" w:hAnsi="宋体"/>
                <w:sz w:val="21"/>
              </w:rPr>
              <w:t>33</w:t>
            </w:r>
          </w:p>
        </w:tc>
        <w:tc>
          <w:tcPr>
            <w:tcW w:w="607" w:type="dxa"/>
            <w:vMerge w:val="continue"/>
            <w:vAlign w:val="center"/>
          </w:tcPr>
          <w:p w14:paraId="7185CFBF">
            <w:pPr>
              <w:ind w:firstLine="0" w:firstLineChars="0"/>
              <w:jc w:val="center"/>
              <w:rPr>
                <w:rFonts w:ascii="宋体" w:hAnsi="宋体"/>
                <w:sz w:val="21"/>
              </w:rPr>
            </w:pPr>
          </w:p>
        </w:tc>
        <w:tc>
          <w:tcPr>
            <w:tcW w:w="869" w:type="dxa"/>
            <w:gridSpan w:val="4"/>
            <w:vMerge w:val="continue"/>
            <w:vAlign w:val="center"/>
          </w:tcPr>
          <w:p w14:paraId="4F1E3135">
            <w:pPr>
              <w:ind w:firstLine="0" w:firstLineChars="0"/>
              <w:rPr>
                <w:rFonts w:ascii="宋体" w:hAnsi="宋体"/>
                <w:sz w:val="21"/>
              </w:rPr>
            </w:pPr>
          </w:p>
        </w:tc>
        <w:tc>
          <w:tcPr>
            <w:tcW w:w="4534" w:type="dxa"/>
            <w:gridSpan w:val="2"/>
            <w:vAlign w:val="center"/>
          </w:tcPr>
          <w:p w14:paraId="5F738B53">
            <w:pPr>
              <w:ind w:firstLine="0" w:firstLineChars="0"/>
              <w:rPr>
                <w:rFonts w:ascii="宋体" w:hAnsi="宋体"/>
                <w:sz w:val="21"/>
              </w:rPr>
            </w:pPr>
            <w:r>
              <w:rPr>
                <w:rFonts w:hint="eastAsia" w:ascii="宋体" w:hAnsi="宋体"/>
                <w:sz w:val="21"/>
              </w:rPr>
              <w:t>制动器调整</w:t>
            </w:r>
          </w:p>
        </w:tc>
        <w:tc>
          <w:tcPr>
            <w:tcW w:w="966" w:type="dxa"/>
            <w:vAlign w:val="center"/>
          </w:tcPr>
          <w:p w14:paraId="4522D79A">
            <w:pPr>
              <w:ind w:firstLine="0" w:firstLineChars="0"/>
              <w:jc w:val="center"/>
              <w:rPr>
                <w:rFonts w:ascii="宋体" w:hAnsi="宋体"/>
                <w:sz w:val="21"/>
              </w:rPr>
            </w:pPr>
          </w:p>
        </w:tc>
        <w:tc>
          <w:tcPr>
            <w:tcW w:w="921" w:type="dxa"/>
            <w:vAlign w:val="center"/>
          </w:tcPr>
          <w:p w14:paraId="21EF02B4">
            <w:pPr>
              <w:ind w:firstLine="0" w:firstLineChars="0"/>
              <w:jc w:val="center"/>
              <w:rPr>
                <w:rFonts w:ascii="宋体" w:hAnsi="宋体"/>
                <w:sz w:val="21"/>
              </w:rPr>
            </w:pPr>
          </w:p>
        </w:tc>
      </w:tr>
      <w:tr w14:paraId="2E099C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714" w:hRule="atLeast"/>
          <w:jc w:val="center"/>
        </w:trPr>
        <w:tc>
          <w:tcPr>
            <w:tcW w:w="534" w:type="dxa"/>
            <w:vAlign w:val="center"/>
          </w:tcPr>
          <w:p w14:paraId="1F96315D">
            <w:pPr>
              <w:ind w:firstLine="0" w:firstLineChars="0"/>
              <w:jc w:val="center"/>
              <w:rPr>
                <w:rFonts w:ascii="宋体" w:hAnsi="宋体"/>
                <w:sz w:val="21"/>
              </w:rPr>
            </w:pPr>
            <w:r>
              <w:rPr>
                <w:rFonts w:hint="eastAsia" w:ascii="宋体" w:hAnsi="宋体"/>
                <w:sz w:val="21"/>
              </w:rPr>
              <w:t>34</w:t>
            </w:r>
          </w:p>
        </w:tc>
        <w:tc>
          <w:tcPr>
            <w:tcW w:w="607" w:type="dxa"/>
            <w:vMerge w:val="continue"/>
            <w:vAlign w:val="center"/>
          </w:tcPr>
          <w:p w14:paraId="457F69A2">
            <w:pPr>
              <w:ind w:firstLine="0" w:firstLineChars="0"/>
              <w:jc w:val="center"/>
              <w:rPr>
                <w:rFonts w:ascii="宋体" w:hAnsi="宋体"/>
                <w:sz w:val="21"/>
              </w:rPr>
            </w:pPr>
          </w:p>
        </w:tc>
        <w:tc>
          <w:tcPr>
            <w:tcW w:w="869" w:type="dxa"/>
            <w:gridSpan w:val="4"/>
            <w:vMerge w:val="continue"/>
            <w:vAlign w:val="center"/>
          </w:tcPr>
          <w:p w14:paraId="71FAA420">
            <w:pPr>
              <w:ind w:firstLine="0" w:firstLineChars="0"/>
              <w:rPr>
                <w:rFonts w:ascii="宋体" w:hAnsi="宋体"/>
                <w:sz w:val="21"/>
              </w:rPr>
            </w:pPr>
          </w:p>
        </w:tc>
        <w:tc>
          <w:tcPr>
            <w:tcW w:w="4534" w:type="dxa"/>
            <w:gridSpan w:val="2"/>
            <w:vAlign w:val="center"/>
          </w:tcPr>
          <w:p w14:paraId="2EE4E5DC">
            <w:pPr>
              <w:ind w:firstLine="0" w:firstLineChars="0"/>
              <w:rPr>
                <w:rFonts w:ascii="宋体" w:hAnsi="宋体"/>
                <w:sz w:val="21"/>
              </w:rPr>
            </w:pPr>
            <w:r>
              <w:rPr>
                <w:rFonts w:hint="eastAsia" w:ascii="宋体" w:hAnsi="宋体"/>
                <w:sz w:val="21"/>
              </w:rPr>
              <w:t>制动轮裂纹、划痕、凹凸不平度</w:t>
            </w:r>
          </w:p>
        </w:tc>
        <w:tc>
          <w:tcPr>
            <w:tcW w:w="966" w:type="dxa"/>
            <w:vAlign w:val="center"/>
          </w:tcPr>
          <w:p w14:paraId="099BAB5F">
            <w:pPr>
              <w:ind w:firstLine="0" w:firstLineChars="0"/>
              <w:jc w:val="center"/>
              <w:rPr>
                <w:rFonts w:ascii="宋体" w:hAnsi="宋体"/>
                <w:sz w:val="21"/>
              </w:rPr>
            </w:pPr>
          </w:p>
        </w:tc>
        <w:tc>
          <w:tcPr>
            <w:tcW w:w="921" w:type="dxa"/>
            <w:vAlign w:val="center"/>
          </w:tcPr>
          <w:p w14:paraId="74ACCE0D">
            <w:pPr>
              <w:ind w:firstLine="0" w:firstLineChars="0"/>
              <w:jc w:val="center"/>
              <w:rPr>
                <w:rFonts w:ascii="宋体" w:hAnsi="宋体"/>
                <w:sz w:val="21"/>
              </w:rPr>
            </w:pPr>
          </w:p>
        </w:tc>
      </w:tr>
      <w:tr w14:paraId="6252E0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1086" w:hRule="atLeast"/>
          <w:jc w:val="center"/>
        </w:trPr>
        <w:tc>
          <w:tcPr>
            <w:tcW w:w="534" w:type="dxa"/>
            <w:vAlign w:val="center"/>
          </w:tcPr>
          <w:p w14:paraId="3781F2EE">
            <w:pPr>
              <w:ind w:firstLine="0" w:firstLineChars="0"/>
              <w:jc w:val="center"/>
              <w:rPr>
                <w:rFonts w:ascii="宋体" w:hAnsi="宋体"/>
                <w:sz w:val="21"/>
              </w:rPr>
            </w:pPr>
            <w:r>
              <w:rPr>
                <w:rFonts w:hint="eastAsia" w:ascii="宋体" w:hAnsi="宋体"/>
                <w:sz w:val="21"/>
              </w:rPr>
              <w:t>35</w:t>
            </w:r>
          </w:p>
        </w:tc>
        <w:tc>
          <w:tcPr>
            <w:tcW w:w="607" w:type="dxa"/>
            <w:vMerge w:val="continue"/>
            <w:vAlign w:val="center"/>
          </w:tcPr>
          <w:p w14:paraId="0766E2FE">
            <w:pPr>
              <w:ind w:firstLine="0" w:firstLineChars="0"/>
              <w:jc w:val="center"/>
              <w:rPr>
                <w:rFonts w:ascii="宋体" w:hAnsi="宋体"/>
                <w:sz w:val="21"/>
              </w:rPr>
            </w:pPr>
          </w:p>
        </w:tc>
        <w:tc>
          <w:tcPr>
            <w:tcW w:w="869" w:type="dxa"/>
            <w:gridSpan w:val="4"/>
            <w:vMerge w:val="restart"/>
            <w:vAlign w:val="center"/>
          </w:tcPr>
          <w:p w14:paraId="3120522F">
            <w:pPr>
              <w:ind w:firstLine="0" w:firstLineChars="0"/>
              <w:rPr>
                <w:rFonts w:ascii="宋体" w:hAnsi="宋体"/>
                <w:sz w:val="21"/>
              </w:rPr>
            </w:pPr>
            <w:r>
              <w:rPr>
                <w:rFonts w:hint="eastAsia" w:ascii="宋体" w:hAnsi="宋体"/>
                <w:sz w:val="21"/>
              </w:rPr>
              <w:t xml:space="preserve"> 起重量限制器</w:t>
            </w:r>
          </w:p>
        </w:tc>
        <w:tc>
          <w:tcPr>
            <w:tcW w:w="4534" w:type="dxa"/>
            <w:gridSpan w:val="2"/>
            <w:vAlign w:val="center"/>
          </w:tcPr>
          <w:p w14:paraId="16763081">
            <w:pPr>
              <w:ind w:firstLine="0" w:firstLineChars="0"/>
              <w:rPr>
                <w:rFonts w:ascii="宋体" w:hAnsi="宋体"/>
                <w:sz w:val="21"/>
              </w:rPr>
            </w:pPr>
            <w:r>
              <w:rPr>
                <w:rFonts w:hint="eastAsia" w:ascii="宋体" w:hAnsi="宋体"/>
                <w:sz w:val="21"/>
              </w:rPr>
              <w:t>起重量限制器设置</w:t>
            </w:r>
          </w:p>
        </w:tc>
        <w:tc>
          <w:tcPr>
            <w:tcW w:w="966" w:type="dxa"/>
            <w:vAlign w:val="center"/>
          </w:tcPr>
          <w:p w14:paraId="01151D8C">
            <w:pPr>
              <w:ind w:firstLine="0" w:firstLineChars="0"/>
              <w:jc w:val="center"/>
              <w:rPr>
                <w:rFonts w:ascii="宋体" w:hAnsi="宋体"/>
                <w:sz w:val="21"/>
              </w:rPr>
            </w:pPr>
          </w:p>
        </w:tc>
        <w:tc>
          <w:tcPr>
            <w:tcW w:w="921" w:type="dxa"/>
            <w:vAlign w:val="center"/>
          </w:tcPr>
          <w:p w14:paraId="247BE20B">
            <w:pPr>
              <w:ind w:firstLine="0" w:firstLineChars="0"/>
              <w:jc w:val="center"/>
              <w:rPr>
                <w:rFonts w:ascii="宋体" w:hAnsi="宋体"/>
                <w:sz w:val="21"/>
              </w:rPr>
            </w:pPr>
          </w:p>
        </w:tc>
      </w:tr>
      <w:tr w14:paraId="43D5AB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16F0A9A9">
            <w:pPr>
              <w:ind w:firstLine="0" w:firstLineChars="0"/>
              <w:jc w:val="center"/>
              <w:rPr>
                <w:rFonts w:ascii="宋体" w:hAnsi="宋体"/>
                <w:sz w:val="21"/>
              </w:rPr>
            </w:pPr>
            <w:r>
              <w:rPr>
                <w:rFonts w:hint="eastAsia" w:ascii="宋体" w:hAnsi="宋体"/>
                <w:sz w:val="21"/>
              </w:rPr>
              <w:t>36</w:t>
            </w:r>
          </w:p>
        </w:tc>
        <w:tc>
          <w:tcPr>
            <w:tcW w:w="607" w:type="dxa"/>
            <w:vMerge w:val="continue"/>
            <w:vAlign w:val="center"/>
          </w:tcPr>
          <w:p w14:paraId="698665B7">
            <w:pPr>
              <w:ind w:firstLine="0" w:firstLineChars="0"/>
              <w:jc w:val="center"/>
              <w:rPr>
                <w:rFonts w:ascii="宋体" w:hAnsi="宋体"/>
                <w:sz w:val="21"/>
              </w:rPr>
            </w:pPr>
          </w:p>
        </w:tc>
        <w:tc>
          <w:tcPr>
            <w:tcW w:w="869" w:type="dxa"/>
            <w:gridSpan w:val="4"/>
            <w:vMerge w:val="continue"/>
            <w:vAlign w:val="center"/>
          </w:tcPr>
          <w:p w14:paraId="04221E6E">
            <w:pPr>
              <w:ind w:firstLine="0" w:firstLineChars="0"/>
              <w:rPr>
                <w:rFonts w:ascii="宋体" w:hAnsi="宋体"/>
                <w:sz w:val="21"/>
              </w:rPr>
            </w:pPr>
          </w:p>
        </w:tc>
        <w:tc>
          <w:tcPr>
            <w:tcW w:w="4534" w:type="dxa"/>
            <w:gridSpan w:val="2"/>
            <w:vAlign w:val="center"/>
          </w:tcPr>
          <w:p w14:paraId="6B98C67C">
            <w:pPr>
              <w:ind w:firstLine="0" w:firstLineChars="0"/>
              <w:rPr>
                <w:rFonts w:ascii="宋体" w:hAnsi="宋体"/>
                <w:sz w:val="21"/>
              </w:rPr>
            </w:pPr>
            <w:r>
              <w:rPr>
                <w:rFonts w:hint="eastAsia" w:ascii="宋体" w:hAnsi="宋体"/>
                <w:sz w:val="21"/>
              </w:rPr>
              <w:t>试验</w:t>
            </w:r>
          </w:p>
        </w:tc>
        <w:tc>
          <w:tcPr>
            <w:tcW w:w="966" w:type="dxa"/>
            <w:vAlign w:val="center"/>
          </w:tcPr>
          <w:p w14:paraId="57A9BA54">
            <w:pPr>
              <w:ind w:firstLine="0" w:firstLineChars="0"/>
              <w:jc w:val="center"/>
              <w:rPr>
                <w:rFonts w:ascii="宋体" w:hAnsi="宋体"/>
                <w:sz w:val="21"/>
              </w:rPr>
            </w:pPr>
          </w:p>
        </w:tc>
        <w:tc>
          <w:tcPr>
            <w:tcW w:w="921" w:type="dxa"/>
            <w:vAlign w:val="center"/>
          </w:tcPr>
          <w:p w14:paraId="496DB276">
            <w:pPr>
              <w:ind w:firstLine="0" w:firstLineChars="0"/>
              <w:jc w:val="center"/>
              <w:rPr>
                <w:rFonts w:ascii="宋体" w:hAnsi="宋体"/>
                <w:sz w:val="21"/>
              </w:rPr>
            </w:pPr>
          </w:p>
        </w:tc>
      </w:tr>
      <w:tr w14:paraId="67329A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2F4856FB">
            <w:pPr>
              <w:ind w:firstLine="0" w:firstLineChars="0"/>
              <w:jc w:val="center"/>
              <w:rPr>
                <w:rFonts w:ascii="宋体" w:hAnsi="宋体"/>
                <w:sz w:val="21"/>
              </w:rPr>
            </w:pPr>
            <w:r>
              <w:rPr>
                <w:rFonts w:hint="eastAsia" w:ascii="宋体" w:hAnsi="宋体"/>
                <w:sz w:val="21"/>
              </w:rPr>
              <w:t>37</w:t>
            </w:r>
          </w:p>
        </w:tc>
        <w:tc>
          <w:tcPr>
            <w:tcW w:w="607" w:type="dxa"/>
            <w:vMerge w:val="continue"/>
            <w:vAlign w:val="center"/>
          </w:tcPr>
          <w:p w14:paraId="1DE90847">
            <w:pPr>
              <w:ind w:firstLine="0" w:firstLineChars="0"/>
              <w:jc w:val="center"/>
              <w:rPr>
                <w:rFonts w:ascii="宋体" w:hAnsi="宋体"/>
                <w:sz w:val="21"/>
              </w:rPr>
            </w:pPr>
          </w:p>
        </w:tc>
        <w:tc>
          <w:tcPr>
            <w:tcW w:w="5403" w:type="dxa"/>
            <w:gridSpan w:val="6"/>
            <w:vAlign w:val="center"/>
          </w:tcPr>
          <w:p w14:paraId="18C46FF6">
            <w:pPr>
              <w:ind w:firstLine="0" w:firstLineChars="0"/>
              <w:rPr>
                <w:rFonts w:ascii="宋体" w:hAnsi="宋体"/>
                <w:sz w:val="21"/>
              </w:rPr>
            </w:pPr>
            <w:r>
              <w:rPr>
                <w:rFonts w:hint="eastAsia" w:ascii="宋体" w:hAnsi="宋体"/>
                <w:sz w:val="21"/>
              </w:rPr>
              <w:t>起升高度（下降深度）限位器</w:t>
            </w:r>
          </w:p>
        </w:tc>
        <w:tc>
          <w:tcPr>
            <w:tcW w:w="966" w:type="dxa"/>
            <w:vAlign w:val="center"/>
          </w:tcPr>
          <w:p w14:paraId="09DC3DE1">
            <w:pPr>
              <w:ind w:firstLine="0" w:firstLineChars="0"/>
              <w:jc w:val="center"/>
              <w:rPr>
                <w:rFonts w:ascii="宋体" w:hAnsi="宋体"/>
                <w:sz w:val="21"/>
              </w:rPr>
            </w:pPr>
          </w:p>
        </w:tc>
        <w:tc>
          <w:tcPr>
            <w:tcW w:w="921" w:type="dxa"/>
            <w:vAlign w:val="center"/>
          </w:tcPr>
          <w:p w14:paraId="528500D6">
            <w:pPr>
              <w:ind w:firstLine="0" w:firstLineChars="0"/>
              <w:jc w:val="center"/>
              <w:rPr>
                <w:rFonts w:ascii="宋体" w:hAnsi="宋体"/>
                <w:sz w:val="21"/>
              </w:rPr>
            </w:pPr>
          </w:p>
        </w:tc>
      </w:tr>
      <w:tr w14:paraId="4FDCD4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17784047">
            <w:pPr>
              <w:ind w:firstLine="0" w:firstLineChars="0"/>
              <w:jc w:val="center"/>
              <w:rPr>
                <w:rFonts w:ascii="宋体" w:hAnsi="宋体"/>
                <w:sz w:val="21"/>
              </w:rPr>
            </w:pPr>
            <w:r>
              <w:rPr>
                <w:rFonts w:hint="eastAsia" w:ascii="宋体" w:hAnsi="宋体"/>
                <w:sz w:val="21"/>
              </w:rPr>
              <w:t>38</w:t>
            </w:r>
          </w:p>
        </w:tc>
        <w:tc>
          <w:tcPr>
            <w:tcW w:w="607" w:type="dxa"/>
            <w:vMerge w:val="continue"/>
            <w:vAlign w:val="center"/>
          </w:tcPr>
          <w:p w14:paraId="61D6403D">
            <w:pPr>
              <w:ind w:firstLine="0" w:firstLineChars="0"/>
              <w:jc w:val="center"/>
              <w:rPr>
                <w:rFonts w:ascii="宋体" w:hAnsi="宋体"/>
                <w:sz w:val="21"/>
              </w:rPr>
            </w:pPr>
          </w:p>
        </w:tc>
        <w:tc>
          <w:tcPr>
            <w:tcW w:w="5403" w:type="dxa"/>
            <w:gridSpan w:val="6"/>
            <w:vAlign w:val="center"/>
          </w:tcPr>
          <w:p w14:paraId="1FBC071B">
            <w:pPr>
              <w:ind w:firstLine="0" w:firstLineChars="0"/>
              <w:rPr>
                <w:rFonts w:ascii="宋体" w:hAnsi="宋体"/>
                <w:sz w:val="21"/>
              </w:rPr>
            </w:pPr>
            <w:r>
              <w:rPr>
                <w:rFonts w:hint="eastAsia" w:ascii="宋体" w:hAnsi="宋体"/>
                <w:sz w:val="21"/>
              </w:rPr>
              <w:t>力矩限位器</w:t>
            </w:r>
          </w:p>
        </w:tc>
        <w:tc>
          <w:tcPr>
            <w:tcW w:w="966" w:type="dxa"/>
            <w:vAlign w:val="center"/>
          </w:tcPr>
          <w:p w14:paraId="65A57EDB">
            <w:pPr>
              <w:ind w:firstLine="0" w:firstLineChars="0"/>
              <w:jc w:val="center"/>
              <w:rPr>
                <w:rFonts w:ascii="宋体" w:hAnsi="宋体"/>
                <w:sz w:val="21"/>
              </w:rPr>
            </w:pPr>
          </w:p>
        </w:tc>
        <w:tc>
          <w:tcPr>
            <w:tcW w:w="921" w:type="dxa"/>
            <w:vAlign w:val="center"/>
          </w:tcPr>
          <w:p w14:paraId="064A9E12">
            <w:pPr>
              <w:ind w:firstLine="0" w:firstLineChars="0"/>
              <w:jc w:val="center"/>
              <w:rPr>
                <w:rFonts w:ascii="宋体" w:hAnsi="宋体"/>
                <w:sz w:val="21"/>
              </w:rPr>
            </w:pPr>
          </w:p>
        </w:tc>
      </w:tr>
      <w:tr w14:paraId="09803D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0D46F1D8">
            <w:pPr>
              <w:ind w:firstLine="0" w:firstLineChars="0"/>
              <w:jc w:val="center"/>
              <w:rPr>
                <w:rFonts w:ascii="宋体" w:hAnsi="宋体"/>
                <w:sz w:val="21"/>
              </w:rPr>
            </w:pPr>
            <w:r>
              <w:rPr>
                <w:rFonts w:hint="eastAsia" w:ascii="宋体" w:hAnsi="宋体"/>
                <w:sz w:val="21"/>
              </w:rPr>
              <w:t>39</w:t>
            </w:r>
          </w:p>
        </w:tc>
        <w:tc>
          <w:tcPr>
            <w:tcW w:w="607" w:type="dxa"/>
            <w:vMerge w:val="continue"/>
            <w:vAlign w:val="center"/>
          </w:tcPr>
          <w:p w14:paraId="1BC33FEA">
            <w:pPr>
              <w:ind w:firstLine="0" w:firstLineChars="0"/>
              <w:jc w:val="center"/>
              <w:rPr>
                <w:rFonts w:ascii="宋体" w:hAnsi="宋体"/>
                <w:sz w:val="21"/>
              </w:rPr>
            </w:pPr>
          </w:p>
        </w:tc>
        <w:tc>
          <w:tcPr>
            <w:tcW w:w="5403" w:type="dxa"/>
            <w:gridSpan w:val="6"/>
            <w:vAlign w:val="center"/>
          </w:tcPr>
          <w:p w14:paraId="2D6FD52E">
            <w:pPr>
              <w:ind w:firstLine="0" w:firstLineChars="0"/>
              <w:rPr>
                <w:rFonts w:ascii="宋体" w:hAnsi="宋体"/>
                <w:sz w:val="21"/>
              </w:rPr>
            </w:pPr>
            <w:r>
              <w:rPr>
                <w:rFonts w:hint="eastAsia" w:ascii="宋体" w:hAnsi="宋体"/>
                <w:sz w:val="21"/>
              </w:rPr>
              <w:t xml:space="preserve">回转限位器 </w:t>
            </w:r>
          </w:p>
        </w:tc>
        <w:tc>
          <w:tcPr>
            <w:tcW w:w="966" w:type="dxa"/>
            <w:vAlign w:val="center"/>
          </w:tcPr>
          <w:p w14:paraId="55C39208">
            <w:pPr>
              <w:ind w:firstLine="0" w:firstLineChars="0"/>
              <w:jc w:val="center"/>
              <w:rPr>
                <w:rFonts w:ascii="宋体" w:hAnsi="宋体"/>
                <w:sz w:val="21"/>
              </w:rPr>
            </w:pPr>
          </w:p>
        </w:tc>
        <w:tc>
          <w:tcPr>
            <w:tcW w:w="921" w:type="dxa"/>
            <w:vAlign w:val="center"/>
          </w:tcPr>
          <w:p w14:paraId="40CD4214">
            <w:pPr>
              <w:ind w:firstLine="0" w:firstLineChars="0"/>
              <w:jc w:val="center"/>
              <w:rPr>
                <w:rFonts w:ascii="宋体" w:hAnsi="宋体"/>
                <w:sz w:val="21"/>
              </w:rPr>
            </w:pPr>
          </w:p>
        </w:tc>
      </w:tr>
      <w:tr w14:paraId="7EFD4A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1BBB69F9">
            <w:pPr>
              <w:ind w:firstLine="0" w:firstLineChars="0"/>
              <w:jc w:val="center"/>
              <w:rPr>
                <w:rFonts w:ascii="宋体" w:hAnsi="宋体"/>
                <w:sz w:val="21"/>
              </w:rPr>
            </w:pPr>
            <w:r>
              <w:rPr>
                <w:rFonts w:hint="eastAsia" w:ascii="宋体" w:hAnsi="宋体"/>
                <w:sz w:val="21"/>
              </w:rPr>
              <w:t>40</w:t>
            </w:r>
          </w:p>
        </w:tc>
        <w:tc>
          <w:tcPr>
            <w:tcW w:w="607" w:type="dxa"/>
            <w:vMerge w:val="continue"/>
            <w:vAlign w:val="center"/>
          </w:tcPr>
          <w:p w14:paraId="49F94216">
            <w:pPr>
              <w:ind w:firstLine="0" w:firstLineChars="0"/>
              <w:jc w:val="center"/>
              <w:rPr>
                <w:rFonts w:ascii="宋体" w:hAnsi="宋体"/>
                <w:sz w:val="21"/>
              </w:rPr>
            </w:pPr>
          </w:p>
        </w:tc>
        <w:tc>
          <w:tcPr>
            <w:tcW w:w="5403" w:type="dxa"/>
            <w:gridSpan w:val="6"/>
            <w:vAlign w:val="center"/>
          </w:tcPr>
          <w:p w14:paraId="37C6ED88">
            <w:pPr>
              <w:ind w:firstLine="0" w:firstLineChars="0"/>
              <w:rPr>
                <w:rFonts w:ascii="宋体" w:hAnsi="宋体"/>
                <w:sz w:val="21"/>
              </w:rPr>
            </w:pPr>
            <w:r>
              <w:rPr>
                <w:rFonts w:hint="eastAsia" w:ascii="宋体" w:hAnsi="宋体"/>
                <w:sz w:val="21"/>
              </w:rPr>
              <w:t>小车变幅限位器</w:t>
            </w:r>
          </w:p>
        </w:tc>
        <w:tc>
          <w:tcPr>
            <w:tcW w:w="966" w:type="dxa"/>
            <w:vAlign w:val="center"/>
          </w:tcPr>
          <w:p w14:paraId="1501F78E">
            <w:pPr>
              <w:ind w:firstLine="0" w:firstLineChars="0"/>
              <w:jc w:val="center"/>
              <w:rPr>
                <w:rFonts w:ascii="宋体" w:hAnsi="宋体"/>
                <w:sz w:val="21"/>
              </w:rPr>
            </w:pPr>
          </w:p>
        </w:tc>
        <w:tc>
          <w:tcPr>
            <w:tcW w:w="921" w:type="dxa"/>
            <w:vAlign w:val="center"/>
          </w:tcPr>
          <w:p w14:paraId="2C4AD17F">
            <w:pPr>
              <w:ind w:firstLine="0" w:firstLineChars="0"/>
              <w:jc w:val="center"/>
              <w:rPr>
                <w:rFonts w:ascii="宋体" w:hAnsi="宋体"/>
                <w:sz w:val="21"/>
              </w:rPr>
            </w:pPr>
          </w:p>
        </w:tc>
      </w:tr>
      <w:tr w14:paraId="0C21CD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00CB3EFB">
            <w:pPr>
              <w:ind w:firstLine="0" w:firstLineChars="0"/>
              <w:jc w:val="center"/>
              <w:rPr>
                <w:rFonts w:ascii="宋体" w:hAnsi="宋体"/>
                <w:sz w:val="21"/>
              </w:rPr>
            </w:pPr>
            <w:r>
              <w:rPr>
                <w:rFonts w:hint="eastAsia" w:ascii="宋体" w:hAnsi="宋体"/>
                <w:sz w:val="21"/>
              </w:rPr>
              <w:t>41</w:t>
            </w:r>
          </w:p>
        </w:tc>
        <w:tc>
          <w:tcPr>
            <w:tcW w:w="607" w:type="dxa"/>
            <w:vMerge w:val="continue"/>
            <w:vAlign w:val="center"/>
          </w:tcPr>
          <w:p w14:paraId="2299D706">
            <w:pPr>
              <w:ind w:firstLine="0" w:firstLineChars="0"/>
              <w:jc w:val="center"/>
              <w:rPr>
                <w:rFonts w:ascii="宋体" w:hAnsi="宋体"/>
                <w:sz w:val="21"/>
              </w:rPr>
            </w:pPr>
          </w:p>
        </w:tc>
        <w:tc>
          <w:tcPr>
            <w:tcW w:w="5403" w:type="dxa"/>
            <w:gridSpan w:val="6"/>
            <w:vAlign w:val="center"/>
          </w:tcPr>
          <w:p w14:paraId="7DC0A3ED">
            <w:pPr>
              <w:ind w:firstLine="0" w:firstLineChars="0"/>
              <w:rPr>
                <w:rFonts w:ascii="宋体" w:hAnsi="宋体"/>
                <w:sz w:val="21"/>
              </w:rPr>
            </w:pPr>
            <w:r>
              <w:rPr>
                <w:rFonts w:hint="eastAsia" w:ascii="宋体" w:hAnsi="宋体"/>
                <w:sz w:val="21"/>
              </w:rPr>
              <w:t>应急断电开关</w:t>
            </w:r>
          </w:p>
        </w:tc>
        <w:tc>
          <w:tcPr>
            <w:tcW w:w="966" w:type="dxa"/>
            <w:vAlign w:val="center"/>
          </w:tcPr>
          <w:p w14:paraId="536635BE">
            <w:pPr>
              <w:ind w:firstLine="0" w:firstLineChars="0"/>
              <w:jc w:val="center"/>
              <w:rPr>
                <w:rFonts w:ascii="宋体" w:hAnsi="宋体"/>
                <w:sz w:val="21"/>
              </w:rPr>
            </w:pPr>
          </w:p>
        </w:tc>
        <w:tc>
          <w:tcPr>
            <w:tcW w:w="921" w:type="dxa"/>
            <w:vAlign w:val="center"/>
          </w:tcPr>
          <w:p w14:paraId="1AF40628">
            <w:pPr>
              <w:ind w:firstLine="0" w:firstLineChars="0"/>
              <w:jc w:val="center"/>
              <w:rPr>
                <w:rFonts w:ascii="宋体" w:hAnsi="宋体"/>
                <w:sz w:val="21"/>
              </w:rPr>
            </w:pPr>
          </w:p>
        </w:tc>
      </w:tr>
      <w:tr w14:paraId="51C204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2235DCA6">
            <w:pPr>
              <w:ind w:firstLine="0" w:firstLineChars="0"/>
              <w:jc w:val="center"/>
              <w:rPr>
                <w:rFonts w:ascii="宋体" w:hAnsi="宋体"/>
                <w:sz w:val="21"/>
              </w:rPr>
            </w:pPr>
            <w:r>
              <w:rPr>
                <w:rFonts w:hint="eastAsia" w:ascii="宋体" w:hAnsi="宋体"/>
                <w:sz w:val="21"/>
              </w:rPr>
              <w:t>42</w:t>
            </w:r>
          </w:p>
        </w:tc>
        <w:tc>
          <w:tcPr>
            <w:tcW w:w="607" w:type="dxa"/>
            <w:vMerge w:val="continue"/>
            <w:vAlign w:val="center"/>
          </w:tcPr>
          <w:p w14:paraId="2610C134">
            <w:pPr>
              <w:ind w:firstLine="0" w:firstLineChars="0"/>
              <w:jc w:val="center"/>
              <w:rPr>
                <w:rFonts w:ascii="宋体" w:hAnsi="宋体"/>
                <w:sz w:val="21"/>
              </w:rPr>
            </w:pPr>
          </w:p>
        </w:tc>
        <w:tc>
          <w:tcPr>
            <w:tcW w:w="5403" w:type="dxa"/>
            <w:gridSpan w:val="6"/>
            <w:vAlign w:val="center"/>
          </w:tcPr>
          <w:p w14:paraId="5579098E">
            <w:pPr>
              <w:ind w:firstLine="0" w:firstLineChars="0"/>
              <w:rPr>
                <w:rFonts w:ascii="宋体" w:hAnsi="宋体"/>
                <w:sz w:val="21"/>
              </w:rPr>
            </w:pPr>
            <w:r>
              <w:rPr>
                <w:rFonts w:hint="eastAsia" w:ascii="宋体" w:hAnsi="宋体"/>
                <w:sz w:val="21"/>
              </w:rPr>
              <w:t>连锁保护装置</w:t>
            </w:r>
          </w:p>
        </w:tc>
        <w:tc>
          <w:tcPr>
            <w:tcW w:w="966" w:type="dxa"/>
            <w:vAlign w:val="center"/>
          </w:tcPr>
          <w:p w14:paraId="7A4F57EE">
            <w:pPr>
              <w:ind w:firstLine="0" w:firstLineChars="0"/>
              <w:jc w:val="center"/>
              <w:rPr>
                <w:rFonts w:ascii="宋体" w:hAnsi="宋体"/>
                <w:sz w:val="21"/>
              </w:rPr>
            </w:pPr>
          </w:p>
        </w:tc>
        <w:tc>
          <w:tcPr>
            <w:tcW w:w="921" w:type="dxa"/>
            <w:vAlign w:val="center"/>
          </w:tcPr>
          <w:p w14:paraId="00515FF7">
            <w:pPr>
              <w:ind w:firstLine="0" w:firstLineChars="0"/>
              <w:jc w:val="center"/>
              <w:rPr>
                <w:rFonts w:ascii="宋体" w:hAnsi="宋体"/>
                <w:sz w:val="21"/>
              </w:rPr>
            </w:pPr>
          </w:p>
        </w:tc>
      </w:tr>
      <w:tr w14:paraId="149290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3D497A4F">
            <w:pPr>
              <w:ind w:firstLine="0" w:firstLineChars="0"/>
              <w:jc w:val="center"/>
              <w:rPr>
                <w:rFonts w:ascii="宋体" w:hAnsi="宋体"/>
                <w:sz w:val="21"/>
              </w:rPr>
            </w:pPr>
            <w:r>
              <w:rPr>
                <w:rFonts w:hint="eastAsia" w:ascii="宋体" w:hAnsi="宋体"/>
                <w:sz w:val="21"/>
              </w:rPr>
              <w:t>43</w:t>
            </w:r>
          </w:p>
        </w:tc>
        <w:tc>
          <w:tcPr>
            <w:tcW w:w="607" w:type="dxa"/>
            <w:vMerge w:val="continue"/>
            <w:vAlign w:val="center"/>
          </w:tcPr>
          <w:p w14:paraId="5D80983A">
            <w:pPr>
              <w:ind w:firstLine="0" w:firstLineChars="0"/>
              <w:jc w:val="center"/>
              <w:rPr>
                <w:rFonts w:ascii="宋体" w:hAnsi="宋体"/>
                <w:sz w:val="21"/>
              </w:rPr>
            </w:pPr>
          </w:p>
        </w:tc>
        <w:tc>
          <w:tcPr>
            <w:tcW w:w="5403" w:type="dxa"/>
            <w:gridSpan w:val="6"/>
            <w:vAlign w:val="center"/>
          </w:tcPr>
          <w:p w14:paraId="69073052">
            <w:pPr>
              <w:ind w:firstLine="0" w:firstLineChars="0"/>
              <w:rPr>
                <w:rFonts w:ascii="宋体" w:hAnsi="宋体"/>
                <w:sz w:val="21"/>
              </w:rPr>
            </w:pPr>
            <w:r>
              <w:rPr>
                <w:rFonts w:hint="eastAsia" w:ascii="宋体" w:hAnsi="宋体"/>
                <w:sz w:val="21"/>
              </w:rPr>
              <w:t>超速保护装置</w:t>
            </w:r>
          </w:p>
        </w:tc>
        <w:tc>
          <w:tcPr>
            <w:tcW w:w="966" w:type="dxa"/>
            <w:vAlign w:val="center"/>
          </w:tcPr>
          <w:p w14:paraId="3A4623D9">
            <w:pPr>
              <w:ind w:firstLine="0" w:firstLineChars="0"/>
              <w:jc w:val="center"/>
              <w:rPr>
                <w:rFonts w:ascii="宋体" w:hAnsi="宋体"/>
                <w:sz w:val="21"/>
              </w:rPr>
            </w:pPr>
          </w:p>
        </w:tc>
        <w:tc>
          <w:tcPr>
            <w:tcW w:w="921" w:type="dxa"/>
            <w:vAlign w:val="center"/>
          </w:tcPr>
          <w:p w14:paraId="4DA80508">
            <w:pPr>
              <w:ind w:firstLine="0" w:firstLineChars="0"/>
              <w:jc w:val="center"/>
              <w:rPr>
                <w:rFonts w:ascii="宋体" w:hAnsi="宋体"/>
                <w:sz w:val="21"/>
              </w:rPr>
            </w:pPr>
          </w:p>
        </w:tc>
      </w:tr>
      <w:tr w14:paraId="196CFD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49868195">
            <w:pPr>
              <w:ind w:firstLine="0" w:firstLineChars="0"/>
              <w:jc w:val="center"/>
              <w:rPr>
                <w:rFonts w:ascii="宋体" w:hAnsi="宋体"/>
                <w:sz w:val="21"/>
              </w:rPr>
            </w:pPr>
            <w:r>
              <w:rPr>
                <w:rFonts w:hint="eastAsia" w:ascii="宋体" w:hAnsi="宋体"/>
                <w:sz w:val="21"/>
              </w:rPr>
              <w:t>44</w:t>
            </w:r>
          </w:p>
        </w:tc>
        <w:tc>
          <w:tcPr>
            <w:tcW w:w="607" w:type="dxa"/>
            <w:vMerge w:val="continue"/>
            <w:vAlign w:val="center"/>
          </w:tcPr>
          <w:p w14:paraId="46EEDA84">
            <w:pPr>
              <w:ind w:firstLine="0" w:firstLineChars="0"/>
              <w:jc w:val="center"/>
              <w:rPr>
                <w:rFonts w:ascii="宋体" w:hAnsi="宋体"/>
                <w:sz w:val="21"/>
              </w:rPr>
            </w:pPr>
          </w:p>
        </w:tc>
        <w:tc>
          <w:tcPr>
            <w:tcW w:w="5403" w:type="dxa"/>
            <w:gridSpan w:val="6"/>
            <w:vAlign w:val="center"/>
          </w:tcPr>
          <w:p w14:paraId="7EA65329">
            <w:pPr>
              <w:ind w:firstLine="0" w:firstLineChars="0"/>
              <w:rPr>
                <w:rFonts w:ascii="宋体" w:hAnsi="宋体"/>
                <w:sz w:val="21"/>
              </w:rPr>
            </w:pPr>
            <w:r>
              <w:rPr>
                <w:rFonts w:hint="eastAsia" w:ascii="宋体" w:hAnsi="宋体"/>
                <w:sz w:val="21"/>
              </w:rPr>
              <w:t>风速仪</w:t>
            </w:r>
          </w:p>
        </w:tc>
        <w:tc>
          <w:tcPr>
            <w:tcW w:w="966" w:type="dxa"/>
            <w:vAlign w:val="center"/>
          </w:tcPr>
          <w:p w14:paraId="6D21452C">
            <w:pPr>
              <w:ind w:firstLine="0" w:firstLineChars="0"/>
              <w:jc w:val="center"/>
              <w:rPr>
                <w:rFonts w:ascii="宋体" w:hAnsi="宋体"/>
                <w:sz w:val="21"/>
              </w:rPr>
            </w:pPr>
          </w:p>
        </w:tc>
        <w:tc>
          <w:tcPr>
            <w:tcW w:w="921" w:type="dxa"/>
            <w:vAlign w:val="center"/>
          </w:tcPr>
          <w:p w14:paraId="18762A8A">
            <w:pPr>
              <w:ind w:firstLine="0" w:firstLineChars="0"/>
              <w:jc w:val="center"/>
              <w:rPr>
                <w:rFonts w:ascii="宋体" w:hAnsi="宋体"/>
                <w:sz w:val="21"/>
              </w:rPr>
            </w:pPr>
          </w:p>
        </w:tc>
      </w:tr>
      <w:tr w14:paraId="74586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69" w:hRule="atLeast"/>
          <w:jc w:val="center"/>
        </w:trPr>
        <w:tc>
          <w:tcPr>
            <w:tcW w:w="534" w:type="dxa"/>
            <w:vAlign w:val="center"/>
          </w:tcPr>
          <w:p w14:paraId="56DBF82A">
            <w:pPr>
              <w:ind w:firstLine="0" w:firstLineChars="0"/>
              <w:jc w:val="center"/>
              <w:rPr>
                <w:rFonts w:ascii="宋体" w:hAnsi="宋体"/>
                <w:sz w:val="21"/>
              </w:rPr>
            </w:pPr>
            <w:r>
              <w:rPr>
                <w:rFonts w:hint="eastAsia" w:ascii="宋体" w:hAnsi="宋体"/>
                <w:sz w:val="21"/>
              </w:rPr>
              <w:t>45</w:t>
            </w:r>
          </w:p>
        </w:tc>
        <w:tc>
          <w:tcPr>
            <w:tcW w:w="607" w:type="dxa"/>
            <w:vMerge w:val="continue"/>
            <w:vAlign w:val="center"/>
          </w:tcPr>
          <w:p w14:paraId="1E6ED395">
            <w:pPr>
              <w:ind w:firstLine="0" w:firstLineChars="0"/>
              <w:jc w:val="center"/>
              <w:rPr>
                <w:rFonts w:ascii="宋体" w:hAnsi="宋体"/>
                <w:sz w:val="21"/>
              </w:rPr>
            </w:pPr>
          </w:p>
        </w:tc>
        <w:tc>
          <w:tcPr>
            <w:tcW w:w="5403" w:type="dxa"/>
            <w:gridSpan w:val="6"/>
            <w:vAlign w:val="center"/>
          </w:tcPr>
          <w:p w14:paraId="4DC8741E">
            <w:pPr>
              <w:ind w:firstLine="0" w:firstLineChars="0"/>
              <w:rPr>
                <w:rFonts w:ascii="宋体" w:hAnsi="宋体"/>
                <w:sz w:val="21"/>
              </w:rPr>
            </w:pPr>
            <w:r>
              <w:rPr>
                <w:rFonts w:hint="eastAsia" w:ascii="宋体" w:hAnsi="宋体"/>
                <w:sz w:val="21"/>
              </w:rPr>
              <w:t>防护罩</w:t>
            </w:r>
          </w:p>
        </w:tc>
        <w:tc>
          <w:tcPr>
            <w:tcW w:w="966" w:type="dxa"/>
            <w:vAlign w:val="center"/>
          </w:tcPr>
          <w:p w14:paraId="2187E177">
            <w:pPr>
              <w:ind w:firstLine="0" w:firstLineChars="0"/>
              <w:jc w:val="center"/>
              <w:rPr>
                <w:rFonts w:ascii="宋体" w:hAnsi="宋体"/>
                <w:sz w:val="21"/>
              </w:rPr>
            </w:pPr>
          </w:p>
        </w:tc>
        <w:tc>
          <w:tcPr>
            <w:tcW w:w="921" w:type="dxa"/>
            <w:vAlign w:val="center"/>
          </w:tcPr>
          <w:p w14:paraId="0764E0A9">
            <w:pPr>
              <w:ind w:firstLine="0" w:firstLineChars="0"/>
              <w:jc w:val="center"/>
              <w:rPr>
                <w:rFonts w:ascii="宋体" w:hAnsi="宋体"/>
                <w:sz w:val="21"/>
              </w:rPr>
            </w:pPr>
          </w:p>
        </w:tc>
      </w:tr>
      <w:tr w14:paraId="18AD46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vAlign w:val="center"/>
          </w:tcPr>
          <w:p w14:paraId="20286E35">
            <w:pPr>
              <w:ind w:firstLine="0" w:firstLineChars="0"/>
              <w:jc w:val="center"/>
              <w:rPr>
                <w:rFonts w:ascii="宋体" w:hAnsi="宋体"/>
                <w:sz w:val="21"/>
              </w:rPr>
            </w:pPr>
            <w:r>
              <w:rPr>
                <w:rFonts w:hint="eastAsia" w:ascii="宋体" w:hAnsi="宋体"/>
                <w:sz w:val="21"/>
              </w:rPr>
              <w:t>46</w:t>
            </w:r>
          </w:p>
        </w:tc>
        <w:tc>
          <w:tcPr>
            <w:tcW w:w="1476" w:type="dxa"/>
            <w:gridSpan w:val="5"/>
            <w:vMerge w:val="restart"/>
            <w:vAlign w:val="center"/>
          </w:tcPr>
          <w:p w14:paraId="09C86420">
            <w:pPr>
              <w:ind w:firstLine="0" w:firstLineChars="0"/>
              <w:rPr>
                <w:rFonts w:ascii="宋体" w:hAnsi="宋体"/>
                <w:sz w:val="21"/>
              </w:rPr>
            </w:pPr>
            <w:r>
              <w:rPr>
                <w:rFonts w:hint="eastAsia" w:ascii="宋体" w:hAnsi="宋体"/>
                <w:sz w:val="21"/>
              </w:rPr>
              <w:t>质量管理体系运行情况</w:t>
            </w:r>
          </w:p>
        </w:tc>
        <w:tc>
          <w:tcPr>
            <w:tcW w:w="4534" w:type="dxa"/>
            <w:gridSpan w:val="2"/>
            <w:vAlign w:val="center"/>
          </w:tcPr>
          <w:p w14:paraId="4CF42723">
            <w:pPr>
              <w:ind w:firstLine="0" w:firstLineChars="0"/>
              <w:rPr>
                <w:rFonts w:ascii="宋体" w:hAnsi="宋体"/>
                <w:sz w:val="21"/>
              </w:rPr>
            </w:pPr>
            <w:r>
              <w:rPr>
                <w:rFonts w:hint="eastAsia" w:ascii="宋体" w:hAnsi="宋体"/>
                <w:sz w:val="21"/>
              </w:rPr>
              <w:t>现场施工组织机构、质量管理机构和质量控制系统责任人</w:t>
            </w:r>
          </w:p>
        </w:tc>
        <w:tc>
          <w:tcPr>
            <w:tcW w:w="966" w:type="dxa"/>
            <w:vAlign w:val="center"/>
          </w:tcPr>
          <w:p w14:paraId="58551DED">
            <w:pPr>
              <w:ind w:firstLine="0" w:firstLineChars="0"/>
              <w:jc w:val="center"/>
              <w:rPr>
                <w:rFonts w:ascii="宋体" w:hAnsi="宋体"/>
                <w:sz w:val="21"/>
              </w:rPr>
            </w:pPr>
          </w:p>
        </w:tc>
        <w:tc>
          <w:tcPr>
            <w:tcW w:w="921" w:type="dxa"/>
            <w:vAlign w:val="center"/>
          </w:tcPr>
          <w:p w14:paraId="179BA38F">
            <w:pPr>
              <w:ind w:firstLine="0" w:firstLineChars="0"/>
              <w:jc w:val="center"/>
              <w:rPr>
                <w:rFonts w:ascii="宋体" w:hAnsi="宋体"/>
                <w:sz w:val="21"/>
              </w:rPr>
            </w:pPr>
          </w:p>
        </w:tc>
      </w:tr>
      <w:tr w14:paraId="0E5886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vAlign w:val="center"/>
          </w:tcPr>
          <w:p w14:paraId="1ED68235">
            <w:pPr>
              <w:ind w:firstLine="0" w:firstLineChars="0"/>
              <w:jc w:val="center"/>
              <w:rPr>
                <w:rFonts w:ascii="宋体" w:hAnsi="宋体"/>
                <w:sz w:val="21"/>
              </w:rPr>
            </w:pPr>
            <w:r>
              <w:rPr>
                <w:rFonts w:hint="eastAsia" w:ascii="宋体" w:hAnsi="宋体"/>
                <w:sz w:val="21"/>
              </w:rPr>
              <w:t>47</w:t>
            </w:r>
          </w:p>
        </w:tc>
        <w:tc>
          <w:tcPr>
            <w:tcW w:w="1476" w:type="dxa"/>
            <w:gridSpan w:val="5"/>
            <w:vMerge w:val="continue"/>
            <w:vAlign w:val="center"/>
          </w:tcPr>
          <w:p w14:paraId="4A0A442E">
            <w:pPr>
              <w:ind w:firstLine="0" w:firstLineChars="0"/>
              <w:rPr>
                <w:rFonts w:ascii="宋体" w:hAnsi="宋体"/>
                <w:sz w:val="21"/>
              </w:rPr>
            </w:pPr>
          </w:p>
        </w:tc>
        <w:tc>
          <w:tcPr>
            <w:tcW w:w="4534" w:type="dxa"/>
            <w:gridSpan w:val="2"/>
            <w:vAlign w:val="center"/>
          </w:tcPr>
          <w:p w14:paraId="2EDEBA35">
            <w:pPr>
              <w:ind w:firstLine="0" w:firstLineChars="0"/>
              <w:rPr>
                <w:rFonts w:ascii="宋体" w:hAnsi="宋体"/>
                <w:sz w:val="21"/>
              </w:rPr>
            </w:pPr>
            <w:r>
              <w:rPr>
                <w:rFonts w:hint="eastAsia" w:ascii="宋体" w:hAnsi="宋体"/>
                <w:sz w:val="21"/>
              </w:rPr>
              <w:t>现场作业人员的证件</w:t>
            </w:r>
          </w:p>
        </w:tc>
        <w:tc>
          <w:tcPr>
            <w:tcW w:w="966" w:type="dxa"/>
            <w:vAlign w:val="center"/>
          </w:tcPr>
          <w:p w14:paraId="4AAEADC5">
            <w:pPr>
              <w:ind w:firstLine="0" w:firstLineChars="0"/>
              <w:jc w:val="center"/>
              <w:rPr>
                <w:rFonts w:ascii="宋体" w:hAnsi="宋体"/>
                <w:sz w:val="21"/>
              </w:rPr>
            </w:pPr>
          </w:p>
        </w:tc>
        <w:tc>
          <w:tcPr>
            <w:tcW w:w="921" w:type="dxa"/>
            <w:vAlign w:val="center"/>
          </w:tcPr>
          <w:p w14:paraId="19D7E076">
            <w:pPr>
              <w:ind w:firstLine="0" w:firstLineChars="0"/>
              <w:jc w:val="center"/>
              <w:rPr>
                <w:rFonts w:ascii="宋体" w:hAnsi="宋体"/>
                <w:sz w:val="21"/>
              </w:rPr>
            </w:pPr>
          </w:p>
        </w:tc>
      </w:tr>
      <w:tr w14:paraId="0A4FF8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vAlign w:val="center"/>
          </w:tcPr>
          <w:p w14:paraId="50E8E556">
            <w:pPr>
              <w:ind w:firstLine="0" w:firstLineChars="0"/>
              <w:jc w:val="center"/>
              <w:rPr>
                <w:rFonts w:ascii="宋体" w:hAnsi="宋体"/>
                <w:sz w:val="21"/>
              </w:rPr>
            </w:pPr>
            <w:r>
              <w:rPr>
                <w:rFonts w:hint="eastAsia" w:ascii="宋体" w:hAnsi="宋体"/>
                <w:sz w:val="21"/>
              </w:rPr>
              <w:t>48</w:t>
            </w:r>
          </w:p>
        </w:tc>
        <w:tc>
          <w:tcPr>
            <w:tcW w:w="1476" w:type="dxa"/>
            <w:gridSpan w:val="5"/>
            <w:vMerge w:val="continue"/>
            <w:vAlign w:val="center"/>
          </w:tcPr>
          <w:p w14:paraId="52CC5676">
            <w:pPr>
              <w:ind w:firstLine="0" w:firstLineChars="0"/>
              <w:jc w:val="center"/>
              <w:rPr>
                <w:rFonts w:ascii="宋体" w:hAnsi="宋体"/>
                <w:sz w:val="21"/>
              </w:rPr>
            </w:pPr>
          </w:p>
        </w:tc>
        <w:tc>
          <w:tcPr>
            <w:tcW w:w="4534" w:type="dxa"/>
            <w:gridSpan w:val="2"/>
            <w:vAlign w:val="center"/>
          </w:tcPr>
          <w:p w14:paraId="5521E0EB">
            <w:pPr>
              <w:ind w:firstLine="0" w:firstLineChars="0"/>
              <w:rPr>
                <w:rFonts w:ascii="宋体" w:hAnsi="宋体"/>
                <w:sz w:val="21"/>
              </w:rPr>
            </w:pPr>
            <w:r>
              <w:rPr>
                <w:rFonts w:hint="eastAsia" w:ascii="宋体" w:hAnsi="宋体"/>
                <w:sz w:val="21"/>
              </w:rPr>
              <w:t>施工过程中体系运转异常情况的处理</w:t>
            </w:r>
          </w:p>
        </w:tc>
        <w:tc>
          <w:tcPr>
            <w:tcW w:w="966" w:type="dxa"/>
            <w:vAlign w:val="center"/>
          </w:tcPr>
          <w:p w14:paraId="29CF1499">
            <w:pPr>
              <w:ind w:firstLine="0" w:firstLineChars="0"/>
              <w:jc w:val="center"/>
              <w:rPr>
                <w:rFonts w:ascii="宋体" w:hAnsi="宋体"/>
                <w:sz w:val="21"/>
              </w:rPr>
            </w:pPr>
          </w:p>
        </w:tc>
        <w:tc>
          <w:tcPr>
            <w:tcW w:w="921" w:type="dxa"/>
            <w:vAlign w:val="center"/>
          </w:tcPr>
          <w:p w14:paraId="2FF3C7FA">
            <w:pPr>
              <w:ind w:firstLine="0" w:firstLineChars="0"/>
              <w:jc w:val="center"/>
              <w:rPr>
                <w:rFonts w:ascii="宋体" w:hAnsi="宋体"/>
                <w:sz w:val="21"/>
              </w:rPr>
            </w:pPr>
          </w:p>
        </w:tc>
      </w:tr>
      <w:tr w14:paraId="3BD843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534" w:type="dxa"/>
            <w:vAlign w:val="center"/>
          </w:tcPr>
          <w:p w14:paraId="3B62EB3C">
            <w:pPr>
              <w:ind w:firstLine="0" w:firstLineChars="0"/>
              <w:jc w:val="center"/>
              <w:rPr>
                <w:rFonts w:ascii="宋体" w:hAnsi="宋体"/>
                <w:sz w:val="21"/>
              </w:rPr>
            </w:pPr>
            <w:r>
              <w:rPr>
                <w:rFonts w:hint="eastAsia" w:ascii="宋体" w:hAnsi="宋体"/>
                <w:sz w:val="21"/>
              </w:rPr>
              <w:t>49</w:t>
            </w:r>
          </w:p>
        </w:tc>
        <w:tc>
          <w:tcPr>
            <w:tcW w:w="1476" w:type="dxa"/>
            <w:gridSpan w:val="5"/>
            <w:vMerge w:val="continue"/>
            <w:vAlign w:val="center"/>
          </w:tcPr>
          <w:p w14:paraId="602DF057">
            <w:pPr>
              <w:ind w:firstLine="0" w:firstLineChars="0"/>
              <w:jc w:val="center"/>
              <w:rPr>
                <w:rFonts w:ascii="宋体" w:hAnsi="宋体"/>
                <w:sz w:val="21"/>
              </w:rPr>
            </w:pPr>
          </w:p>
        </w:tc>
        <w:tc>
          <w:tcPr>
            <w:tcW w:w="4534" w:type="dxa"/>
            <w:gridSpan w:val="2"/>
            <w:vAlign w:val="center"/>
          </w:tcPr>
          <w:p w14:paraId="5AC63BCA">
            <w:pPr>
              <w:ind w:firstLine="0" w:firstLineChars="0"/>
              <w:rPr>
                <w:rFonts w:ascii="宋体" w:hAnsi="宋体"/>
                <w:sz w:val="21"/>
              </w:rPr>
            </w:pPr>
            <w:r>
              <w:rPr>
                <w:rFonts w:hint="eastAsia" w:ascii="宋体" w:hAnsi="宋体"/>
                <w:sz w:val="21"/>
              </w:rPr>
              <w:t>对监检机构或监检人员提出问题的处理和反馈情况</w:t>
            </w:r>
          </w:p>
        </w:tc>
        <w:tc>
          <w:tcPr>
            <w:tcW w:w="966" w:type="dxa"/>
            <w:vAlign w:val="center"/>
          </w:tcPr>
          <w:p w14:paraId="650AEB82">
            <w:pPr>
              <w:ind w:firstLine="0" w:firstLineChars="0"/>
              <w:jc w:val="center"/>
              <w:rPr>
                <w:rFonts w:ascii="宋体" w:hAnsi="宋体"/>
                <w:sz w:val="21"/>
              </w:rPr>
            </w:pPr>
          </w:p>
        </w:tc>
        <w:tc>
          <w:tcPr>
            <w:tcW w:w="921" w:type="dxa"/>
            <w:vAlign w:val="center"/>
          </w:tcPr>
          <w:p w14:paraId="4DFFE30D">
            <w:pPr>
              <w:ind w:firstLine="0" w:firstLineChars="0"/>
              <w:jc w:val="center"/>
              <w:rPr>
                <w:rFonts w:ascii="宋体" w:hAnsi="宋体"/>
                <w:sz w:val="21"/>
              </w:rPr>
            </w:pPr>
          </w:p>
        </w:tc>
      </w:tr>
      <w:tr w14:paraId="08E28558">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797" w:hRule="atLeast"/>
          <w:jc w:val="center"/>
        </w:trPr>
        <w:tc>
          <w:tcPr>
            <w:tcW w:w="4181" w:type="dxa"/>
            <w:gridSpan w:val="7"/>
            <w:tcBorders>
              <w:top w:val="single" w:color="auto" w:sz="12" w:space="0"/>
              <w:right w:val="single" w:color="auto" w:sz="4" w:space="0"/>
            </w:tcBorders>
          </w:tcPr>
          <w:p w14:paraId="52C417F5">
            <w:pPr>
              <w:autoSpaceDE w:val="0"/>
              <w:autoSpaceDN w:val="0"/>
              <w:adjustRightInd w:val="0"/>
              <w:ind w:right="1540" w:rightChars="550" w:firstLine="0" w:firstLineChars="0"/>
              <w:rPr>
                <w:rFonts w:ascii="宋体" w:hAnsi="宋体"/>
                <w:sz w:val="21"/>
              </w:rPr>
            </w:pPr>
            <w:r>
              <w:rPr>
                <w:rFonts w:hint="eastAsia" w:ascii="宋体" w:hAnsi="宋体"/>
                <w:sz w:val="21"/>
              </w:rPr>
              <w:t>租赁单位（章）</w:t>
            </w:r>
          </w:p>
          <w:p w14:paraId="0E0F947D">
            <w:pPr>
              <w:autoSpaceDE w:val="0"/>
              <w:autoSpaceDN w:val="0"/>
              <w:adjustRightInd w:val="0"/>
              <w:ind w:right="1540" w:rightChars="550" w:firstLine="0" w:firstLineChars="0"/>
              <w:rPr>
                <w:rFonts w:ascii="宋体" w:hAnsi="宋体"/>
                <w:sz w:val="21"/>
              </w:rPr>
            </w:pPr>
          </w:p>
          <w:p w14:paraId="004E3BD1">
            <w:pPr>
              <w:autoSpaceDE w:val="0"/>
              <w:autoSpaceDN w:val="0"/>
              <w:adjustRightInd w:val="0"/>
              <w:ind w:right="1540" w:rightChars="550" w:firstLine="420"/>
              <w:jc w:val="center"/>
              <w:rPr>
                <w:rFonts w:ascii="宋体" w:hAnsi="宋体"/>
                <w:sz w:val="21"/>
              </w:rPr>
            </w:pPr>
            <w:r>
              <w:rPr>
                <w:rFonts w:hint="eastAsia" w:ascii="宋体" w:hAnsi="宋体"/>
                <w:sz w:val="21"/>
              </w:rPr>
              <w:t>租赁单位负责人：</w:t>
            </w:r>
          </w:p>
          <w:p w14:paraId="0165C597">
            <w:pPr>
              <w:autoSpaceDE w:val="0"/>
              <w:autoSpaceDN w:val="0"/>
              <w:adjustRightInd w:val="0"/>
              <w:ind w:right="1540" w:rightChars="550" w:firstLine="0" w:firstLineChars="0"/>
              <w:rPr>
                <w:rFonts w:ascii="宋体" w:hAnsi="宋体"/>
                <w:sz w:val="21"/>
              </w:rPr>
            </w:pPr>
          </w:p>
          <w:p w14:paraId="1C88D482">
            <w:pPr>
              <w:autoSpaceDE w:val="0"/>
              <w:autoSpaceDN w:val="0"/>
              <w:adjustRightInd w:val="0"/>
              <w:ind w:right="1540" w:rightChars="550" w:firstLine="420"/>
              <w:jc w:val="center"/>
              <w:rPr>
                <w:rFonts w:ascii="宋体" w:hAnsi="宋体"/>
                <w:sz w:val="21"/>
              </w:rPr>
            </w:pPr>
            <w:r>
              <w:rPr>
                <w:rFonts w:hint="eastAsia" w:ascii="宋体" w:hAnsi="宋体"/>
                <w:sz w:val="21"/>
              </w:rPr>
              <w:t xml:space="preserve">     年   　月　   日</w:t>
            </w:r>
          </w:p>
        </w:tc>
        <w:tc>
          <w:tcPr>
            <w:tcW w:w="4250" w:type="dxa"/>
            <w:gridSpan w:val="3"/>
            <w:tcBorders>
              <w:top w:val="single" w:color="auto" w:sz="12" w:space="0"/>
              <w:left w:val="single" w:color="auto" w:sz="4" w:space="0"/>
            </w:tcBorders>
          </w:tcPr>
          <w:p w14:paraId="1496BEE3">
            <w:pPr>
              <w:autoSpaceDE w:val="0"/>
              <w:autoSpaceDN w:val="0"/>
              <w:adjustRightInd w:val="0"/>
              <w:ind w:right="1540" w:rightChars="550" w:firstLine="0" w:firstLineChars="0"/>
              <w:rPr>
                <w:rFonts w:ascii="宋体" w:hAnsi="宋体"/>
                <w:sz w:val="21"/>
              </w:rPr>
            </w:pPr>
            <w:r>
              <w:rPr>
                <w:rFonts w:hint="eastAsia" w:ascii="宋体" w:hAnsi="宋体"/>
                <w:sz w:val="21"/>
              </w:rPr>
              <w:t>安装单位（章）</w:t>
            </w:r>
          </w:p>
          <w:p w14:paraId="70892369">
            <w:pPr>
              <w:autoSpaceDE w:val="0"/>
              <w:autoSpaceDN w:val="0"/>
              <w:adjustRightInd w:val="0"/>
              <w:ind w:right="1540" w:rightChars="550" w:firstLine="0" w:firstLineChars="0"/>
              <w:rPr>
                <w:rFonts w:ascii="宋体" w:hAnsi="宋体"/>
                <w:sz w:val="21"/>
              </w:rPr>
            </w:pPr>
          </w:p>
          <w:p w14:paraId="39C5EC4D">
            <w:pPr>
              <w:autoSpaceDE w:val="0"/>
              <w:autoSpaceDN w:val="0"/>
              <w:adjustRightInd w:val="0"/>
              <w:ind w:right="1540" w:rightChars="550" w:firstLine="0" w:firstLineChars="0"/>
              <w:rPr>
                <w:rFonts w:ascii="宋体" w:hAnsi="宋体"/>
                <w:sz w:val="21"/>
              </w:rPr>
            </w:pPr>
            <w:r>
              <w:rPr>
                <w:rFonts w:hint="eastAsia" w:ascii="宋体" w:hAnsi="宋体"/>
                <w:sz w:val="21"/>
              </w:rPr>
              <w:t>安装单位技术质量负责人：</w:t>
            </w:r>
          </w:p>
          <w:p w14:paraId="3C251113">
            <w:pPr>
              <w:autoSpaceDE w:val="0"/>
              <w:autoSpaceDN w:val="0"/>
              <w:adjustRightInd w:val="0"/>
              <w:ind w:right="1540" w:rightChars="550" w:firstLine="0" w:firstLineChars="0"/>
              <w:rPr>
                <w:rFonts w:ascii="宋体" w:hAnsi="宋体"/>
                <w:sz w:val="21"/>
              </w:rPr>
            </w:pPr>
          </w:p>
          <w:p w14:paraId="6CC02FA4">
            <w:pPr>
              <w:autoSpaceDE w:val="0"/>
              <w:autoSpaceDN w:val="0"/>
              <w:adjustRightInd w:val="0"/>
              <w:ind w:right="1540" w:rightChars="550" w:firstLine="420"/>
              <w:jc w:val="center"/>
              <w:rPr>
                <w:rFonts w:ascii="宋体" w:hAnsi="宋体"/>
                <w:sz w:val="21"/>
              </w:rPr>
            </w:pPr>
            <w:r>
              <w:rPr>
                <w:rFonts w:hint="eastAsia" w:ascii="宋体" w:hAnsi="宋体"/>
                <w:sz w:val="21"/>
              </w:rPr>
              <w:t xml:space="preserve">     年   　月　   日</w:t>
            </w:r>
          </w:p>
        </w:tc>
      </w:tr>
    </w:tbl>
    <w:p w14:paraId="3A970717">
      <w:pPr>
        <w:pStyle w:val="2"/>
        <w:ind w:right="1960"/>
        <w:jc w:val="center"/>
      </w:pPr>
      <w:bookmarkStart w:id="344" w:name="_Toc5108"/>
      <w:bookmarkStart w:id="345" w:name="_Toc23117"/>
      <w:r>
        <w:rPr>
          <w:rFonts w:hint="eastAsia"/>
        </w:rPr>
        <w:t>第六章 XGT6015A-8S塔机拆除施工方案</w:t>
      </w:r>
      <w:bookmarkEnd w:id="297"/>
      <w:bookmarkEnd w:id="298"/>
      <w:bookmarkEnd w:id="299"/>
      <w:bookmarkEnd w:id="300"/>
      <w:bookmarkEnd w:id="301"/>
      <w:bookmarkEnd w:id="302"/>
      <w:bookmarkEnd w:id="303"/>
      <w:bookmarkEnd w:id="304"/>
      <w:bookmarkEnd w:id="305"/>
      <w:bookmarkEnd w:id="344"/>
      <w:bookmarkEnd w:id="345"/>
      <w:bookmarkStart w:id="346" w:name="_Toc1111"/>
      <w:bookmarkStart w:id="347" w:name="_Toc4778"/>
      <w:bookmarkStart w:id="348" w:name="_Toc10966"/>
    </w:p>
    <w:p w14:paraId="2F2422DC">
      <w:pPr>
        <w:pStyle w:val="3"/>
      </w:pPr>
      <w:bookmarkStart w:id="349" w:name="_Toc14504"/>
      <w:bookmarkStart w:id="350" w:name="_Toc29573"/>
      <w:r>
        <w:rPr>
          <w:rFonts w:hint="eastAsia"/>
        </w:rPr>
        <w:t>6.1拆塔前的准备工作</w:t>
      </w:r>
      <w:bookmarkEnd w:id="349"/>
      <w:bookmarkEnd w:id="350"/>
    </w:p>
    <w:bookmarkEnd w:id="346"/>
    <w:bookmarkEnd w:id="347"/>
    <w:bookmarkEnd w:id="348"/>
    <w:p w14:paraId="042DD3CB">
      <w:pPr>
        <w:pStyle w:val="172"/>
        <w:ind w:firstLine="560"/>
        <w:rPr>
          <w:rFonts w:ascii="Times New Roman" w:hAnsi="Times New Roman" w:cs="Times New Roman"/>
          <w:szCs w:val="21"/>
        </w:rPr>
      </w:pPr>
      <w:r>
        <w:rPr>
          <w:rFonts w:hint="eastAsia" w:ascii="Times New Roman" w:hAnsi="Times New Roman" w:cs="Times New Roman"/>
          <w:szCs w:val="21"/>
        </w:rPr>
        <w:t>1、对施工现场进行清理，场地拉设安全警戒线。</w:t>
      </w:r>
    </w:p>
    <w:p w14:paraId="6B2AB728">
      <w:pPr>
        <w:pStyle w:val="172"/>
        <w:ind w:firstLine="560"/>
        <w:rPr>
          <w:rFonts w:ascii="Times New Roman" w:hAnsi="Times New Roman" w:cs="Times New Roman"/>
          <w:szCs w:val="21"/>
        </w:rPr>
      </w:pPr>
      <w:r>
        <w:rPr>
          <w:rFonts w:hint="eastAsia" w:ascii="Times New Roman" w:hAnsi="Times New Roman" w:cs="Times New Roman"/>
          <w:szCs w:val="21"/>
        </w:rPr>
        <w:t>2、由塔机安拆人员对塔机进行检查，检查内容如下：</w:t>
      </w:r>
    </w:p>
    <w:p w14:paraId="16ECA681">
      <w:pPr>
        <w:pStyle w:val="172"/>
        <w:ind w:firstLine="560"/>
        <w:rPr>
          <w:rFonts w:ascii="Times New Roman" w:hAnsi="Times New Roman" w:cs="Times New Roman"/>
          <w:szCs w:val="21"/>
        </w:rPr>
      </w:pPr>
      <w:r>
        <w:rPr>
          <w:rFonts w:hint="eastAsia" w:ascii="Times New Roman" w:hAnsi="Times New Roman" w:cs="Times New Roman"/>
          <w:szCs w:val="21"/>
        </w:rPr>
        <w:t>（1）钢结构件有无严重锈蚀变形开裂与脱焊；</w:t>
      </w:r>
    </w:p>
    <w:p w14:paraId="28738395">
      <w:pPr>
        <w:pStyle w:val="172"/>
        <w:ind w:firstLine="560"/>
        <w:rPr>
          <w:rFonts w:ascii="Times New Roman" w:hAnsi="Times New Roman" w:cs="Times New Roman"/>
          <w:szCs w:val="21"/>
        </w:rPr>
      </w:pPr>
      <w:r>
        <w:rPr>
          <w:rFonts w:hint="eastAsia" w:ascii="Times New Roman" w:hAnsi="Times New Roman" w:cs="Times New Roman"/>
          <w:szCs w:val="21"/>
        </w:rPr>
        <w:t>（2）钢丝绳是否牢固可靠，是否合乎要求，绳扎头是否可靠；</w:t>
      </w:r>
    </w:p>
    <w:p w14:paraId="1BFDA828">
      <w:pPr>
        <w:pStyle w:val="172"/>
        <w:ind w:firstLine="560"/>
        <w:rPr>
          <w:rFonts w:ascii="Times New Roman" w:hAnsi="Times New Roman" w:cs="Times New Roman"/>
          <w:szCs w:val="21"/>
        </w:rPr>
      </w:pPr>
      <w:r>
        <w:rPr>
          <w:rFonts w:hint="eastAsia" w:ascii="Times New Roman" w:hAnsi="Times New Roman" w:cs="Times New Roman"/>
          <w:szCs w:val="21"/>
        </w:rPr>
        <w:t>（3）各部电路及电气元件是否正常；</w:t>
      </w:r>
    </w:p>
    <w:p w14:paraId="36D352A6">
      <w:pPr>
        <w:pStyle w:val="172"/>
        <w:ind w:firstLine="560"/>
        <w:rPr>
          <w:rFonts w:ascii="Times New Roman" w:hAnsi="Times New Roman" w:cs="Times New Roman"/>
          <w:szCs w:val="21"/>
        </w:rPr>
      </w:pPr>
      <w:r>
        <w:rPr>
          <w:rFonts w:hint="eastAsia" w:ascii="Times New Roman" w:hAnsi="Times New Roman" w:cs="Times New Roman"/>
          <w:szCs w:val="21"/>
        </w:rPr>
        <w:t>（4）爬升机构导向轮是否转动灵活，与塔机间隙是否合乎要求；</w:t>
      </w:r>
    </w:p>
    <w:p w14:paraId="13F7EE67">
      <w:pPr>
        <w:pStyle w:val="172"/>
        <w:ind w:firstLine="560"/>
        <w:rPr>
          <w:rFonts w:ascii="Times New Roman" w:hAnsi="Times New Roman" w:cs="Times New Roman"/>
          <w:szCs w:val="21"/>
        </w:rPr>
      </w:pPr>
      <w:r>
        <w:rPr>
          <w:rFonts w:hint="eastAsia" w:ascii="Times New Roman" w:hAnsi="Times New Roman" w:cs="Times New Roman"/>
          <w:szCs w:val="21"/>
        </w:rPr>
        <w:t>（5）顶升液压装置是否正常；</w:t>
      </w:r>
    </w:p>
    <w:p w14:paraId="70E19CA0">
      <w:pPr>
        <w:pStyle w:val="172"/>
        <w:ind w:firstLine="560"/>
        <w:rPr>
          <w:rFonts w:ascii="Times New Roman" w:hAnsi="Times New Roman" w:cs="Times New Roman"/>
          <w:szCs w:val="21"/>
        </w:rPr>
      </w:pPr>
      <w:r>
        <w:rPr>
          <w:rFonts w:hint="eastAsia" w:ascii="Times New Roman" w:hAnsi="Times New Roman" w:cs="Times New Roman"/>
          <w:szCs w:val="21"/>
        </w:rPr>
        <w:t>（6）塔机拆除前应认真进行检修、保养，对变形件及时修复。</w:t>
      </w:r>
    </w:p>
    <w:p w14:paraId="04B04971">
      <w:pPr>
        <w:pStyle w:val="172"/>
        <w:ind w:firstLine="560"/>
        <w:rPr>
          <w:rFonts w:ascii="Times New Roman" w:hAnsi="Times New Roman" w:cs="Times New Roman"/>
          <w:szCs w:val="21"/>
        </w:rPr>
      </w:pPr>
      <w:r>
        <w:rPr>
          <w:rFonts w:hint="eastAsia" w:ascii="Times New Roman" w:hAnsi="Times New Roman" w:cs="Times New Roman"/>
          <w:szCs w:val="21"/>
        </w:rPr>
        <w:t>3、按要求做好人员的组织工作。</w:t>
      </w:r>
    </w:p>
    <w:p w14:paraId="1ED38F96">
      <w:pPr>
        <w:pStyle w:val="172"/>
        <w:ind w:firstLine="560"/>
        <w:rPr>
          <w:rFonts w:ascii="Times New Roman" w:hAnsi="Times New Roman" w:cs="Times New Roman"/>
          <w:szCs w:val="21"/>
        </w:rPr>
      </w:pPr>
      <w:r>
        <w:rPr>
          <w:rFonts w:hint="eastAsia" w:ascii="Times New Roman" w:hAnsi="Times New Roman" w:cs="Times New Roman"/>
          <w:szCs w:val="21"/>
        </w:rPr>
        <w:t>4、按要求做好常用工具、索具及材料的配备与检查验收。</w:t>
      </w:r>
    </w:p>
    <w:p w14:paraId="72B96E76">
      <w:pPr>
        <w:pStyle w:val="172"/>
        <w:ind w:firstLine="560"/>
        <w:rPr>
          <w:rFonts w:ascii="Times New Roman" w:hAnsi="Times New Roman" w:cs="Times New Roman"/>
          <w:szCs w:val="21"/>
        </w:rPr>
      </w:pPr>
      <w:r>
        <w:rPr>
          <w:rFonts w:hint="eastAsia" w:ascii="Times New Roman" w:hAnsi="Times New Roman" w:cs="Times New Roman"/>
          <w:szCs w:val="21"/>
        </w:rPr>
        <w:t>5、由项目部和安拆单位共同对全体作业人员进行安全技术交底。</w:t>
      </w:r>
    </w:p>
    <w:p w14:paraId="5D6231B2">
      <w:pPr>
        <w:pStyle w:val="3"/>
      </w:pPr>
      <w:bookmarkStart w:id="351" w:name="_Toc10019"/>
      <w:bookmarkStart w:id="352" w:name="_Toc13282"/>
      <w:bookmarkStart w:id="353" w:name="_Toc14795"/>
      <w:bookmarkStart w:id="354" w:name="_Toc14484"/>
      <w:bookmarkStart w:id="355" w:name="_Toc16065"/>
      <w:bookmarkStart w:id="356" w:name="_Toc32282"/>
      <w:bookmarkStart w:id="357" w:name="_Toc10898"/>
      <w:bookmarkStart w:id="358" w:name="_Toc15278"/>
      <w:bookmarkStart w:id="359" w:name="_Toc8180"/>
      <w:r>
        <w:rPr>
          <w:rFonts w:hint="eastAsia"/>
        </w:rPr>
        <w:t>6.2拆塔注意事项</w:t>
      </w:r>
      <w:bookmarkEnd w:id="351"/>
      <w:bookmarkEnd w:id="352"/>
      <w:bookmarkEnd w:id="353"/>
      <w:bookmarkEnd w:id="354"/>
      <w:bookmarkEnd w:id="355"/>
      <w:bookmarkEnd w:id="356"/>
      <w:bookmarkEnd w:id="357"/>
      <w:bookmarkEnd w:id="358"/>
      <w:bookmarkEnd w:id="359"/>
    </w:p>
    <w:p w14:paraId="5A54A6B1">
      <w:pPr>
        <w:ind w:firstLine="560"/>
        <w:jc w:val="left"/>
      </w:pPr>
      <w:bookmarkStart w:id="360" w:name="_Toc13438"/>
      <w:bookmarkStart w:id="361" w:name="_Toc13481"/>
      <w:r>
        <w:rPr>
          <w:rFonts w:hint="eastAsia"/>
        </w:rPr>
        <w:t>1.塔机拆塔之前，由于顶升机构长时间停止使用，应对各机构特别是对顶升机构进行保养和试运转。</w:t>
      </w:r>
    </w:p>
    <w:p w14:paraId="50181286">
      <w:pPr>
        <w:ind w:firstLine="560"/>
        <w:jc w:val="left"/>
      </w:pPr>
      <w:r>
        <w:rPr>
          <w:rFonts w:hint="eastAsia"/>
        </w:rPr>
        <w:t>2.在试运转过程中，应该有目的对限位器回转机构的制动器等进行可靠性检查。</w:t>
      </w:r>
    </w:p>
    <w:p w14:paraId="5296A0B4">
      <w:pPr>
        <w:ind w:firstLine="560"/>
        <w:jc w:val="left"/>
      </w:pPr>
      <w:r>
        <w:rPr>
          <w:rFonts w:hint="eastAsia"/>
        </w:rPr>
        <w:t>3.塔机标准节拆除，下支座没有用销轴与塔身连接好前，严禁使用回转机构、牵引机构和起升机构。</w:t>
      </w:r>
    </w:p>
    <w:p w14:paraId="1957F305">
      <w:pPr>
        <w:ind w:firstLine="560"/>
        <w:jc w:val="left"/>
      </w:pPr>
      <w:r>
        <w:rPr>
          <w:rFonts w:hint="eastAsia"/>
        </w:rPr>
        <w:t>4.塔机拆卸对顶升机构来说是重载连续作业，应对顶升机构的主要受力件经常检查。</w:t>
      </w:r>
    </w:p>
    <w:p w14:paraId="329B7AAA">
      <w:pPr>
        <w:ind w:firstLine="560"/>
        <w:jc w:val="left"/>
      </w:pPr>
      <w:r>
        <w:rPr>
          <w:rFonts w:hint="eastAsia"/>
        </w:rPr>
        <w:t>5.顶升机构工作时，所有的操作人员应集中精力观察各相对运动件的相对位置是否正常，是否有阻碍爬升架运动的物件。</w:t>
      </w:r>
    </w:p>
    <w:p w14:paraId="1E19EF59">
      <w:pPr>
        <w:ind w:firstLine="560"/>
        <w:jc w:val="left"/>
      </w:pPr>
      <w:r>
        <w:rPr>
          <w:rFonts w:hint="eastAsia"/>
        </w:rPr>
        <w:t>6.拆塔时塔机最高处风速应低于 14m/s，由于拆塔时，建筑物已完工，工作场地受限制，应注意工作程序和吊装堆放位置，不可马虎大意。</w:t>
      </w:r>
    </w:p>
    <w:p w14:paraId="5D3B68C9">
      <w:pPr>
        <w:ind w:firstLine="560"/>
        <w:rPr>
          <w:color w:val="000000"/>
        </w:rPr>
      </w:pPr>
      <w:r>
        <w:rPr>
          <w:rFonts w:hint="eastAsia"/>
          <w:color w:val="000000"/>
        </w:rPr>
        <w:br w:type="page"/>
      </w:r>
    </w:p>
    <w:p w14:paraId="01A3001C">
      <w:pPr>
        <w:pStyle w:val="3"/>
      </w:pPr>
      <w:bookmarkStart w:id="362" w:name="_Toc29084"/>
      <w:bookmarkStart w:id="363" w:name="_Toc13296"/>
      <w:r>
        <w:rPr>
          <w:rFonts w:hint="eastAsia"/>
        </w:rPr>
        <w:t>6.3拆除总工序</w:t>
      </w:r>
      <w:bookmarkEnd w:id="360"/>
      <w:bookmarkEnd w:id="361"/>
      <w:bookmarkEnd w:id="362"/>
      <w:bookmarkEnd w:id="363"/>
    </w:p>
    <w:p w14:paraId="07CB3DA6">
      <w:pPr>
        <w:ind w:firstLine="560"/>
        <w:jc w:val="left"/>
      </w:pPr>
      <w:bookmarkStart w:id="364" w:name="_Toc3998"/>
      <w:bookmarkStart w:id="365" w:name="_Toc27391"/>
      <w:r>
        <w:rPr>
          <w:rFonts w:hint="eastAsia"/>
        </w:rPr>
        <w:t>塔机拆卸是一项技术性很强的工作，尤其是塔身节、平衡重、平衡臂、起重臂等部件的拆卸，因此在塔机拆除过程中，应该严格按照拆除方案的拆除流程拆除，严禁违反操作程序，上塔机操作人员应该持证上岗。</w:t>
      </w:r>
    </w:p>
    <w:p w14:paraId="012FCD44">
      <w:pPr>
        <w:ind w:firstLine="560"/>
        <w:jc w:val="left"/>
      </w:pPr>
      <w:r>
        <w:rPr>
          <w:rFonts w:hint="eastAsia"/>
        </w:rPr>
        <w:t>塔机拆除与塔机安装流程步骤相反，塔机拆除工艺流程：</w:t>
      </w:r>
    </w:p>
    <w:p w14:paraId="65D89DBA">
      <w:pPr>
        <w:ind w:firstLine="560"/>
        <w:jc w:val="left"/>
      </w:pPr>
      <w:r>
        <w:rPr>
          <w:rFonts w:hint="eastAsia"/>
        </w:rPr>
        <w:t>XGT6015A-8S塔机拆除流程：</w:t>
      </w:r>
    </w:p>
    <w:p w14:paraId="015EF518">
      <w:pPr>
        <w:ind w:firstLine="560"/>
        <w:jc w:val="left"/>
      </w:pPr>
      <w:r>
        <w:rPr>
          <w:rFonts w:hint="eastAsia"/>
        </w:rPr>
        <w:t>降低标准节→拆除平衡臂配重（留2块 3.2t 配重）→起重臂拆卸→拆卸剩余配重→平衡臂拆除→拆卸起重臂根节→拆卸回转总成→拆卸特殊节→拆卸爬升架及塔身节</w:t>
      </w:r>
    </w:p>
    <w:bookmarkEnd w:id="306"/>
    <w:bookmarkEnd w:id="307"/>
    <w:bookmarkEnd w:id="308"/>
    <w:bookmarkEnd w:id="309"/>
    <w:bookmarkEnd w:id="310"/>
    <w:bookmarkEnd w:id="311"/>
    <w:bookmarkEnd w:id="364"/>
    <w:bookmarkEnd w:id="365"/>
    <w:p w14:paraId="7F8B070D">
      <w:pPr>
        <w:pStyle w:val="3"/>
      </w:pPr>
      <w:bookmarkStart w:id="366" w:name="_Toc3425"/>
      <w:bookmarkStart w:id="367" w:name="_Toc11311"/>
      <w:bookmarkStart w:id="368" w:name="_Toc13014"/>
      <w:r>
        <w:rPr>
          <w:rFonts w:hint="eastAsia"/>
        </w:rPr>
        <w:t>6.4 拆塔</w:t>
      </w:r>
      <w:bookmarkEnd w:id="366"/>
      <w:bookmarkEnd w:id="367"/>
      <w:bookmarkEnd w:id="368"/>
    </w:p>
    <w:p w14:paraId="5902DE20">
      <w:pPr>
        <w:ind w:firstLine="560"/>
        <w:jc w:val="left"/>
      </w:pPr>
      <w:r>
        <w:rPr>
          <w:rFonts w:hint="eastAsia"/>
        </w:rPr>
        <w:t>将塔机降低至安装高度后（降塔时遇到附着先拆除附着在继续降塔），利用25t汽车吊将塔机按步骤拆除。</w:t>
      </w:r>
    </w:p>
    <w:p w14:paraId="78FB7419">
      <w:pPr>
        <w:pStyle w:val="4"/>
        <w:spacing w:before="29" w:line="360" w:lineRule="auto"/>
        <w:ind w:right="159"/>
        <w:rPr>
          <w:rFonts w:ascii="黑体" w:hAnsi="黑体" w:cs="黑体"/>
          <w:bCs/>
          <w:color w:val="000000"/>
        </w:rPr>
      </w:pPr>
      <w:r>
        <w:rPr>
          <w:rFonts w:hint="eastAsia" w:ascii="黑体" w:hAnsi="黑体" w:cs="黑体"/>
          <w:bCs/>
          <w:color w:val="000000"/>
        </w:rPr>
        <w:t>6.4.1.降塔</w:t>
      </w:r>
    </w:p>
    <w:p w14:paraId="756CDA92">
      <w:pPr>
        <w:pStyle w:val="11"/>
        <w:ind w:firstLine="560"/>
        <w:rPr>
          <w:rFonts w:hint="default"/>
        </w:rPr>
      </w:pPr>
      <w:r>
        <w:t xml:space="preserve">（1）将起重臂回转到引进方向（爬升架中有开口的一侧），使回转制动器处于制动状态，载重小车停在配平位置（与立塔顶升加节时载重小车的配平位置一致）。 </w:t>
      </w:r>
    </w:p>
    <w:p w14:paraId="5D87CA21">
      <w:pPr>
        <w:pStyle w:val="11"/>
        <w:ind w:firstLine="560"/>
        <w:rPr>
          <w:rFonts w:hint="default"/>
        </w:rPr>
      </w:pPr>
      <w:r>
        <w:t>（2）拆掉最上面塔身标准节与特殊节的连接螺栓，稍稍向上顶升，将引进轮按规定方向放至到标准节下方，并保证安全可靠；然后拆掉最上面的塔身标准节与下一节标准节的连接螺栓。</w:t>
      </w:r>
    </w:p>
    <w:p w14:paraId="1FBFCBAC">
      <w:pPr>
        <w:pStyle w:val="11"/>
        <w:ind w:firstLine="560"/>
        <w:rPr>
          <w:rFonts w:hint="default"/>
        </w:rPr>
      </w:pPr>
      <w:r>
        <w:t xml:space="preserve">（3）伸长顶升油缸，将顶升横梁顶在从上往下数第三个踏步的圆弧槽内，插好防脱销，将上部结构稍稍顶起，把特殊节与爬升架连接耳板销孔对正，打入销轴，并装好开口销。 </w:t>
      </w:r>
    </w:p>
    <w:p w14:paraId="73320A4F">
      <w:pPr>
        <w:pStyle w:val="11"/>
        <w:ind w:firstLine="560"/>
        <w:rPr>
          <w:rFonts w:hint="default"/>
        </w:rPr>
      </w:pPr>
      <w:r>
        <w:t xml:space="preserve">（4）拆掉最上面塔身标准节与特殊节的连接螺栓，稍稍向上顶升，并保证安全可靠；然后拆掉最上面的塔身标准节与下一节标准节的连接螺栓，并在四角安装上引进轮； </w:t>
      </w:r>
    </w:p>
    <w:p w14:paraId="0B514D60">
      <w:pPr>
        <w:pStyle w:val="11"/>
        <w:ind w:firstLine="560"/>
        <w:rPr>
          <w:rFonts w:hint="default"/>
        </w:rPr>
      </w:pPr>
      <w:r>
        <w:t xml:space="preserve">（5）继续顶升至最上面标准节与下方标准节离开，把标准节推出引进横梁并支稳（推出时且不可用力过猛，以免标准节冲出引进梁而倾翻，造成事故）。 </w:t>
      </w:r>
    </w:p>
    <w:p w14:paraId="23E5F43B">
      <w:pPr>
        <w:pStyle w:val="11"/>
        <w:ind w:firstLine="560"/>
        <w:rPr>
          <w:rFonts w:hint="default"/>
        </w:rPr>
      </w:pPr>
      <w:r>
        <w:t xml:space="preserve">（6）扳开活动爬爪，回缩油缸，让活动爬爪躲过距它最近的一对踏步后，复位放平，继续下降至活动爬爪支承在下一对踏步上并支承住上部结构后，退出防脱销，再回缩油缸至顶升横梁从踏步上移开。 </w:t>
      </w:r>
    </w:p>
    <w:p w14:paraId="049A8B75">
      <w:pPr>
        <w:pStyle w:val="11"/>
        <w:ind w:firstLine="560"/>
        <w:rPr>
          <w:rFonts w:hint="default"/>
        </w:rPr>
      </w:pPr>
      <w:r>
        <w:t>（7）伸出油缸，将顶升横梁顶在下一对踏步上，插好防脱销，稍微顶升至爬爪翻转时能躲过原来支承的踏步后停止，拨开爬爪，回缩油缸，至下一标准节与特殊节相接触时为止，若连接套螺栓孔错位，可用随机爬升架调节工具调节到位（严禁用载重小车调位或打回转调整）。</w:t>
      </w:r>
    </w:p>
    <w:p w14:paraId="7A9FBF55">
      <w:pPr>
        <w:pStyle w:val="11"/>
        <w:ind w:firstLine="560"/>
        <w:rPr>
          <w:rFonts w:hint="default"/>
        </w:rPr>
      </w:pPr>
      <w:r>
        <w:t xml:space="preserve">（8）将特殊节与塔身标准节之间用12颗高强螺栓紧固牢，用小车吊钩将标准节吊至地面。 </w:t>
      </w:r>
    </w:p>
    <w:p w14:paraId="4BCE6FA8">
      <w:pPr>
        <w:pStyle w:val="11"/>
        <w:ind w:firstLine="560"/>
        <w:rPr>
          <w:rFonts w:hint="default"/>
        </w:rPr>
      </w:pPr>
      <w:r>
        <w:t xml:space="preserve">（9）重复上述动作，将塔身标准节依次拆下。 </w:t>
      </w:r>
    </w:p>
    <w:p w14:paraId="2C9F53BF">
      <w:pPr>
        <w:pStyle w:val="11"/>
        <w:ind w:firstLine="560"/>
        <w:rPr>
          <w:rFonts w:hint="default"/>
        </w:rPr>
      </w:pPr>
      <w:r>
        <w:t xml:space="preserve">注意：爬升架下落过程中，需用人工翻转挂靴，同时派专人看管顶升横梁和导轮，观察爬升架下降时有无被障碍物卡住的现象，以便爬升架能顺利下降，否则将造成受力不均，容易造成顶升故障。 </w:t>
      </w:r>
    </w:p>
    <w:p w14:paraId="03D3022F">
      <w:pPr>
        <w:pStyle w:val="4"/>
        <w:spacing w:before="29" w:line="360" w:lineRule="auto"/>
        <w:ind w:right="159"/>
        <w:rPr>
          <w:rFonts w:ascii="黑体" w:hAnsi="黑体" w:cs="黑体"/>
          <w:bCs/>
          <w:color w:val="000000"/>
        </w:rPr>
      </w:pPr>
      <w:r>
        <w:rPr>
          <w:rFonts w:hint="eastAsia" w:ascii="黑体" w:hAnsi="黑体" w:cs="黑体"/>
          <w:bCs/>
          <w:color w:val="000000"/>
        </w:rPr>
        <w:t>6.4.2.拆除平衡重</w:t>
      </w:r>
    </w:p>
    <w:p w14:paraId="2EFA0490">
      <w:pPr>
        <w:ind w:firstLine="560"/>
        <w:jc w:val="left"/>
      </w:pPr>
      <w:r>
        <w:rPr>
          <w:rFonts w:hint="eastAsia"/>
        </w:rPr>
        <w:t>将载重小车固定在起重臂根部，借助25t汽车吊拆卸配重，拆配重顺序与装配重顺序相反。</w:t>
      </w:r>
    </w:p>
    <w:p w14:paraId="5E4170A6">
      <w:pPr>
        <w:pStyle w:val="4"/>
        <w:spacing w:before="29" w:line="360" w:lineRule="auto"/>
        <w:ind w:right="159"/>
        <w:rPr>
          <w:rFonts w:ascii="黑体" w:hAnsi="黑体" w:cs="黑体"/>
          <w:bCs/>
          <w:color w:val="000000"/>
        </w:rPr>
      </w:pPr>
      <w:r>
        <w:rPr>
          <w:rFonts w:hint="eastAsia" w:ascii="黑体" w:hAnsi="黑体" w:cs="黑体"/>
          <w:bCs/>
          <w:color w:val="000000"/>
        </w:rPr>
        <w:t>6.4.3.起重臂拆除</w:t>
      </w:r>
    </w:p>
    <w:p w14:paraId="56527302">
      <w:pPr>
        <w:ind w:firstLine="560"/>
        <w:jc w:val="left"/>
      </w:pPr>
      <w:r>
        <w:rPr>
          <w:rFonts w:hint="eastAsia"/>
        </w:rPr>
        <w:t>放下吊钩至地面，拆除起重钢丝绳与起重臂前端上的防扭装置，开动起升机构回收全部钢丝绳。然后将钢丝绳绑在安装起重臂的位置，吊起起重臂，使起重臂靠近塔顶拉杆，拆去起重臂拉杆与塔顶板的连接销轴，放下拉杆至起重臂上固定，拆去钢丝绳，拆掉起重臂与塔头的连接销轴，放下起重臂搁置在垫有枕木的支座上。</w:t>
      </w:r>
    </w:p>
    <w:p w14:paraId="377C731D">
      <w:pPr>
        <w:pStyle w:val="4"/>
        <w:spacing w:before="29" w:line="360" w:lineRule="auto"/>
        <w:ind w:right="159"/>
        <w:rPr>
          <w:rFonts w:ascii="黑体" w:hAnsi="黑体" w:cs="黑体"/>
          <w:bCs/>
          <w:color w:val="000000"/>
        </w:rPr>
      </w:pPr>
      <w:r>
        <w:rPr>
          <w:rFonts w:hint="eastAsia" w:ascii="黑体" w:hAnsi="黑体" w:cs="黑体"/>
          <w:bCs/>
          <w:color w:val="000000"/>
        </w:rPr>
        <w:t>6.4.4.平衡臂拆除</w:t>
      </w:r>
    </w:p>
    <w:p w14:paraId="585E0A4E">
      <w:pPr>
        <w:ind w:firstLine="560"/>
        <w:jc w:val="left"/>
      </w:pPr>
      <w:r>
        <w:rPr>
          <w:rFonts w:hint="eastAsia"/>
        </w:rPr>
        <w:t>将配重全部吊下，然后通过平衡臂上的四个安装吊耳吊起平衡臂，使平衡臂拉杆处于放松状态，拆下拉杆连接销轴，然后拆掉平衡臂与塔帽的连接销轴，将平衡臂平稳放至地面上。</w:t>
      </w:r>
    </w:p>
    <w:p w14:paraId="5491B28E">
      <w:pPr>
        <w:pStyle w:val="4"/>
        <w:spacing w:before="29" w:line="360" w:lineRule="auto"/>
        <w:ind w:right="159"/>
        <w:rPr>
          <w:rFonts w:ascii="黑体" w:hAnsi="黑体" w:cs="黑体"/>
          <w:bCs/>
          <w:color w:val="000000"/>
        </w:rPr>
      </w:pPr>
      <w:r>
        <w:rPr>
          <w:rFonts w:hint="eastAsia" w:ascii="黑体" w:hAnsi="黑体" w:cs="黑体"/>
          <w:bCs/>
          <w:color w:val="000000"/>
        </w:rPr>
        <w:t>6.4.5.拆卸起重臂根节</w:t>
      </w:r>
    </w:p>
    <w:p w14:paraId="2EA12BCB">
      <w:pPr>
        <w:ind w:firstLine="560"/>
        <w:jc w:val="left"/>
      </w:pPr>
      <w:r>
        <w:rPr>
          <w:rFonts w:hint="eastAsia"/>
        </w:rPr>
        <w:t>拆起重臂根节前，先检查与相邻的组件之间是否还有电缆连接，拆掉起重臂根节与回转之间的销轴然后吊放至地面。</w:t>
      </w:r>
    </w:p>
    <w:p w14:paraId="0ECEB158">
      <w:pPr>
        <w:pStyle w:val="4"/>
        <w:spacing w:before="29" w:line="360" w:lineRule="auto"/>
        <w:ind w:right="159"/>
        <w:rPr>
          <w:rFonts w:ascii="黑体" w:hAnsi="黑体" w:cs="黑体"/>
          <w:bCs/>
          <w:color w:val="000000"/>
        </w:rPr>
      </w:pPr>
      <w:r>
        <w:rPr>
          <w:rFonts w:hint="eastAsia" w:ascii="黑体" w:hAnsi="黑体" w:cs="黑体"/>
          <w:bCs/>
          <w:color w:val="000000"/>
        </w:rPr>
        <w:t>6.4.6 拆掉回转塔身总成</w:t>
      </w:r>
    </w:p>
    <w:p w14:paraId="7B7DB110">
      <w:pPr>
        <w:ind w:firstLine="560"/>
        <w:jc w:val="left"/>
      </w:pPr>
      <w:r>
        <w:rPr>
          <w:rFonts w:hint="eastAsia"/>
        </w:rPr>
        <w:t>拆卸回转塔身与上支座的连接销轴，然后吊起卸下。</w:t>
      </w:r>
    </w:p>
    <w:p w14:paraId="666F6CD9">
      <w:pPr>
        <w:pStyle w:val="4"/>
        <w:spacing w:before="29" w:line="360" w:lineRule="auto"/>
        <w:ind w:right="159"/>
        <w:rPr>
          <w:rFonts w:ascii="黑体" w:hAnsi="黑体" w:cs="黑体"/>
          <w:bCs/>
          <w:color w:val="000000"/>
        </w:rPr>
      </w:pPr>
      <w:r>
        <w:rPr>
          <w:rFonts w:hint="eastAsia" w:ascii="黑体" w:hAnsi="黑体" w:cs="黑体"/>
          <w:bCs/>
          <w:color w:val="000000"/>
        </w:rPr>
        <w:t>6.4.7 拆掉回转总成</w:t>
      </w:r>
    </w:p>
    <w:p w14:paraId="797D29BD">
      <w:pPr>
        <w:ind w:firstLine="560"/>
        <w:jc w:val="left"/>
      </w:pPr>
      <w:r>
        <w:rPr>
          <w:rFonts w:hint="eastAsia"/>
        </w:rPr>
        <w:t>拆掉下支座与塔身的连接销轴，伸长顶升油缸，将顶升横梁顶在踏步的圆弧槽内并稍稍顶紧，拆掉下支座与爬升架的连接销轴，回缩顶升油缸，将爬升架的爬爪支承在塔身上，用吊索将回转总成吊起卸下。</w:t>
      </w:r>
    </w:p>
    <w:p w14:paraId="096B8394">
      <w:pPr>
        <w:pStyle w:val="4"/>
        <w:spacing w:before="29" w:line="360" w:lineRule="auto"/>
        <w:ind w:right="159"/>
        <w:rPr>
          <w:rFonts w:ascii="黑体" w:hAnsi="黑体" w:cs="黑体"/>
          <w:bCs/>
          <w:color w:val="000000"/>
        </w:rPr>
      </w:pPr>
      <w:r>
        <w:rPr>
          <w:rFonts w:hint="eastAsia" w:ascii="黑体" w:hAnsi="黑体" w:cs="黑体"/>
          <w:bCs/>
          <w:color w:val="000000"/>
        </w:rPr>
        <w:t>6.4.8 拆掉特殊节</w:t>
      </w:r>
    </w:p>
    <w:p w14:paraId="3BF9F2C4">
      <w:pPr>
        <w:ind w:firstLine="560"/>
      </w:pPr>
      <w:r>
        <w:rPr>
          <w:rFonts w:hint="eastAsia"/>
        </w:rPr>
        <w:t>按照降塔的步骤，伸长顶升油缸，将顶升横梁轴销落入踏步的圆弧槽内，拆掉特殊节座与爬升架的连接销轴，回缩顶升油缸，将爬升架的爬爪支承在塔身上，拆卸前，检查与相邻的组件之间是否还有电缆连接，然后用起重机吊起特殊节，拆下特殊节与塔身的连接螺栓，将特殊节用吊索平稳放至地面上。</w:t>
      </w:r>
    </w:p>
    <w:p w14:paraId="5F73409E">
      <w:pPr>
        <w:pStyle w:val="4"/>
        <w:spacing w:before="29" w:line="360" w:lineRule="auto"/>
        <w:ind w:right="159"/>
        <w:rPr>
          <w:rFonts w:ascii="黑体" w:hAnsi="黑体" w:cs="黑体"/>
          <w:bCs/>
          <w:color w:val="000000"/>
        </w:rPr>
      </w:pPr>
      <w:r>
        <w:rPr>
          <w:rFonts w:hint="eastAsia" w:ascii="黑体" w:hAnsi="黑体" w:cs="黑体"/>
          <w:bCs/>
          <w:color w:val="000000"/>
        </w:rPr>
        <w:t>6.4.9 拆掉爬升架和塔身标准节</w:t>
      </w:r>
    </w:p>
    <w:p w14:paraId="68DD5B9E">
      <w:pPr>
        <w:ind w:firstLine="560"/>
        <w:jc w:val="left"/>
      </w:pPr>
      <w:r>
        <w:rPr>
          <w:rFonts w:hint="eastAsia"/>
        </w:rPr>
        <w:t>吊起爬升架，缓缓沿标准节主弦杆吊出，放至地面然后拆除塔身节。</w:t>
      </w:r>
    </w:p>
    <w:p w14:paraId="78E80E39">
      <w:pPr>
        <w:ind w:firstLine="562"/>
        <w:jc w:val="left"/>
        <w:rPr>
          <w:b/>
          <w:bCs/>
        </w:rPr>
      </w:pPr>
      <w:r>
        <w:rPr>
          <w:rFonts w:hint="eastAsia"/>
          <w:b/>
          <w:bCs/>
        </w:rPr>
        <w:t>注：塔机拆除后，由工程技术人员和专业维修人员检查受力结构件的金属疲劳，焊缝裂纹，结构变形等情况，检查塔机各零部件是否有损坏或碰伤。检查完毕后对缺陷隐患进行修复，在进行防锈刷漆处。</w:t>
      </w:r>
    </w:p>
    <w:p w14:paraId="40F85910">
      <w:pPr>
        <w:pStyle w:val="2"/>
      </w:pPr>
      <w:bookmarkStart w:id="369" w:name="_Toc20912"/>
      <w:r>
        <w:rPr>
          <w:rFonts w:hint="eastAsia"/>
        </w:rPr>
        <w:t>第七章 危险源辨识与分析</w:t>
      </w:r>
      <w:bookmarkEnd w:id="250"/>
      <w:bookmarkEnd w:id="251"/>
      <w:bookmarkEnd w:id="252"/>
      <w:bookmarkEnd w:id="253"/>
      <w:bookmarkEnd w:id="254"/>
      <w:bookmarkEnd w:id="255"/>
      <w:bookmarkEnd w:id="369"/>
    </w:p>
    <w:p w14:paraId="127D8A3D">
      <w:pPr>
        <w:ind w:firstLine="560"/>
        <w:rPr>
          <w:color w:val="000000"/>
        </w:rPr>
      </w:pPr>
      <w:r>
        <w:rPr>
          <w:rFonts w:hint="eastAsia"/>
          <w:color w:val="000000"/>
        </w:rPr>
        <w:t>项目部在开工前由项目负责人组织施工技术、设备物资、消防和安全管理等方面的人员，对塔式起重机安拆进行全面分析、研究，对可能存在的危险源进行辨识、分析、评估，从人、机、料、法、环等因素综合分析，确定潜在的事故类型、时机和危害，并制定针对性的监控对策。</w:t>
      </w:r>
    </w:p>
    <w:p w14:paraId="752D0E50">
      <w:pPr>
        <w:pStyle w:val="3"/>
        <w:ind w:firstLine="562"/>
        <w:rPr>
          <w:color w:val="000000"/>
        </w:rPr>
      </w:pPr>
      <w:bookmarkStart w:id="370" w:name="_Toc16398"/>
      <w:bookmarkStart w:id="371" w:name="_Toc5705"/>
      <w:bookmarkStart w:id="372" w:name="_Toc28112"/>
      <w:bookmarkStart w:id="373" w:name="_Toc15693"/>
      <w:bookmarkStart w:id="374" w:name="_Toc7186"/>
      <w:bookmarkStart w:id="375" w:name="_Toc25177"/>
      <w:r>
        <w:rPr>
          <w:rFonts w:hint="eastAsia"/>
          <w:color w:val="000000"/>
        </w:rPr>
        <w:t>7.</w:t>
      </w:r>
      <w:r>
        <w:rPr>
          <w:color w:val="000000"/>
        </w:rPr>
        <w:t>1</w:t>
      </w:r>
      <w:r>
        <w:rPr>
          <w:rFonts w:hint="eastAsia"/>
          <w:color w:val="000000"/>
        </w:rPr>
        <w:t>危险因素辨识</w:t>
      </w:r>
      <w:bookmarkEnd w:id="370"/>
      <w:bookmarkEnd w:id="371"/>
      <w:bookmarkEnd w:id="372"/>
      <w:bookmarkEnd w:id="373"/>
      <w:bookmarkEnd w:id="374"/>
      <w:bookmarkEnd w:id="375"/>
    </w:p>
    <w:p w14:paraId="5C8B1031">
      <w:pPr>
        <w:pStyle w:val="122"/>
        <w:outlineLvl w:val="9"/>
        <w:rPr>
          <w:rStyle w:val="123"/>
          <w:b/>
        </w:rPr>
      </w:pPr>
      <w:r>
        <w:rPr>
          <w:rStyle w:val="123"/>
          <w:rFonts w:hint="eastAsia"/>
          <w:b/>
        </w:rPr>
        <w:t>表7.</w:t>
      </w:r>
      <w:r>
        <w:rPr>
          <w:rStyle w:val="123"/>
          <w:b/>
        </w:rPr>
        <w:t>1-1</w:t>
      </w:r>
      <w:r>
        <w:rPr>
          <w:rStyle w:val="123"/>
          <w:rFonts w:hint="eastAsia"/>
          <w:b/>
        </w:rPr>
        <w:t>安全危险源普查清单</w:t>
      </w:r>
    </w:p>
    <w:tbl>
      <w:tblPr>
        <w:tblStyle w:val="40"/>
        <w:tblW w:w="4943"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1112"/>
        <w:gridCol w:w="3523"/>
        <w:gridCol w:w="3933"/>
      </w:tblGrid>
      <w:tr w14:paraId="03F58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Merge w:val="restart"/>
            <w:vAlign w:val="center"/>
          </w:tcPr>
          <w:p w14:paraId="5DF90ED3">
            <w:pPr>
              <w:pStyle w:val="143"/>
              <w:rPr>
                <w:rFonts w:ascii="仿宋" w:hAnsi="仿宋"/>
                <w:color w:val="000000"/>
                <w:kern w:val="2"/>
                <w:sz w:val="24"/>
                <w:szCs w:val="24"/>
              </w:rPr>
            </w:pPr>
            <w:r>
              <w:rPr>
                <w:rFonts w:hint="eastAsia" w:ascii="仿宋" w:hAnsi="仿宋"/>
                <w:color w:val="000000"/>
                <w:kern w:val="2"/>
                <w:sz w:val="24"/>
                <w:szCs w:val="24"/>
              </w:rPr>
              <w:t>序号</w:t>
            </w:r>
          </w:p>
        </w:tc>
        <w:tc>
          <w:tcPr>
            <w:tcW w:w="609" w:type="pct"/>
            <w:vMerge w:val="restart"/>
            <w:vAlign w:val="center"/>
          </w:tcPr>
          <w:p w14:paraId="36BAAB7D">
            <w:pPr>
              <w:pStyle w:val="143"/>
              <w:rPr>
                <w:rFonts w:ascii="仿宋" w:hAnsi="仿宋"/>
                <w:color w:val="000000"/>
                <w:kern w:val="2"/>
                <w:sz w:val="24"/>
                <w:szCs w:val="24"/>
              </w:rPr>
            </w:pPr>
            <w:r>
              <w:rPr>
                <w:rFonts w:hint="eastAsia" w:ascii="仿宋" w:hAnsi="仿宋"/>
                <w:color w:val="000000"/>
                <w:kern w:val="2"/>
                <w:sz w:val="24"/>
                <w:szCs w:val="24"/>
              </w:rPr>
              <w:t>危险源</w:t>
            </w:r>
          </w:p>
        </w:tc>
        <w:tc>
          <w:tcPr>
            <w:tcW w:w="4085" w:type="pct"/>
            <w:gridSpan w:val="2"/>
            <w:vAlign w:val="center"/>
          </w:tcPr>
          <w:p w14:paraId="3251B766">
            <w:pPr>
              <w:pStyle w:val="143"/>
              <w:rPr>
                <w:rFonts w:ascii="仿宋" w:hAnsi="仿宋"/>
                <w:color w:val="000000"/>
                <w:kern w:val="2"/>
                <w:sz w:val="24"/>
                <w:szCs w:val="24"/>
              </w:rPr>
            </w:pPr>
            <w:r>
              <w:rPr>
                <w:rFonts w:hint="eastAsia" w:ascii="仿宋" w:hAnsi="仿宋"/>
                <w:color w:val="000000"/>
                <w:kern w:val="2"/>
                <w:sz w:val="24"/>
                <w:szCs w:val="24"/>
              </w:rPr>
              <w:t>判断依据</w:t>
            </w:r>
          </w:p>
        </w:tc>
      </w:tr>
      <w:tr w14:paraId="2B75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Merge w:val="continue"/>
            <w:vAlign w:val="center"/>
          </w:tcPr>
          <w:p w14:paraId="7D5BB287">
            <w:pPr>
              <w:pStyle w:val="143"/>
              <w:rPr>
                <w:rFonts w:ascii="仿宋" w:hAnsi="仿宋"/>
                <w:color w:val="000000"/>
                <w:kern w:val="2"/>
                <w:sz w:val="24"/>
                <w:szCs w:val="24"/>
              </w:rPr>
            </w:pPr>
          </w:p>
        </w:tc>
        <w:tc>
          <w:tcPr>
            <w:tcW w:w="609" w:type="pct"/>
            <w:vMerge w:val="continue"/>
            <w:vAlign w:val="center"/>
          </w:tcPr>
          <w:p w14:paraId="41DCE95E">
            <w:pPr>
              <w:pStyle w:val="143"/>
              <w:rPr>
                <w:rFonts w:ascii="仿宋" w:hAnsi="仿宋"/>
                <w:color w:val="000000"/>
                <w:kern w:val="2"/>
                <w:sz w:val="24"/>
                <w:szCs w:val="24"/>
              </w:rPr>
            </w:pPr>
          </w:p>
        </w:tc>
        <w:tc>
          <w:tcPr>
            <w:tcW w:w="1930" w:type="pct"/>
            <w:vAlign w:val="center"/>
          </w:tcPr>
          <w:p w14:paraId="52F18C98">
            <w:pPr>
              <w:pStyle w:val="143"/>
              <w:rPr>
                <w:rFonts w:ascii="仿宋" w:hAnsi="仿宋"/>
                <w:color w:val="000000"/>
                <w:kern w:val="2"/>
                <w:sz w:val="24"/>
                <w:szCs w:val="24"/>
              </w:rPr>
            </w:pPr>
            <w:r>
              <w:rPr>
                <w:rFonts w:hint="eastAsia" w:ascii="仿宋" w:hAnsi="仿宋"/>
                <w:color w:val="000000"/>
                <w:kern w:val="2"/>
                <w:sz w:val="24"/>
                <w:szCs w:val="24"/>
              </w:rPr>
              <w:t>物的不安全状态</w:t>
            </w:r>
          </w:p>
        </w:tc>
        <w:tc>
          <w:tcPr>
            <w:tcW w:w="2155" w:type="pct"/>
            <w:vAlign w:val="center"/>
          </w:tcPr>
          <w:p w14:paraId="17AB8E12">
            <w:pPr>
              <w:pStyle w:val="143"/>
              <w:rPr>
                <w:rFonts w:ascii="仿宋" w:hAnsi="仿宋"/>
                <w:color w:val="000000"/>
                <w:kern w:val="2"/>
                <w:sz w:val="24"/>
                <w:szCs w:val="24"/>
              </w:rPr>
            </w:pPr>
            <w:r>
              <w:rPr>
                <w:rFonts w:hint="eastAsia" w:ascii="仿宋" w:hAnsi="仿宋"/>
                <w:color w:val="000000"/>
                <w:kern w:val="2"/>
                <w:sz w:val="24"/>
                <w:szCs w:val="24"/>
              </w:rPr>
              <w:t>人的不安全行为</w:t>
            </w:r>
          </w:p>
        </w:tc>
      </w:tr>
      <w:tr w14:paraId="73D5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686EB5D4">
            <w:pPr>
              <w:pStyle w:val="143"/>
              <w:rPr>
                <w:rFonts w:ascii="仿宋" w:hAnsi="仿宋"/>
                <w:color w:val="000000"/>
                <w:kern w:val="2"/>
                <w:sz w:val="24"/>
                <w:szCs w:val="24"/>
              </w:rPr>
            </w:pPr>
            <w:r>
              <w:rPr>
                <w:rFonts w:ascii="仿宋" w:hAnsi="仿宋"/>
                <w:color w:val="000000"/>
                <w:kern w:val="2"/>
                <w:sz w:val="24"/>
                <w:szCs w:val="24"/>
              </w:rPr>
              <w:t>1</w:t>
            </w:r>
          </w:p>
        </w:tc>
        <w:tc>
          <w:tcPr>
            <w:tcW w:w="609" w:type="pct"/>
            <w:vAlign w:val="center"/>
          </w:tcPr>
          <w:p w14:paraId="7A4282EB">
            <w:pPr>
              <w:pStyle w:val="143"/>
              <w:rPr>
                <w:rFonts w:ascii="仿宋" w:hAnsi="仿宋"/>
                <w:color w:val="000000"/>
                <w:kern w:val="2"/>
                <w:sz w:val="24"/>
                <w:szCs w:val="24"/>
              </w:rPr>
            </w:pPr>
            <w:r>
              <w:rPr>
                <w:rFonts w:hint="eastAsia" w:ascii="仿宋" w:hAnsi="仿宋"/>
                <w:color w:val="000000"/>
                <w:kern w:val="2"/>
                <w:sz w:val="24"/>
                <w:szCs w:val="24"/>
              </w:rPr>
              <w:t>起重伤害</w:t>
            </w:r>
          </w:p>
        </w:tc>
        <w:tc>
          <w:tcPr>
            <w:tcW w:w="1930" w:type="pct"/>
            <w:vAlign w:val="center"/>
          </w:tcPr>
          <w:p w14:paraId="64A569B4">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、起重设备缺陷；</w:t>
            </w:r>
          </w:p>
          <w:p w14:paraId="38D513CE">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、吊具（吊索、扣件等）有缺陷；</w:t>
            </w:r>
          </w:p>
          <w:p w14:paraId="61659183">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、起重设备故障或超负荷；</w:t>
            </w:r>
          </w:p>
          <w:p w14:paraId="108C39F7">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、起重设备安全装置失灵；</w:t>
            </w:r>
          </w:p>
          <w:p w14:paraId="6E98775E">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、设备操作人员无操作资格证；</w:t>
            </w:r>
          </w:p>
          <w:p w14:paraId="6A284BA7">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、指挥通讯设备故障；</w:t>
            </w:r>
          </w:p>
          <w:p w14:paraId="26EB4546">
            <w:pPr>
              <w:pStyle w:val="143"/>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、吊机超载限制器缺失或失效。</w:t>
            </w:r>
          </w:p>
        </w:tc>
        <w:tc>
          <w:tcPr>
            <w:tcW w:w="2155" w:type="pct"/>
            <w:vAlign w:val="center"/>
          </w:tcPr>
          <w:p w14:paraId="2ACD4EB8">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、操作人员违章操作；</w:t>
            </w:r>
          </w:p>
          <w:p w14:paraId="2151BCD7">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、指挥信号不清；</w:t>
            </w:r>
          </w:p>
          <w:p w14:paraId="57C64F55">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、相关人员在起吊物下作业、停留；</w:t>
            </w:r>
          </w:p>
          <w:p w14:paraId="6DDE57CD">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、设备检查不到位；</w:t>
            </w:r>
          </w:p>
          <w:p w14:paraId="05DB5135">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、起吊物体捆绑不当；</w:t>
            </w:r>
          </w:p>
          <w:p w14:paraId="49C709F0">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、相关人员冒险进入起重机械工作区域等危险场所。</w:t>
            </w:r>
          </w:p>
        </w:tc>
      </w:tr>
      <w:tr w14:paraId="2759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50228312">
            <w:pPr>
              <w:pStyle w:val="143"/>
              <w:rPr>
                <w:rFonts w:ascii="仿宋" w:hAnsi="仿宋"/>
                <w:color w:val="000000"/>
                <w:kern w:val="2"/>
                <w:sz w:val="24"/>
                <w:szCs w:val="24"/>
              </w:rPr>
            </w:pPr>
            <w:r>
              <w:rPr>
                <w:rFonts w:ascii="仿宋" w:hAnsi="仿宋"/>
                <w:color w:val="000000"/>
                <w:kern w:val="2"/>
                <w:sz w:val="24"/>
                <w:szCs w:val="24"/>
              </w:rPr>
              <w:t>2</w:t>
            </w:r>
          </w:p>
        </w:tc>
        <w:tc>
          <w:tcPr>
            <w:tcW w:w="609" w:type="pct"/>
            <w:vAlign w:val="center"/>
          </w:tcPr>
          <w:p w14:paraId="570B173D">
            <w:pPr>
              <w:pStyle w:val="143"/>
              <w:rPr>
                <w:rFonts w:ascii="仿宋" w:hAnsi="仿宋"/>
                <w:color w:val="000000"/>
                <w:kern w:val="2"/>
                <w:sz w:val="24"/>
                <w:szCs w:val="24"/>
              </w:rPr>
            </w:pPr>
            <w:r>
              <w:rPr>
                <w:rFonts w:hint="eastAsia" w:ascii="仿宋" w:hAnsi="仿宋"/>
                <w:color w:val="000000"/>
                <w:kern w:val="2"/>
                <w:sz w:val="24"/>
                <w:szCs w:val="24"/>
              </w:rPr>
              <w:t>物体打击</w:t>
            </w:r>
          </w:p>
        </w:tc>
        <w:tc>
          <w:tcPr>
            <w:tcW w:w="1930" w:type="pct"/>
            <w:vAlign w:val="center"/>
          </w:tcPr>
          <w:p w14:paraId="5F8766DC">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、处于高处的工具或材料摆设位置不当或固定不当（易掉落）；</w:t>
            </w:r>
          </w:p>
          <w:p w14:paraId="6881EEBF">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、施工场地环境不良（如照明不佳、场地狭窄、场地湿滑）；</w:t>
            </w:r>
          </w:p>
          <w:p w14:paraId="5BB0F3A5">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、上下交叉作业。</w:t>
            </w:r>
          </w:p>
        </w:tc>
        <w:tc>
          <w:tcPr>
            <w:tcW w:w="2155" w:type="pct"/>
            <w:vAlign w:val="center"/>
          </w:tcPr>
          <w:p w14:paraId="2E7FEE1D">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、未佩戴安全帽；</w:t>
            </w:r>
          </w:p>
          <w:p w14:paraId="7CDE9AF5">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、冒险进入危险场所；</w:t>
            </w:r>
          </w:p>
          <w:p w14:paraId="02EBB3B3">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、有分散注意力行为；</w:t>
            </w:r>
          </w:p>
        </w:tc>
      </w:tr>
      <w:tr w14:paraId="21C7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32D8510E">
            <w:pPr>
              <w:pStyle w:val="143"/>
              <w:rPr>
                <w:rFonts w:ascii="仿宋" w:hAnsi="仿宋"/>
                <w:color w:val="000000"/>
                <w:kern w:val="2"/>
                <w:sz w:val="24"/>
                <w:szCs w:val="24"/>
              </w:rPr>
            </w:pPr>
            <w:r>
              <w:rPr>
                <w:rFonts w:ascii="仿宋" w:hAnsi="仿宋"/>
                <w:color w:val="000000"/>
                <w:kern w:val="2"/>
                <w:sz w:val="24"/>
                <w:szCs w:val="24"/>
              </w:rPr>
              <w:t>3</w:t>
            </w:r>
          </w:p>
        </w:tc>
        <w:tc>
          <w:tcPr>
            <w:tcW w:w="609" w:type="pct"/>
            <w:vAlign w:val="center"/>
          </w:tcPr>
          <w:p w14:paraId="2FAA4EEB">
            <w:pPr>
              <w:pStyle w:val="143"/>
              <w:rPr>
                <w:rFonts w:ascii="仿宋" w:hAnsi="仿宋"/>
                <w:color w:val="000000"/>
                <w:kern w:val="2"/>
                <w:sz w:val="24"/>
                <w:szCs w:val="24"/>
              </w:rPr>
            </w:pPr>
            <w:r>
              <w:rPr>
                <w:rFonts w:hint="eastAsia" w:ascii="仿宋" w:hAnsi="仿宋"/>
                <w:color w:val="000000"/>
                <w:kern w:val="2"/>
                <w:sz w:val="24"/>
                <w:szCs w:val="24"/>
              </w:rPr>
              <w:t>高处坠落</w:t>
            </w:r>
          </w:p>
        </w:tc>
        <w:tc>
          <w:tcPr>
            <w:tcW w:w="1930" w:type="pct"/>
            <w:vAlign w:val="center"/>
          </w:tcPr>
          <w:p w14:paraId="33A25621">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、个人防护用品用具缺少或有缺陷；</w:t>
            </w:r>
          </w:p>
          <w:p w14:paraId="75CEF1C6">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、环境因素导致的高空坠落；</w:t>
            </w:r>
          </w:p>
          <w:p w14:paraId="1F1E2534">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、安全带或保险绳断开使作业人员坠落。</w:t>
            </w:r>
          </w:p>
        </w:tc>
        <w:tc>
          <w:tcPr>
            <w:tcW w:w="2155" w:type="pct"/>
            <w:vAlign w:val="center"/>
          </w:tcPr>
          <w:p w14:paraId="6286017F">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、违章操作、违章指挥；</w:t>
            </w:r>
          </w:p>
          <w:p w14:paraId="49F45B86">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、在必须使用个人防护用品用具的作业或场合中，忽视其使用；</w:t>
            </w:r>
          </w:p>
          <w:p w14:paraId="3E67FD38">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、身体不适时，进行高处作业等；</w:t>
            </w:r>
          </w:p>
          <w:p w14:paraId="366A2982">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、冒险登高作业。</w:t>
            </w:r>
          </w:p>
        </w:tc>
      </w:tr>
      <w:tr w14:paraId="4F5C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6FB2D662">
            <w:pPr>
              <w:pStyle w:val="143"/>
              <w:rPr>
                <w:rFonts w:ascii="仿宋" w:hAnsi="仿宋"/>
                <w:color w:val="000000"/>
                <w:kern w:val="2"/>
                <w:sz w:val="24"/>
                <w:szCs w:val="24"/>
              </w:rPr>
            </w:pPr>
            <w:r>
              <w:rPr>
                <w:rFonts w:ascii="仿宋" w:hAnsi="仿宋"/>
                <w:color w:val="000000"/>
                <w:kern w:val="2"/>
                <w:sz w:val="24"/>
                <w:szCs w:val="24"/>
              </w:rPr>
              <w:t>4</w:t>
            </w:r>
          </w:p>
        </w:tc>
        <w:tc>
          <w:tcPr>
            <w:tcW w:w="609" w:type="pct"/>
            <w:vAlign w:val="center"/>
          </w:tcPr>
          <w:p w14:paraId="3AD76DCE">
            <w:pPr>
              <w:pStyle w:val="143"/>
              <w:rPr>
                <w:rFonts w:ascii="仿宋" w:hAnsi="仿宋"/>
                <w:color w:val="000000"/>
                <w:kern w:val="2"/>
                <w:sz w:val="24"/>
                <w:szCs w:val="24"/>
              </w:rPr>
            </w:pPr>
            <w:r>
              <w:rPr>
                <w:rFonts w:hint="eastAsia" w:ascii="仿宋" w:hAnsi="仿宋"/>
                <w:color w:val="000000"/>
                <w:kern w:val="2"/>
                <w:sz w:val="24"/>
                <w:szCs w:val="24"/>
              </w:rPr>
              <w:t>机械伤害</w:t>
            </w:r>
          </w:p>
        </w:tc>
        <w:tc>
          <w:tcPr>
            <w:tcW w:w="1930" w:type="pct"/>
            <w:vAlign w:val="center"/>
          </w:tcPr>
          <w:p w14:paraId="759C4994">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、防护、保险、信号等装置缺乏或有缺陷；</w:t>
            </w:r>
          </w:p>
          <w:p w14:paraId="07BFB97E">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、履带吊等设备、设施、工具、附件有缺陷；</w:t>
            </w:r>
          </w:p>
          <w:p w14:paraId="613BBAAA">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、个人防护用品用具缺少或有缺陷；</w:t>
            </w:r>
          </w:p>
          <w:p w14:paraId="4B74E5D2">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、施工场地环境不良（如照明不良）。</w:t>
            </w:r>
          </w:p>
        </w:tc>
        <w:tc>
          <w:tcPr>
            <w:tcW w:w="2155" w:type="pct"/>
            <w:vAlign w:val="center"/>
          </w:tcPr>
          <w:p w14:paraId="5EA18FDD">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、在必须使用个人防护用品用具的作业或场合中，忽视其使用；</w:t>
            </w:r>
          </w:p>
          <w:p w14:paraId="771904AC">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、有分散注意力行为；</w:t>
            </w:r>
          </w:p>
          <w:p w14:paraId="15D53033">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、未按操作规程使用吊机；</w:t>
            </w:r>
          </w:p>
          <w:p w14:paraId="2EA6D5CB">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、造成安全装置失效；</w:t>
            </w:r>
          </w:p>
          <w:p w14:paraId="5164883D">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、使用不安全设备；</w:t>
            </w:r>
          </w:p>
          <w:p w14:paraId="18CB6E8B">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、操作错误，忽视安全，忽视警告。</w:t>
            </w:r>
          </w:p>
        </w:tc>
      </w:tr>
      <w:tr w14:paraId="58A20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2D30CA69">
            <w:pPr>
              <w:pStyle w:val="143"/>
              <w:rPr>
                <w:rFonts w:ascii="仿宋" w:hAnsi="仿宋"/>
                <w:color w:val="000000"/>
                <w:kern w:val="2"/>
                <w:sz w:val="24"/>
                <w:szCs w:val="24"/>
              </w:rPr>
            </w:pPr>
            <w:r>
              <w:rPr>
                <w:rFonts w:ascii="仿宋" w:hAnsi="仿宋"/>
                <w:color w:val="000000"/>
                <w:kern w:val="2"/>
                <w:sz w:val="24"/>
                <w:szCs w:val="24"/>
              </w:rPr>
              <w:t>5</w:t>
            </w:r>
          </w:p>
        </w:tc>
        <w:tc>
          <w:tcPr>
            <w:tcW w:w="609" w:type="pct"/>
            <w:vAlign w:val="center"/>
          </w:tcPr>
          <w:p w14:paraId="43D1F0B7">
            <w:pPr>
              <w:pStyle w:val="143"/>
              <w:rPr>
                <w:rFonts w:ascii="仿宋" w:hAnsi="仿宋"/>
                <w:color w:val="000000"/>
                <w:kern w:val="2"/>
                <w:sz w:val="24"/>
                <w:szCs w:val="24"/>
              </w:rPr>
            </w:pPr>
            <w:r>
              <w:rPr>
                <w:rFonts w:hint="eastAsia" w:ascii="仿宋" w:hAnsi="仿宋"/>
                <w:color w:val="000000"/>
                <w:kern w:val="2"/>
                <w:sz w:val="24"/>
                <w:szCs w:val="24"/>
              </w:rPr>
              <w:t>触电</w:t>
            </w:r>
          </w:p>
        </w:tc>
        <w:tc>
          <w:tcPr>
            <w:tcW w:w="1930" w:type="pct"/>
            <w:vAlign w:val="center"/>
          </w:tcPr>
          <w:p w14:paraId="680C7CC3">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、电线老化、破损；</w:t>
            </w:r>
          </w:p>
          <w:p w14:paraId="421B2E57">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、电焊机等设备漏电、设备接地保护损坏；</w:t>
            </w:r>
          </w:p>
          <w:p w14:paraId="27CD8FDB">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、施工场地环境不良（如照明不佳、场地狭窄、雨雪天气等）；</w:t>
            </w:r>
          </w:p>
          <w:p w14:paraId="14148CA5">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、电线浸泡水中；</w:t>
            </w:r>
          </w:p>
          <w:p w14:paraId="73643F60">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、未实行“一机、一箱、一闸、一漏保”措施；</w:t>
            </w:r>
          </w:p>
          <w:p w14:paraId="67E030DF">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、未设置防雷措施；</w:t>
            </w:r>
          </w:p>
          <w:p w14:paraId="1EBFC38A">
            <w:pPr>
              <w:pStyle w:val="143"/>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、危险机电区域未设置警示标志</w:t>
            </w:r>
          </w:p>
        </w:tc>
        <w:tc>
          <w:tcPr>
            <w:tcW w:w="2155" w:type="pct"/>
            <w:vAlign w:val="center"/>
          </w:tcPr>
          <w:p w14:paraId="3DBD4785">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、无证人员操作电路设备；</w:t>
            </w:r>
          </w:p>
          <w:p w14:paraId="216D909C">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、不当行为造成安全装置（如漏电保安器失效）；</w:t>
            </w:r>
          </w:p>
          <w:p w14:paraId="03517B9B">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、使用不安全设备（如测电笔）；</w:t>
            </w:r>
          </w:p>
          <w:p w14:paraId="67FF8EFF">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、非专业电工冒险进入危险场所（如配电房）等；</w:t>
            </w:r>
          </w:p>
          <w:p w14:paraId="521DB47D">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、雷电恶劣天气作业。</w:t>
            </w:r>
          </w:p>
        </w:tc>
      </w:tr>
      <w:tr w14:paraId="2F43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5AEC2683">
            <w:pPr>
              <w:pStyle w:val="143"/>
              <w:rPr>
                <w:rFonts w:ascii="仿宋" w:hAnsi="仿宋"/>
                <w:color w:val="000000"/>
                <w:kern w:val="2"/>
                <w:sz w:val="24"/>
                <w:szCs w:val="24"/>
              </w:rPr>
            </w:pPr>
            <w:r>
              <w:rPr>
                <w:rFonts w:ascii="仿宋" w:hAnsi="仿宋"/>
                <w:color w:val="000000"/>
                <w:kern w:val="2"/>
                <w:sz w:val="24"/>
                <w:szCs w:val="24"/>
              </w:rPr>
              <w:t>6</w:t>
            </w:r>
          </w:p>
        </w:tc>
        <w:tc>
          <w:tcPr>
            <w:tcW w:w="609" w:type="pct"/>
            <w:vAlign w:val="center"/>
          </w:tcPr>
          <w:p w14:paraId="308E5E56">
            <w:pPr>
              <w:pStyle w:val="143"/>
              <w:rPr>
                <w:rFonts w:ascii="仿宋" w:hAnsi="仿宋"/>
                <w:color w:val="000000"/>
                <w:kern w:val="2"/>
                <w:sz w:val="24"/>
                <w:szCs w:val="24"/>
              </w:rPr>
            </w:pPr>
            <w:r>
              <w:rPr>
                <w:rFonts w:hint="eastAsia" w:ascii="仿宋" w:hAnsi="仿宋"/>
                <w:color w:val="000000"/>
                <w:kern w:val="2"/>
                <w:sz w:val="24"/>
                <w:szCs w:val="24"/>
              </w:rPr>
              <w:t>火灾爆炸</w:t>
            </w:r>
          </w:p>
        </w:tc>
        <w:tc>
          <w:tcPr>
            <w:tcW w:w="1930" w:type="pct"/>
            <w:vAlign w:val="center"/>
          </w:tcPr>
          <w:p w14:paraId="60C5CE8D">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、氧气、乙炔气管破损漏气；</w:t>
            </w:r>
          </w:p>
          <w:p w14:paraId="1F91D1BD">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、乙炔瓶未安装防回火装置或其失效。</w:t>
            </w:r>
          </w:p>
        </w:tc>
        <w:tc>
          <w:tcPr>
            <w:tcW w:w="2155" w:type="pct"/>
            <w:vAlign w:val="center"/>
          </w:tcPr>
          <w:p w14:paraId="38280352">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、使用氧气、乙炔气时，将气瓶放倒使用；</w:t>
            </w:r>
          </w:p>
          <w:p w14:paraId="72143B73">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、气瓶在阳光下曝晒使用；</w:t>
            </w:r>
          </w:p>
          <w:p w14:paraId="0D39A2BE">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、违规滚拖氧气、乙炔瓶；</w:t>
            </w:r>
          </w:p>
          <w:p w14:paraId="7724FF27">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、用明火解冻气瓶；</w:t>
            </w:r>
          </w:p>
          <w:p w14:paraId="615D7AD8">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、在氧气乙炔瓶附近吸烟或明火作业；</w:t>
            </w:r>
          </w:p>
          <w:p w14:paraId="5A3E9E16">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、氧气乙炔瓶工作间距不满足安全距离。</w:t>
            </w:r>
          </w:p>
        </w:tc>
      </w:tr>
      <w:tr w14:paraId="426E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5199AB09">
            <w:pPr>
              <w:pStyle w:val="143"/>
              <w:rPr>
                <w:rFonts w:ascii="仿宋" w:hAnsi="仿宋"/>
                <w:color w:val="000000"/>
                <w:kern w:val="2"/>
                <w:sz w:val="24"/>
                <w:szCs w:val="24"/>
              </w:rPr>
            </w:pPr>
            <w:r>
              <w:rPr>
                <w:rFonts w:ascii="仿宋" w:hAnsi="仿宋"/>
                <w:color w:val="000000"/>
                <w:kern w:val="2"/>
                <w:sz w:val="24"/>
                <w:szCs w:val="24"/>
              </w:rPr>
              <w:t>7</w:t>
            </w:r>
          </w:p>
        </w:tc>
        <w:tc>
          <w:tcPr>
            <w:tcW w:w="609" w:type="pct"/>
            <w:vAlign w:val="center"/>
          </w:tcPr>
          <w:p w14:paraId="0F435CAD">
            <w:pPr>
              <w:pStyle w:val="143"/>
              <w:rPr>
                <w:rFonts w:ascii="仿宋" w:hAnsi="仿宋"/>
                <w:color w:val="000000"/>
                <w:kern w:val="2"/>
                <w:sz w:val="24"/>
                <w:szCs w:val="24"/>
              </w:rPr>
            </w:pPr>
            <w:r>
              <w:rPr>
                <w:rFonts w:hint="eastAsia" w:ascii="仿宋" w:hAnsi="仿宋"/>
                <w:color w:val="000000"/>
                <w:kern w:val="2"/>
                <w:sz w:val="24"/>
                <w:szCs w:val="24"/>
              </w:rPr>
              <w:t>车辆伤害</w:t>
            </w:r>
          </w:p>
        </w:tc>
        <w:tc>
          <w:tcPr>
            <w:tcW w:w="1930" w:type="pct"/>
            <w:vAlign w:val="center"/>
          </w:tcPr>
          <w:p w14:paraId="26471B9C">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、施工场地内构筑物、设备侵入道路，妨碍视线；</w:t>
            </w:r>
          </w:p>
          <w:p w14:paraId="10FB0372">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、运输、装卸车辆未进行检修和保养；</w:t>
            </w:r>
          </w:p>
          <w:p w14:paraId="08BFE2BE">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、施工场内道路未设置明显的限速标志；</w:t>
            </w:r>
          </w:p>
          <w:p w14:paraId="446A3A96">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、施工场地环境不良（如照明不佳、场地狭窄、雨雪天气等）；</w:t>
            </w:r>
          </w:p>
        </w:tc>
        <w:tc>
          <w:tcPr>
            <w:tcW w:w="2155" w:type="pct"/>
            <w:vAlign w:val="center"/>
          </w:tcPr>
          <w:p w14:paraId="3A5662BC">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、车辆驾驶人员未经过专业技术、安全操作考试、无相关证件；</w:t>
            </w:r>
          </w:p>
          <w:p w14:paraId="1F16A2C3">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、运输、装卸作业人员作业时未按规定穿戴劳动保护用品。</w:t>
            </w:r>
          </w:p>
        </w:tc>
      </w:tr>
      <w:tr w14:paraId="1AF6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2F8F9987">
            <w:pPr>
              <w:pStyle w:val="143"/>
              <w:rPr>
                <w:rFonts w:ascii="仿宋" w:hAnsi="仿宋"/>
                <w:color w:val="000000"/>
                <w:kern w:val="2"/>
                <w:sz w:val="24"/>
                <w:szCs w:val="24"/>
              </w:rPr>
            </w:pPr>
            <w:r>
              <w:rPr>
                <w:rFonts w:ascii="仿宋" w:hAnsi="仿宋"/>
                <w:color w:val="000000"/>
                <w:kern w:val="2"/>
                <w:sz w:val="24"/>
                <w:szCs w:val="24"/>
              </w:rPr>
              <w:t>8</w:t>
            </w:r>
          </w:p>
        </w:tc>
        <w:tc>
          <w:tcPr>
            <w:tcW w:w="609" w:type="pct"/>
            <w:vAlign w:val="center"/>
          </w:tcPr>
          <w:p w14:paraId="3301AB62">
            <w:pPr>
              <w:pStyle w:val="143"/>
              <w:rPr>
                <w:rFonts w:ascii="仿宋" w:hAnsi="仿宋"/>
                <w:color w:val="000000"/>
                <w:kern w:val="2"/>
                <w:sz w:val="24"/>
                <w:szCs w:val="24"/>
              </w:rPr>
            </w:pPr>
            <w:r>
              <w:rPr>
                <w:rFonts w:hint="eastAsia" w:ascii="仿宋" w:hAnsi="仿宋"/>
                <w:color w:val="000000"/>
                <w:kern w:val="2"/>
                <w:sz w:val="24"/>
                <w:szCs w:val="24"/>
              </w:rPr>
              <w:t>塔机倒塌</w:t>
            </w:r>
          </w:p>
        </w:tc>
        <w:tc>
          <w:tcPr>
            <w:tcW w:w="1930" w:type="pct"/>
            <w:vAlign w:val="center"/>
          </w:tcPr>
          <w:p w14:paraId="6218922F">
            <w:pPr>
              <w:pStyle w:val="143"/>
              <w:jc w:val="left"/>
              <w:rPr>
                <w:rFonts w:ascii="仿宋" w:hAnsi="仿宋"/>
                <w:color w:val="000000"/>
                <w:kern w:val="2"/>
                <w:sz w:val="24"/>
                <w:szCs w:val="24"/>
              </w:rPr>
            </w:pPr>
            <w:r>
              <w:rPr>
                <w:rFonts w:ascii="仿宋" w:hAnsi="仿宋" w:cs="宋体"/>
                <w:kern w:val="2"/>
                <w:sz w:val="24"/>
                <w:szCs w:val="24"/>
              </w:rPr>
              <w:t>1</w:t>
            </w:r>
            <w:r>
              <w:rPr>
                <w:rFonts w:ascii="仿宋" w:hAnsi="仿宋"/>
                <w:color w:val="000000"/>
                <w:kern w:val="2"/>
                <w:sz w:val="24"/>
                <w:szCs w:val="24"/>
              </w:rPr>
              <w:t>.</w:t>
            </w:r>
            <w:r>
              <w:rPr>
                <w:rFonts w:hint="eastAsia" w:ascii="仿宋" w:hAnsi="仿宋"/>
                <w:color w:val="000000"/>
                <w:kern w:val="2"/>
                <w:sz w:val="24"/>
                <w:szCs w:val="24"/>
              </w:rPr>
              <w:t>“三无”机械设备；</w:t>
            </w:r>
          </w:p>
          <w:p w14:paraId="63AD0F21">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机械设备带病运转；</w:t>
            </w:r>
          </w:p>
          <w:p w14:paraId="012A6113">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照明光线不良；</w:t>
            </w:r>
          </w:p>
          <w:p w14:paraId="51DAC196">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施工场地地面潮湿或积水；</w:t>
            </w:r>
          </w:p>
          <w:p w14:paraId="50416D5C">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作业平台临边未设置安全防护设施或设置不合理；</w:t>
            </w:r>
          </w:p>
          <w:p w14:paraId="790D4DDE">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起重设备的钢丝绳和索具无出厂合格证和材质证明；</w:t>
            </w:r>
          </w:p>
          <w:p w14:paraId="0E7129A0">
            <w:pPr>
              <w:pStyle w:val="143"/>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起重设备的钢丝绳锈蚀或磨损严重；</w:t>
            </w:r>
          </w:p>
          <w:p w14:paraId="265688DD">
            <w:pPr>
              <w:pStyle w:val="143"/>
              <w:jc w:val="left"/>
              <w:rPr>
                <w:rFonts w:ascii="仿宋" w:hAnsi="仿宋"/>
                <w:color w:val="000000"/>
                <w:kern w:val="2"/>
                <w:sz w:val="24"/>
                <w:szCs w:val="24"/>
              </w:rPr>
            </w:pPr>
            <w:r>
              <w:rPr>
                <w:rFonts w:ascii="仿宋" w:hAnsi="仿宋"/>
                <w:color w:val="000000"/>
                <w:kern w:val="2"/>
                <w:sz w:val="24"/>
                <w:szCs w:val="24"/>
              </w:rPr>
              <w:t>8.</w:t>
            </w:r>
            <w:r>
              <w:rPr>
                <w:rFonts w:hint="eastAsia" w:ascii="仿宋" w:hAnsi="仿宋"/>
                <w:color w:val="000000"/>
                <w:kern w:val="2"/>
                <w:sz w:val="24"/>
                <w:szCs w:val="24"/>
              </w:rPr>
              <w:t>起重设备的吊钩、吊环有裂纹、破口或磨损严重；</w:t>
            </w:r>
          </w:p>
          <w:p w14:paraId="60CD406E">
            <w:pPr>
              <w:pStyle w:val="143"/>
              <w:jc w:val="left"/>
              <w:rPr>
                <w:rFonts w:ascii="仿宋" w:hAnsi="仿宋"/>
                <w:color w:val="000000"/>
                <w:kern w:val="2"/>
                <w:sz w:val="24"/>
                <w:szCs w:val="24"/>
              </w:rPr>
            </w:pPr>
            <w:r>
              <w:rPr>
                <w:rFonts w:ascii="仿宋" w:hAnsi="仿宋"/>
                <w:color w:val="000000"/>
                <w:kern w:val="2"/>
                <w:sz w:val="24"/>
                <w:szCs w:val="24"/>
              </w:rPr>
              <w:t>9.</w:t>
            </w:r>
            <w:r>
              <w:rPr>
                <w:rFonts w:hint="eastAsia" w:ascii="仿宋" w:hAnsi="仿宋"/>
                <w:color w:val="000000"/>
                <w:kern w:val="2"/>
                <w:sz w:val="24"/>
                <w:szCs w:val="24"/>
              </w:rPr>
              <w:t>起重设备制动器的制动鼓和制动带磨损严重；</w:t>
            </w:r>
          </w:p>
          <w:p w14:paraId="3D2D9401">
            <w:pPr>
              <w:pStyle w:val="143"/>
              <w:jc w:val="left"/>
              <w:rPr>
                <w:rFonts w:ascii="仿宋" w:hAnsi="仿宋"/>
                <w:color w:val="000000"/>
                <w:kern w:val="2"/>
                <w:sz w:val="24"/>
                <w:szCs w:val="24"/>
              </w:rPr>
            </w:pPr>
            <w:r>
              <w:rPr>
                <w:rFonts w:ascii="仿宋" w:hAnsi="仿宋"/>
                <w:color w:val="000000"/>
                <w:kern w:val="2"/>
                <w:sz w:val="24"/>
                <w:szCs w:val="24"/>
              </w:rPr>
              <w:t>10.</w:t>
            </w:r>
            <w:r>
              <w:rPr>
                <w:rFonts w:hint="eastAsia" w:ascii="仿宋" w:hAnsi="仿宋"/>
                <w:color w:val="000000"/>
                <w:kern w:val="2"/>
                <w:sz w:val="24"/>
                <w:szCs w:val="24"/>
              </w:rPr>
              <w:t>大临设施本身的强度、刚度、稳定性不够，安装存在缺陷；</w:t>
            </w:r>
          </w:p>
          <w:p w14:paraId="1893AE40">
            <w:pPr>
              <w:pStyle w:val="143"/>
              <w:jc w:val="left"/>
              <w:rPr>
                <w:rFonts w:ascii="仿宋" w:hAnsi="仿宋"/>
                <w:color w:val="000000"/>
                <w:kern w:val="2"/>
                <w:sz w:val="24"/>
                <w:szCs w:val="24"/>
              </w:rPr>
            </w:pPr>
            <w:r>
              <w:rPr>
                <w:rFonts w:ascii="仿宋" w:hAnsi="仿宋"/>
                <w:color w:val="000000"/>
                <w:kern w:val="2"/>
                <w:sz w:val="24"/>
                <w:szCs w:val="24"/>
              </w:rPr>
              <w:t>11.</w:t>
            </w:r>
            <w:r>
              <w:rPr>
                <w:rFonts w:hint="eastAsia" w:ascii="仿宋" w:hAnsi="仿宋"/>
                <w:color w:val="000000"/>
                <w:kern w:val="2"/>
                <w:sz w:val="24"/>
                <w:szCs w:val="24"/>
              </w:rPr>
              <w:t>设备起重能力不足；</w:t>
            </w:r>
          </w:p>
          <w:p w14:paraId="74909674">
            <w:pPr>
              <w:pStyle w:val="143"/>
              <w:jc w:val="left"/>
              <w:rPr>
                <w:rFonts w:ascii="仿宋" w:hAnsi="仿宋"/>
                <w:color w:val="000000"/>
                <w:kern w:val="2"/>
                <w:sz w:val="24"/>
                <w:szCs w:val="24"/>
              </w:rPr>
            </w:pPr>
            <w:r>
              <w:rPr>
                <w:rFonts w:ascii="仿宋" w:hAnsi="仿宋"/>
                <w:color w:val="000000"/>
                <w:kern w:val="2"/>
                <w:sz w:val="24"/>
                <w:szCs w:val="24"/>
              </w:rPr>
              <w:t>12.</w:t>
            </w:r>
            <w:r>
              <w:rPr>
                <w:rFonts w:hint="eastAsia" w:ascii="仿宋" w:hAnsi="仿宋"/>
                <w:color w:val="000000"/>
                <w:kern w:val="2"/>
                <w:sz w:val="24"/>
                <w:szCs w:val="24"/>
              </w:rPr>
              <w:t>起重设备安全保护装置和指</w:t>
            </w:r>
          </w:p>
          <w:p w14:paraId="69E8CBBC">
            <w:pPr>
              <w:pStyle w:val="143"/>
              <w:jc w:val="left"/>
              <w:rPr>
                <w:rFonts w:ascii="仿宋" w:hAnsi="仿宋"/>
                <w:color w:val="000000"/>
                <w:kern w:val="2"/>
                <w:sz w:val="24"/>
                <w:szCs w:val="24"/>
              </w:rPr>
            </w:pPr>
            <w:r>
              <w:rPr>
                <w:rFonts w:hint="eastAsia" w:ascii="仿宋" w:hAnsi="仿宋"/>
                <w:color w:val="000000"/>
                <w:kern w:val="2"/>
                <w:sz w:val="24"/>
                <w:szCs w:val="24"/>
              </w:rPr>
              <w:t>示仪表有缺陷；</w:t>
            </w:r>
          </w:p>
          <w:p w14:paraId="22DCE535">
            <w:pPr>
              <w:pStyle w:val="143"/>
              <w:jc w:val="left"/>
              <w:rPr>
                <w:rFonts w:ascii="仿宋" w:hAnsi="仿宋"/>
                <w:color w:val="000000"/>
                <w:kern w:val="2"/>
                <w:sz w:val="24"/>
                <w:szCs w:val="24"/>
              </w:rPr>
            </w:pPr>
            <w:r>
              <w:rPr>
                <w:rFonts w:ascii="仿宋" w:hAnsi="仿宋"/>
                <w:color w:val="000000"/>
                <w:kern w:val="2"/>
                <w:sz w:val="24"/>
                <w:szCs w:val="24"/>
              </w:rPr>
              <w:t>13.</w:t>
            </w:r>
            <w:r>
              <w:rPr>
                <w:rFonts w:hint="eastAsia" w:ascii="仿宋" w:hAnsi="仿宋"/>
                <w:color w:val="000000"/>
                <w:kern w:val="2"/>
                <w:sz w:val="24"/>
                <w:szCs w:val="24"/>
              </w:rPr>
              <w:t>起重设备基础不牢固、起重作业前未进行试吊；</w:t>
            </w:r>
          </w:p>
          <w:p w14:paraId="0F51EA0A">
            <w:pPr>
              <w:pStyle w:val="143"/>
              <w:jc w:val="left"/>
              <w:rPr>
                <w:rFonts w:ascii="仿宋" w:hAnsi="仿宋"/>
                <w:color w:val="000000"/>
                <w:kern w:val="2"/>
                <w:sz w:val="24"/>
                <w:szCs w:val="24"/>
              </w:rPr>
            </w:pPr>
            <w:r>
              <w:rPr>
                <w:rFonts w:ascii="仿宋" w:hAnsi="仿宋"/>
                <w:color w:val="000000"/>
                <w:kern w:val="2"/>
                <w:sz w:val="24"/>
                <w:szCs w:val="24"/>
              </w:rPr>
              <w:t>14.</w:t>
            </w:r>
            <w:r>
              <w:rPr>
                <w:rFonts w:hint="eastAsia" w:ascii="仿宋" w:hAnsi="仿宋"/>
                <w:color w:val="000000"/>
                <w:kern w:val="2"/>
                <w:sz w:val="24"/>
                <w:szCs w:val="24"/>
              </w:rPr>
              <w:t>在吊装作业半径内未设置警戒带、告知牌；</w:t>
            </w:r>
          </w:p>
          <w:p w14:paraId="548C358F">
            <w:pPr>
              <w:pStyle w:val="143"/>
              <w:jc w:val="left"/>
              <w:rPr>
                <w:rFonts w:ascii="仿宋" w:hAnsi="仿宋"/>
                <w:color w:val="000000"/>
                <w:kern w:val="2"/>
                <w:sz w:val="24"/>
                <w:szCs w:val="24"/>
              </w:rPr>
            </w:pPr>
            <w:r>
              <w:rPr>
                <w:rFonts w:ascii="仿宋" w:hAnsi="仿宋"/>
                <w:color w:val="000000"/>
                <w:kern w:val="2"/>
                <w:sz w:val="24"/>
                <w:szCs w:val="24"/>
              </w:rPr>
              <w:t>15.</w:t>
            </w:r>
            <w:r>
              <w:rPr>
                <w:rFonts w:hint="eastAsia" w:ascii="仿宋" w:hAnsi="仿宋"/>
                <w:color w:val="000000"/>
                <w:kern w:val="2"/>
                <w:sz w:val="24"/>
                <w:szCs w:val="24"/>
              </w:rPr>
              <w:t>作业区域未设置安全警示标志和安全防护设施；</w:t>
            </w:r>
          </w:p>
          <w:p w14:paraId="21EF8412">
            <w:pPr>
              <w:pStyle w:val="143"/>
              <w:jc w:val="left"/>
              <w:rPr>
                <w:rFonts w:ascii="仿宋" w:hAnsi="仿宋"/>
                <w:color w:val="000000"/>
                <w:kern w:val="2"/>
                <w:sz w:val="24"/>
                <w:szCs w:val="24"/>
              </w:rPr>
            </w:pPr>
            <w:r>
              <w:rPr>
                <w:rFonts w:ascii="仿宋" w:hAnsi="仿宋"/>
                <w:color w:val="000000"/>
                <w:kern w:val="2"/>
                <w:sz w:val="24"/>
                <w:szCs w:val="24"/>
              </w:rPr>
              <w:t>16.</w:t>
            </w:r>
            <w:r>
              <w:rPr>
                <w:rFonts w:hint="eastAsia" w:ascii="仿宋" w:hAnsi="仿宋"/>
                <w:color w:val="000000"/>
                <w:kern w:val="2"/>
                <w:sz w:val="24"/>
                <w:szCs w:val="24"/>
              </w:rPr>
              <w:t>设备运行轨道不平顺；</w:t>
            </w:r>
          </w:p>
          <w:p w14:paraId="7CAA6733">
            <w:pPr>
              <w:pStyle w:val="143"/>
              <w:jc w:val="left"/>
              <w:rPr>
                <w:rFonts w:ascii="仿宋" w:hAnsi="仿宋"/>
                <w:color w:val="000000"/>
                <w:kern w:val="2"/>
                <w:sz w:val="24"/>
                <w:szCs w:val="24"/>
              </w:rPr>
            </w:pPr>
            <w:r>
              <w:rPr>
                <w:rFonts w:ascii="仿宋" w:hAnsi="仿宋"/>
                <w:color w:val="000000"/>
                <w:kern w:val="2"/>
                <w:sz w:val="24"/>
                <w:szCs w:val="24"/>
              </w:rPr>
              <w:t>17.</w:t>
            </w:r>
            <w:r>
              <w:rPr>
                <w:rFonts w:hint="eastAsia" w:ascii="仿宋" w:hAnsi="仿宋"/>
                <w:color w:val="000000"/>
                <w:kern w:val="2"/>
                <w:sz w:val="24"/>
                <w:szCs w:val="24"/>
              </w:rPr>
              <w:t>机械设备无专业资质。</w:t>
            </w:r>
          </w:p>
          <w:p w14:paraId="3046065D">
            <w:pPr>
              <w:pStyle w:val="143"/>
              <w:jc w:val="left"/>
              <w:rPr>
                <w:rFonts w:ascii="仿宋" w:hAnsi="仿宋"/>
                <w:color w:val="000000"/>
                <w:kern w:val="2"/>
                <w:sz w:val="24"/>
                <w:szCs w:val="24"/>
              </w:rPr>
            </w:pPr>
          </w:p>
        </w:tc>
        <w:tc>
          <w:tcPr>
            <w:tcW w:w="2155" w:type="pct"/>
            <w:vAlign w:val="center"/>
          </w:tcPr>
          <w:p w14:paraId="096EFAED">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酒后作业；</w:t>
            </w:r>
          </w:p>
          <w:p w14:paraId="019D011C">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未持证上岗；</w:t>
            </w:r>
          </w:p>
          <w:p w14:paraId="7F404CAF">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作业人员经验能力不足，违章操作；</w:t>
            </w:r>
          </w:p>
          <w:p w14:paraId="60CADAA5">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作业时，注意力不集中，操作错误；</w:t>
            </w:r>
          </w:p>
          <w:p w14:paraId="6132E819">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未穿戴或未正确穿戴安全防护用品用具；</w:t>
            </w:r>
          </w:p>
          <w:p w14:paraId="78FEE018">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忽视警告标志、警告信号；</w:t>
            </w:r>
          </w:p>
          <w:p w14:paraId="64E7F0D4">
            <w:pPr>
              <w:pStyle w:val="143"/>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在危险区域行走、停留；</w:t>
            </w:r>
          </w:p>
          <w:p w14:paraId="310ED573">
            <w:pPr>
              <w:pStyle w:val="143"/>
              <w:jc w:val="left"/>
              <w:rPr>
                <w:rFonts w:ascii="仿宋" w:hAnsi="仿宋"/>
                <w:color w:val="000000"/>
                <w:kern w:val="2"/>
                <w:sz w:val="24"/>
                <w:szCs w:val="24"/>
              </w:rPr>
            </w:pPr>
            <w:r>
              <w:rPr>
                <w:rFonts w:ascii="仿宋" w:hAnsi="仿宋"/>
                <w:color w:val="000000"/>
                <w:kern w:val="2"/>
                <w:sz w:val="24"/>
                <w:szCs w:val="24"/>
              </w:rPr>
              <w:t>8.</w:t>
            </w:r>
            <w:r>
              <w:rPr>
                <w:rFonts w:hint="eastAsia" w:ascii="仿宋" w:hAnsi="仿宋"/>
                <w:color w:val="000000"/>
                <w:kern w:val="2"/>
                <w:sz w:val="24"/>
                <w:szCs w:val="24"/>
              </w:rPr>
              <w:t>违规检修电路；；</w:t>
            </w:r>
          </w:p>
          <w:p w14:paraId="211F6DDA">
            <w:pPr>
              <w:pStyle w:val="143"/>
              <w:jc w:val="left"/>
              <w:rPr>
                <w:rFonts w:ascii="仿宋" w:hAnsi="仿宋"/>
                <w:color w:val="000000"/>
                <w:kern w:val="2"/>
                <w:sz w:val="24"/>
                <w:szCs w:val="24"/>
              </w:rPr>
            </w:pPr>
            <w:r>
              <w:rPr>
                <w:rFonts w:ascii="仿宋" w:hAnsi="仿宋"/>
                <w:color w:val="000000"/>
                <w:kern w:val="2"/>
                <w:sz w:val="24"/>
                <w:szCs w:val="24"/>
              </w:rPr>
              <w:t>9.</w:t>
            </w:r>
            <w:r>
              <w:rPr>
                <w:rFonts w:hint="eastAsia" w:ascii="仿宋" w:hAnsi="仿宋"/>
                <w:color w:val="000000"/>
                <w:kern w:val="2"/>
                <w:sz w:val="24"/>
                <w:szCs w:val="24"/>
              </w:rPr>
              <w:t>在起吊物下作业、停留，起重作业时，超载、斜拉重物；</w:t>
            </w:r>
          </w:p>
          <w:p w14:paraId="4DC60C33">
            <w:pPr>
              <w:pStyle w:val="143"/>
              <w:jc w:val="left"/>
              <w:rPr>
                <w:rFonts w:ascii="仿宋" w:hAnsi="仿宋"/>
                <w:color w:val="000000"/>
                <w:kern w:val="2"/>
                <w:sz w:val="24"/>
                <w:szCs w:val="24"/>
              </w:rPr>
            </w:pPr>
            <w:r>
              <w:rPr>
                <w:rFonts w:ascii="仿宋" w:hAnsi="仿宋"/>
                <w:color w:val="000000"/>
                <w:kern w:val="2"/>
                <w:sz w:val="24"/>
                <w:szCs w:val="24"/>
              </w:rPr>
              <w:t>10.</w:t>
            </w:r>
            <w:r>
              <w:rPr>
                <w:rFonts w:hint="eastAsia" w:ascii="仿宋" w:hAnsi="仿宋"/>
                <w:color w:val="000000"/>
                <w:kern w:val="2"/>
                <w:sz w:val="24"/>
                <w:szCs w:val="24"/>
              </w:rPr>
              <w:t>作业人员违规上下抛接工具；</w:t>
            </w:r>
          </w:p>
          <w:p w14:paraId="41CEEFB9">
            <w:pPr>
              <w:pStyle w:val="143"/>
              <w:jc w:val="left"/>
              <w:rPr>
                <w:rFonts w:ascii="仿宋" w:hAnsi="仿宋"/>
                <w:color w:val="000000"/>
                <w:kern w:val="2"/>
                <w:sz w:val="24"/>
                <w:szCs w:val="24"/>
              </w:rPr>
            </w:pPr>
            <w:r>
              <w:rPr>
                <w:rFonts w:ascii="仿宋" w:hAnsi="仿宋"/>
                <w:color w:val="000000"/>
                <w:kern w:val="2"/>
                <w:sz w:val="24"/>
                <w:szCs w:val="24"/>
              </w:rPr>
              <w:t>11.</w:t>
            </w:r>
            <w:r>
              <w:rPr>
                <w:rFonts w:hint="eastAsia" w:ascii="仿宋" w:hAnsi="仿宋"/>
                <w:color w:val="000000"/>
                <w:kern w:val="2"/>
                <w:sz w:val="24"/>
                <w:szCs w:val="24"/>
              </w:rPr>
              <w:t>作业人员未将工具及零配件放于工具袋或安全位置；</w:t>
            </w:r>
          </w:p>
          <w:p w14:paraId="3ACF54F7">
            <w:pPr>
              <w:pStyle w:val="143"/>
              <w:jc w:val="left"/>
              <w:rPr>
                <w:rFonts w:ascii="仿宋" w:hAnsi="仿宋"/>
                <w:color w:val="000000"/>
                <w:kern w:val="2"/>
                <w:sz w:val="24"/>
                <w:szCs w:val="24"/>
              </w:rPr>
            </w:pPr>
            <w:r>
              <w:rPr>
                <w:rFonts w:ascii="仿宋" w:hAnsi="仿宋"/>
                <w:color w:val="000000"/>
                <w:kern w:val="2"/>
                <w:sz w:val="24"/>
                <w:szCs w:val="24"/>
              </w:rPr>
              <w:t>12.</w:t>
            </w:r>
            <w:r>
              <w:rPr>
                <w:rFonts w:hint="eastAsia" w:ascii="仿宋" w:hAnsi="仿宋"/>
                <w:color w:val="000000"/>
                <w:kern w:val="2"/>
                <w:sz w:val="24"/>
                <w:szCs w:val="24"/>
              </w:rPr>
              <w:t>对机械设备、材料、作业人员和安全防护设施等的检查不及时；</w:t>
            </w:r>
          </w:p>
          <w:p w14:paraId="3EFB4985">
            <w:pPr>
              <w:pStyle w:val="143"/>
              <w:jc w:val="left"/>
              <w:rPr>
                <w:rFonts w:ascii="仿宋" w:hAnsi="仿宋"/>
                <w:color w:val="000000"/>
                <w:kern w:val="2"/>
                <w:sz w:val="24"/>
                <w:szCs w:val="24"/>
              </w:rPr>
            </w:pPr>
            <w:r>
              <w:rPr>
                <w:rFonts w:ascii="仿宋" w:hAnsi="仿宋"/>
                <w:color w:val="000000"/>
                <w:kern w:val="2"/>
                <w:sz w:val="24"/>
                <w:szCs w:val="24"/>
              </w:rPr>
              <w:t>13.</w:t>
            </w:r>
            <w:r>
              <w:rPr>
                <w:rFonts w:hint="eastAsia" w:ascii="仿宋" w:hAnsi="仿宋"/>
                <w:color w:val="000000"/>
                <w:kern w:val="2"/>
                <w:sz w:val="24"/>
                <w:szCs w:val="24"/>
              </w:rPr>
              <w:t>方案未制定或制定不合理；</w:t>
            </w:r>
          </w:p>
          <w:p w14:paraId="49403939">
            <w:pPr>
              <w:pStyle w:val="143"/>
              <w:jc w:val="left"/>
              <w:rPr>
                <w:rFonts w:ascii="仿宋" w:hAnsi="仿宋"/>
                <w:color w:val="000000"/>
                <w:kern w:val="2"/>
                <w:sz w:val="24"/>
                <w:szCs w:val="24"/>
              </w:rPr>
            </w:pPr>
            <w:r>
              <w:rPr>
                <w:rFonts w:ascii="仿宋" w:hAnsi="仿宋"/>
                <w:color w:val="000000"/>
                <w:kern w:val="2"/>
                <w:sz w:val="24"/>
                <w:szCs w:val="24"/>
              </w:rPr>
              <w:t>14.</w:t>
            </w:r>
            <w:r>
              <w:rPr>
                <w:rFonts w:hint="eastAsia" w:ascii="仿宋" w:hAnsi="仿宋"/>
                <w:color w:val="000000"/>
                <w:kern w:val="2"/>
                <w:sz w:val="24"/>
                <w:szCs w:val="24"/>
              </w:rPr>
              <w:t>指挥失误、错误；</w:t>
            </w:r>
          </w:p>
          <w:p w14:paraId="3FE02B9B">
            <w:pPr>
              <w:pStyle w:val="143"/>
              <w:jc w:val="left"/>
              <w:rPr>
                <w:rFonts w:ascii="仿宋" w:hAnsi="仿宋"/>
                <w:color w:val="000000"/>
                <w:kern w:val="2"/>
                <w:sz w:val="24"/>
                <w:szCs w:val="24"/>
              </w:rPr>
            </w:pPr>
            <w:r>
              <w:rPr>
                <w:rFonts w:ascii="仿宋" w:hAnsi="仿宋"/>
                <w:color w:val="000000"/>
                <w:kern w:val="2"/>
                <w:sz w:val="24"/>
                <w:szCs w:val="24"/>
              </w:rPr>
              <w:t>15.</w:t>
            </w:r>
            <w:r>
              <w:rPr>
                <w:rFonts w:hint="eastAsia" w:ascii="仿宋" w:hAnsi="仿宋"/>
                <w:color w:val="000000"/>
                <w:kern w:val="2"/>
                <w:sz w:val="24"/>
                <w:szCs w:val="24"/>
              </w:rPr>
              <w:t>未设专人进行现场监管或监管不到位；</w:t>
            </w:r>
          </w:p>
          <w:p w14:paraId="15F5A25E">
            <w:pPr>
              <w:pStyle w:val="143"/>
              <w:jc w:val="left"/>
              <w:rPr>
                <w:rFonts w:ascii="仿宋" w:hAnsi="仿宋"/>
                <w:color w:val="000000"/>
                <w:kern w:val="2"/>
                <w:sz w:val="24"/>
                <w:szCs w:val="24"/>
              </w:rPr>
            </w:pPr>
            <w:r>
              <w:rPr>
                <w:rFonts w:ascii="仿宋" w:hAnsi="仿宋"/>
                <w:color w:val="000000"/>
                <w:kern w:val="2"/>
                <w:sz w:val="24"/>
                <w:szCs w:val="24"/>
              </w:rPr>
              <w:t>16.</w:t>
            </w:r>
            <w:r>
              <w:rPr>
                <w:rFonts w:hint="eastAsia" w:ascii="仿宋" w:hAnsi="仿宋"/>
                <w:color w:val="000000"/>
                <w:kern w:val="2"/>
                <w:sz w:val="24"/>
                <w:szCs w:val="24"/>
              </w:rPr>
              <w:t>安全技术交底不到位；</w:t>
            </w:r>
          </w:p>
          <w:p w14:paraId="0B62A773">
            <w:pPr>
              <w:pStyle w:val="143"/>
              <w:jc w:val="left"/>
              <w:rPr>
                <w:rFonts w:ascii="仿宋" w:hAnsi="仿宋"/>
                <w:color w:val="000000"/>
                <w:kern w:val="2"/>
                <w:sz w:val="24"/>
                <w:szCs w:val="24"/>
              </w:rPr>
            </w:pPr>
            <w:r>
              <w:rPr>
                <w:rFonts w:ascii="仿宋" w:hAnsi="仿宋"/>
                <w:color w:val="000000"/>
                <w:kern w:val="2"/>
                <w:sz w:val="24"/>
                <w:szCs w:val="24"/>
              </w:rPr>
              <w:t>17.</w:t>
            </w:r>
            <w:r>
              <w:rPr>
                <w:rFonts w:hint="eastAsia" w:ascii="仿宋" w:hAnsi="仿宋"/>
                <w:color w:val="000000"/>
                <w:kern w:val="2"/>
                <w:sz w:val="24"/>
                <w:szCs w:val="24"/>
              </w:rPr>
              <w:t>强令施工人员冒险作业；</w:t>
            </w:r>
          </w:p>
          <w:p w14:paraId="62BE9C33">
            <w:pPr>
              <w:pStyle w:val="143"/>
              <w:jc w:val="left"/>
              <w:rPr>
                <w:rFonts w:ascii="仿宋" w:hAnsi="仿宋"/>
                <w:color w:val="000000"/>
                <w:kern w:val="2"/>
                <w:sz w:val="24"/>
                <w:szCs w:val="24"/>
              </w:rPr>
            </w:pPr>
            <w:r>
              <w:rPr>
                <w:rFonts w:ascii="仿宋" w:hAnsi="仿宋"/>
                <w:color w:val="000000"/>
                <w:kern w:val="2"/>
                <w:sz w:val="24"/>
                <w:szCs w:val="24"/>
              </w:rPr>
              <w:t>18.</w:t>
            </w:r>
            <w:r>
              <w:rPr>
                <w:rFonts w:hint="eastAsia" w:ascii="仿宋" w:hAnsi="仿宋"/>
                <w:color w:val="000000"/>
                <w:kern w:val="2"/>
                <w:sz w:val="24"/>
                <w:szCs w:val="24"/>
              </w:rPr>
              <w:t>未按施工方案要求施工；</w:t>
            </w:r>
          </w:p>
          <w:p w14:paraId="457B3DEC">
            <w:pPr>
              <w:pStyle w:val="143"/>
              <w:jc w:val="left"/>
              <w:rPr>
                <w:rFonts w:ascii="仿宋" w:hAnsi="仿宋"/>
                <w:color w:val="000000"/>
                <w:kern w:val="2"/>
                <w:sz w:val="24"/>
                <w:szCs w:val="24"/>
              </w:rPr>
            </w:pPr>
            <w:r>
              <w:rPr>
                <w:rFonts w:ascii="仿宋" w:hAnsi="仿宋"/>
                <w:color w:val="000000"/>
                <w:kern w:val="2"/>
                <w:sz w:val="24"/>
                <w:szCs w:val="24"/>
              </w:rPr>
              <w:t>19.</w:t>
            </w:r>
            <w:r>
              <w:rPr>
                <w:rFonts w:hint="eastAsia" w:ascii="仿宋" w:hAnsi="仿宋"/>
                <w:color w:val="000000"/>
                <w:kern w:val="2"/>
                <w:sz w:val="24"/>
                <w:szCs w:val="24"/>
              </w:rPr>
              <w:t>未制定事故应急预案；</w:t>
            </w:r>
          </w:p>
          <w:p w14:paraId="24036811">
            <w:pPr>
              <w:pStyle w:val="143"/>
              <w:jc w:val="left"/>
              <w:rPr>
                <w:rFonts w:ascii="仿宋" w:hAnsi="仿宋"/>
                <w:color w:val="000000"/>
                <w:kern w:val="2"/>
                <w:sz w:val="24"/>
                <w:szCs w:val="24"/>
              </w:rPr>
            </w:pPr>
            <w:r>
              <w:rPr>
                <w:rFonts w:ascii="仿宋" w:hAnsi="仿宋"/>
                <w:color w:val="000000"/>
                <w:kern w:val="2"/>
                <w:sz w:val="24"/>
                <w:szCs w:val="24"/>
              </w:rPr>
              <w:t>20.</w:t>
            </w:r>
            <w:r>
              <w:rPr>
                <w:rFonts w:hint="eastAsia" w:ascii="仿宋" w:hAnsi="仿宋"/>
                <w:color w:val="000000"/>
                <w:kern w:val="2"/>
                <w:sz w:val="24"/>
                <w:szCs w:val="24"/>
              </w:rPr>
              <w:t>高处作业不系安全带；</w:t>
            </w:r>
          </w:p>
          <w:p w14:paraId="31BC2C25">
            <w:pPr>
              <w:pStyle w:val="143"/>
              <w:jc w:val="left"/>
              <w:rPr>
                <w:rFonts w:ascii="仿宋" w:hAnsi="仿宋"/>
                <w:color w:val="000000"/>
                <w:kern w:val="2"/>
                <w:sz w:val="24"/>
                <w:szCs w:val="24"/>
              </w:rPr>
            </w:pPr>
            <w:r>
              <w:rPr>
                <w:rFonts w:ascii="仿宋" w:hAnsi="仿宋"/>
                <w:color w:val="000000"/>
                <w:kern w:val="2"/>
                <w:sz w:val="24"/>
                <w:szCs w:val="24"/>
              </w:rPr>
              <w:t>21.</w:t>
            </w:r>
            <w:r>
              <w:rPr>
                <w:rFonts w:hint="eastAsia" w:ascii="仿宋" w:hAnsi="仿宋"/>
                <w:color w:val="000000"/>
                <w:kern w:val="2"/>
                <w:sz w:val="24"/>
                <w:szCs w:val="24"/>
              </w:rPr>
              <w:t>吊物绑扎不牢靠。</w:t>
            </w:r>
          </w:p>
        </w:tc>
      </w:tr>
    </w:tbl>
    <w:p w14:paraId="74A94ABF">
      <w:pPr>
        <w:pStyle w:val="3"/>
        <w:ind w:firstLine="562"/>
        <w:rPr>
          <w:color w:val="000000"/>
        </w:rPr>
      </w:pPr>
      <w:bookmarkStart w:id="376" w:name="_Toc13299"/>
      <w:bookmarkStart w:id="377" w:name="_Toc27456"/>
      <w:bookmarkStart w:id="378" w:name="_Toc43"/>
      <w:bookmarkStart w:id="379" w:name="_Toc24401"/>
      <w:bookmarkStart w:id="380" w:name="_Toc319"/>
      <w:bookmarkStart w:id="381" w:name="_Toc27215"/>
      <w:r>
        <w:rPr>
          <w:rFonts w:hint="eastAsia"/>
          <w:color w:val="000000"/>
        </w:rPr>
        <w:t>7.</w:t>
      </w:r>
      <w:r>
        <w:rPr>
          <w:color w:val="000000"/>
        </w:rPr>
        <w:t>2</w:t>
      </w:r>
      <w:r>
        <w:rPr>
          <w:rFonts w:hint="eastAsia"/>
          <w:color w:val="000000"/>
        </w:rPr>
        <w:t>危险因素分析</w:t>
      </w:r>
      <w:bookmarkEnd w:id="376"/>
      <w:bookmarkEnd w:id="377"/>
      <w:bookmarkEnd w:id="378"/>
      <w:bookmarkEnd w:id="379"/>
      <w:bookmarkEnd w:id="380"/>
      <w:bookmarkEnd w:id="381"/>
    </w:p>
    <w:p w14:paraId="1DA56C9D">
      <w:pPr>
        <w:ind w:firstLine="560"/>
        <w:rPr>
          <w:color w:val="000000"/>
        </w:rPr>
      </w:pPr>
      <w:r>
        <w:rPr>
          <w:rFonts w:hint="eastAsia"/>
          <w:color w:val="000000"/>
        </w:rPr>
        <w:t>根据风险因素辨识结果，对两台塔式起重机施工过程中潜在的事故为主线，从人、机、料、法、环等五个方面系统分析引发潜在事故的末端因素，结合现场实际进行要因确认，确定各潜在事故的致险因子，从而逐一对施工过程可能出现的潜在事故超前预防，有利管控。</w:t>
      </w:r>
    </w:p>
    <w:p w14:paraId="6E4473D0">
      <w:pPr>
        <w:ind w:firstLine="560"/>
        <w:rPr>
          <w:color w:val="000000"/>
        </w:rPr>
      </w:pPr>
      <w:r>
        <w:rPr>
          <w:rFonts w:hint="eastAsia"/>
          <w:color w:val="000000"/>
        </w:rPr>
        <w:t>通过对两台塔式起重机施工作业的分解整理，横向对应潜在事故风险，并针对该风险，结合类似工程实践，从影响致险因子五要素（人、机、料、法、环）各方面入手，综合分析潜在事故风险的受伤害人员类型及伤害程度。</w:t>
      </w:r>
    </w:p>
    <w:p w14:paraId="531BD5EB">
      <w:pPr>
        <w:pStyle w:val="3"/>
        <w:ind w:firstLine="562"/>
        <w:rPr>
          <w:color w:val="000000"/>
        </w:rPr>
      </w:pPr>
      <w:bookmarkStart w:id="382" w:name="_Toc6597"/>
      <w:bookmarkStart w:id="383" w:name="_Toc8314"/>
      <w:bookmarkStart w:id="384" w:name="_Toc10252"/>
      <w:bookmarkStart w:id="385" w:name="_Toc8308"/>
      <w:bookmarkStart w:id="386" w:name="_Toc14735"/>
      <w:bookmarkStart w:id="387" w:name="_Toc27785"/>
      <w:r>
        <w:rPr>
          <w:rFonts w:hint="eastAsia"/>
          <w:color w:val="000000"/>
        </w:rPr>
        <w:t>7.</w:t>
      </w:r>
      <w:r>
        <w:rPr>
          <w:color w:val="000000"/>
        </w:rPr>
        <w:t>3</w:t>
      </w:r>
      <w:r>
        <w:rPr>
          <w:rFonts w:hint="eastAsia"/>
          <w:color w:val="000000"/>
        </w:rPr>
        <w:t>风险因素评估</w:t>
      </w:r>
      <w:bookmarkEnd w:id="382"/>
      <w:bookmarkEnd w:id="383"/>
      <w:bookmarkEnd w:id="384"/>
      <w:bookmarkEnd w:id="385"/>
      <w:bookmarkEnd w:id="386"/>
      <w:bookmarkEnd w:id="387"/>
    </w:p>
    <w:p w14:paraId="6DEA6CD0">
      <w:pPr>
        <w:ind w:firstLine="560"/>
        <w:rPr>
          <w:color w:val="000000"/>
          <w:szCs w:val="28"/>
        </w:rPr>
      </w:pPr>
      <w:r>
        <w:rPr>
          <w:rFonts w:hint="eastAsia"/>
          <w:color w:val="000000"/>
          <w:szCs w:val="28"/>
        </w:rPr>
        <w:t>LEC评价法(格雷厄姆(BenjaminGraham，1894-1976)评价法)是对具有潜在危险性作业环境中的危险源进行半定量的安全评价方法，用于评价操作人员在具有潜在危险性环境中作业时的危险性、危害性。</w:t>
      </w:r>
    </w:p>
    <w:p w14:paraId="555D5C99">
      <w:pPr>
        <w:ind w:firstLine="560"/>
        <w:rPr>
          <w:color w:val="000000"/>
          <w:szCs w:val="28"/>
        </w:rPr>
      </w:pPr>
      <w:r>
        <w:rPr>
          <w:rFonts w:hint="eastAsia"/>
          <w:color w:val="000000"/>
          <w:szCs w:val="28"/>
        </w:rPr>
        <w:t>该方法用于风险有关的三种因素指标值的乘积来评价操作人员伤亡风险大小。这三种因素分别是：L（事故发生的可能性）、E（人员暴露于危险环境中的频繁程度）和C（一旦发生事故可能造成的后果）。给三种因素的不同等级分别确定不同的分值，再以三个分值的乘积D来评价作业条件危险性的大小，即：D=L×E×C。</w:t>
      </w:r>
    </w:p>
    <w:p w14:paraId="79B64F4B">
      <w:pPr>
        <w:pStyle w:val="122"/>
        <w:outlineLvl w:val="9"/>
        <w:rPr>
          <w:rStyle w:val="123"/>
          <w:b/>
        </w:rPr>
      </w:pPr>
      <w:bookmarkStart w:id="388" w:name="_Toc11905"/>
      <w:bookmarkStart w:id="389" w:name="_Toc4595"/>
      <w:bookmarkStart w:id="390" w:name="_Toc21941"/>
      <w:r>
        <w:rPr>
          <w:rStyle w:val="123"/>
          <w:rFonts w:hint="eastAsia"/>
          <w:b/>
        </w:rPr>
        <w:t>表7.3-1事故发生的可能性（L）</w:t>
      </w:r>
      <w:bookmarkEnd w:id="388"/>
      <w:bookmarkEnd w:id="389"/>
      <w:bookmarkEnd w:id="390"/>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4BD6E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20CD7CC">
            <w:pPr>
              <w:pStyle w:val="143"/>
              <w:outlineLvl w:val="3"/>
              <w:rPr>
                <w:color w:val="000000"/>
                <w:kern w:val="2"/>
                <w:sz w:val="21"/>
              </w:rPr>
            </w:pPr>
            <w:r>
              <w:rPr>
                <w:rFonts w:hint="eastAsia"/>
                <w:color w:val="000000"/>
                <w:kern w:val="2"/>
                <w:sz w:val="21"/>
              </w:rPr>
              <w:t>分数值</w:t>
            </w:r>
          </w:p>
        </w:tc>
        <w:tc>
          <w:tcPr>
            <w:tcW w:w="2536" w:type="pct"/>
            <w:vAlign w:val="center"/>
          </w:tcPr>
          <w:p w14:paraId="21BF8826">
            <w:pPr>
              <w:pStyle w:val="143"/>
              <w:outlineLvl w:val="3"/>
              <w:rPr>
                <w:color w:val="000000"/>
                <w:kern w:val="2"/>
                <w:sz w:val="21"/>
              </w:rPr>
            </w:pPr>
            <w:r>
              <w:rPr>
                <w:rFonts w:hint="eastAsia"/>
                <w:color w:val="000000"/>
                <w:kern w:val="2"/>
                <w:sz w:val="21"/>
              </w:rPr>
              <w:t>事故发生的可能性</w:t>
            </w:r>
          </w:p>
        </w:tc>
      </w:tr>
      <w:tr w14:paraId="46EA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0E8A86EC">
            <w:pPr>
              <w:pStyle w:val="143"/>
              <w:outlineLvl w:val="3"/>
              <w:rPr>
                <w:color w:val="000000"/>
                <w:kern w:val="2"/>
                <w:sz w:val="21"/>
              </w:rPr>
            </w:pPr>
            <w:r>
              <w:rPr>
                <w:rFonts w:hint="eastAsia"/>
                <w:color w:val="000000"/>
                <w:kern w:val="2"/>
                <w:sz w:val="21"/>
              </w:rPr>
              <w:t>10</w:t>
            </w:r>
          </w:p>
        </w:tc>
        <w:tc>
          <w:tcPr>
            <w:tcW w:w="2536" w:type="pct"/>
            <w:vAlign w:val="center"/>
          </w:tcPr>
          <w:p w14:paraId="7366B996">
            <w:pPr>
              <w:pStyle w:val="143"/>
              <w:outlineLvl w:val="3"/>
              <w:rPr>
                <w:color w:val="000000"/>
                <w:kern w:val="2"/>
                <w:sz w:val="21"/>
              </w:rPr>
            </w:pPr>
            <w:r>
              <w:rPr>
                <w:rFonts w:hint="eastAsia"/>
                <w:color w:val="000000"/>
                <w:kern w:val="2"/>
                <w:sz w:val="21"/>
              </w:rPr>
              <w:t>完全可以预料</w:t>
            </w:r>
          </w:p>
        </w:tc>
      </w:tr>
      <w:tr w14:paraId="3D0C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554868C">
            <w:pPr>
              <w:pStyle w:val="143"/>
              <w:outlineLvl w:val="3"/>
              <w:rPr>
                <w:color w:val="000000"/>
                <w:kern w:val="2"/>
                <w:sz w:val="21"/>
              </w:rPr>
            </w:pPr>
            <w:r>
              <w:rPr>
                <w:rFonts w:hint="eastAsia"/>
                <w:color w:val="000000"/>
                <w:kern w:val="2"/>
                <w:sz w:val="21"/>
              </w:rPr>
              <w:t>6</w:t>
            </w:r>
          </w:p>
        </w:tc>
        <w:tc>
          <w:tcPr>
            <w:tcW w:w="2536" w:type="pct"/>
            <w:vAlign w:val="center"/>
          </w:tcPr>
          <w:p w14:paraId="06BA8852">
            <w:pPr>
              <w:pStyle w:val="143"/>
              <w:outlineLvl w:val="3"/>
              <w:rPr>
                <w:color w:val="000000"/>
                <w:kern w:val="2"/>
                <w:sz w:val="21"/>
              </w:rPr>
            </w:pPr>
            <w:r>
              <w:rPr>
                <w:rFonts w:hint="eastAsia"/>
                <w:color w:val="000000"/>
                <w:kern w:val="2"/>
                <w:sz w:val="21"/>
              </w:rPr>
              <w:t>相当可能</w:t>
            </w:r>
          </w:p>
        </w:tc>
      </w:tr>
      <w:tr w14:paraId="122E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1F15838">
            <w:pPr>
              <w:pStyle w:val="143"/>
              <w:outlineLvl w:val="3"/>
              <w:rPr>
                <w:color w:val="000000"/>
                <w:kern w:val="2"/>
                <w:sz w:val="21"/>
              </w:rPr>
            </w:pPr>
            <w:r>
              <w:rPr>
                <w:rFonts w:hint="eastAsia"/>
                <w:color w:val="000000"/>
                <w:kern w:val="2"/>
                <w:sz w:val="21"/>
              </w:rPr>
              <w:t>3</w:t>
            </w:r>
          </w:p>
        </w:tc>
        <w:tc>
          <w:tcPr>
            <w:tcW w:w="2536" w:type="pct"/>
            <w:vAlign w:val="center"/>
          </w:tcPr>
          <w:p w14:paraId="42D2204E">
            <w:pPr>
              <w:pStyle w:val="143"/>
              <w:outlineLvl w:val="3"/>
              <w:rPr>
                <w:color w:val="000000"/>
                <w:kern w:val="2"/>
                <w:sz w:val="21"/>
              </w:rPr>
            </w:pPr>
            <w:r>
              <w:rPr>
                <w:rFonts w:hint="eastAsia"/>
                <w:color w:val="000000"/>
                <w:kern w:val="2"/>
                <w:sz w:val="21"/>
              </w:rPr>
              <w:t>可能，但不经常</w:t>
            </w:r>
          </w:p>
        </w:tc>
      </w:tr>
      <w:tr w14:paraId="77A9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0EA202B5">
            <w:pPr>
              <w:pStyle w:val="143"/>
              <w:outlineLvl w:val="3"/>
              <w:rPr>
                <w:color w:val="000000"/>
                <w:kern w:val="2"/>
                <w:sz w:val="21"/>
              </w:rPr>
            </w:pPr>
            <w:r>
              <w:rPr>
                <w:rFonts w:hint="eastAsia"/>
                <w:color w:val="000000"/>
                <w:kern w:val="2"/>
                <w:sz w:val="21"/>
              </w:rPr>
              <w:t>1</w:t>
            </w:r>
          </w:p>
        </w:tc>
        <w:tc>
          <w:tcPr>
            <w:tcW w:w="2536" w:type="pct"/>
            <w:vAlign w:val="center"/>
          </w:tcPr>
          <w:p w14:paraId="784E874F">
            <w:pPr>
              <w:pStyle w:val="143"/>
              <w:outlineLvl w:val="3"/>
              <w:rPr>
                <w:color w:val="000000"/>
                <w:kern w:val="2"/>
                <w:sz w:val="21"/>
              </w:rPr>
            </w:pPr>
            <w:r>
              <w:rPr>
                <w:rFonts w:hint="eastAsia"/>
                <w:color w:val="000000"/>
                <w:kern w:val="2"/>
                <w:sz w:val="21"/>
              </w:rPr>
              <w:t>可能相信小，完全意外</w:t>
            </w:r>
          </w:p>
        </w:tc>
      </w:tr>
      <w:tr w14:paraId="22CF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81051E9">
            <w:pPr>
              <w:pStyle w:val="143"/>
              <w:outlineLvl w:val="3"/>
              <w:rPr>
                <w:color w:val="000000"/>
                <w:kern w:val="2"/>
                <w:sz w:val="21"/>
              </w:rPr>
            </w:pPr>
            <w:r>
              <w:rPr>
                <w:rFonts w:hint="eastAsia"/>
                <w:color w:val="000000"/>
                <w:kern w:val="2"/>
                <w:sz w:val="21"/>
              </w:rPr>
              <w:t>0.5</w:t>
            </w:r>
          </w:p>
        </w:tc>
        <w:tc>
          <w:tcPr>
            <w:tcW w:w="2536" w:type="pct"/>
            <w:vAlign w:val="center"/>
          </w:tcPr>
          <w:p w14:paraId="352335AE">
            <w:pPr>
              <w:pStyle w:val="143"/>
              <w:outlineLvl w:val="3"/>
              <w:rPr>
                <w:color w:val="000000"/>
                <w:kern w:val="2"/>
                <w:sz w:val="21"/>
              </w:rPr>
            </w:pPr>
            <w:r>
              <w:rPr>
                <w:rFonts w:hint="eastAsia"/>
                <w:color w:val="000000"/>
                <w:kern w:val="2"/>
                <w:sz w:val="21"/>
              </w:rPr>
              <w:t>很不可能，可以设想</w:t>
            </w:r>
          </w:p>
        </w:tc>
      </w:tr>
      <w:tr w14:paraId="2BA7B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00EA1D1D">
            <w:pPr>
              <w:pStyle w:val="143"/>
              <w:outlineLvl w:val="3"/>
              <w:rPr>
                <w:color w:val="000000"/>
                <w:kern w:val="2"/>
                <w:sz w:val="21"/>
              </w:rPr>
            </w:pPr>
            <w:r>
              <w:rPr>
                <w:rFonts w:hint="eastAsia"/>
                <w:color w:val="000000"/>
                <w:kern w:val="2"/>
                <w:sz w:val="21"/>
              </w:rPr>
              <w:t>0.2</w:t>
            </w:r>
          </w:p>
        </w:tc>
        <w:tc>
          <w:tcPr>
            <w:tcW w:w="2536" w:type="pct"/>
            <w:vAlign w:val="center"/>
          </w:tcPr>
          <w:p w14:paraId="306B9E61">
            <w:pPr>
              <w:pStyle w:val="143"/>
              <w:outlineLvl w:val="3"/>
              <w:rPr>
                <w:color w:val="000000"/>
                <w:kern w:val="2"/>
                <w:sz w:val="21"/>
              </w:rPr>
            </w:pPr>
            <w:r>
              <w:rPr>
                <w:rFonts w:hint="eastAsia"/>
                <w:color w:val="000000"/>
                <w:kern w:val="2"/>
                <w:sz w:val="21"/>
              </w:rPr>
              <w:t>极不可能</w:t>
            </w:r>
          </w:p>
        </w:tc>
      </w:tr>
      <w:tr w14:paraId="36BE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BEE8310">
            <w:pPr>
              <w:pStyle w:val="143"/>
              <w:outlineLvl w:val="3"/>
              <w:rPr>
                <w:color w:val="000000"/>
                <w:kern w:val="2"/>
                <w:sz w:val="21"/>
              </w:rPr>
            </w:pPr>
            <w:r>
              <w:rPr>
                <w:rFonts w:hint="eastAsia"/>
                <w:color w:val="000000"/>
                <w:kern w:val="2"/>
                <w:sz w:val="21"/>
              </w:rPr>
              <w:t>0.1</w:t>
            </w:r>
          </w:p>
        </w:tc>
        <w:tc>
          <w:tcPr>
            <w:tcW w:w="2536" w:type="pct"/>
            <w:vAlign w:val="center"/>
          </w:tcPr>
          <w:p w14:paraId="6826E227">
            <w:pPr>
              <w:pStyle w:val="143"/>
              <w:outlineLvl w:val="3"/>
              <w:rPr>
                <w:color w:val="000000"/>
                <w:kern w:val="2"/>
                <w:sz w:val="21"/>
              </w:rPr>
            </w:pPr>
            <w:r>
              <w:rPr>
                <w:rFonts w:hint="eastAsia"/>
                <w:color w:val="000000"/>
                <w:kern w:val="2"/>
                <w:sz w:val="21"/>
              </w:rPr>
              <w:t>实际不可能</w:t>
            </w:r>
          </w:p>
        </w:tc>
      </w:tr>
    </w:tbl>
    <w:p w14:paraId="519F4F25">
      <w:pPr>
        <w:pStyle w:val="122"/>
        <w:outlineLvl w:val="9"/>
        <w:rPr>
          <w:rStyle w:val="123"/>
          <w:b/>
        </w:rPr>
      </w:pPr>
      <w:r>
        <w:rPr>
          <w:rStyle w:val="123"/>
          <w:rFonts w:hint="eastAsia"/>
          <w:b/>
        </w:rPr>
        <w:t>表7.</w:t>
      </w:r>
      <w:r>
        <w:rPr>
          <w:rStyle w:val="123"/>
          <w:b/>
        </w:rPr>
        <w:t>3-2</w:t>
      </w:r>
      <w:r>
        <w:rPr>
          <w:rStyle w:val="123"/>
          <w:rFonts w:hint="eastAsia"/>
          <w:b/>
        </w:rPr>
        <w:t>暴露于危险环境的频繁程度（</w:t>
      </w:r>
      <w:r>
        <w:rPr>
          <w:rStyle w:val="123"/>
          <w:b/>
        </w:rPr>
        <w:t>E</w:t>
      </w:r>
      <w:r>
        <w:rPr>
          <w:rStyle w:val="123"/>
          <w:rFonts w:hint="eastAsia"/>
          <w:b/>
        </w:rPr>
        <w:t>）</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0816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7AC30EE">
            <w:pPr>
              <w:pStyle w:val="143"/>
              <w:outlineLvl w:val="3"/>
              <w:rPr>
                <w:color w:val="000000"/>
                <w:kern w:val="2"/>
                <w:sz w:val="21"/>
              </w:rPr>
            </w:pPr>
            <w:r>
              <w:rPr>
                <w:rFonts w:hint="eastAsia"/>
                <w:color w:val="000000"/>
                <w:kern w:val="2"/>
                <w:sz w:val="21"/>
              </w:rPr>
              <w:t>分数值</w:t>
            </w:r>
          </w:p>
        </w:tc>
        <w:tc>
          <w:tcPr>
            <w:tcW w:w="2536" w:type="pct"/>
            <w:vAlign w:val="center"/>
          </w:tcPr>
          <w:p w14:paraId="53DE0947">
            <w:pPr>
              <w:pStyle w:val="143"/>
              <w:outlineLvl w:val="3"/>
              <w:rPr>
                <w:color w:val="000000"/>
                <w:kern w:val="2"/>
                <w:sz w:val="21"/>
              </w:rPr>
            </w:pPr>
            <w:r>
              <w:rPr>
                <w:rFonts w:hint="eastAsia"/>
                <w:color w:val="000000"/>
                <w:kern w:val="2"/>
                <w:sz w:val="21"/>
              </w:rPr>
              <w:t>暴露于危险环境的频繁程度</w:t>
            </w:r>
          </w:p>
        </w:tc>
      </w:tr>
      <w:tr w14:paraId="0DDF4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FED07B7">
            <w:pPr>
              <w:pStyle w:val="143"/>
              <w:outlineLvl w:val="3"/>
              <w:rPr>
                <w:color w:val="000000"/>
                <w:kern w:val="2"/>
                <w:sz w:val="21"/>
              </w:rPr>
            </w:pPr>
            <w:r>
              <w:rPr>
                <w:rFonts w:hint="eastAsia"/>
                <w:color w:val="000000"/>
                <w:kern w:val="2"/>
                <w:sz w:val="21"/>
              </w:rPr>
              <w:t>10</w:t>
            </w:r>
          </w:p>
        </w:tc>
        <w:tc>
          <w:tcPr>
            <w:tcW w:w="2536" w:type="pct"/>
            <w:vAlign w:val="center"/>
          </w:tcPr>
          <w:p w14:paraId="734DE1E0">
            <w:pPr>
              <w:pStyle w:val="143"/>
              <w:outlineLvl w:val="3"/>
              <w:rPr>
                <w:color w:val="000000"/>
                <w:kern w:val="2"/>
                <w:sz w:val="21"/>
              </w:rPr>
            </w:pPr>
            <w:r>
              <w:rPr>
                <w:rFonts w:hint="eastAsia"/>
                <w:color w:val="000000"/>
                <w:kern w:val="2"/>
                <w:sz w:val="21"/>
              </w:rPr>
              <w:t>连续暴露</w:t>
            </w:r>
          </w:p>
        </w:tc>
      </w:tr>
      <w:tr w14:paraId="3C74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A6EDA2B">
            <w:pPr>
              <w:pStyle w:val="143"/>
              <w:outlineLvl w:val="3"/>
              <w:rPr>
                <w:color w:val="000000"/>
                <w:kern w:val="2"/>
                <w:sz w:val="21"/>
              </w:rPr>
            </w:pPr>
            <w:r>
              <w:rPr>
                <w:rFonts w:hint="eastAsia"/>
                <w:color w:val="000000"/>
                <w:kern w:val="2"/>
                <w:sz w:val="21"/>
              </w:rPr>
              <w:t>6</w:t>
            </w:r>
          </w:p>
        </w:tc>
        <w:tc>
          <w:tcPr>
            <w:tcW w:w="2536" w:type="pct"/>
            <w:vAlign w:val="center"/>
          </w:tcPr>
          <w:p w14:paraId="19B47EE3">
            <w:pPr>
              <w:pStyle w:val="143"/>
              <w:outlineLvl w:val="3"/>
              <w:rPr>
                <w:color w:val="000000"/>
                <w:kern w:val="2"/>
                <w:sz w:val="21"/>
              </w:rPr>
            </w:pPr>
            <w:r>
              <w:rPr>
                <w:rFonts w:hint="eastAsia"/>
                <w:color w:val="000000"/>
                <w:kern w:val="2"/>
                <w:sz w:val="21"/>
              </w:rPr>
              <w:t>每天工作时间内暴露</w:t>
            </w:r>
          </w:p>
        </w:tc>
      </w:tr>
      <w:tr w14:paraId="32D93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D6F0872">
            <w:pPr>
              <w:pStyle w:val="143"/>
              <w:outlineLvl w:val="3"/>
              <w:rPr>
                <w:color w:val="000000"/>
                <w:kern w:val="2"/>
                <w:sz w:val="21"/>
              </w:rPr>
            </w:pPr>
            <w:r>
              <w:rPr>
                <w:rFonts w:hint="eastAsia"/>
                <w:color w:val="000000"/>
                <w:kern w:val="2"/>
                <w:sz w:val="21"/>
              </w:rPr>
              <w:t>3</w:t>
            </w:r>
          </w:p>
        </w:tc>
        <w:tc>
          <w:tcPr>
            <w:tcW w:w="2536" w:type="pct"/>
            <w:vAlign w:val="center"/>
          </w:tcPr>
          <w:p w14:paraId="07A3D2C3">
            <w:pPr>
              <w:pStyle w:val="143"/>
              <w:outlineLvl w:val="3"/>
              <w:rPr>
                <w:color w:val="000000"/>
                <w:kern w:val="2"/>
                <w:sz w:val="21"/>
              </w:rPr>
            </w:pPr>
            <w:r>
              <w:rPr>
                <w:rFonts w:hint="eastAsia"/>
                <w:color w:val="000000"/>
                <w:kern w:val="2"/>
                <w:sz w:val="21"/>
              </w:rPr>
              <w:t>每周一次或偶然暴露</w:t>
            </w:r>
          </w:p>
        </w:tc>
      </w:tr>
      <w:tr w14:paraId="5B9F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161BA78">
            <w:pPr>
              <w:pStyle w:val="143"/>
              <w:outlineLvl w:val="3"/>
              <w:rPr>
                <w:color w:val="000000"/>
                <w:kern w:val="2"/>
                <w:sz w:val="21"/>
              </w:rPr>
            </w:pPr>
            <w:r>
              <w:rPr>
                <w:rFonts w:hint="eastAsia"/>
                <w:color w:val="000000"/>
                <w:kern w:val="2"/>
                <w:sz w:val="21"/>
              </w:rPr>
              <w:t>2</w:t>
            </w:r>
          </w:p>
        </w:tc>
        <w:tc>
          <w:tcPr>
            <w:tcW w:w="2536" w:type="pct"/>
            <w:vAlign w:val="center"/>
          </w:tcPr>
          <w:p w14:paraId="2D3B6BB5">
            <w:pPr>
              <w:pStyle w:val="143"/>
              <w:outlineLvl w:val="3"/>
              <w:rPr>
                <w:color w:val="000000"/>
                <w:kern w:val="2"/>
                <w:sz w:val="21"/>
              </w:rPr>
            </w:pPr>
            <w:r>
              <w:rPr>
                <w:rFonts w:hint="eastAsia"/>
                <w:color w:val="000000"/>
                <w:kern w:val="2"/>
                <w:sz w:val="21"/>
              </w:rPr>
              <w:t>每月一次暴露</w:t>
            </w:r>
          </w:p>
        </w:tc>
      </w:tr>
      <w:tr w14:paraId="7BA1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95449CC">
            <w:pPr>
              <w:pStyle w:val="143"/>
              <w:outlineLvl w:val="3"/>
              <w:rPr>
                <w:color w:val="000000"/>
                <w:kern w:val="2"/>
                <w:sz w:val="21"/>
              </w:rPr>
            </w:pPr>
            <w:r>
              <w:rPr>
                <w:rFonts w:hint="eastAsia"/>
                <w:color w:val="000000"/>
                <w:kern w:val="2"/>
                <w:sz w:val="21"/>
              </w:rPr>
              <w:t>1</w:t>
            </w:r>
          </w:p>
        </w:tc>
        <w:tc>
          <w:tcPr>
            <w:tcW w:w="2536" w:type="pct"/>
            <w:vAlign w:val="center"/>
          </w:tcPr>
          <w:p w14:paraId="519FD453">
            <w:pPr>
              <w:pStyle w:val="143"/>
              <w:outlineLvl w:val="3"/>
              <w:rPr>
                <w:color w:val="000000"/>
                <w:kern w:val="2"/>
                <w:sz w:val="21"/>
              </w:rPr>
            </w:pPr>
            <w:r>
              <w:rPr>
                <w:rFonts w:hint="eastAsia"/>
                <w:color w:val="000000"/>
                <w:kern w:val="2"/>
                <w:sz w:val="21"/>
              </w:rPr>
              <w:t>每年几次暴露</w:t>
            </w:r>
          </w:p>
        </w:tc>
      </w:tr>
      <w:tr w14:paraId="19BB4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7887206E">
            <w:pPr>
              <w:pStyle w:val="143"/>
              <w:outlineLvl w:val="3"/>
              <w:rPr>
                <w:color w:val="000000"/>
                <w:kern w:val="2"/>
                <w:sz w:val="21"/>
              </w:rPr>
            </w:pPr>
            <w:r>
              <w:rPr>
                <w:rFonts w:hint="eastAsia"/>
                <w:color w:val="000000"/>
                <w:kern w:val="2"/>
                <w:sz w:val="21"/>
              </w:rPr>
              <w:t>0.5</w:t>
            </w:r>
          </w:p>
        </w:tc>
        <w:tc>
          <w:tcPr>
            <w:tcW w:w="2536" w:type="pct"/>
            <w:vAlign w:val="center"/>
          </w:tcPr>
          <w:p w14:paraId="72F41AF6">
            <w:pPr>
              <w:pStyle w:val="143"/>
              <w:outlineLvl w:val="3"/>
              <w:rPr>
                <w:color w:val="000000"/>
                <w:kern w:val="2"/>
                <w:sz w:val="21"/>
              </w:rPr>
            </w:pPr>
            <w:r>
              <w:rPr>
                <w:rFonts w:hint="eastAsia"/>
                <w:color w:val="000000"/>
                <w:kern w:val="2"/>
                <w:sz w:val="21"/>
              </w:rPr>
              <w:t>非常罕见暴露</w:t>
            </w:r>
          </w:p>
        </w:tc>
      </w:tr>
    </w:tbl>
    <w:p w14:paraId="413BED8C">
      <w:pPr>
        <w:pStyle w:val="122"/>
        <w:outlineLvl w:val="9"/>
        <w:rPr>
          <w:rStyle w:val="123"/>
          <w:b/>
        </w:rPr>
      </w:pPr>
      <w:r>
        <w:rPr>
          <w:rStyle w:val="123"/>
          <w:rFonts w:hint="eastAsia"/>
          <w:b/>
        </w:rPr>
        <w:t>表7.</w:t>
      </w:r>
      <w:r>
        <w:rPr>
          <w:rStyle w:val="123"/>
          <w:b/>
        </w:rPr>
        <w:t>3-3</w:t>
      </w:r>
      <w:r>
        <w:rPr>
          <w:rStyle w:val="123"/>
          <w:rFonts w:hint="eastAsia"/>
          <w:b/>
        </w:rPr>
        <w:t>发生事故产生的后果（</w:t>
      </w:r>
      <w:r>
        <w:rPr>
          <w:rStyle w:val="123"/>
          <w:b/>
        </w:rPr>
        <w:t>C</w:t>
      </w:r>
      <w:r>
        <w:rPr>
          <w:rStyle w:val="123"/>
          <w:rFonts w:hint="eastAsia"/>
          <w:b/>
        </w:rPr>
        <w:t>）</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601DD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314DEF0">
            <w:pPr>
              <w:pStyle w:val="143"/>
              <w:outlineLvl w:val="3"/>
              <w:rPr>
                <w:color w:val="000000"/>
                <w:kern w:val="2"/>
                <w:sz w:val="21"/>
              </w:rPr>
            </w:pPr>
            <w:r>
              <w:rPr>
                <w:rFonts w:hint="eastAsia"/>
                <w:color w:val="000000"/>
                <w:kern w:val="2"/>
                <w:sz w:val="21"/>
              </w:rPr>
              <w:t>分数值</w:t>
            </w:r>
          </w:p>
        </w:tc>
        <w:tc>
          <w:tcPr>
            <w:tcW w:w="2536" w:type="pct"/>
            <w:vAlign w:val="center"/>
          </w:tcPr>
          <w:p w14:paraId="42B9772D">
            <w:pPr>
              <w:pStyle w:val="143"/>
              <w:outlineLvl w:val="3"/>
              <w:rPr>
                <w:color w:val="000000"/>
                <w:kern w:val="2"/>
                <w:sz w:val="21"/>
              </w:rPr>
            </w:pPr>
            <w:r>
              <w:rPr>
                <w:rFonts w:hint="eastAsia"/>
                <w:color w:val="000000"/>
                <w:kern w:val="2"/>
                <w:sz w:val="21"/>
              </w:rPr>
              <w:t>发生事故产生的后果</w:t>
            </w:r>
          </w:p>
        </w:tc>
      </w:tr>
      <w:tr w14:paraId="5243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74190026">
            <w:pPr>
              <w:pStyle w:val="143"/>
              <w:outlineLvl w:val="3"/>
              <w:rPr>
                <w:color w:val="000000"/>
                <w:kern w:val="2"/>
                <w:sz w:val="21"/>
              </w:rPr>
            </w:pPr>
            <w:r>
              <w:rPr>
                <w:rFonts w:hint="eastAsia"/>
                <w:color w:val="000000"/>
                <w:kern w:val="2"/>
                <w:sz w:val="21"/>
              </w:rPr>
              <w:t>100</w:t>
            </w:r>
          </w:p>
        </w:tc>
        <w:tc>
          <w:tcPr>
            <w:tcW w:w="2536" w:type="pct"/>
            <w:vAlign w:val="center"/>
          </w:tcPr>
          <w:p w14:paraId="7E27A724">
            <w:pPr>
              <w:pStyle w:val="143"/>
              <w:outlineLvl w:val="3"/>
              <w:rPr>
                <w:color w:val="000000"/>
                <w:kern w:val="2"/>
                <w:sz w:val="21"/>
              </w:rPr>
            </w:pPr>
            <w:r>
              <w:rPr>
                <w:rFonts w:hint="eastAsia"/>
                <w:color w:val="000000"/>
                <w:kern w:val="2"/>
                <w:sz w:val="21"/>
              </w:rPr>
              <w:t>10人以上死亡</w:t>
            </w:r>
          </w:p>
        </w:tc>
      </w:tr>
      <w:tr w14:paraId="3C607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50C901E">
            <w:pPr>
              <w:pStyle w:val="143"/>
              <w:outlineLvl w:val="3"/>
              <w:rPr>
                <w:color w:val="000000"/>
                <w:kern w:val="2"/>
                <w:sz w:val="21"/>
              </w:rPr>
            </w:pPr>
            <w:r>
              <w:rPr>
                <w:rFonts w:hint="eastAsia"/>
                <w:color w:val="000000"/>
                <w:kern w:val="2"/>
                <w:sz w:val="21"/>
              </w:rPr>
              <w:t>40</w:t>
            </w:r>
          </w:p>
        </w:tc>
        <w:tc>
          <w:tcPr>
            <w:tcW w:w="2536" w:type="pct"/>
            <w:vAlign w:val="center"/>
          </w:tcPr>
          <w:p w14:paraId="1E018BE4">
            <w:pPr>
              <w:pStyle w:val="143"/>
              <w:outlineLvl w:val="3"/>
              <w:rPr>
                <w:color w:val="000000"/>
                <w:kern w:val="2"/>
                <w:sz w:val="21"/>
              </w:rPr>
            </w:pPr>
            <w:r>
              <w:rPr>
                <w:rFonts w:hint="eastAsia"/>
                <w:color w:val="000000"/>
                <w:kern w:val="2"/>
                <w:sz w:val="21"/>
              </w:rPr>
              <w:t>2~9人死亡</w:t>
            </w:r>
          </w:p>
        </w:tc>
      </w:tr>
      <w:tr w14:paraId="00CF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CD3525D">
            <w:pPr>
              <w:pStyle w:val="143"/>
              <w:outlineLvl w:val="3"/>
              <w:rPr>
                <w:color w:val="000000"/>
                <w:kern w:val="2"/>
                <w:sz w:val="21"/>
              </w:rPr>
            </w:pPr>
            <w:r>
              <w:rPr>
                <w:rFonts w:hint="eastAsia"/>
                <w:color w:val="000000"/>
                <w:kern w:val="2"/>
                <w:sz w:val="21"/>
              </w:rPr>
              <w:t>15</w:t>
            </w:r>
          </w:p>
        </w:tc>
        <w:tc>
          <w:tcPr>
            <w:tcW w:w="2536" w:type="pct"/>
            <w:vAlign w:val="center"/>
          </w:tcPr>
          <w:p w14:paraId="320B913A">
            <w:pPr>
              <w:pStyle w:val="143"/>
              <w:outlineLvl w:val="3"/>
              <w:rPr>
                <w:color w:val="000000"/>
                <w:kern w:val="2"/>
                <w:sz w:val="21"/>
              </w:rPr>
            </w:pPr>
            <w:r>
              <w:rPr>
                <w:rFonts w:hint="eastAsia"/>
                <w:color w:val="000000"/>
                <w:kern w:val="2"/>
                <w:sz w:val="21"/>
              </w:rPr>
              <w:t>非常严重，1人死亡</w:t>
            </w:r>
          </w:p>
        </w:tc>
      </w:tr>
      <w:tr w14:paraId="1412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87B5900">
            <w:pPr>
              <w:pStyle w:val="143"/>
              <w:outlineLvl w:val="3"/>
              <w:rPr>
                <w:color w:val="000000"/>
                <w:kern w:val="2"/>
                <w:sz w:val="21"/>
              </w:rPr>
            </w:pPr>
            <w:r>
              <w:rPr>
                <w:rFonts w:hint="eastAsia"/>
                <w:color w:val="000000"/>
                <w:kern w:val="2"/>
                <w:sz w:val="21"/>
              </w:rPr>
              <w:t>7</w:t>
            </w:r>
          </w:p>
        </w:tc>
        <w:tc>
          <w:tcPr>
            <w:tcW w:w="2536" w:type="pct"/>
            <w:vAlign w:val="center"/>
          </w:tcPr>
          <w:p w14:paraId="1F12173D">
            <w:pPr>
              <w:pStyle w:val="143"/>
              <w:outlineLvl w:val="3"/>
              <w:rPr>
                <w:color w:val="000000"/>
                <w:kern w:val="2"/>
                <w:sz w:val="21"/>
              </w:rPr>
            </w:pPr>
            <w:r>
              <w:rPr>
                <w:rFonts w:hint="eastAsia"/>
                <w:color w:val="000000"/>
                <w:kern w:val="2"/>
                <w:sz w:val="21"/>
              </w:rPr>
              <w:t>重大，伤残</w:t>
            </w:r>
          </w:p>
        </w:tc>
      </w:tr>
      <w:tr w14:paraId="4FBE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E2DFF46">
            <w:pPr>
              <w:pStyle w:val="143"/>
              <w:outlineLvl w:val="3"/>
              <w:rPr>
                <w:color w:val="000000"/>
                <w:kern w:val="2"/>
                <w:sz w:val="21"/>
              </w:rPr>
            </w:pPr>
            <w:r>
              <w:rPr>
                <w:rFonts w:hint="eastAsia"/>
                <w:color w:val="000000"/>
                <w:kern w:val="2"/>
                <w:sz w:val="21"/>
              </w:rPr>
              <w:t>3</w:t>
            </w:r>
          </w:p>
        </w:tc>
        <w:tc>
          <w:tcPr>
            <w:tcW w:w="2536" w:type="pct"/>
            <w:vAlign w:val="center"/>
          </w:tcPr>
          <w:p w14:paraId="65A6EC25">
            <w:pPr>
              <w:pStyle w:val="143"/>
              <w:outlineLvl w:val="3"/>
              <w:rPr>
                <w:color w:val="000000"/>
                <w:kern w:val="2"/>
                <w:sz w:val="21"/>
              </w:rPr>
            </w:pPr>
            <w:r>
              <w:rPr>
                <w:rFonts w:hint="eastAsia"/>
                <w:color w:val="000000"/>
                <w:kern w:val="2"/>
                <w:sz w:val="21"/>
              </w:rPr>
              <w:t>严重，重伤</w:t>
            </w:r>
          </w:p>
        </w:tc>
      </w:tr>
      <w:tr w14:paraId="16E6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C56059F">
            <w:pPr>
              <w:pStyle w:val="143"/>
              <w:outlineLvl w:val="3"/>
              <w:rPr>
                <w:color w:val="000000"/>
                <w:kern w:val="2"/>
                <w:sz w:val="21"/>
              </w:rPr>
            </w:pPr>
            <w:r>
              <w:rPr>
                <w:rFonts w:hint="eastAsia"/>
                <w:color w:val="000000"/>
                <w:kern w:val="2"/>
                <w:sz w:val="21"/>
              </w:rPr>
              <w:t>1</w:t>
            </w:r>
          </w:p>
        </w:tc>
        <w:tc>
          <w:tcPr>
            <w:tcW w:w="2536" w:type="pct"/>
            <w:vAlign w:val="center"/>
          </w:tcPr>
          <w:p w14:paraId="1B2288CB">
            <w:pPr>
              <w:pStyle w:val="143"/>
              <w:outlineLvl w:val="3"/>
              <w:rPr>
                <w:color w:val="000000"/>
                <w:kern w:val="2"/>
                <w:sz w:val="21"/>
              </w:rPr>
            </w:pPr>
            <w:r>
              <w:rPr>
                <w:rFonts w:hint="eastAsia"/>
                <w:color w:val="000000"/>
                <w:kern w:val="2"/>
                <w:sz w:val="21"/>
              </w:rPr>
              <w:t>轻伤（引人注意，需要救护）</w:t>
            </w:r>
          </w:p>
        </w:tc>
      </w:tr>
    </w:tbl>
    <w:p w14:paraId="27AFE6EB">
      <w:pPr>
        <w:pStyle w:val="122"/>
        <w:outlineLvl w:val="9"/>
        <w:rPr>
          <w:rStyle w:val="123"/>
          <w:b/>
        </w:rPr>
      </w:pPr>
      <w:r>
        <w:rPr>
          <w:rStyle w:val="123"/>
          <w:rFonts w:hint="eastAsia"/>
          <w:b/>
        </w:rPr>
        <w:t>表7.</w:t>
      </w:r>
      <w:r>
        <w:rPr>
          <w:rStyle w:val="123"/>
          <w:b/>
        </w:rPr>
        <w:t>3-4</w:t>
      </w:r>
      <w:r>
        <w:rPr>
          <w:rStyle w:val="123"/>
          <w:rFonts w:hint="eastAsia"/>
          <w:b/>
        </w:rPr>
        <w:t>风险等级划分（</w:t>
      </w:r>
      <w:r>
        <w:rPr>
          <w:rStyle w:val="123"/>
          <w:b/>
        </w:rPr>
        <w:t>D</w:t>
      </w:r>
      <w:r>
        <w:rPr>
          <w:rStyle w:val="123"/>
          <w:rFonts w:hint="eastAsia"/>
          <w:b/>
        </w:rPr>
        <w:t>）</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2374"/>
        <w:gridCol w:w="2308"/>
      </w:tblGrid>
      <w:tr w14:paraId="3A16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23AA030">
            <w:pPr>
              <w:pStyle w:val="143"/>
              <w:outlineLvl w:val="3"/>
              <w:rPr>
                <w:rStyle w:val="99"/>
                <w:rFonts w:hAnsi="Times New Roman" w:eastAsia="宋体"/>
                <w:color w:val="000000"/>
                <w:kern w:val="2"/>
                <w:sz w:val="21"/>
              </w:rPr>
            </w:pPr>
            <w:r>
              <w:rPr>
                <w:rStyle w:val="99"/>
                <w:rFonts w:hint="eastAsia" w:hAnsi="Times New Roman"/>
                <w:color w:val="000000"/>
                <w:kern w:val="2"/>
              </w:rPr>
              <w:t>D值</w:t>
            </w:r>
          </w:p>
        </w:tc>
        <w:tc>
          <w:tcPr>
            <w:tcW w:w="1286" w:type="pct"/>
            <w:vAlign w:val="center"/>
          </w:tcPr>
          <w:p w14:paraId="3E200A9C">
            <w:pPr>
              <w:pStyle w:val="143"/>
              <w:outlineLvl w:val="3"/>
              <w:rPr>
                <w:rStyle w:val="99"/>
                <w:rFonts w:hAnsi="Times New Roman" w:eastAsia="宋体"/>
                <w:color w:val="000000"/>
                <w:kern w:val="2"/>
                <w:sz w:val="21"/>
              </w:rPr>
            </w:pPr>
            <w:r>
              <w:rPr>
                <w:rStyle w:val="99"/>
                <w:rFonts w:hint="eastAsia" w:hAnsi="Times New Roman"/>
                <w:color w:val="000000"/>
                <w:kern w:val="2"/>
              </w:rPr>
              <w:t>风险程度</w:t>
            </w:r>
          </w:p>
        </w:tc>
        <w:tc>
          <w:tcPr>
            <w:tcW w:w="1250" w:type="pct"/>
            <w:vAlign w:val="center"/>
          </w:tcPr>
          <w:p w14:paraId="6E43CCD9">
            <w:pPr>
              <w:pStyle w:val="143"/>
              <w:outlineLvl w:val="3"/>
              <w:rPr>
                <w:rStyle w:val="99"/>
                <w:rFonts w:hAnsi="Times New Roman" w:eastAsia="宋体"/>
                <w:color w:val="000000"/>
                <w:kern w:val="2"/>
                <w:sz w:val="21"/>
              </w:rPr>
            </w:pPr>
            <w:r>
              <w:rPr>
                <w:rStyle w:val="99"/>
                <w:rFonts w:hint="eastAsia" w:hAnsi="Times New Roman"/>
                <w:color w:val="000000"/>
                <w:kern w:val="2"/>
              </w:rPr>
              <w:t>风险等级</w:t>
            </w:r>
          </w:p>
        </w:tc>
      </w:tr>
      <w:tr w14:paraId="53F8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029F3A9">
            <w:pPr>
              <w:pStyle w:val="143"/>
              <w:outlineLvl w:val="3"/>
              <w:rPr>
                <w:rStyle w:val="99"/>
                <w:rFonts w:hAnsi="Times New Roman" w:eastAsia="宋体"/>
                <w:color w:val="000000"/>
                <w:kern w:val="2"/>
                <w:sz w:val="21"/>
              </w:rPr>
            </w:pPr>
            <w:r>
              <w:rPr>
                <w:rStyle w:val="99"/>
                <w:rFonts w:hint="eastAsia" w:hAnsi="Times New Roman"/>
                <w:color w:val="000000"/>
                <w:kern w:val="2"/>
              </w:rPr>
              <w:t>＞320</w:t>
            </w:r>
          </w:p>
        </w:tc>
        <w:tc>
          <w:tcPr>
            <w:tcW w:w="1286" w:type="pct"/>
            <w:vAlign w:val="center"/>
          </w:tcPr>
          <w:p w14:paraId="347547A7">
            <w:pPr>
              <w:pStyle w:val="143"/>
              <w:outlineLvl w:val="3"/>
              <w:rPr>
                <w:rStyle w:val="99"/>
                <w:rFonts w:hAnsi="Times New Roman" w:eastAsia="宋体"/>
                <w:color w:val="000000"/>
                <w:kern w:val="2"/>
                <w:sz w:val="21"/>
              </w:rPr>
            </w:pPr>
            <w:r>
              <w:rPr>
                <w:rStyle w:val="99"/>
                <w:rFonts w:hint="eastAsia" w:hAnsi="Times New Roman"/>
                <w:color w:val="000000"/>
                <w:kern w:val="2"/>
              </w:rPr>
              <w:t>极其危险</w:t>
            </w:r>
          </w:p>
        </w:tc>
        <w:tc>
          <w:tcPr>
            <w:tcW w:w="1250" w:type="pct"/>
            <w:vAlign w:val="center"/>
          </w:tcPr>
          <w:p w14:paraId="124AA06C">
            <w:pPr>
              <w:pStyle w:val="143"/>
              <w:outlineLvl w:val="3"/>
              <w:rPr>
                <w:rStyle w:val="99"/>
                <w:rFonts w:hAnsi="Times New Roman" w:eastAsia="宋体"/>
                <w:color w:val="000000"/>
                <w:kern w:val="2"/>
                <w:sz w:val="21"/>
              </w:rPr>
            </w:pPr>
            <w:r>
              <w:rPr>
                <w:rStyle w:val="99"/>
                <w:rFonts w:hAnsi="Times New Roman"/>
                <w:color w:val="000000"/>
                <w:kern w:val="2"/>
              </w:rPr>
              <w:t>5</w:t>
            </w:r>
          </w:p>
        </w:tc>
      </w:tr>
      <w:tr w14:paraId="5BAD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25CF821">
            <w:pPr>
              <w:pStyle w:val="143"/>
              <w:outlineLvl w:val="3"/>
              <w:rPr>
                <w:rStyle w:val="99"/>
                <w:rFonts w:hAnsi="Times New Roman" w:eastAsia="宋体"/>
                <w:color w:val="000000"/>
                <w:kern w:val="2"/>
                <w:sz w:val="21"/>
              </w:rPr>
            </w:pPr>
            <w:r>
              <w:rPr>
                <w:rStyle w:val="99"/>
                <w:rFonts w:hAnsi="Times New Roman"/>
                <w:color w:val="000000"/>
                <w:kern w:val="2"/>
              </w:rPr>
              <w:t>160-320</w:t>
            </w:r>
          </w:p>
        </w:tc>
        <w:tc>
          <w:tcPr>
            <w:tcW w:w="1286" w:type="pct"/>
            <w:vAlign w:val="center"/>
          </w:tcPr>
          <w:p w14:paraId="13A7C722">
            <w:pPr>
              <w:pStyle w:val="143"/>
              <w:outlineLvl w:val="3"/>
              <w:rPr>
                <w:rStyle w:val="99"/>
                <w:rFonts w:hAnsi="Times New Roman" w:eastAsia="宋体"/>
                <w:color w:val="000000"/>
                <w:kern w:val="2"/>
                <w:sz w:val="21"/>
              </w:rPr>
            </w:pPr>
            <w:r>
              <w:rPr>
                <w:rStyle w:val="99"/>
                <w:rFonts w:hint="eastAsia" w:hAnsi="Times New Roman"/>
                <w:color w:val="000000"/>
                <w:kern w:val="2"/>
              </w:rPr>
              <w:t>高度危险</w:t>
            </w:r>
          </w:p>
        </w:tc>
        <w:tc>
          <w:tcPr>
            <w:tcW w:w="1250" w:type="pct"/>
            <w:vAlign w:val="center"/>
          </w:tcPr>
          <w:p w14:paraId="268F1F39">
            <w:pPr>
              <w:pStyle w:val="143"/>
              <w:outlineLvl w:val="3"/>
              <w:rPr>
                <w:rStyle w:val="99"/>
                <w:rFonts w:hAnsi="Times New Roman" w:eastAsia="宋体"/>
                <w:color w:val="000000"/>
                <w:kern w:val="2"/>
                <w:sz w:val="21"/>
              </w:rPr>
            </w:pPr>
            <w:r>
              <w:rPr>
                <w:rStyle w:val="99"/>
                <w:rFonts w:hAnsi="Times New Roman"/>
                <w:color w:val="000000"/>
                <w:kern w:val="2"/>
              </w:rPr>
              <w:t>4</w:t>
            </w:r>
          </w:p>
        </w:tc>
      </w:tr>
      <w:tr w14:paraId="296D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B025115">
            <w:pPr>
              <w:pStyle w:val="143"/>
              <w:outlineLvl w:val="3"/>
              <w:rPr>
                <w:rStyle w:val="99"/>
                <w:rFonts w:hAnsi="Times New Roman" w:eastAsia="宋体"/>
                <w:color w:val="000000"/>
                <w:kern w:val="2"/>
                <w:sz w:val="21"/>
              </w:rPr>
            </w:pPr>
            <w:r>
              <w:rPr>
                <w:rStyle w:val="99"/>
                <w:rFonts w:hAnsi="Times New Roman"/>
                <w:color w:val="000000"/>
                <w:kern w:val="2"/>
              </w:rPr>
              <w:t>70-160</w:t>
            </w:r>
          </w:p>
        </w:tc>
        <w:tc>
          <w:tcPr>
            <w:tcW w:w="1286" w:type="pct"/>
            <w:vAlign w:val="center"/>
          </w:tcPr>
          <w:p w14:paraId="12ED6474">
            <w:pPr>
              <w:pStyle w:val="143"/>
              <w:outlineLvl w:val="3"/>
              <w:rPr>
                <w:rStyle w:val="99"/>
                <w:rFonts w:hAnsi="Times New Roman" w:eastAsia="宋体"/>
                <w:color w:val="000000"/>
                <w:kern w:val="2"/>
                <w:sz w:val="21"/>
              </w:rPr>
            </w:pPr>
            <w:r>
              <w:rPr>
                <w:rStyle w:val="99"/>
                <w:rFonts w:hint="eastAsia" w:hAnsi="Times New Roman"/>
                <w:color w:val="000000"/>
                <w:kern w:val="2"/>
              </w:rPr>
              <w:t>显著危险</w:t>
            </w:r>
          </w:p>
        </w:tc>
        <w:tc>
          <w:tcPr>
            <w:tcW w:w="1250" w:type="pct"/>
            <w:vAlign w:val="center"/>
          </w:tcPr>
          <w:p w14:paraId="3833771B">
            <w:pPr>
              <w:pStyle w:val="143"/>
              <w:outlineLvl w:val="3"/>
              <w:rPr>
                <w:rStyle w:val="99"/>
                <w:rFonts w:hAnsi="Times New Roman" w:eastAsia="宋体"/>
                <w:color w:val="000000"/>
                <w:kern w:val="2"/>
                <w:sz w:val="21"/>
              </w:rPr>
            </w:pPr>
            <w:r>
              <w:rPr>
                <w:rStyle w:val="99"/>
                <w:rFonts w:hAnsi="Times New Roman"/>
                <w:color w:val="000000"/>
                <w:kern w:val="2"/>
              </w:rPr>
              <w:t>3</w:t>
            </w:r>
          </w:p>
        </w:tc>
      </w:tr>
      <w:tr w14:paraId="75CF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790943F">
            <w:pPr>
              <w:pStyle w:val="143"/>
              <w:outlineLvl w:val="3"/>
              <w:rPr>
                <w:rStyle w:val="99"/>
                <w:rFonts w:hAnsi="Times New Roman" w:eastAsia="宋体"/>
                <w:color w:val="000000"/>
                <w:kern w:val="2"/>
                <w:sz w:val="21"/>
              </w:rPr>
            </w:pPr>
            <w:r>
              <w:rPr>
                <w:rStyle w:val="99"/>
                <w:rFonts w:hAnsi="Times New Roman"/>
                <w:color w:val="000000"/>
                <w:kern w:val="2"/>
              </w:rPr>
              <w:t>20-70</w:t>
            </w:r>
          </w:p>
        </w:tc>
        <w:tc>
          <w:tcPr>
            <w:tcW w:w="1286" w:type="pct"/>
            <w:vAlign w:val="center"/>
          </w:tcPr>
          <w:p w14:paraId="6094202F">
            <w:pPr>
              <w:pStyle w:val="143"/>
              <w:outlineLvl w:val="3"/>
              <w:rPr>
                <w:rStyle w:val="99"/>
                <w:rFonts w:hAnsi="Times New Roman" w:eastAsia="宋体"/>
                <w:color w:val="000000"/>
                <w:kern w:val="2"/>
                <w:sz w:val="21"/>
              </w:rPr>
            </w:pPr>
            <w:r>
              <w:rPr>
                <w:rStyle w:val="99"/>
                <w:rFonts w:hint="eastAsia" w:hAnsi="Times New Roman"/>
                <w:color w:val="000000"/>
                <w:kern w:val="2"/>
              </w:rPr>
              <w:t>一般危险</w:t>
            </w:r>
          </w:p>
        </w:tc>
        <w:tc>
          <w:tcPr>
            <w:tcW w:w="1250" w:type="pct"/>
            <w:vAlign w:val="center"/>
          </w:tcPr>
          <w:p w14:paraId="2DA3891C">
            <w:pPr>
              <w:pStyle w:val="143"/>
              <w:outlineLvl w:val="3"/>
              <w:rPr>
                <w:rStyle w:val="99"/>
                <w:rFonts w:hAnsi="Times New Roman" w:eastAsia="宋体"/>
                <w:color w:val="000000"/>
                <w:kern w:val="2"/>
                <w:sz w:val="21"/>
              </w:rPr>
            </w:pPr>
            <w:r>
              <w:rPr>
                <w:rStyle w:val="99"/>
                <w:rFonts w:hAnsi="Times New Roman"/>
                <w:color w:val="000000"/>
                <w:kern w:val="2"/>
              </w:rPr>
              <w:t>2</w:t>
            </w:r>
          </w:p>
        </w:tc>
      </w:tr>
      <w:tr w14:paraId="390A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055D47A">
            <w:pPr>
              <w:pStyle w:val="143"/>
              <w:outlineLvl w:val="3"/>
              <w:rPr>
                <w:rStyle w:val="99"/>
                <w:rFonts w:hAnsi="Times New Roman" w:eastAsia="宋体"/>
                <w:color w:val="000000"/>
                <w:kern w:val="2"/>
                <w:sz w:val="21"/>
              </w:rPr>
            </w:pPr>
            <w:r>
              <w:rPr>
                <w:rStyle w:val="99"/>
                <w:rFonts w:hint="eastAsia" w:hAnsi="Times New Roman"/>
                <w:color w:val="000000"/>
                <w:kern w:val="2"/>
              </w:rPr>
              <w:t>＜20</w:t>
            </w:r>
          </w:p>
        </w:tc>
        <w:tc>
          <w:tcPr>
            <w:tcW w:w="1286" w:type="pct"/>
            <w:vAlign w:val="center"/>
          </w:tcPr>
          <w:p w14:paraId="37C52F9A">
            <w:pPr>
              <w:pStyle w:val="143"/>
              <w:outlineLvl w:val="3"/>
              <w:rPr>
                <w:rStyle w:val="99"/>
                <w:rFonts w:hAnsi="Times New Roman" w:eastAsia="宋体"/>
                <w:color w:val="000000"/>
                <w:kern w:val="2"/>
                <w:sz w:val="21"/>
              </w:rPr>
            </w:pPr>
            <w:r>
              <w:rPr>
                <w:rStyle w:val="99"/>
                <w:rFonts w:hint="eastAsia" w:hAnsi="Times New Roman"/>
                <w:color w:val="000000"/>
                <w:kern w:val="2"/>
              </w:rPr>
              <w:t>稍有危险</w:t>
            </w:r>
          </w:p>
        </w:tc>
        <w:tc>
          <w:tcPr>
            <w:tcW w:w="1250" w:type="pct"/>
            <w:vAlign w:val="center"/>
          </w:tcPr>
          <w:p w14:paraId="22BFF446">
            <w:pPr>
              <w:pStyle w:val="143"/>
              <w:outlineLvl w:val="3"/>
              <w:rPr>
                <w:rStyle w:val="99"/>
                <w:rFonts w:hAnsi="Times New Roman" w:eastAsia="宋体"/>
                <w:color w:val="000000"/>
                <w:kern w:val="2"/>
                <w:sz w:val="21"/>
              </w:rPr>
            </w:pPr>
            <w:r>
              <w:rPr>
                <w:rStyle w:val="99"/>
                <w:rFonts w:hAnsi="Times New Roman"/>
                <w:color w:val="000000"/>
                <w:kern w:val="2"/>
              </w:rPr>
              <w:t>1</w:t>
            </w:r>
          </w:p>
        </w:tc>
      </w:tr>
    </w:tbl>
    <w:p w14:paraId="72317BF2">
      <w:pPr>
        <w:pStyle w:val="122"/>
        <w:outlineLvl w:val="9"/>
        <w:rPr>
          <w:rStyle w:val="123"/>
          <w:b/>
        </w:rPr>
      </w:pPr>
      <w:r>
        <w:rPr>
          <w:rStyle w:val="123"/>
          <w:rFonts w:hint="eastAsia"/>
          <w:b/>
        </w:rPr>
        <w:t>表7.</w:t>
      </w:r>
      <w:r>
        <w:rPr>
          <w:rStyle w:val="123"/>
          <w:b/>
        </w:rPr>
        <w:t>3-6</w:t>
      </w:r>
      <w:r>
        <w:rPr>
          <w:rStyle w:val="123"/>
          <w:rFonts w:hint="eastAsia"/>
          <w:b/>
        </w:rPr>
        <w:t>风险评估表</w:t>
      </w:r>
    </w:p>
    <w:tbl>
      <w:tblPr>
        <w:tblStyle w:val="40"/>
        <w:tblW w:w="916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4"/>
        <w:gridCol w:w="2440"/>
        <w:gridCol w:w="1549"/>
        <w:gridCol w:w="657"/>
        <w:gridCol w:w="705"/>
        <w:gridCol w:w="705"/>
        <w:gridCol w:w="1374"/>
        <w:gridCol w:w="1060"/>
      </w:tblGrid>
      <w:tr w14:paraId="0BA91A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tcBorders>
              <w:top w:val="double" w:color="auto" w:sz="4" w:space="0"/>
            </w:tcBorders>
            <w:vAlign w:val="center"/>
          </w:tcPr>
          <w:p w14:paraId="6F6CF5A9">
            <w:pPr>
              <w:pStyle w:val="167"/>
              <w:rPr>
                <w:rFonts w:ascii="仿宋" w:hAnsi="仿宋" w:eastAsia="仿宋" w:cs="微软雅黑"/>
                <w:sz w:val="24"/>
                <w:szCs w:val="24"/>
              </w:rPr>
            </w:pPr>
            <w:r>
              <w:rPr>
                <w:rFonts w:hint="eastAsia" w:ascii="仿宋" w:hAnsi="仿宋" w:eastAsia="仿宋" w:cs="微软雅黑"/>
                <w:sz w:val="24"/>
                <w:szCs w:val="24"/>
              </w:rPr>
              <w:t>序号</w:t>
            </w:r>
          </w:p>
        </w:tc>
        <w:tc>
          <w:tcPr>
            <w:tcW w:w="2440" w:type="dxa"/>
            <w:vMerge w:val="restart"/>
            <w:tcBorders>
              <w:top w:val="double" w:color="auto" w:sz="4" w:space="0"/>
            </w:tcBorders>
            <w:vAlign w:val="center"/>
          </w:tcPr>
          <w:p w14:paraId="42195340">
            <w:pPr>
              <w:pStyle w:val="167"/>
              <w:rPr>
                <w:rFonts w:ascii="仿宋" w:hAnsi="仿宋" w:eastAsia="仿宋" w:cs="微软雅黑"/>
                <w:sz w:val="24"/>
                <w:szCs w:val="24"/>
              </w:rPr>
            </w:pPr>
            <w:r>
              <w:rPr>
                <w:rFonts w:hint="eastAsia" w:ascii="仿宋" w:hAnsi="仿宋" w:eastAsia="仿宋"/>
                <w:sz w:val="24"/>
                <w:szCs w:val="24"/>
              </w:rPr>
              <w:t>施工内容</w:t>
            </w:r>
          </w:p>
        </w:tc>
        <w:tc>
          <w:tcPr>
            <w:tcW w:w="1549" w:type="dxa"/>
            <w:vMerge w:val="restart"/>
            <w:tcBorders>
              <w:top w:val="double" w:color="auto" w:sz="4" w:space="0"/>
            </w:tcBorders>
            <w:vAlign w:val="center"/>
          </w:tcPr>
          <w:p w14:paraId="609B85A8">
            <w:pPr>
              <w:pStyle w:val="167"/>
              <w:rPr>
                <w:rFonts w:ascii="仿宋" w:hAnsi="仿宋" w:eastAsia="仿宋"/>
                <w:sz w:val="24"/>
                <w:szCs w:val="24"/>
              </w:rPr>
            </w:pPr>
            <w:r>
              <w:rPr>
                <w:rFonts w:hint="eastAsia" w:ascii="仿宋" w:hAnsi="仿宋" w:eastAsia="仿宋"/>
                <w:sz w:val="24"/>
                <w:szCs w:val="24"/>
              </w:rPr>
              <w:t>潜在的事故类型及危害</w:t>
            </w:r>
          </w:p>
        </w:tc>
        <w:tc>
          <w:tcPr>
            <w:tcW w:w="3441" w:type="dxa"/>
            <w:gridSpan w:val="4"/>
            <w:tcBorders>
              <w:top w:val="double" w:color="auto" w:sz="4" w:space="0"/>
            </w:tcBorders>
            <w:vAlign w:val="center"/>
          </w:tcPr>
          <w:p w14:paraId="49635BD7">
            <w:pPr>
              <w:pStyle w:val="167"/>
              <w:rPr>
                <w:rFonts w:ascii="仿宋" w:hAnsi="仿宋" w:eastAsia="仿宋"/>
                <w:sz w:val="24"/>
                <w:szCs w:val="24"/>
              </w:rPr>
            </w:pPr>
            <w:r>
              <w:rPr>
                <w:rFonts w:hint="eastAsia" w:ascii="仿宋" w:hAnsi="仿宋" w:eastAsia="仿宋"/>
                <w:sz w:val="24"/>
                <w:szCs w:val="24"/>
              </w:rPr>
              <w:t>风险评估</w:t>
            </w:r>
          </w:p>
        </w:tc>
        <w:tc>
          <w:tcPr>
            <w:tcW w:w="1060" w:type="dxa"/>
            <w:vMerge w:val="restart"/>
            <w:tcBorders>
              <w:top w:val="double" w:color="auto" w:sz="4" w:space="0"/>
            </w:tcBorders>
            <w:vAlign w:val="center"/>
          </w:tcPr>
          <w:p w14:paraId="03C730D5">
            <w:pPr>
              <w:pStyle w:val="167"/>
              <w:rPr>
                <w:rFonts w:ascii="仿宋" w:hAnsi="仿宋" w:eastAsia="仿宋"/>
                <w:sz w:val="24"/>
                <w:szCs w:val="24"/>
              </w:rPr>
            </w:pPr>
            <w:r>
              <w:rPr>
                <w:rFonts w:hint="eastAsia" w:ascii="仿宋" w:hAnsi="仿宋" w:eastAsia="仿宋"/>
                <w:sz w:val="24"/>
                <w:szCs w:val="24"/>
              </w:rPr>
              <w:t>风险等级</w:t>
            </w:r>
          </w:p>
        </w:tc>
      </w:tr>
      <w:tr w14:paraId="71CB44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715DC5B3">
            <w:pPr>
              <w:pStyle w:val="167"/>
              <w:rPr>
                <w:rFonts w:ascii="仿宋" w:hAnsi="仿宋" w:eastAsia="仿宋"/>
                <w:sz w:val="24"/>
                <w:szCs w:val="24"/>
              </w:rPr>
            </w:pPr>
          </w:p>
        </w:tc>
        <w:tc>
          <w:tcPr>
            <w:tcW w:w="2440" w:type="dxa"/>
            <w:vMerge w:val="continue"/>
            <w:vAlign w:val="center"/>
          </w:tcPr>
          <w:p w14:paraId="35765B50">
            <w:pPr>
              <w:pStyle w:val="167"/>
              <w:rPr>
                <w:rFonts w:ascii="仿宋" w:hAnsi="仿宋" w:eastAsia="仿宋"/>
                <w:sz w:val="24"/>
                <w:szCs w:val="24"/>
              </w:rPr>
            </w:pPr>
          </w:p>
        </w:tc>
        <w:tc>
          <w:tcPr>
            <w:tcW w:w="1549" w:type="dxa"/>
            <w:vMerge w:val="continue"/>
            <w:vAlign w:val="center"/>
          </w:tcPr>
          <w:p w14:paraId="1899EC7F">
            <w:pPr>
              <w:pStyle w:val="167"/>
              <w:rPr>
                <w:rFonts w:ascii="仿宋" w:hAnsi="仿宋" w:eastAsia="仿宋"/>
                <w:sz w:val="24"/>
                <w:szCs w:val="24"/>
              </w:rPr>
            </w:pPr>
          </w:p>
        </w:tc>
        <w:tc>
          <w:tcPr>
            <w:tcW w:w="657" w:type="dxa"/>
            <w:vAlign w:val="center"/>
          </w:tcPr>
          <w:p w14:paraId="64129535">
            <w:pPr>
              <w:pStyle w:val="167"/>
              <w:rPr>
                <w:rFonts w:ascii="仿宋" w:hAnsi="仿宋" w:eastAsia="仿宋"/>
                <w:sz w:val="24"/>
                <w:szCs w:val="24"/>
              </w:rPr>
            </w:pPr>
            <w:r>
              <w:rPr>
                <w:rFonts w:ascii="仿宋" w:hAnsi="仿宋" w:eastAsia="仿宋"/>
                <w:sz w:val="24"/>
                <w:szCs w:val="24"/>
              </w:rPr>
              <w:t>L</w:t>
            </w:r>
          </w:p>
        </w:tc>
        <w:tc>
          <w:tcPr>
            <w:tcW w:w="705" w:type="dxa"/>
            <w:vAlign w:val="center"/>
          </w:tcPr>
          <w:p w14:paraId="37F300A0">
            <w:pPr>
              <w:pStyle w:val="167"/>
              <w:rPr>
                <w:rFonts w:ascii="仿宋" w:hAnsi="仿宋" w:eastAsia="仿宋"/>
                <w:sz w:val="24"/>
                <w:szCs w:val="24"/>
              </w:rPr>
            </w:pPr>
            <w:r>
              <w:rPr>
                <w:rFonts w:ascii="仿宋" w:hAnsi="仿宋" w:eastAsia="仿宋"/>
                <w:sz w:val="24"/>
                <w:szCs w:val="24"/>
              </w:rPr>
              <w:t>E</w:t>
            </w:r>
          </w:p>
        </w:tc>
        <w:tc>
          <w:tcPr>
            <w:tcW w:w="705" w:type="dxa"/>
            <w:vAlign w:val="center"/>
          </w:tcPr>
          <w:p w14:paraId="006BC2F6">
            <w:pPr>
              <w:pStyle w:val="167"/>
              <w:rPr>
                <w:rFonts w:ascii="仿宋" w:hAnsi="仿宋" w:eastAsia="仿宋"/>
                <w:sz w:val="24"/>
                <w:szCs w:val="24"/>
              </w:rPr>
            </w:pPr>
            <w:r>
              <w:rPr>
                <w:rFonts w:ascii="仿宋" w:hAnsi="仿宋" w:eastAsia="仿宋"/>
                <w:sz w:val="24"/>
                <w:szCs w:val="24"/>
              </w:rPr>
              <w:t>C</w:t>
            </w:r>
          </w:p>
        </w:tc>
        <w:tc>
          <w:tcPr>
            <w:tcW w:w="1374" w:type="dxa"/>
            <w:vAlign w:val="center"/>
          </w:tcPr>
          <w:p w14:paraId="4122F9C2">
            <w:pPr>
              <w:pStyle w:val="167"/>
              <w:rPr>
                <w:rFonts w:ascii="仿宋" w:hAnsi="仿宋" w:eastAsia="仿宋"/>
                <w:sz w:val="24"/>
                <w:szCs w:val="24"/>
              </w:rPr>
            </w:pPr>
            <w:r>
              <w:rPr>
                <w:rFonts w:ascii="仿宋" w:hAnsi="仿宋" w:eastAsia="仿宋"/>
                <w:sz w:val="24"/>
                <w:szCs w:val="24"/>
              </w:rPr>
              <w:t>D=LEC</w:t>
            </w:r>
          </w:p>
        </w:tc>
        <w:tc>
          <w:tcPr>
            <w:tcW w:w="1060" w:type="dxa"/>
            <w:vMerge w:val="continue"/>
            <w:vAlign w:val="center"/>
          </w:tcPr>
          <w:p w14:paraId="75D46FA0">
            <w:pPr>
              <w:pStyle w:val="167"/>
              <w:rPr>
                <w:rFonts w:ascii="仿宋" w:hAnsi="仿宋" w:eastAsia="仿宋"/>
                <w:sz w:val="24"/>
                <w:szCs w:val="24"/>
              </w:rPr>
            </w:pPr>
          </w:p>
        </w:tc>
      </w:tr>
      <w:tr w14:paraId="3C8D02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E1D8FF4">
            <w:pPr>
              <w:pStyle w:val="167"/>
              <w:rPr>
                <w:rFonts w:ascii="仿宋" w:hAnsi="仿宋" w:eastAsia="仿宋"/>
                <w:sz w:val="24"/>
                <w:szCs w:val="24"/>
              </w:rPr>
            </w:pPr>
            <w:r>
              <w:rPr>
                <w:rFonts w:ascii="仿宋" w:hAnsi="仿宋" w:eastAsia="仿宋"/>
                <w:sz w:val="24"/>
                <w:szCs w:val="24"/>
              </w:rPr>
              <w:t>1</w:t>
            </w:r>
          </w:p>
        </w:tc>
        <w:tc>
          <w:tcPr>
            <w:tcW w:w="2440" w:type="dxa"/>
            <w:vMerge w:val="restart"/>
            <w:vAlign w:val="center"/>
          </w:tcPr>
          <w:p w14:paraId="6F2849FF">
            <w:pPr>
              <w:pStyle w:val="167"/>
              <w:rPr>
                <w:rFonts w:ascii="仿宋" w:hAnsi="仿宋" w:eastAsia="仿宋"/>
                <w:sz w:val="24"/>
                <w:szCs w:val="24"/>
              </w:rPr>
            </w:pPr>
            <w:r>
              <w:rPr>
                <w:rFonts w:hint="eastAsia" w:ascii="仿宋" w:hAnsi="仿宋" w:eastAsia="仿宋"/>
                <w:sz w:val="24"/>
                <w:szCs w:val="24"/>
              </w:rPr>
              <w:t>塔吊安装与拆除</w:t>
            </w:r>
          </w:p>
        </w:tc>
        <w:tc>
          <w:tcPr>
            <w:tcW w:w="1549" w:type="dxa"/>
            <w:vAlign w:val="center"/>
          </w:tcPr>
          <w:p w14:paraId="77ABAAFA">
            <w:pPr>
              <w:pStyle w:val="167"/>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、坍塌</w:t>
            </w:r>
          </w:p>
        </w:tc>
        <w:tc>
          <w:tcPr>
            <w:tcW w:w="657" w:type="dxa"/>
            <w:vAlign w:val="center"/>
          </w:tcPr>
          <w:p w14:paraId="0FCB3607">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01E4721B">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33FA14D4">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1BFDEA81">
            <w:pPr>
              <w:pStyle w:val="167"/>
              <w:rPr>
                <w:rFonts w:ascii="仿宋" w:hAnsi="仿宋" w:eastAsia="仿宋"/>
                <w:color w:val="000000"/>
                <w:sz w:val="24"/>
                <w:szCs w:val="24"/>
              </w:rPr>
            </w:pPr>
            <w:r>
              <w:rPr>
                <w:rFonts w:hint="eastAsia" w:ascii="仿宋" w:hAnsi="仿宋" w:eastAsia="仿宋"/>
                <w:color w:val="000000"/>
                <w:sz w:val="24"/>
                <w:szCs w:val="24"/>
              </w:rPr>
              <w:t>90</w:t>
            </w:r>
          </w:p>
        </w:tc>
        <w:tc>
          <w:tcPr>
            <w:tcW w:w="1060" w:type="dxa"/>
            <w:vAlign w:val="center"/>
          </w:tcPr>
          <w:p w14:paraId="771A070A">
            <w:pPr>
              <w:pStyle w:val="167"/>
              <w:rPr>
                <w:rFonts w:ascii="仿宋" w:hAnsi="仿宋" w:eastAsia="仿宋"/>
                <w:color w:val="000000"/>
                <w:sz w:val="24"/>
                <w:szCs w:val="24"/>
              </w:rPr>
            </w:pPr>
            <w:r>
              <w:rPr>
                <w:rFonts w:ascii="仿宋" w:hAnsi="仿宋" w:eastAsia="仿宋"/>
                <w:color w:val="000000"/>
                <w:sz w:val="24"/>
                <w:szCs w:val="24"/>
              </w:rPr>
              <w:t>3</w:t>
            </w:r>
          </w:p>
        </w:tc>
      </w:tr>
      <w:tr w14:paraId="3A02AC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08B7B326">
            <w:pPr>
              <w:pStyle w:val="167"/>
              <w:rPr>
                <w:rFonts w:ascii="仿宋" w:hAnsi="仿宋" w:eastAsia="仿宋"/>
                <w:sz w:val="24"/>
                <w:szCs w:val="24"/>
              </w:rPr>
            </w:pPr>
            <w:r>
              <w:rPr>
                <w:rFonts w:ascii="仿宋" w:hAnsi="仿宋" w:eastAsia="仿宋"/>
                <w:sz w:val="24"/>
                <w:szCs w:val="24"/>
              </w:rPr>
              <w:t>2</w:t>
            </w:r>
          </w:p>
        </w:tc>
        <w:tc>
          <w:tcPr>
            <w:tcW w:w="2440" w:type="dxa"/>
            <w:vMerge w:val="continue"/>
            <w:vAlign w:val="center"/>
          </w:tcPr>
          <w:p w14:paraId="0A605E1F">
            <w:pPr>
              <w:pStyle w:val="167"/>
              <w:rPr>
                <w:rFonts w:ascii="仿宋" w:hAnsi="仿宋" w:eastAsia="仿宋"/>
                <w:sz w:val="24"/>
                <w:szCs w:val="24"/>
              </w:rPr>
            </w:pPr>
          </w:p>
        </w:tc>
        <w:tc>
          <w:tcPr>
            <w:tcW w:w="1549" w:type="dxa"/>
            <w:vAlign w:val="center"/>
          </w:tcPr>
          <w:p w14:paraId="2E079046">
            <w:pPr>
              <w:pStyle w:val="167"/>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、起重伤害</w:t>
            </w:r>
          </w:p>
        </w:tc>
        <w:tc>
          <w:tcPr>
            <w:tcW w:w="657" w:type="dxa"/>
            <w:vAlign w:val="center"/>
          </w:tcPr>
          <w:p w14:paraId="73368C11">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0EA862B0">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6CDEACD0">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35988E37">
            <w:pPr>
              <w:pStyle w:val="167"/>
              <w:rPr>
                <w:rFonts w:ascii="仿宋" w:hAnsi="仿宋" w:eastAsia="仿宋"/>
                <w:color w:val="000000"/>
                <w:sz w:val="24"/>
                <w:szCs w:val="24"/>
              </w:rPr>
            </w:pPr>
            <w:r>
              <w:rPr>
                <w:rFonts w:ascii="仿宋" w:hAnsi="仿宋" w:eastAsia="仿宋"/>
                <w:color w:val="000000"/>
                <w:sz w:val="24"/>
                <w:szCs w:val="24"/>
              </w:rPr>
              <w:t>126</w:t>
            </w:r>
          </w:p>
        </w:tc>
        <w:tc>
          <w:tcPr>
            <w:tcW w:w="1060" w:type="dxa"/>
            <w:vAlign w:val="center"/>
          </w:tcPr>
          <w:p w14:paraId="3894A820">
            <w:pPr>
              <w:pStyle w:val="167"/>
              <w:rPr>
                <w:rFonts w:ascii="仿宋" w:hAnsi="仿宋" w:eastAsia="仿宋"/>
                <w:color w:val="000000"/>
                <w:sz w:val="24"/>
                <w:szCs w:val="24"/>
              </w:rPr>
            </w:pPr>
            <w:r>
              <w:rPr>
                <w:rFonts w:ascii="仿宋" w:hAnsi="仿宋" w:eastAsia="仿宋"/>
                <w:color w:val="000000"/>
                <w:sz w:val="24"/>
                <w:szCs w:val="24"/>
              </w:rPr>
              <w:t>3</w:t>
            </w:r>
          </w:p>
        </w:tc>
      </w:tr>
      <w:tr w14:paraId="6F502E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3ABA112">
            <w:pPr>
              <w:pStyle w:val="167"/>
              <w:rPr>
                <w:rFonts w:ascii="仿宋" w:hAnsi="仿宋" w:eastAsia="仿宋"/>
                <w:sz w:val="24"/>
                <w:szCs w:val="24"/>
              </w:rPr>
            </w:pPr>
            <w:r>
              <w:rPr>
                <w:rFonts w:ascii="仿宋" w:hAnsi="仿宋" w:eastAsia="仿宋"/>
                <w:sz w:val="24"/>
                <w:szCs w:val="24"/>
              </w:rPr>
              <w:t>3</w:t>
            </w:r>
          </w:p>
        </w:tc>
        <w:tc>
          <w:tcPr>
            <w:tcW w:w="2440" w:type="dxa"/>
            <w:vMerge w:val="continue"/>
            <w:vAlign w:val="center"/>
          </w:tcPr>
          <w:p w14:paraId="3A4EE14B">
            <w:pPr>
              <w:pStyle w:val="167"/>
              <w:rPr>
                <w:rFonts w:ascii="仿宋" w:hAnsi="仿宋" w:eastAsia="仿宋"/>
                <w:sz w:val="24"/>
                <w:szCs w:val="24"/>
              </w:rPr>
            </w:pPr>
          </w:p>
        </w:tc>
        <w:tc>
          <w:tcPr>
            <w:tcW w:w="1549" w:type="dxa"/>
            <w:vAlign w:val="center"/>
          </w:tcPr>
          <w:p w14:paraId="7F25C519">
            <w:pPr>
              <w:pStyle w:val="167"/>
              <w:jc w:val="left"/>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、物体打击</w:t>
            </w:r>
          </w:p>
        </w:tc>
        <w:tc>
          <w:tcPr>
            <w:tcW w:w="657" w:type="dxa"/>
            <w:vAlign w:val="center"/>
          </w:tcPr>
          <w:p w14:paraId="67073B87">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1B83962B">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2224A738">
            <w:pPr>
              <w:pStyle w:val="167"/>
              <w:rPr>
                <w:rFonts w:ascii="仿宋" w:hAnsi="仿宋" w:eastAsia="仿宋"/>
                <w:color w:val="000000"/>
                <w:sz w:val="24"/>
                <w:szCs w:val="24"/>
              </w:rPr>
            </w:pPr>
            <w:r>
              <w:rPr>
                <w:rFonts w:ascii="仿宋" w:hAnsi="仿宋" w:eastAsia="仿宋"/>
                <w:color w:val="000000"/>
                <w:sz w:val="24"/>
                <w:szCs w:val="24"/>
              </w:rPr>
              <w:t>3</w:t>
            </w:r>
          </w:p>
        </w:tc>
        <w:tc>
          <w:tcPr>
            <w:tcW w:w="1374" w:type="dxa"/>
            <w:vAlign w:val="center"/>
          </w:tcPr>
          <w:p w14:paraId="732FE0A3">
            <w:pPr>
              <w:pStyle w:val="167"/>
              <w:rPr>
                <w:rFonts w:ascii="仿宋" w:hAnsi="仿宋" w:eastAsia="仿宋"/>
                <w:color w:val="000000"/>
                <w:sz w:val="24"/>
                <w:szCs w:val="24"/>
              </w:rPr>
            </w:pPr>
            <w:r>
              <w:rPr>
                <w:rFonts w:ascii="仿宋" w:hAnsi="仿宋" w:eastAsia="仿宋"/>
                <w:color w:val="000000"/>
                <w:sz w:val="24"/>
                <w:szCs w:val="24"/>
              </w:rPr>
              <w:t>54</w:t>
            </w:r>
          </w:p>
        </w:tc>
        <w:tc>
          <w:tcPr>
            <w:tcW w:w="1060" w:type="dxa"/>
            <w:vAlign w:val="center"/>
          </w:tcPr>
          <w:p w14:paraId="0EC9D07E">
            <w:pPr>
              <w:pStyle w:val="167"/>
              <w:rPr>
                <w:rFonts w:ascii="仿宋" w:hAnsi="仿宋" w:eastAsia="仿宋"/>
                <w:color w:val="000000"/>
                <w:sz w:val="24"/>
                <w:szCs w:val="24"/>
              </w:rPr>
            </w:pPr>
            <w:r>
              <w:rPr>
                <w:rFonts w:ascii="仿宋" w:hAnsi="仿宋" w:eastAsia="仿宋"/>
                <w:color w:val="000000"/>
                <w:sz w:val="24"/>
                <w:szCs w:val="24"/>
              </w:rPr>
              <w:t>2</w:t>
            </w:r>
          </w:p>
        </w:tc>
      </w:tr>
      <w:tr w14:paraId="4BA6C8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720ACA66">
            <w:pPr>
              <w:pStyle w:val="167"/>
              <w:rPr>
                <w:rFonts w:ascii="仿宋" w:hAnsi="仿宋" w:eastAsia="仿宋"/>
                <w:sz w:val="24"/>
                <w:szCs w:val="24"/>
              </w:rPr>
            </w:pPr>
            <w:r>
              <w:rPr>
                <w:rFonts w:ascii="仿宋" w:hAnsi="仿宋" w:eastAsia="仿宋"/>
                <w:sz w:val="24"/>
                <w:szCs w:val="24"/>
              </w:rPr>
              <w:t>4</w:t>
            </w:r>
          </w:p>
        </w:tc>
        <w:tc>
          <w:tcPr>
            <w:tcW w:w="2440" w:type="dxa"/>
            <w:vMerge w:val="continue"/>
            <w:vAlign w:val="center"/>
          </w:tcPr>
          <w:p w14:paraId="2303AF28">
            <w:pPr>
              <w:pStyle w:val="167"/>
              <w:rPr>
                <w:rFonts w:ascii="仿宋" w:hAnsi="仿宋" w:eastAsia="仿宋"/>
                <w:sz w:val="24"/>
                <w:szCs w:val="24"/>
              </w:rPr>
            </w:pPr>
          </w:p>
        </w:tc>
        <w:tc>
          <w:tcPr>
            <w:tcW w:w="1549" w:type="dxa"/>
            <w:vAlign w:val="center"/>
          </w:tcPr>
          <w:p w14:paraId="5F634DFF">
            <w:pPr>
              <w:pStyle w:val="167"/>
              <w:jc w:val="left"/>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、高处坠落</w:t>
            </w:r>
          </w:p>
        </w:tc>
        <w:tc>
          <w:tcPr>
            <w:tcW w:w="657" w:type="dxa"/>
            <w:vAlign w:val="center"/>
          </w:tcPr>
          <w:p w14:paraId="7FB41FE0">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3C37D853">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4572BD0C">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5DCB477B">
            <w:pPr>
              <w:pStyle w:val="167"/>
              <w:rPr>
                <w:rFonts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5A821685">
            <w:pPr>
              <w:pStyle w:val="167"/>
              <w:rPr>
                <w:rFonts w:ascii="仿宋" w:hAnsi="仿宋" w:eastAsia="仿宋"/>
                <w:color w:val="000000"/>
                <w:sz w:val="24"/>
                <w:szCs w:val="24"/>
              </w:rPr>
            </w:pPr>
            <w:r>
              <w:rPr>
                <w:rFonts w:ascii="仿宋" w:hAnsi="仿宋" w:eastAsia="仿宋"/>
                <w:color w:val="000000"/>
                <w:sz w:val="24"/>
                <w:szCs w:val="24"/>
              </w:rPr>
              <w:t>3</w:t>
            </w:r>
          </w:p>
        </w:tc>
      </w:tr>
      <w:tr w14:paraId="761B67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585A5AB6">
            <w:pPr>
              <w:pStyle w:val="167"/>
              <w:rPr>
                <w:rFonts w:ascii="仿宋" w:hAnsi="仿宋" w:eastAsia="仿宋"/>
                <w:sz w:val="24"/>
                <w:szCs w:val="24"/>
              </w:rPr>
            </w:pPr>
            <w:r>
              <w:rPr>
                <w:rFonts w:ascii="仿宋" w:hAnsi="仿宋" w:eastAsia="仿宋"/>
                <w:sz w:val="24"/>
                <w:szCs w:val="24"/>
              </w:rPr>
              <w:t>5</w:t>
            </w:r>
          </w:p>
        </w:tc>
        <w:tc>
          <w:tcPr>
            <w:tcW w:w="2440" w:type="dxa"/>
            <w:vMerge w:val="continue"/>
            <w:vAlign w:val="center"/>
          </w:tcPr>
          <w:p w14:paraId="1D56D555">
            <w:pPr>
              <w:pStyle w:val="167"/>
              <w:rPr>
                <w:rFonts w:ascii="仿宋" w:hAnsi="仿宋" w:eastAsia="仿宋"/>
                <w:sz w:val="24"/>
                <w:szCs w:val="24"/>
              </w:rPr>
            </w:pPr>
          </w:p>
        </w:tc>
        <w:tc>
          <w:tcPr>
            <w:tcW w:w="1549" w:type="dxa"/>
            <w:vAlign w:val="center"/>
          </w:tcPr>
          <w:p w14:paraId="2742CFDC">
            <w:pPr>
              <w:pStyle w:val="167"/>
              <w:jc w:val="left"/>
              <w:rPr>
                <w:rFonts w:ascii="仿宋" w:hAnsi="仿宋" w:eastAsia="仿宋"/>
                <w:sz w:val="24"/>
                <w:szCs w:val="24"/>
              </w:rPr>
            </w:pPr>
            <w:r>
              <w:rPr>
                <w:rFonts w:ascii="仿宋" w:hAnsi="仿宋" w:eastAsia="仿宋"/>
                <w:sz w:val="24"/>
                <w:szCs w:val="24"/>
              </w:rPr>
              <w:t>5</w:t>
            </w:r>
            <w:r>
              <w:rPr>
                <w:rFonts w:hint="eastAsia" w:ascii="仿宋" w:hAnsi="仿宋" w:eastAsia="仿宋"/>
                <w:sz w:val="24"/>
                <w:szCs w:val="24"/>
              </w:rPr>
              <w:t>、车辆伤害</w:t>
            </w:r>
          </w:p>
        </w:tc>
        <w:tc>
          <w:tcPr>
            <w:tcW w:w="657" w:type="dxa"/>
            <w:vAlign w:val="center"/>
          </w:tcPr>
          <w:p w14:paraId="492CE451">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5A3FD682">
            <w:pPr>
              <w:pStyle w:val="167"/>
              <w:rPr>
                <w:rFonts w:ascii="仿宋" w:hAnsi="仿宋" w:eastAsia="仿宋"/>
                <w:color w:val="000000"/>
                <w:sz w:val="24"/>
                <w:szCs w:val="24"/>
              </w:rPr>
            </w:pPr>
            <w:r>
              <w:rPr>
                <w:rFonts w:ascii="仿宋" w:hAnsi="仿宋" w:eastAsia="仿宋"/>
                <w:color w:val="000000"/>
                <w:sz w:val="24"/>
                <w:szCs w:val="24"/>
              </w:rPr>
              <w:t>2</w:t>
            </w:r>
          </w:p>
        </w:tc>
        <w:tc>
          <w:tcPr>
            <w:tcW w:w="705" w:type="dxa"/>
            <w:vAlign w:val="center"/>
          </w:tcPr>
          <w:p w14:paraId="5E152652">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6C6C039C">
            <w:pPr>
              <w:pStyle w:val="167"/>
              <w:rPr>
                <w:rFonts w:ascii="仿宋" w:hAnsi="仿宋" w:eastAsia="仿宋"/>
                <w:color w:val="000000"/>
                <w:sz w:val="24"/>
                <w:szCs w:val="24"/>
              </w:rPr>
            </w:pPr>
            <w:r>
              <w:rPr>
                <w:rFonts w:ascii="仿宋" w:hAnsi="仿宋" w:eastAsia="仿宋"/>
                <w:color w:val="000000"/>
                <w:sz w:val="24"/>
                <w:szCs w:val="24"/>
              </w:rPr>
              <w:t>14</w:t>
            </w:r>
          </w:p>
        </w:tc>
        <w:tc>
          <w:tcPr>
            <w:tcW w:w="1060" w:type="dxa"/>
            <w:vAlign w:val="center"/>
          </w:tcPr>
          <w:p w14:paraId="06D36020">
            <w:pPr>
              <w:pStyle w:val="167"/>
              <w:rPr>
                <w:rFonts w:ascii="仿宋" w:hAnsi="仿宋" w:eastAsia="仿宋"/>
                <w:color w:val="000000"/>
                <w:sz w:val="24"/>
                <w:szCs w:val="24"/>
              </w:rPr>
            </w:pPr>
            <w:r>
              <w:rPr>
                <w:rFonts w:ascii="仿宋" w:hAnsi="仿宋" w:eastAsia="仿宋"/>
                <w:color w:val="000000"/>
                <w:sz w:val="24"/>
                <w:szCs w:val="24"/>
              </w:rPr>
              <w:t>1</w:t>
            </w:r>
          </w:p>
        </w:tc>
      </w:tr>
      <w:tr w14:paraId="046AD1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452AC27">
            <w:pPr>
              <w:pStyle w:val="167"/>
              <w:rPr>
                <w:rFonts w:ascii="仿宋" w:hAnsi="仿宋" w:eastAsia="仿宋"/>
                <w:sz w:val="24"/>
                <w:szCs w:val="24"/>
              </w:rPr>
            </w:pPr>
            <w:r>
              <w:rPr>
                <w:rFonts w:ascii="仿宋" w:hAnsi="仿宋" w:eastAsia="仿宋"/>
                <w:sz w:val="24"/>
                <w:szCs w:val="24"/>
              </w:rPr>
              <w:t>6</w:t>
            </w:r>
          </w:p>
        </w:tc>
        <w:tc>
          <w:tcPr>
            <w:tcW w:w="2440" w:type="dxa"/>
            <w:vMerge w:val="continue"/>
            <w:vAlign w:val="center"/>
          </w:tcPr>
          <w:p w14:paraId="42A316A1">
            <w:pPr>
              <w:pStyle w:val="167"/>
              <w:rPr>
                <w:rFonts w:ascii="仿宋" w:hAnsi="仿宋" w:eastAsia="仿宋"/>
                <w:sz w:val="24"/>
                <w:szCs w:val="24"/>
              </w:rPr>
            </w:pPr>
          </w:p>
        </w:tc>
        <w:tc>
          <w:tcPr>
            <w:tcW w:w="1549" w:type="dxa"/>
            <w:vAlign w:val="center"/>
          </w:tcPr>
          <w:p w14:paraId="05A7FCC1">
            <w:pPr>
              <w:pStyle w:val="167"/>
              <w:jc w:val="left"/>
              <w:rPr>
                <w:rFonts w:ascii="仿宋" w:hAnsi="仿宋" w:eastAsia="仿宋"/>
                <w:sz w:val="24"/>
                <w:szCs w:val="24"/>
              </w:rPr>
            </w:pPr>
            <w:r>
              <w:rPr>
                <w:rFonts w:ascii="仿宋" w:hAnsi="仿宋" w:eastAsia="仿宋"/>
                <w:sz w:val="24"/>
                <w:szCs w:val="24"/>
              </w:rPr>
              <w:t>6</w:t>
            </w:r>
            <w:r>
              <w:rPr>
                <w:rFonts w:hint="eastAsia" w:ascii="仿宋" w:hAnsi="仿宋" w:eastAsia="仿宋"/>
                <w:sz w:val="24"/>
                <w:szCs w:val="24"/>
              </w:rPr>
              <w:t>、触电</w:t>
            </w:r>
          </w:p>
        </w:tc>
        <w:tc>
          <w:tcPr>
            <w:tcW w:w="657" w:type="dxa"/>
            <w:vAlign w:val="center"/>
          </w:tcPr>
          <w:p w14:paraId="1898188F">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1DF2F261">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0C493135">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6EF17A0B">
            <w:pPr>
              <w:pStyle w:val="167"/>
              <w:rPr>
                <w:rFonts w:ascii="仿宋" w:hAnsi="仿宋" w:eastAsia="仿宋"/>
                <w:color w:val="000000"/>
                <w:sz w:val="24"/>
                <w:szCs w:val="24"/>
              </w:rPr>
            </w:pPr>
            <w:r>
              <w:rPr>
                <w:rFonts w:ascii="仿宋" w:hAnsi="仿宋" w:eastAsia="仿宋"/>
                <w:color w:val="000000"/>
                <w:sz w:val="24"/>
                <w:szCs w:val="24"/>
              </w:rPr>
              <w:t>45</w:t>
            </w:r>
          </w:p>
        </w:tc>
        <w:tc>
          <w:tcPr>
            <w:tcW w:w="1060" w:type="dxa"/>
            <w:vAlign w:val="center"/>
          </w:tcPr>
          <w:p w14:paraId="40E3F640">
            <w:pPr>
              <w:pStyle w:val="167"/>
              <w:rPr>
                <w:rFonts w:ascii="仿宋" w:hAnsi="仿宋" w:eastAsia="仿宋"/>
                <w:color w:val="000000"/>
                <w:sz w:val="24"/>
                <w:szCs w:val="24"/>
              </w:rPr>
            </w:pPr>
            <w:r>
              <w:rPr>
                <w:rFonts w:ascii="仿宋" w:hAnsi="仿宋" w:eastAsia="仿宋"/>
                <w:color w:val="000000"/>
                <w:sz w:val="24"/>
                <w:szCs w:val="24"/>
              </w:rPr>
              <w:t>2</w:t>
            </w:r>
          </w:p>
        </w:tc>
      </w:tr>
      <w:tr w14:paraId="5AA943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0F932A2">
            <w:pPr>
              <w:pStyle w:val="167"/>
              <w:rPr>
                <w:rFonts w:ascii="仿宋" w:hAnsi="仿宋" w:eastAsia="仿宋"/>
                <w:sz w:val="24"/>
                <w:szCs w:val="24"/>
              </w:rPr>
            </w:pPr>
            <w:r>
              <w:rPr>
                <w:rFonts w:ascii="仿宋" w:hAnsi="仿宋" w:eastAsia="仿宋"/>
                <w:sz w:val="24"/>
                <w:szCs w:val="24"/>
              </w:rPr>
              <w:t>7</w:t>
            </w:r>
          </w:p>
        </w:tc>
        <w:tc>
          <w:tcPr>
            <w:tcW w:w="2440" w:type="dxa"/>
            <w:vMerge w:val="restart"/>
            <w:vAlign w:val="center"/>
          </w:tcPr>
          <w:p w14:paraId="43183137">
            <w:pPr>
              <w:pStyle w:val="167"/>
              <w:rPr>
                <w:rFonts w:ascii="仿宋" w:hAnsi="仿宋" w:eastAsia="仿宋"/>
                <w:sz w:val="24"/>
                <w:szCs w:val="24"/>
              </w:rPr>
            </w:pPr>
            <w:r>
              <w:rPr>
                <w:rFonts w:hint="eastAsia" w:ascii="仿宋" w:hAnsi="仿宋" w:eastAsia="仿宋"/>
                <w:sz w:val="24"/>
                <w:szCs w:val="24"/>
              </w:rPr>
              <w:t>立体交叉作业</w:t>
            </w:r>
          </w:p>
        </w:tc>
        <w:tc>
          <w:tcPr>
            <w:tcW w:w="1549" w:type="dxa"/>
            <w:vAlign w:val="center"/>
          </w:tcPr>
          <w:p w14:paraId="1224E5F2">
            <w:pPr>
              <w:pStyle w:val="167"/>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、物体打击</w:t>
            </w:r>
          </w:p>
        </w:tc>
        <w:tc>
          <w:tcPr>
            <w:tcW w:w="657" w:type="dxa"/>
            <w:vAlign w:val="center"/>
          </w:tcPr>
          <w:p w14:paraId="2C963C06">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1A89741F">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263876BF">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5F303AAD">
            <w:pPr>
              <w:pStyle w:val="167"/>
              <w:rPr>
                <w:rFonts w:ascii="仿宋" w:hAnsi="仿宋" w:eastAsia="仿宋"/>
                <w:color w:val="000000"/>
                <w:sz w:val="24"/>
                <w:szCs w:val="24"/>
              </w:rPr>
            </w:pPr>
            <w:r>
              <w:rPr>
                <w:rFonts w:ascii="仿宋" w:hAnsi="仿宋" w:eastAsia="仿宋"/>
                <w:color w:val="000000"/>
                <w:sz w:val="24"/>
                <w:szCs w:val="24"/>
              </w:rPr>
              <w:t>21</w:t>
            </w:r>
          </w:p>
        </w:tc>
        <w:tc>
          <w:tcPr>
            <w:tcW w:w="1060" w:type="dxa"/>
            <w:vAlign w:val="center"/>
          </w:tcPr>
          <w:p w14:paraId="5847EF04">
            <w:pPr>
              <w:pStyle w:val="167"/>
              <w:rPr>
                <w:rFonts w:ascii="仿宋" w:hAnsi="仿宋" w:eastAsia="仿宋"/>
                <w:color w:val="000000"/>
                <w:sz w:val="24"/>
                <w:szCs w:val="24"/>
              </w:rPr>
            </w:pPr>
            <w:r>
              <w:rPr>
                <w:rFonts w:ascii="仿宋" w:hAnsi="仿宋" w:eastAsia="仿宋"/>
                <w:color w:val="000000"/>
                <w:sz w:val="24"/>
                <w:szCs w:val="24"/>
              </w:rPr>
              <w:t>2</w:t>
            </w:r>
          </w:p>
        </w:tc>
      </w:tr>
      <w:tr w14:paraId="5F0FD6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2A7EE27B">
            <w:pPr>
              <w:pStyle w:val="167"/>
              <w:rPr>
                <w:rFonts w:ascii="仿宋" w:hAnsi="仿宋" w:eastAsia="仿宋"/>
                <w:sz w:val="24"/>
                <w:szCs w:val="24"/>
              </w:rPr>
            </w:pPr>
            <w:r>
              <w:rPr>
                <w:rFonts w:ascii="仿宋" w:hAnsi="仿宋" w:eastAsia="仿宋"/>
                <w:sz w:val="24"/>
                <w:szCs w:val="24"/>
              </w:rPr>
              <w:t>8</w:t>
            </w:r>
          </w:p>
        </w:tc>
        <w:tc>
          <w:tcPr>
            <w:tcW w:w="2440" w:type="dxa"/>
            <w:vMerge w:val="continue"/>
            <w:vAlign w:val="center"/>
          </w:tcPr>
          <w:p w14:paraId="60C35376">
            <w:pPr>
              <w:pStyle w:val="167"/>
              <w:rPr>
                <w:rFonts w:ascii="仿宋" w:hAnsi="仿宋" w:eastAsia="仿宋"/>
                <w:sz w:val="24"/>
                <w:szCs w:val="24"/>
              </w:rPr>
            </w:pPr>
          </w:p>
        </w:tc>
        <w:tc>
          <w:tcPr>
            <w:tcW w:w="1549" w:type="dxa"/>
            <w:vAlign w:val="center"/>
          </w:tcPr>
          <w:p w14:paraId="4065BA59">
            <w:pPr>
              <w:pStyle w:val="167"/>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、高处坠落</w:t>
            </w:r>
          </w:p>
        </w:tc>
        <w:tc>
          <w:tcPr>
            <w:tcW w:w="657" w:type="dxa"/>
            <w:vAlign w:val="center"/>
          </w:tcPr>
          <w:p w14:paraId="19AAB210">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447DDF76">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2BF28EEE">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13620ADE">
            <w:pPr>
              <w:pStyle w:val="167"/>
              <w:rPr>
                <w:rFonts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3347A849">
            <w:pPr>
              <w:pStyle w:val="167"/>
              <w:rPr>
                <w:rFonts w:ascii="仿宋" w:hAnsi="仿宋" w:eastAsia="仿宋"/>
                <w:color w:val="000000"/>
                <w:sz w:val="24"/>
                <w:szCs w:val="24"/>
              </w:rPr>
            </w:pPr>
            <w:r>
              <w:rPr>
                <w:rFonts w:ascii="仿宋" w:hAnsi="仿宋" w:eastAsia="仿宋"/>
                <w:color w:val="000000"/>
                <w:sz w:val="24"/>
                <w:szCs w:val="24"/>
              </w:rPr>
              <w:t>3</w:t>
            </w:r>
          </w:p>
        </w:tc>
      </w:tr>
      <w:tr w14:paraId="2B4B58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7DB25D55">
            <w:pPr>
              <w:pStyle w:val="167"/>
              <w:rPr>
                <w:rFonts w:ascii="仿宋" w:hAnsi="仿宋" w:eastAsia="仿宋"/>
                <w:sz w:val="24"/>
                <w:szCs w:val="24"/>
              </w:rPr>
            </w:pPr>
            <w:r>
              <w:rPr>
                <w:rFonts w:ascii="仿宋" w:hAnsi="仿宋" w:eastAsia="仿宋"/>
                <w:sz w:val="24"/>
                <w:szCs w:val="24"/>
              </w:rPr>
              <w:t>9</w:t>
            </w:r>
          </w:p>
        </w:tc>
        <w:tc>
          <w:tcPr>
            <w:tcW w:w="2440" w:type="dxa"/>
            <w:vMerge w:val="restart"/>
            <w:vAlign w:val="center"/>
          </w:tcPr>
          <w:p w14:paraId="3EB3748C">
            <w:pPr>
              <w:pStyle w:val="167"/>
              <w:rPr>
                <w:rFonts w:ascii="仿宋" w:hAnsi="仿宋" w:eastAsia="仿宋"/>
                <w:sz w:val="24"/>
                <w:szCs w:val="24"/>
              </w:rPr>
            </w:pPr>
            <w:r>
              <w:rPr>
                <w:rFonts w:hint="eastAsia" w:ascii="仿宋" w:hAnsi="仿宋" w:eastAsia="仿宋"/>
                <w:sz w:val="24"/>
                <w:szCs w:val="24"/>
              </w:rPr>
              <w:t>恶劣天气（雷电、大风、大雨等）</w:t>
            </w:r>
          </w:p>
        </w:tc>
        <w:tc>
          <w:tcPr>
            <w:tcW w:w="1549" w:type="dxa"/>
            <w:vAlign w:val="center"/>
          </w:tcPr>
          <w:p w14:paraId="058B03A4">
            <w:pPr>
              <w:pStyle w:val="167"/>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、起重伤害</w:t>
            </w:r>
          </w:p>
        </w:tc>
        <w:tc>
          <w:tcPr>
            <w:tcW w:w="657" w:type="dxa"/>
            <w:vAlign w:val="center"/>
          </w:tcPr>
          <w:p w14:paraId="411769D1">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3A435C74">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453EACB3">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107431B6">
            <w:pPr>
              <w:pStyle w:val="167"/>
              <w:rPr>
                <w:rFonts w:ascii="仿宋" w:hAnsi="仿宋" w:eastAsia="仿宋"/>
                <w:color w:val="000000"/>
                <w:sz w:val="24"/>
                <w:szCs w:val="24"/>
              </w:rPr>
            </w:pPr>
            <w:r>
              <w:rPr>
                <w:rFonts w:ascii="仿宋" w:hAnsi="仿宋" w:eastAsia="仿宋"/>
                <w:color w:val="000000"/>
                <w:sz w:val="24"/>
                <w:szCs w:val="24"/>
              </w:rPr>
              <w:t>126</w:t>
            </w:r>
          </w:p>
        </w:tc>
        <w:tc>
          <w:tcPr>
            <w:tcW w:w="1060" w:type="dxa"/>
            <w:vAlign w:val="center"/>
          </w:tcPr>
          <w:p w14:paraId="54A3CF0F">
            <w:pPr>
              <w:pStyle w:val="167"/>
              <w:rPr>
                <w:rFonts w:ascii="仿宋" w:hAnsi="仿宋" w:eastAsia="仿宋"/>
                <w:color w:val="000000"/>
                <w:sz w:val="24"/>
                <w:szCs w:val="24"/>
              </w:rPr>
            </w:pPr>
            <w:r>
              <w:rPr>
                <w:rFonts w:ascii="仿宋" w:hAnsi="仿宋" w:eastAsia="仿宋"/>
                <w:color w:val="000000"/>
                <w:sz w:val="24"/>
                <w:szCs w:val="24"/>
              </w:rPr>
              <w:t>3</w:t>
            </w:r>
          </w:p>
        </w:tc>
      </w:tr>
      <w:tr w14:paraId="6FDD28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04866FDE">
            <w:pPr>
              <w:pStyle w:val="167"/>
              <w:rPr>
                <w:rFonts w:ascii="仿宋" w:hAnsi="仿宋" w:eastAsia="仿宋"/>
                <w:sz w:val="24"/>
                <w:szCs w:val="24"/>
              </w:rPr>
            </w:pPr>
            <w:r>
              <w:rPr>
                <w:rFonts w:ascii="仿宋" w:hAnsi="仿宋" w:eastAsia="仿宋"/>
                <w:sz w:val="24"/>
                <w:szCs w:val="24"/>
              </w:rPr>
              <w:t>10</w:t>
            </w:r>
          </w:p>
        </w:tc>
        <w:tc>
          <w:tcPr>
            <w:tcW w:w="2440" w:type="dxa"/>
            <w:vMerge w:val="continue"/>
            <w:vAlign w:val="center"/>
          </w:tcPr>
          <w:p w14:paraId="347E437C">
            <w:pPr>
              <w:pStyle w:val="167"/>
              <w:rPr>
                <w:rFonts w:ascii="仿宋" w:hAnsi="仿宋" w:eastAsia="仿宋"/>
                <w:sz w:val="24"/>
                <w:szCs w:val="24"/>
              </w:rPr>
            </w:pPr>
          </w:p>
        </w:tc>
        <w:tc>
          <w:tcPr>
            <w:tcW w:w="1549" w:type="dxa"/>
            <w:vAlign w:val="center"/>
          </w:tcPr>
          <w:p w14:paraId="6AEFA97C">
            <w:pPr>
              <w:pStyle w:val="167"/>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、物体打击</w:t>
            </w:r>
          </w:p>
        </w:tc>
        <w:tc>
          <w:tcPr>
            <w:tcW w:w="657" w:type="dxa"/>
            <w:vAlign w:val="center"/>
          </w:tcPr>
          <w:p w14:paraId="0745F828">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224DBE9F">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1B96940F">
            <w:pPr>
              <w:pStyle w:val="167"/>
              <w:rPr>
                <w:rFonts w:ascii="仿宋" w:hAnsi="仿宋" w:eastAsia="仿宋"/>
                <w:color w:val="000000"/>
                <w:sz w:val="24"/>
                <w:szCs w:val="24"/>
              </w:rPr>
            </w:pPr>
            <w:r>
              <w:rPr>
                <w:rFonts w:ascii="仿宋" w:hAnsi="仿宋" w:eastAsia="仿宋"/>
                <w:color w:val="000000"/>
                <w:sz w:val="24"/>
                <w:szCs w:val="24"/>
              </w:rPr>
              <w:t>3</w:t>
            </w:r>
          </w:p>
        </w:tc>
        <w:tc>
          <w:tcPr>
            <w:tcW w:w="1374" w:type="dxa"/>
            <w:vAlign w:val="center"/>
          </w:tcPr>
          <w:p w14:paraId="7ABAC30F">
            <w:pPr>
              <w:pStyle w:val="167"/>
              <w:rPr>
                <w:rFonts w:ascii="仿宋" w:hAnsi="仿宋" w:eastAsia="仿宋"/>
                <w:color w:val="000000"/>
                <w:sz w:val="24"/>
                <w:szCs w:val="24"/>
              </w:rPr>
            </w:pPr>
            <w:r>
              <w:rPr>
                <w:rFonts w:ascii="仿宋" w:hAnsi="仿宋" w:eastAsia="仿宋"/>
                <w:color w:val="000000"/>
                <w:sz w:val="24"/>
                <w:szCs w:val="24"/>
              </w:rPr>
              <w:t>54</w:t>
            </w:r>
          </w:p>
        </w:tc>
        <w:tc>
          <w:tcPr>
            <w:tcW w:w="1060" w:type="dxa"/>
            <w:vAlign w:val="center"/>
          </w:tcPr>
          <w:p w14:paraId="69DA1ED1">
            <w:pPr>
              <w:pStyle w:val="167"/>
              <w:rPr>
                <w:rFonts w:ascii="仿宋" w:hAnsi="仿宋" w:eastAsia="仿宋"/>
                <w:color w:val="000000"/>
                <w:sz w:val="24"/>
                <w:szCs w:val="24"/>
              </w:rPr>
            </w:pPr>
            <w:r>
              <w:rPr>
                <w:rFonts w:ascii="仿宋" w:hAnsi="仿宋" w:eastAsia="仿宋"/>
                <w:color w:val="000000"/>
                <w:sz w:val="24"/>
                <w:szCs w:val="24"/>
              </w:rPr>
              <w:t>2</w:t>
            </w:r>
          </w:p>
        </w:tc>
      </w:tr>
      <w:tr w14:paraId="42BAC4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25DB715">
            <w:pPr>
              <w:pStyle w:val="167"/>
              <w:rPr>
                <w:rFonts w:ascii="仿宋" w:hAnsi="仿宋" w:eastAsia="仿宋"/>
                <w:sz w:val="24"/>
                <w:szCs w:val="24"/>
              </w:rPr>
            </w:pPr>
            <w:r>
              <w:rPr>
                <w:rFonts w:ascii="仿宋" w:hAnsi="仿宋" w:eastAsia="仿宋"/>
                <w:sz w:val="24"/>
                <w:szCs w:val="24"/>
              </w:rPr>
              <w:t>11</w:t>
            </w:r>
          </w:p>
        </w:tc>
        <w:tc>
          <w:tcPr>
            <w:tcW w:w="2440" w:type="dxa"/>
            <w:vMerge w:val="continue"/>
            <w:vAlign w:val="center"/>
          </w:tcPr>
          <w:p w14:paraId="30454B1D">
            <w:pPr>
              <w:pStyle w:val="167"/>
              <w:rPr>
                <w:rFonts w:ascii="仿宋" w:hAnsi="仿宋" w:eastAsia="仿宋"/>
                <w:sz w:val="24"/>
                <w:szCs w:val="24"/>
              </w:rPr>
            </w:pPr>
          </w:p>
        </w:tc>
        <w:tc>
          <w:tcPr>
            <w:tcW w:w="1549" w:type="dxa"/>
            <w:vAlign w:val="center"/>
          </w:tcPr>
          <w:p w14:paraId="6D5F70FF">
            <w:pPr>
              <w:pStyle w:val="167"/>
              <w:jc w:val="left"/>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、高处坠落</w:t>
            </w:r>
          </w:p>
        </w:tc>
        <w:tc>
          <w:tcPr>
            <w:tcW w:w="657" w:type="dxa"/>
            <w:vAlign w:val="center"/>
          </w:tcPr>
          <w:p w14:paraId="017EE233">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7BB85FDE">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6B42C155">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7AFFBEA7">
            <w:pPr>
              <w:pStyle w:val="167"/>
              <w:rPr>
                <w:rFonts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404218B6">
            <w:pPr>
              <w:pStyle w:val="167"/>
              <w:rPr>
                <w:rFonts w:ascii="仿宋" w:hAnsi="仿宋" w:eastAsia="仿宋"/>
                <w:color w:val="000000"/>
                <w:sz w:val="24"/>
                <w:szCs w:val="24"/>
              </w:rPr>
            </w:pPr>
            <w:r>
              <w:rPr>
                <w:rFonts w:ascii="仿宋" w:hAnsi="仿宋" w:eastAsia="仿宋"/>
                <w:color w:val="000000"/>
                <w:sz w:val="24"/>
                <w:szCs w:val="24"/>
              </w:rPr>
              <w:t>3</w:t>
            </w:r>
          </w:p>
        </w:tc>
      </w:tr>
      <w:tr w14:paraId="4CECBA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20A8590">
            <w:pPr>
              <w:pStyle w:val="167"/>
              <w:rPr>
                <w:rFonts w:ascii="仿宋" w:hAnsi="仿宋" w:eastAsia="仿宋"/>
                <w:sz w:val="24"/>
                <w:szCs w:val="24"/>
              </w:rPr>
            </w:pPr>
            <w:r>
              <w:rPr>
                <w:rFonts w:ascii="仿宋" w:hAnsi="仿宋" w:eastAsia="仿宋"/>
                <w:sz w:val="24"/>
                <w:szCs w:val="24"/>
              </w:rPr>
              <w:t>12</w:t>
            </w:r>
          </w:p>
        </w:tc>
        <w:tc>
          <w:tcPr>
            <w:tcW w:w="2440" w:type="dxa"/>
            <w:vMerge w:val="continue"/>
            <w:vAlign w:val="center"/>
          </w:tcPr>
          <w:p w14:paraId="38B29DE2">
            <w:pPr>
              <w:pStyle w:val="167"/>
              <w:rPr>
                <w:rFonts w:ascii="仿宋" w:hAnsi="仿宋" w:eastAsia="仿宋"/>
                <w:sz w:val="24"/>
                <w:szCs w:val="24"/>
              </w:rPr>
            </w:pPr>
          </w:p>
        </w:tc>
        <w:tc>
          <w:tcPr>
            <w:tcW w:w="1549" w:type="dxa"/>
            <w:vAlign w:val="center"/>
          </w:tcPr>
          <w:p w14:paraId="375FC643">
            <w:pPr>
              <w:pStyle w:val="167"/>
              <w:jc w:val="left"/>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、坍塌</w:t>
            </w:r>
          </w:p>
        </w:tc>
        <w:tc>
          <w:tcPr>
            <w:tcW w:w="657" w:type="dxa"/>
            <w:vAlign w:val="center"/>
          </w:tcPr>
          <w:p w14:paraId="7045C60A">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3FCB5555">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769586B3">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615D85A6">
            <w:pPr>
              <w:pStyle w:val="167"/>
              <w:rPr>
                <w:rFonts w:ascii="仿宋" w:hAnsi="仿宋" w:eastAsia="仿宋"/>
                <w:color w:val="000000"/>
                <w:sz w:val="24"/>
                <w:szCs w:val="24"/>
              </w:rPr>
            </w:pPr>
            <w:r>
              <w:rPr>
                <w:rFonts w:hint="eastAsia" w:ascii="仿宋" w:hAnsi="仿宋" w:eastAsia="仿宋"/>
                <w:color w:val="000000"/>
                <w:sz w:val="24"/>
                <w:szCs w:val="24"/>
              </w:rPr>
              <w:t>90</w:t>
            </w:r>
          </w:p>
        </w:tc>
        <w:tc>
          <w:tcPr>
            <w:tcW w:w="1060" w:type="dxa"/>
            <w:vAlign w:val="center"/>
          </w:tcPr>
          <w:p w14:paraId="5BDD1EA0">
            <w:pPr>
              <w:pStyle w:val="167"/>
              <w:rPr>
                <w:rFonts w:ascii="仿宋" w:hAnsi="仿宋" w:eastAsia="仿宋"/>
                <w:color w:val="000000"/>
                <w:sz w:val="24"/>
                <w:szCs w:val="24"/>
              </w:rPr>
            </w:pPr>
            <w:r>
              <w:rPr>
                <w:rFonts w:ascii="仿宋" w:hAnsi="仿宋" w:eastAsia="仿宋"/>
                <w:color w:val="000000"/>
                <w:sz w:val="24"/>
                <w:szCs w:val="24"/>
              </w:rPr>
              <w:t>3</w:t>
            </w:r>
          </w:p>
        </w:tc>
      </w:tr>
      <w:tr w14:paraId="3CFF61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30BB2980">
            <w:pPr>
              <w:pStyle w:val="167"/>
              <w:rPr>
                <w:rFonts w:ascii="仿宋" w:hAnsi="仿宋" w:eastAsia="仿宋"/>
                <w:sz w:val="24"/>
                <w:szCs w:val="24"/>
              </w:rPr>
            </w:pPr>
            <w:r>
              <w:rPr>
                <w:rFonts w:ascii="仿宋" w:hAnsi="仿宋" w:eastAsia="仿宋"/>
                <w:sz w:val="24"/>
                <w:szCs w:val="24"/>
              </w:rPr>
              <w:t>13</w:t>
            </w:r>
          </w:p>
        </w:tc>
        <w:tc>
          <w:tcPr>
            <w:tcW w:w="2440" w:type="dxa"/>
            <w:vMerge w:val="continue"/>
            <w:vAlign w:val="center"/>
          </w:tcPr>
          <w:p w14:paraId="1733D00B">
            <w:pPr>
              <w:pStyle w:val="167"/>
              <w:rPr>
                <w:rFonts w:ascii="仿宋" w:hAnsi="仿宋" w:eastAsia="仿宋"/>
                <w:sz w:val="24"/>
                <w:szCs w:val="24"/>
              </w:rPr>
            </w:pPr>
          </w:p>
        </w:tc>
        <w:tc>
          <w:tcPr>
            <w:tcW w:w="1549" w:type="dxa"/>
            <w:vAlign w:val="center"/>
          </w:tcPr>
          <w:p w14:paraId="39C106D8">
            <w:pPr>
              <w:pStyle w:val="167"/>
              <w:jc w:val="left"/>
              <w:rPr>
                <w:rFonts w:ascii="仿宋" w:hAnsi="仿宋" w:eastAsia="仿宋"/>
                <w:sz w:val="24"/>
                <w:szCs w:val="24"/>
              </w:rPr>
            </w:pPr>
            <w:r>
              <w:rPr>
                <w:rFonts w:hint="eastAsia" w:ascii="仿宋" w:hAnsi="仿宋" w:eastAsia="仿宋"/>
                <w:sz w:val="24"/>
                <w:szCs w:val="24"/>
              </w:rPr>
              <w:t>5、其他伤害</w:t>
            </w:r>
          </w:p>
        </w:tc>
        <w:tc>
          <w:tcPr>
            <w:tcW w:w="657" w:type="dxa"/>
            <w:vAlign w:val="center"/>
          </w:tcPr>
          <w:p w14:paraId="3D3065EF">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04C35706">
            <w:pPr>
              <w:pStyle w:val="167"/>
              <w:rPr>
                <w:rFonts w:ascii="仿宋" w:hAnsi="仿宋" w:eastAsia="仿宋"/>
                <w:color w:val="000000"/>
                <w:sz w:val="24"/>
                <w:szCs w:val="24"/>
              </w:rPr>
            </w:pPr>
            <w:r>
              <w:rPr>
                <w:rFonts w:ascii="仿宋" w:hAnsi="仿宋" w:eastAsia="仿宋"/>
                <w:color w:val="000000"/>
                <w:sz w:val="24"/>
                <w:szCs w:val="24"/>
              </w:rPr>
              <w:t>2</w:t>
            </w:r>
          </w:p>
        </w:tc>
        <w:tc>
          <w:tcPr>
            <w:tcW w:w="705" w:type="dxa"/>
            <w:vAlign w:val="center"/>
          </w:tcPr>
          <w:p w14:paraId="54EE2272">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4EAC6221">
            <w:pPr>
              <w:pStyle w:val="167"/>
              <w:rPr>
                <w:rFonts w:ascii="仿宋" w:hAnsi="仿宋" w:eastAsia="仿宋"/>
                <w:color w:val="000000"/>
                <w:sz w:val="24"/>
                <w:szCs w:val="24"/>
              </w:rPr>
            </w:pPr>
            <w:r>
              <w:rPr>
                <w:rFonts w:ascii="仿宋" w:hAnsi="仿宋" w:eastAsia="仿宋"/>
                <w:color w:val="000000"/>
                <w:sz w:val="24"/>
                <w:szCs w:val="24"/>
              </w:rPr>
              <w:t>14</w:t>
            </w:r>
          </w:p>
        </w:tc>
        <w:tc>
          <w:tcPr>
            <w:tcW w:w="1060" w:type="dxa"/>
            <w:vAlign w:val="center"/>
          </w:tcPr>
          <w:p w14:paraId="463D6959">
            <w:pPr>
              <w:pStyle w:val="167"/>
              <w:rPr>
                <w:rFonts w:ascii="仿宋" w:hAnsi="仿宋" w:eastAsia="仿宋"/>
                <w:color w:val="000000"/>
                <w:sz w:val="24"/>
                <w:szCs w:val="24"/>
              </w:rPr>
            </w:pPr>
            <w:r>
              <w:rPr>
                <w:rFonts w:ascii="仿宋" w:hAnsi="仿宋" w:eastAsia="仿宋"/>
                <w:color w:val="000000"/>
                <w:sz w:val="24"/>
                <w:szCs w:val="24"/>
              </w:rPr>
              <w:t>1</w:t>
            </w:r>
          </w:p>
        </w:tc>
      </w:tr>
    </w:tbl>
    <w:p w14:paraId="2C507531">
      <w:pPr>
        <w:pStyle w:val="167"/>
        <w:rPr>
          <w:highlight w:val="yellow"/>
        </w:rPr>
      </w:pPr>
    </w:p>
    <w:p w14:paraId="25AC9246">
      <w:pPr>
        <w:ind w:firstLine="560"/>
      </w:pPr>
      <w:r>
        <w:rPr>
          <w:rFonts w:hint="eastAsia"/>
        </w:rPr>
        <w:t>根据以上分析，高处坠落、起重伤害、坍塌的D值在70～160之间，属于3级风险源，属显著危险，应采取有效措施，予以重点控制。</w:t>
      </w:r>
    </w:p>
    <w:p w14:paraId="6874471E">
      <w:pPr>
        <w:ind w:firstLine="560"/>
      </w:pPr>
      <w:r>
        <w:rPr>
          <w:rFonts w:hint="eastAsia"/>
        </w:rPr>
        <w:t>物体打击、机械伤害、触电、火灾爆炸的D值在20～70之间，属于一般风险源，比较危险，需要注意，用项目部现有制度进行预防和控制。</w:t>
      </w:r>
    </w:p>
    <w:p w14:paraId="4FD932DF">
      <w:pPr>
        <w:ind w:firstLine="560"/>
      </w:pPr>
      <w:r>
        <w:rPr>
          <w:rFonts w:hint="eastAsia"/>
        </w:rPr>
        <w:t>车辆伤害、中毒窒息和其他伤害的D值小于20，属Ⅰ级风险源，稍有危险，利用项目部现有制度进行预防和控制即可。</w:t>
      </w:r>
    </w:p>
    <w:p w14:paraId="5A818135">
      <w:pPr>
        <w:ind w:firstLine="0" w:firstLineChars="0"/>
      </w:pPr>
    </w:p>
    <w:p w14:paraId="3546B32F">
      <w:pPr>
        <w:pStyle w:val="2"/>
      </w:pPr>
      <w:bookmarkStart w:id="391" w:name="_Toc8938"/>
      <w:bookmarkStart w:id="392" w:name="_Toc9448"/>
      <w:bookmarkStart w:id="393" w:name="_Toc17296"/>
      <w:bookmarkStart w:id="394" w:name="_Toc24360"/>
      <w:bookmarkStart w:id="395" w:name="_Toc14087"/>
      <w:bookmarkStart w:id="396" w:name="_Toc6301"/>
      <w:bookmarkStart w:id="397" w:name="_Toc32696"/>
      <w:r>
        <w:rPr>
          <w:rFonts w:hint="eastAsia"/>
        </w:rPr>
        <w:t>第八章 施工安全技术保障措施</w:t>
      </w:r>
      <w:bookmarkEnd w:id="391"/>
      <w:bookmarkEnd w:id="392"/>
      <w:bookmarkEnd w:id="393"/>
      <w:bookmarkEnd w:id="394"/>
      <w:bookmarkEnd w:id="395"/>
      <w:bookmarkEnd w:id="396"/>
      <w:bookmarkEnd w:id="397"/>
    </w:p>
    <w:p w14:paraId="7454DF3F">
      <w:pPr>
        <w:pStyle w:val="3"/>
        <w:spacing w:before="120" w:after="120"/>
        <w:rPr>
          <w:color w:val="171717"/>
        </w:rPr>
      </w:pPr>
      <w:bookmarkStart w:id="398" w:name="_Toc3117"/>
      <w:bookmarkStart w:id="399" w:name="_Toc16384"/>
      <w:bookmarkStart w:id="400" w:name="_Toc15696"/>
      <w:bookmarkStart w:id="401" w:name="_Toc29854"/>
      <w:bookmarkStart w:id="402" w:name="_Toc15664"/>
      <w:bookmarkStart w:id="403" w:name="_Toc24025"/>
      <w:bookmarkStart w:id="404" w:name="_Toc24284"/>
      <w:bookmarkStart w:id="405" w:name="_Toc7888"/>
      <w:bookmarkStart w:id="406" w:name="_Toc8"/>
      <w:r>
        <w:rPr>
          <w:rFonts w:hint="eastAsia"/>
          <w:color w:val="171717"/>
        </w:rPr>
        <w:t>8.1健康</w:t>
      </w:r>
      <w:bookmarkEnd w:id="398"/>
      <w:bookmarkEnd w:id="399"/>
      <w:bookmarkEnd w:id="400"/>
      <w:bookmarkEnd w:id="401"/>
      <w:bookmarkEnd w:id="402"/>
      <w:bookmarkEnd w:id="403"/>
      <w:bookmarkEnd w:id="404"/>
      <w:bookmarkEnd w:id="405"/>
      <w:bookmarkEnd w:id="406"/>
    </w:p>
    <w:p w14:paraId="77057788">
      <w:pPr>
        <w:pStyle w:val="4"/>
      </w:pPr>
      <w:r>
        <w:rPr>
          <w:rFonts w:hint="eastAsia"/>
        </w:rPr>
        <w:t>8.</w:t>
      </w:r>
      <w:r>
        <w:t xml:space="preserve">1.1 </w:t>
      </w:r>
      <w:r>
        <w:rPr>
          <w:rFonts w:hint="eastAsia"/>
        </w:rPr>
        <w:t>健康管理目标</w:t>
      </w:r>
    </w:p>
    <w:p w14:paraId="27C7A228">
      <w:pPr>
        <w:ind w:firstLine="560"/>
        <w:rPr>
          <w:rFonts w:ascii="宋体" w:hAnsi="宋体"/>
          <w:color w:val="171717"/>
        </w:rPr>
      </w:pPr>
      <w:r>
        <w:rPr>
          <w:rFonts w:hint="eastAsia" w:ascii="宋体" w:hAnsi="宋体"/>
          <w:color w:val="171717"/>
        </w:rPr>
        <w:t>1、不发生轻伤以上的人身伤害事故。</w:t>
      </w:r>
    </w:p>
    <w:p w14:paraId="30A494DA">
      <w:pPr>
        <w:ind w:firstLine="560"/>
        <w:rPr>
          <w:rFonts w:ascii="宋体" w:hAnsi="宋体"/>
          <w:color w:val="171717"/>
        </w:rPr>
      </w:pPr>
      <w:r>
        <w:rPr>
          <w:rFonts w:hint="eastAsia" w:ascii="宋体" w:hAnsi="宋体"/>
          <w:color w:val="171717"/>
        </w:rPr>
        <w:t>2、不发生因天气原因造成的中暑现象。</w:t>
      </w:r>
    </w:p>
    <w:p w14:paraId="34EF2B24">
      <w:pPr>
        <w:ind w:firstLine="560"/>
        <w:rPr>
          <w:rFonts w:ascii="宋体" w:hAnsi="宋体"/>
          <w:color w:val="171717"/>
        </w:rPr>
      </w:pPr>
      <w:r>
        <w:rPr>
          <w:rFonts w:hint="eastAsia" w:ascii="宋体" w:hAnsi="宋体"/>
          <w:color w:val="171717"/>
        </w:rPr>
        <w:t>3、不发生施工过程中的职业病伤害。</w:t>
      </w:r>
    </w:p>
    <w:p w14:paraId="5656C38B">
      <w:pPr>
        <w:pStyle w:val="4"/>
      </w:pPr>
      <w:r>
        <w:rPr>
          <w:rFonts w:hint="eastAsia"/>
        </w:rPr>
        <w:t>8.</w:t>
      </w:r>
      <w:r>
        <w:t xml:space="preserve">1.2 </w:t>
      </w:r>
      <w:r>
        <w:rPr>
          <w:rFonts w:hint="eastAsia"/>
        </w:rPr>
        <w:t>健康管理措施</w:t>
      </w:r>
    </w:p>
    <w:p w14:paraId="59987F90">
      <w:pPr>
        <w:ind w:firstLine="560"/>
        <w:rPr>
          <w:rFonts w:ascii="宋体" w:hAnsi="宋体"/>
          <w:color w:val="171717"/>
        </w:rPr>
      </w:pPr>
      <w:r>
        <w:rPr>
          <w:rFonts w:hint="eastAsia" w:ascii="宋体" w:hAnsi="宋体"/>
          <w:color w:val="171717"/>
        </w:rPr>
        <w:t>1、施工前应检查确保每个施工人员均投保了意外伤害保险。</w:t>
      </w:r>
    </w:p>
    <w:p w14:paraId="4A62AFDF">
      <w:pPr>
        <w:ind w:firstLine="560"/>
        <w:rPr>
          <w:rFonts w:ascii="宋体" w:hAnsi="宋体"/>
          <w:color w:val="171717"/>
        </w:rPr>
      </w:pPr>
      <w:r>
        <w:rPr>
          <w:rFonts w:hint="eastAsia" w:ascii="宋体" w:hAnsi="宋体"/>
          <w:color w:val="171717"/>
        </w:rPr>
        <w:t>2、入场前施工人员应进行体验，确保每个人都没有不能进行高空作业的职业病。</w:t>
      </w:r>
    </w:p>
    <w:p w14:paraId="4701E1D1">
      <w:pPr>
        <w:ind w:firstLine="560"/>
        <w:rPr>
          <w:rFonts w:ascii="宋体" w:hAnsi="宋体"/>
          <w:color w:val="171717"/>
        </w:rPr>
      </w:pPr>
      <w:r>
        <w:rPr>
          <w:rFonts w:hint="eastAsia" w:ascii="宋体" w:hAnsi="宋体"/>
          <w:color w:val="171717"/>
        </w:rPr>
        <w:t>3、每日施工前检查施工人员身体状况，身体不适者严禁进行安装作业。</w:t>
      </w:r>
    </w:p>
    <w:p w14:paraId="2E40E6AB">
      <w:pPr>
        <w:ind w:firstLine="560"/>
        <w:rPr>
          <w:rFonts w:ascii="宋体" w:hAnsi="宋体"/>
          <w:color w:val="171717"/>
        </w:rPr>
      </w:pPr>
      <w:r>
        <w:rPr>
          <w:rFonts w:hint="eastAsia" w:ascii="宋体" w:hAnsi="宋体"/>
          <w:color w:val="171717"/>
        </w:rPr>
        <w:t>4、冬季施工注意防寒保暖，防止冻伤。</w:t>
      </w:r>
    </w:p>
    <w:p w14:paraId="0ADDFC80">
      <w:pPr>
        <w:ind w:firstLine="560"/>
        <w:rPr>
          <w:rFonts w:ascii="宋体" w:hAnsi="宋体"/>
          <w:color w:val="171717"/>
        </w:rPr>
      </w:pPr>
      <w:r>
        <w:rPr>
          <w:rFonts w:hint="eastAsia" w:ascii="宋体" w:hAnsi="宋体"/>
          <w:color w:val="171717"/>
        </w:rPr>
        <w:t>5、检查确认每位施工人员都配备足够的劳动防护用品，以杜绝施工过程中的人身伤害及高处坠落事故发生。</w:t>
      </w:r>
    </w:p>
    <w:p w14:paraId="012C6DD4">
      <w:pPr>
        <w:ind w:firstLine="560"/>
        <w:rPr>
          <w:rFonts w:ascii="宋体" w:hAnsi="宋体"/>
          <w:color w:val="171717"/>
        </w:rPr>
      </w:pPr>
      <w:r>
        <w:rPr>
          <w:rFonts w:hint="eastAsia" w:ascii="宋体" w:hAnsi="宋体"/>
          <w:color w:val="171717"/>
        </w:rPr>
        <w:t>6、配备常用救急药箱。</w:t>
      </w:r>
    </w:p>
    <w:p w14:paraId="207E21C1">
      <w:pPr>
        <w:pStyle w:val="3"/>
        <w:spacing w:before="120" w:after="120"/>
      </w:pPr>
      <w:bookmarkStart w:id="407" w:name="_Toc29506"/>
      <w:bookmarkStart w:id="408" w:name="_Toc22950"/>
      <w:bookmarkStart w:id="409" w:name="_Toc19090"/>
      <w:bookmarkStart w:id="410" w:name="_Toc15726"/>
      <w:bookmarkStart w:id="411" w:name="_Toc12490"/>
      <w:bookmarkStart w:id="412" w:name="_Toc32172"/>
      <w:bookmarkStart w:id="413" w:name="_Toc2328"/>
      <w:bookmarkStart w:id="414" w:name="_Toc31533"/>
      <w:r>
        <w:rPr>
          <w:rFonts w:hint="eastAsia"/>
          <w:color w:val="171717"/>
        </w:rPr>
        <w:t>8.2环境</w:t>
      </w:r>
      <w:bookmarkEnd w:id="407"/>
      <w:bookmarkEnd w:id="408"/>
      <w:bookmarkEnd w:id="409"/>
      <w:bookmarkEnd w:id="410"/>
      <w:bookmarkEnd w:id="411"/>
      <w:bookmarkEnd w:id="412"/>
      <w:bookmarkEnd w:id="413"/>
      <w:bookmarkEnd w:id="414"/>
    </w:p>
    <w:p w14:paraId="21E1A463">
      <w:pPr>
        <w:pStyle w:val="4"/>
      </w:pPr>
      <w:r>
        <w:rPr>
          <w:rFonts w:hint="eastAsia"/>
        </w:rPr>
        <w:t>8.</w:t>
      </w:r>
      <w:r>
        <w:t>2.1</w:t>
      </w:r>
      <w:r>
        <w:rPr>
          <w:rFonts w:hint="eastAsia"/>
        </w:rPr>
        <w:t>环境管理目标</w:t>
      </w:r>
    </w:p>
    <w:p w14:paraId="686C1C94">
      <w:pPr>
        <w:ind w:firstLine="560"/>
        <w:rPr>
          <w:rFonts w:ascii="宋体" w:hAnsi="宋体"/>
          <w:color w:val="171717"/>
        </w:rPr>
      </w:pPr>
      <w:r>
        <w:rPr>
          <w:rFonts w:hint="eastAsia" w:ascii="宋体" w:hAnsi="宋体"/>
          <w:color w:val="171717"/>
        </w:rPr>
        <w:t>1、施工现场固体废弃物分类收集安全处置。</w:t>
      </w:r>
    </w:p>
    <w:p w14:paraId="16913B36">
      <w:pPr>
        <w:ind w:firstLine="560"/>
        <w:rPr>
          <w:rFonts w:ascii="宋体" w:hAnsi="宋体"/>
          <w:color w:val="171717"/>
        </w:rPr>
      </w:pPr>
      <w:r>
        <w:rPr>
          <w:rFonts w:hint="eastAsia" w:ascii="宋体" w:hAnsi="宋体"/>
          <w:color w:val="171717"/>
        </w:rPr>
        <w:t>2、施工现场噪声达标排放。</w:t>
      </w:r>
    </w:p>
    <w:p w14:paraId="5C9955E4">
      <w:pPr>
        <w:ind w:firstLine="560"/>
        <w:rPr>
          <w:rFonts w:ascii="宋体" w:hAnsi="宋体"/>
          <w:color w:val="171717"/>
        </w:rPr>
      </w:pPr>
      <w:r>
        <w:rPr>
          <w:rFonts w:hint="eastAsia" w:ascii="宋体" w:hAnsi="宋体"/>
          <w:color w:val="171717"/>
        </w:rPr>
        <w:t>3、相关方无环境问题投诉。</w:t>
      </w:r>
    </w:p>
    <w:p w14:paraId="0180EC6A">
      <w:pPr>
        <w:pStyle w:val="4"/>
      </w:pPr>
      <w:r>
        <w:rPr>
          <w:rFonts w:hint="eastAsia"/>
        </w:rPr>
        <w:t>8.</w:t>
      </w:r>
      <w:r>
        <w:t xml:space="preserve">2.2 </w:t>
      </w:r>
      <w:r>
        <w:rPr>
          <w:rFonts w:hint="eastAsia"/>
        </w:rPr>
        <w:t>环境管理措施</w:t>
      </w:r>
    </w:p>
    <w:p w14:paraId="49FA5727">
      <w:pPr>
        <w:ind w:firstLine="560"/>
        <w:rPr>
          <w:rFonts w:ascii="宋体" w:hAnsi="宋体"/>
          <w:color w:val="171717"/>
        </w:rPr>
      </w:pPr>
      <w:r>
        <w:rPr>
          <w:rFonts w:hint="eastAsia" w:ascii="宋体" w:hAnsi="宋体"/>
          <w:color w:val="171717"/>
        </w:rPr>
        <w:t>1、噪声：安装过程中使用的机械设备必须是低噪声设备，施工过程中也应避免噪声污染。</w:t>
      </w:r>
    </w:p>
    <w:p w14:paraId="23EE594C">
      <w:pPr>
        <w:ind w:firstLine="560"/>
        <w:rPr>
          <w:rFonts w:ascii="宋体" w:hAnsi="宋体"/>
          <w:color w:val="171717"/>
        </w:rPr>
      </w:pPr>
      <w:r>
        <w:rPr>
          <w:rFonts w:hint="eastAsia" w:ascii="宋体" w:hAnsi="宋体"/>
          <w:color w:val="171717"/>
        </w:rPr>
        <w:t>2、垃圾：安装过程中产生的生活垃圾和生产垃圾要分类堆放，并及时清理，特别是饭盒等生活垃圾一定要归类处理，严禁随意丢弃。</w:t>
      </w:r>
    </w:p>
    <w:p w14:paraId="09E48DA8">
      <w:pPr>
        <w:ind w:firstLine="560"/>
        <w:rPr>
          <w:rFonts w:ascii="宋体" w:hAnsi="宋体"/>
          <w:color w:val="171717"/>
        </w:rPr>
      </w:pPr>
      <w:r>
        <w:rPr>
          <w:rFonts w:hint="eastAsia" w:ascii="宋体" w:hAnsi="宋体"/>
          <w:color w:val="171717"/>
        </w:rPr>
        <w:t>3、污水：不得在施工现场排放生产、生活污水。</w:t>
      </w:r>
    </w:p>
    <w:p w14:paraId="201B1FBA">
      <w:pPr>
        <w:ind w:firstLine="560"/>
        <w:rPr>
          <w:rFonts w:ascii="宋体" w:hAnsi="宋体"/>
          <w:color w:val="171717"/>
        </w:rPr>
      </w:pPr>
      <w:r>
        <w:rPr>
          <w:rFonts w:hint="eastAsia" w:ascii="宋体" w:hAnsi="宋体"/>
          <w:color w:val="171717"/>
        </w:rPr>
        <w:t>4、危险化学品：油漆、机油等应在指定地点存放，并配置相应的消防措施。</w:t>
      </w:r>
    </w:p>
    <w:p w14:paraId="4B9CF72A">
      <w:pPr>
        <w:ind w:firstLine="560"/>
        <w:rPr>
          <w:rFonts w:ascii="宋体" w:hAnsi="宋体"/>
          <w:color w:val="171717"/>
        </w:rPr>
      </w:pPr>
      <w:r>
        <w:rPr>
          <w:rFonts w:hint="eastAsia" w:ascii="宋体" w:hAnsi="宋体"/>
          <w:color w:val="171717"/>
        </w:rPr>
        <w:t>5、对氧气和乙炔气体的贮存、使用，应确保安全可靠，考虑安全间距，按安全规程操作，配备足够数量的消防器材。</w:t>
      </w:r>
    </w:p>
    <w:p w14:paraId="5FC2E2DE">
      <w:pPr>
        <w:ind w:firstLine="560"/>
        <w:rPr>
          <w:rFonts w:ascii="宋体" w:hAnsi="宋体"/>
          <w:color w:val="171717"/>
        </w:rPr>
      </w:pPr>
      <w:r>
        <w:rPr>
          <w:rFonts w:hint="eastAsia" w:ascii="宋体" w:hAnsi="宋体"/>
          <w:color w:val="171717"/>
        </w:rPr>
        <w:t>6、含油棉纱、手套、废机油应集中收集，按规定统一处置；严格控制设备漏油，防止对土壤污染。</w:t>
      </w:r>
    </w:p>
    <w:p w14:paraId="52864BF8">
      <w:pPr>
        <w:ind w:firstLine="560"/>
        <w:rPr>
          <w:rFonts w:ascii="宋体" w:hAnsi="宋体"/>
          <w:color w:val="171717"/>
        </w:rPr>
      </w:pPr>
      <w:r>
        <w:rPr>
          <w:rFonts w:hint="eastAsia" w:ascii="宋体" w:hAnsi="宋体"/>
          <w:color w:val="171717"/>
        </w:rPr>
        <w:t>7、防止电气线路老化引起火灾，加强安全检查。</w:t>
      </w:r>
    </w:p>
    <w:p w14:paraId="051D4376">
      <w:pPr>
        <w:pStyle w:val="4"/>
        <w:rPr>
          <w:rFonts w:ascii="宋体" w:hAnsi="宋体" w:cs="宋体"/>
          <w:bCs/>
          <w:szCs w:val="21"/>
        </w:rPr>
      </w:pPr>
      <w:r>
        <w:rPr>
          <w:rFonts w:hint="eastAsia"/>
        </w:rPr>
        <w:t>8.</w:t>
      </w:r>
      <w:r>
        <w:t>2.</w:t>
      </w:r>
      <w:r>
        <w:rPr>
          <w:rFonts w:hint="eastAsia"/>
        </w:rPr>
        <w:t>3</w:t>
      </w:r>
      <w:r>
        <w:rPr>
          <w:rFonts w:hint="eastAsia" w:ascii="宋体" w:hAnsi="宋体" w:cs="宋体"/>
          <w:bCs/>
          <w:szCs w:val="21"/>
        </w:rPr>
        <w:t>环水保突发事件应急处置措施</w:t>
      </w:r>
    </w:p>
    <w:p w14:paraId="4EB1BB97">
      <w:pPr>
        <w:numPr>
          <w:ilvl w:val="0"/>
          <w:numId w:val="5"/>
        </w:numPr>
        <w:ind w:firstLineChars="0"/>
      </w:pPr>
      <w:r>
        <w:rPr>
          <w:rFonts w:hint="eastAsia"/>
        </w:rPr>
        <w:t>吸入：如果大量吸入，立即转移到新鲜空气充足的地方。</w:t>
      </w:r>
    </w:p>
    <w:p w14:paraId="137672C4">
      <w:pPr>
        <w:numPr>
          <w:ilvl w:val="0"/>
          <w:numId w:val="5"/>
        </w:numPr>
        <w:ind w:firstLineChars="0"/>
      </w:pPr>
      <w:r>
        <w:rPr>
          <w:rFonts w:hint="eastAsia"/>
        </w:rPr>
        <w:t>吞食：在医护人员指导下催吐，不要给意识不清的人吃东西。</w:t>
      </w:r>
    </w:p>
    <w:p w14:paraId="421D73B0">
      <w:pPr>
        <w:numPr>
          <w:ilvl w:val="0"/>
          <w:numId w:val="5"/>
        </w:numPr>
        <w:ind w:firstLineChars="0"/>
      </w:pPr>
      <w:r>
        <w:rPr>
          <w:rFonts w:hint="eastAsia"/>
        </w:rPr>
        <w:t>皮肤接触：如果接触，立即用肥皂和大量清水冲洗至少15分钟。眼睛接触：立即用清水冲洗至少15分钟。</w:t>
      </w:r>
    </w:p>
    <w:p w14:paraId="7EEC0066">
      <w:pPr>
        <w:numPr>
          <w:ilvl w:val="0"/>
          <w:numId w:val="5"/>
        </w:numPr>
        <w:ind w:firstLineChars="0"/>
      </w:pPr>
      <w:r>
        <w:rPr>
          <w:rFonts w:hint="eastAsia"/>
        </w:rPr>
        <w:t>事故现场设立警戒区域，设珞警戒标识及注意事项。</w:t>
      </w:r>
    </w:p>
    <w:p w14:paraId="3ED8449D">
      <w:pPr>
        <w:numPr>
          <w:ilvl w:val="0"/>
          <w:numId w:val="5"/>
        </w:numPr>
        <w:ind w:firstLineChars="0"/>
      </w:pPr>
      <w:r>
        <w:rPr>
          <w:rFonts w:hint="eastAsia"/>
        </w:rPr>
        <w:t>进入事故现场救援的人员应做好统一标识区分。</w:t>
      </w:r>
    </w:p>
    <w:p w14:paraId="09CD02BF">
      <w:pPr>
        <w:numPr>
          <w:ilvl w:val="0"/>
          <w:numId w:val="5"/>
        </w:numPr>
        <w:ind w:firstLineChars="0"/>
      </w:pPr>
      <w:r>
        <w:rPr>
          <w:rFonts w:hint="eastAsia"/>
        </w:rPr>
        <w:t>事故单位应当无条件配合现场指挥的工作，提供必要的协助。</w:t>
      </w:r>
    </w:p>
    <w:p w14:paraId="18EF0659">
      <w:pPr>
        <w:numPr>
          <w:ilvl w:val="0"/>
          <w:numId w:val="5"/>
        </w:numPr>
        <w:ind w:firstLineChars="0"/>
      </w:pPr>
      <w:r>
        <w:rPr>
          <w:rFonts w:hint="eastAsia"/>
        </w:rPr>
        <w:t>事故产生的危险废物必须到环保部门办理《危险废物转移许可证》，并委托有资质的处丽单位进行合法安全处理。</w:t>
      </w:r>
    </w:p>
    <w:p w14:paraId="24D33736">
      <w:pPr>
        <w:numPr>
          <w:ilvl w:val="0"/>
          <w:numId w:val="5"/>
        </w:numPr>
        <w:ind w:firstLineChars="0"/>
      </w:pPr>
      <w:r>
        <w:rPr>
          <w:rFonts w:hint="eastAsia"/>
        </w:rPr>
        <w:t>废物处理完成后，对周围土壤、水质进行环境监测。</w:t>
      </w:r>
    </w:p>
    <w:p w14:paraId="55F9D2E8">
      <w:pPr>
        <w:pStyle w:val="3"/>
        <w:spacing w:before="120" w:after="120"/>
        <w:rPr>
          <w:color w:val="171717"/>
        </w:rPr>
      </w:pPr>
      <w:bookmarkStart w:id="415" w:name="_Toc9705"/>
      <w:bookmarkStart w:id="416" w:name="_Toc326854326"/>
      <w:bookmarkStart w:id="417" w:name="_Toc21956"/>
      <w:bookmarkStart w:id="418" w:name="_Toc25431"/>
      <w:bookmarkStart w:id="419" w:name="_Toc29387"/>
      <w:bookmarkStart w:id="420" w:name="_Toc3911"/>
      <w:bookmarkStart w:id="421" w:name="_Toc29475"/>
      <w:bookmarkStart w:id="422" w:name="_Toc3227"/>
      <w:bookmarkStart w:id="423" w:name="_Toc533610110"/>
      <w:bookmarkStart w:id="424" w:name="_Toc6732"/>
      <w:bookmarkStart w:id="425" w:name="_Toc14249"/>
      <w:bookmarkStart w:id="426" w:name="_Toc26350"/>
      <w:bookmarkStart w:id="427" w:name="_Toc22642"/>
      <w:r>
        <w:rPr>
          <w:rFonts w:hint="eastAsia"/>
          <w:color w:val="171717"/>
        </w:rPr>
        <w:t>8.3 安全</w:t>
      </w:r>
      <w:bookmarkEnd w:id="415"/>
      <w:bookmarkEnd w:id="416"/>
      <w:bookmarkEnd w:id="417"/>
      <w:bookmarkEnd w:id="418"/>
      <w:bookmarkEnd w:id="419"/>
      <w:bookmarkEnd w:id="420"/>
      <w:bookmarkEnd w:id="421"/>
      <w:bookmarkEnd w:id="422"/>
      <w:bookmarkEnd w:id="423"/>
      <w:bookmarkEnd w:id="424"/>
      <w:bookmarkEnd w:id="425"/>
      <w:bookmarkEnd w:id="426"/>
      <w:bookmarkEnd w:id="427"/>
    </w:p>
    <w:p w14:paraId="6C1CE246">
      <w:pPr>
        <w:pStyle w:val="4"/>
      </w:pPr>
      <w:r>
        <w:rPr>
          <w:rFonts w:hint="eastAsia"/>
        </w:rPr>
        <w:t>8.</w:t>
      </w:r>
      <w:r>
        <w:t xml:space="preserve">3.1 </w:t>
      </w:r>
      <w:r>
        <w:rPr>
          <w:rFonts w:hint="eastAsia"/>
        </w:rPr>
        <w:t>安全管理控制指标</w:t>
      </w:r>
    </w:p>
    <w:p w14:paraId="2B218906">
      <w:pPr>
        <w:ind w:firstLine="560"/>
        <w:rPr>
          <w:rFonts w:ascii="宋体" w:hAnsi="宋体"/>
          <w:color w:val="171717"/>
        </w:rPr>
      </w:pPr>
      <w:r>
        <w:rPr>
          <w:rFonts w:hint="eastAsia" w:ascii="宋体" w:hAnsi="宋体"/>
          <w:color w:val="171717"/>
        </w:rPr>
        <w:t>1、特种作业人员持证上岗率</w:t>
      </w:r>
      <w:r>
        <w:rPr>
          <w:rFonts w:ascii="宋体" w:hAnsi="宋体"/>
          <w:color w:val="171717"/>
        </w:rPr>
        <w:t>100%</w:t>
      </w:r>
      <w:r>
        <w:rPr>
          <w:rFonts w:hint="eastAsia" w:ascii="宋体" w:hAnsi="宋体"/>
          <w:color w:val="171717"/>
        </w:rPr>
        <w:t>。</w:t>
      </w:r>
    </w:p>
    <w:p w14:paraId="40926CBE">
      <w:pPr>
        <w:ind w:firstLine="560"/>
        <w:rPr>
          <w:rFonts w:ascii="宋体" w:hAnsi="宋体"/>
          <w:color w:val="171717"/>
        </w:rPr>
      </w:pPr>
      <w:r>
        <w:rPr>
          <w:rFonts w:hint="eastAsia" w:ascii="宋体" w:hAnsi="宋体"/>
          <w:color w:val="171717"/>
        </w:rPr>
        <w:t>2、安全防护用品正确配备率</w:t>
      </w:r>
      <w:r>
        <w:rPr>
          <w:rFonts w:ascii="宋体" w:hAnsi="宋体"/>
          <w:color w:val="171717"/>
        </w:rPr>
        <w:t>100%</w:t>
      </w:r>
      <w:r>
        <w:rPr>
          <w:rFonts w:hint="eastAsia" w:ascii="宋体" w:hAnsi="宋体"/>
          <w:color w:val="171717"/>
        </w:rPr>
        <w:t>。</w:t>
      </w:r>
    </w:p>
    <w:p w14:paraId="4C628C64">
      <w:pPr>
        <w:ind w:firstLine="560"/>
        <w:rPr>
          <w:rFonts w:ascii="宋体" w:hAnsi="宋体"/>
          <w:color w:val="171717"/>
        </w:rPr>
      </w:pPr>
      <w:r>
        <w:rPr>
          <w:rFonts w:hint="eastAsia" w:ascii="宋体" w:hAnsi="宋体"/>
          <w:color w:val="171717"/>
        </w:rPr>
        <w:t>3、无高空坠落事故、触电事故、起重设备坍塌事故及重伤事故的发生。</w:t>
      </w:r>
    </w:p>
    <w:p w14:paraId="7BB0AA39">
      <w:pPr>
        <w:pStyle w:val="4"/>
      </w:pPr>
      <w:r>
        <w:rPr>
          <w:rFonts w:hint="eastAsia"/>
        </w:rPr>
        <w:t>8.</w:t>
      </w:r>
      <w:r>
        <w:t xml:space="preserve">3.2 </w:t>
      </w:r>
      <w:r>
        <w:rPr>
          <w:rFonts w:hint="eastAsia"/>
        </w:rPr>
        <w:t>安全管理措施</w:t>
      </w:r>
    </w:p>
    <w:p w14:paraId="437F3B00">
      <w:pPr>
        <w:ind w:firstLine="560"/>
        <w:rPr>
          <w:rFonts w:ascii="宋体" w:hAnsi="宋体"/>
          <w:color w:val="171717"/>
        </w:rPr>
      </w:pPr>
      <w:r>
        <w:rPr>
          <w:rFonts w:hint="eastAsia" w:ascii="宋体" w:hAnsi="宋体"/>
          <w:color w:val="171717"/>
        </w:rPr>
        <w:t>1、塔吊安装操作和指挥人员必须经过技术和安全培训，每一个作业人员必须熟悉说明书，熟知施工程序和塔机基本性能。</w:t>
      </w:r>
    </w:p>
    <w:p w14:paraId="0307573B">
      <w:pPr>
        <w:ind w:firstLine="560"/>
        <w:rPr>
          <w:rFonts w:ascii="宋体" w:hAnsi="宋体"/>
          <w:color w:val="171717"/>
        </w:rPr>
      </w:pPr>
      <w:r>
        <w:rPr>
          <w:rFonts w:hint="eastAsia" w:ascii="宋体" w:hAnsi="宋体"/>
          <w:color w:val="171717"/>
        </w:rPr>
        <w:t>2、现场作业人员必须持省市劳动部门颁发的有效特殊工种上岗操作证件，确保</w:t>
      </w:r>
      <w:r>
        <w:rPr>
          <w:rFonts w:ascii="宋体" w:hAnsi="宋体"/>
          <w:color w:val="171717"/>
        </w:rPr>
        <w:t>100%</w:t>
      </w:r>
      <w:r>
        <w:rPr>
          <w:rFonts w:hint="eastAsia" w:ascii="宋体" w:hAnsi="宋体"/>
          <w:color w:val="171717"/>
        </w:rPr>
        <w:t>持证上岗。</w:t>
      </w:r>
    </w:p>
    <w:p w14:paraId="4BAA18F2">
      <w:pPr>
        <w:ind w:firstLine="560"/>
        <w:rPr>
          <w:rFonts w:ascii="宋体" w:hAnsi="宋体"/>
          <w:color w:val="171717"/>
        </w:rPr>
      </w:pPr>
      <w:r>
        <w:rPr>
          <w:rFonts w:hint="eastAsia" w:ascii="宋体" w:hAnsi="宋体"/>
          <w:color w:val="171717"/>
        </w:rPr>
        <w:t>3、安装作业由专人指挥，参加作业人员应听从现场指挥人员统一指挥，严格按安装方案中的分工执行。</w:t>
      </w:r>
    </w:p>
    <w:p w14:paraId="578BE3B1">
      <w:pPr>
        <w:ind w:firstLine="560"/>
        <w:rPr>
          <w:rFonts w:ascii="宋体" w:hAnsi="宋体"/>
          <w:color w:val="171717"/>
        </w:rPr>
      </w:pPr>
      <w:r>
        <w:rPr>
          <w:rFonts w:hint="eastAsia" w:ascii="宋体" w:hAnsi="宋体"/>
          <w:color w:val="171717"/>
        </w:rPr>
        <w:t>4、所有作业人员应接受三级安全教育，在作业前，必须接受安全技术交底工作，明确分工，确定指挥信号及统一口令。</w:t>
      </w:r>
    </w:p>
    <w:p w14:paraId="2CAADDBC">
      <w:pPr>
        <w:ind w:firstLine="560"/>
        <w:rPr>
          <w:rFonts w:ascii="宋体" w:hAnsi="宋体"/>
          <w:color w:val="171717"/>
        </w:rPr>
      </w:pPr>
      <w:r>
        <w:rPr>
          <w:rFonts w:hint="eastAsia" w:ascii="宋体" w:hAnsi="宋体"/>
          <w:color w:val="171717"/>
        </w:rPr>
        <w:t>5、安装前检验电气设备是否安全可靠。</w:t>
      </w:r>
    </w:p>
    <w:p w14:paraId="3209465F">
      <w:pPr>
        <w:ind w:firstLine="560"/>
        <w:rPr>
          <w:rFonts w:ascii="宋体" w:hAnsi="宋体"/>
          <w:color w:val="171717"/>
        </w:rPr>
      </w:pPr>
      <w:r>
        <w:rPr>
          <w:rFonts w:hint="eastAsia" w:ascii="宋体" w:hAnsi="宋体"/>
          <w:color w:val="171717"/>
        </w:rPr>
        <w:t>6、检验钢丝绳及吊索、吊具、履带吊站位地基是否符合要求。</w:t>
      </w:r>
    </w:p>
    <w:p w14:paraId="28DD7285">
      <w:pPr>
        <w:ind w:firstLine="560"/>
        <w:rPr>
          <w:rFonts w:ascii="宋体" w:hAnsi="宋体"/>
          <w:color w:val="171717"/>
        </w:rPr>
      </w:pPr>
      <w:r>
        <w:rPr>
          <w:rFonts w:hint="eastAsia" w:ascii="宋体" w:hAnsi="宋体"/>
          <w:color w:val="171717"/>
        </w:rPr>
        <w:t>7、吊点选择应牢固可靠，起吊保持平稳。</w:t>
      </w:r>
    </w:p>
    <w:p w14:paraId="527F2125">
      <w:pPr>
        <w:ind w:firstLine="560"/>
        <w:rPr>
          <w:rFonts w:ascii="宋体" w:hAnsi="宋体"/>
          <w:color w:val="171717"/>
        </w:rPr>
      </w:pPr>
      <w:r>
        <w:rPr>
          <w:rFonts w:hint="eastAsia" w:ascii="宋体" w:hAnsi="宋体"/>
          <w:color w:val="171717"/>
        </w:rPr>
        <w:t>8、安装起吊过程中，吊物下严禁站人，高空作业戴好安全帽，挂系好安全带，扣好保险钩，穿安全防滑胶鞋，同时必须将工具螺栓等物放置系挂牢靠，严防高空坠落。</w:t>
      </w:r>
    </w:p>
    <w:p w14:paraId="7227778F">
      <w:pPr>
        <w:ind w:firstLine="560"/>
        <w:rPr>
          <w:rFonts w:ascii="宋体" w:hAnsi="宋体"/>
          <w:color w:val="171717"/>
        </w:rPr>
      </w:pPr>
      <w:r>
        <w:rPr>
          <w:rFonts w:hint="eastAsia" w:ascii="宋体" w:hAnsi="宋体"/>
          <w:color w:val="171717"/>
        </w:rPr>
        <w:t>9、临边作业区域要搭设围栏，防止施工过程中人员从边坡滚落。</w:t>
      </w:r>
    </w:p>
    <w:p w14:paraId="6F229119">
      <w:pPr>
        <w:ind w:firstLine="560"/>
        <w:rPr>
          <w:rFonts w:ascii="宋体" w:hAnsi="宋体"/>
          <w:color w:val="171717"/>
        </w:rPr>
      </w:pPr>
      <w:r>
        <w:rPr>
          <w:rFonts w:hint="eastAsia" w:ascii="宋体" w:hAnsi="宋体"/>
          <w:color w:val="171717"/>
        </w:rPr>
        <w:t>10严禁酒后上岗，作业时不得打闹、玩笑，不得向地面抛物件。</w:t>
      </w:r>
    </w:p>
    <w:p w14:paraId="1C255881">
      <w:pPr>
        <w:ind w:firstLine="560"/>
        <w:rPr>
          <w:rFonts w:ascii="宋体" w:hAnsi="宋体"/>
          <w:color w:val="171717"/>
        </w:rPr>
      </w:pPr>
      <w:r>
        <w:rPr>
          <w:rFonts w:hint="eastAsia" w:ascii="宋体" w:hAnsi="宋体"/>
          <w:color w:val="171717"/>
        </w:rPr>
        <w:t>11、作业前，塔机安装</w:t>
      </w:r>
      <w:r>
        <w:rPr>
          <w:rFonts w:ascii="宋体" w:hAnsi="宋体"/>
          <w:color w:val="171717"/>
        </w:rPr>
        <w:t>20</w:t>
      </w:r>
      <w:r>
        <w:rPr>
          <w:rFonts w:hint="eastAsia" w:ascii="宋体" w:hAnsi="宋体"/>
          <w:color w:val="171717"/>
        </w:rPr>
        <w:t>米范围内应划出安全警戒线，现场专职安全监护人员负责，严禁非作业人员入内逗留。</w:t>
      </w:r>
    </w:p>
    <w:p w14:paraId="5FC12068">
      <w:pPr>
        <w:ind w:firstLine="560"/>
        <w:rPr>
          <w:rFonts w:ascii="宋体" w:hAnsi="宋体"/>
          <w:color w:val="171717"/>
        </w:rPr>
      </w:pPr>
      <w:r>
        <w:rPr>
          <w:rFonts w:hint="eastAsia" w:ascii="宋体" w:hAnsi="宋体"/>
          <w:color w:val="171717"/>
        </w:rPr>
        <w:t>12、夜间作业照明应充足，看不清楚不得作业。</w:t>
      </w:r>
    </w:p>
    <w:p w14:paraId="0F0523EE">
      <w:pPr>
        <w:ind w:firstLine="560"/>
        <w:rPr>
          <w:rFonts w:ascii="宋体" w:hAnsi="宋体"/>
          <w:color w:val="171717"/>
        </w:rPr>
      </w:pPr>
      <w:r>
        <w:rPr>
          <w:rFonts w:hint="eastAsia" w:ascii="宋体" w:hAnsi="宋体"/>
          <w:color w:val="171717"/>
        </w:rPr>
        <w:t>13、所有参加作业人员必须遵守施工现场各项安全规定和本工种安全操作规程。</w:t>
      </w:r>
    </w:p>
    <w:p w14:paraId="53401563">
      <w:pPr>
        <w:ind w:firstLine="560"/>
        <w:rPr>
          <w:rFonts w:ascii="宋体" w:hAnsi="宋体"/>
          <w:color w:val="171717"/>
        </w:rPr>
      </w:pPr>
      <w:r>
        <w:rPr>
          <w:rFonts w:hint="eastAsia" w:ascii="宋体" w:hAnsi="宋体"/>
          <w:color w:val="171717"/>
        </w:rPr>
        <w:t>14、作业前，明确分工，指定专人统一指挥，并在作业范围设明显的安全标志及警戒线，并派专人看护，严禁非塔吊装拆工作人员进入施工区。</w:t>
      </w:r>
    </w:p>
    <w:p w14:paraId="5C814C15">
      <w:pPr>
        <w:ind w:firstLine="560"/>
        <w:rPr>
          <w:rFonts w:ascii="宋体" w:hAnsi="宋体"/>
          <w:color w:val="171717"/>
        </w:rPr>
      </w:pPr>
      <w:r>
        <w:rPr>
          <w:rFonts w:hint="eastAsia" w:ascii="宋体" w:hAnsi="宋体"/>
          <w:color w:val="171717"/>
        </w:rPr>
        <w:t>15、塔机顶升作业过程中，严禁回转起重臂。标准节连接销及其他连接销必须规范。</w:t>
      </w:r>
    </w:p>
    <w:p w14:paraId="6750A8A7">
      <w:pPr>
        <w:ind w:firstLine="560"/>
        <w:rPr>
          <w:rFonts w:ascii="宋体" w:hAnsi="宋体"/>
          <w:color w:val="171717"/>
        </w:rPr>
      </w:pPr>
      <w:r>
        <w:rPr>
          <w:rFonts w:hint="eastAsia" w:ascii="宋体" w:hAnsi="宋体"/>
          <w:color w:val="171717"/>
        </w:rPr>
        <w:t>16、安装和顶升作业必须明确油泵操作人员和作业观察人员，没有明确指令任何人均不可随意操作。</w:t>
      </w:r>
    </w:p>
    <w:p w14:paraId="1C630582">
      <w:pPr>
        <w:ind w:firstLine="560"/>
        <w:rPr>
          <w:rFonts w:ascii="宋体" w:hAnsi="宋体"/>
          <w:color w:val="171717"/>
        </w:rPr>
      </w:pPr>
      <w:r>
        <w:rPr>
          <w:rFonts w:hint="eastAsia" w:ascii="宋体" w:hAnsi="宋体"/>
          <w:color w:val="171717"/>
        </w:rPr>
        <w:t>17、吊装作业时由专人负责指挥，严格遵守“十不吊”规定，严禁乱指挥。</w:t>
      </w:r>
    </w:p>
    <w:p w14:paraId="1DD702DA">
      <w:pPr>
        <w:ind w:firstLine="560"/>
        <w:rPr>
          <w:rFonts w:ascii="宋体" w:hAnsi="宋体"/>
          <w:color w:val="171717"/>
        </w:rPr>
      </w:pPr>
      <w:r>
        <w:rPr>
          <w:rFonts w:hint="eastAsia" w:ascii="宋体" w:hAnsi="宋体"/>
          <w:color w:val="171717"/>
        </w:rPr>
        <w:t>18、安装和顶升人员必须正确使用规定的安全防护用具（安全帽、安全带、劳保鞋），并正确佩带。</w:t>
      </w:r>
    </w:p>
    <w:p w14:paraId="5C9528A1">
      <w:pPr>
        <w:ind w:firstLine="560"/>
        <w:rPr>
          <w:rFonts w:ascii="宋体" w:hAnsi="宋体"/>
          <w:color w:val="171717"/>
        </w:rPr>
      </w:pPr>
      <w:r>
        <w:rPr>
          <w:rFonts w:hint="eastAsia" w:ascii="宋体" w:hAnsi="宋体"/>
          <w:color w:val="171717"/>
        </w:rPr>
        <w:t>19、作业前，施工工长必须熟悉现场，注意运输中塔机部件与现场的电线、管线碰触问题。</w:t>
      </w:r>
    </w:p>
    <w:p w14:paraId="6144949C">
      <w:pPr>
        <w:ind w:firstLine="560"/>
        <w:rPr>
          <w:rFonts w:ascii="宋体" w:hAnsi="宋体"/>
          <w:color w:val="171717"/>
        </w:rPr>
      </w:pPr>
      <w:r>
        <w:rPr>
          <w:rFonts w:hint="eastAsia" w:ascii="宋体" w:hAnsi="宋体"/>
          <w:color w:val="171717"/>
        </w:rPr>
        <w:t>20、必须安装漏电保护器，作业前接地电阻测试应合格。</w:t>
      </w:r>
    </w:p>
    <w:p w14:paraId="1F0602A2">
      <w:pPr>
        <w:ind w:firstLine="560"/>
        <w:rPr>
          <w:rFonts w:ascii="宋体" w:hAnsi="宋体"/>
          <w:color w:val="171717"/>
        </w:rPr>
      </w:pPr>
      <w:r>
        <w:rPr>
          <w:rFonts w:hint="eastAsia" w:ascii="宋体" w:hAnsi="宋体"/>
          <w:color w:val="171717"/>
        </w:rPr>
        <w:t>21、作业时所有工具和连接件必须系挂在身上或放到工具袋内，严防物品坠落，严禁向下抛掷。</w:t>
      </w:r>
    </w:p>
    <w:p w14:paraId="449FD226">
      <w:pPr>
        <w:ind w:firstLine="560"/>
        <w:rPr>
          <w:rFonts w:ascii="宋体" w:hAnsi="宋体"/>
          <w:color w:val="171717"/>
        </w:rPr>
      </w:pPr>
      <w:r>
        <w:rPr>
          <w:rFonts w:hint="eastAsia" w:ascii="宋体" w:hAnsi="宋体"/>
          <w:color w:val="171717"/>
        </w:rPr>
        <w:t>22、施工负责人对塔吊运输、安装过程进行检查，及时制止并纠正违章操作行为，防止事故发生。</w:t>
      </w:r>
    </w:p>
    <w:p w14:paraId="424DD8B7">
      <w:pPr>
        <w:ind w:firstLine="560"/>
        <w:rPr>
          <w:rFonts w:ascii="宋体" w:hAnsi="宋体"/>
          <w:color w:val="171717"/>
        </w:rPr>
      </w:pPr>
      <w:r>
        <w:rPr>
          <w:rFonts w:hint="eastAsia" w:ascii="宋体" w:hAnsi="宋体"/>
          <w:color w:val="171717"/>
        </w:rPr>
        <w:t>23、驾驶室必须配备灭火器、对讲机。</w:t>
      </w:r>
    </w:p>
    <w:p w14:paraId="3F7FC750">
      <w:pPr>
        <w:ind w:firstLine="560"/>
        <w:rPr>
          <w:rFonts w:ascii="宋体" w:hAnsi="宋体"/>
          <w:color w:val="171717"/>
        </w:rPr>
      </w:pPr>
      <w:r>
        <w:rPr>
          <w:rFonts w:hint="eastAsia" w:ascii="宋体" w:hAnsi="宋体"/>
          <w:color w:val="171717"/>
        </w:rPr>
        <w:t>24、五级以上大风及较大雨天禁止作业。</w:t>
      </w:r>
    </w:p>
    <w:p w14:paraId="240E11F2">
      <w:pPr>
        <w:pStyle w:val="11"/>
        <w:ind w:firstLine="560"/>
        <w:rPr>
          <w:rFonts w:hint="default"/>
        </w:rPr>
      </w:pPr>
      <w:r>
        <w:rPr>
          <w:rFonts w:hAnsi="宋体"/>
          <w:color w:val="171717"/>
        </w:rPr>
        <w:t>25、</w:t>
      </w:r>
      <w:r>
        <w:rPr>
          <w:rFonts w:cs="宋体"/>
          <w:kern w:val="0"/>
          <w:szCs w:val="21"/>
        </w:rPr>
        <w:t>安装作业人员需随身携带工具包，移动时需将工具收纳至工具包内。大锤需有防滑措施。</w:t>
      </w:r>
    </w:p>
    <w:p w14:paraId="4AD32823">
      <w:pPr>
        <w:pStyle w:val="3"/>
        <w:spacing w:before="120" w:after="120"/>
        <w:rPr>
          <w:color w:val="171717"/>
        </w:rPr>
      </w:pPr>
      <w:bookmarkStart w:id="428" w:name="_Toc11211"/>
      <w:bookmarkStart w:id="429" w:name="_Toc13237"/>
      <w:bookmarkStart w:id="430" w:name="_Toc20367"/>
      <w:bookmarkStart w:id="431" w:name="_Toc28627"/>
      <w:bookmarkStart w:id="432" w:name="_Toc14743"/>
      <w:bookmarkStart w:id="433" w:name="_Toc27814"/>
      <w:bookmarkStart w:id="434" w:name="_Toc174"/>
      <w:bookmarkStart w:id="435" w:name="_Toc19384"/>
      <w:r>
        <w:rPr>
          <w:rFonts w:hint="eastAsia"/>
          <w:color w:val="171717"/>
        </w:rPr>
        <w:t>8.4质量监测与监控</w:t>
      </w:r>
      <w:bookmarkEnd w:id="428"/>
      <w:bookmarkEnd w:id="429"/>
      <w:bookmarkEnd w:id="430"/>
      <w:bookmarkEnd w:id="431"/>
      <w:bookmarkEnd w:id="432"/>
      <w:bookmarkEnd w:id="433"/>
      <w:bookmarkEnd w:id="434"/>
      <w:bookmarkEnd w:id="435"/>
    </w:p>
    <w:p w14:paraId="21B79B89">
      <w:pPr>
        <w:ind w:firstLine="560"/>
        <w:rPr>
          <w:rFonts w:ascii="宋体" w:hAnsi="宋体"/>
          <w:color w:val="171717"/>
        </w:rPr>
      </w:pPr>
      <w:r>
        <w:rPr>
          <w:rFonts w:hint="eastAsia" w:ascii="宋体" w:hAnsi="宋体"/>
          <w:color w:val="171717"/>
        </w:rPr>
        <w:t>安装完成后和项目部相关人员和安装负责人按下表进行安装质量监测监控</w:t>
      </w:r>
    </w:p>
    <w:p w14:paraId="1BD6A1ED">
      <w:pPr>
        <w:ind w:firstLine="560"/>
        <w:rPr>
          <w:rFonts w:ascii="宋体" w:hAnsi="宋体"/>
          <w:color w:val="171717"/>
        </w:rPr>
      </w:pPr>
      <w:r>
        <w:rPr>
          <w:rFonts w:ascii="宋体" w:hAnsi="宋体"/>
          <w:color w:val="171717"/>
        </w:rPr>
        <w:t>1</w:t>
      </w:r>
      <w:r>
        <w:rPr>
          <w:rFonts w:hint="eastAsia" w:ascii="宋体" w:hAnsi="宋体"/>
          <w:color w:val="171717"/>
        </w:rPr>
        <w:t>、监测监控单位和人员</w:t>
      </w:r>
    </w:p>
    <w:p w14:paraId="140EBBB2">
      <w:pPr>
        <w:ind w:firstLine="560"/>
        <w:rPr>
          <w:rFonts w:ascii="宋体" w:hAnsi="宋体"/>
          <w:color w:val="171717"/>
        </w:rPr>
      </w:pPr>
      <w:r>
        <w:rPr>
          <w:rFonts w:hint="eastAsia" w:ascii="宋体" w:hAnsi="宋体"/>
          <w:color w:val="171717"/>
        </w:rPr>
        <w:t>监测监控小组应由安质部、工程部部及机械部等相关技术监督部门组成，负责对整个安装施工过程的监督，以保证塔机的安装质量。</w:t>
      </w:r>
    </w:p>
    <w:p w14:paraId="144350CB">
      <w:pPr>
        <w:ind w:firstLine="560"/>
        <w:rPr>
          <w:rFonts w:ascii="宋体" w:hAnsi="宋体"/>
          <w:color w:val="171717"/>
        </w:rPr>
      </w:pPr>
      <w:r>
        <w:rPr>
          <w:rFonts w:ascii="宋体" w:hAnsi="宋体"/>
          <w:color w:val="171717"/>
        </w:rPr>
        <w:t>2</w:t>
      </w:r>
      <w:r>
        <w:rPr>
          <w:rFonts w:hint="eastAsia" w:ascii="宋体" w:hAnsi="宋体"/>
          <w:color w:val="171717"/>
        </w:rPr>
        <w:t>、监测监控管理目标</w:t>
      </w:r>
    </w:p>
    <w:p w14:paraId="757F26E7">
      <w:pPr>
        <w:ind w:firstLine="560"/>
        <w:rPr>
          <w:rFonts w:ascii="宋体" w:hAnsi="宋体"/>
          <w:color w:val="171717"/>
        </w:rPr>
      </w:pPr>
      <w:r>
        <w:rPr>
          <w:rFonts w:hint="eastAsia" w:ascii="宋体" w:hAnsi="宋体"/>
          <w:color w:val="171717"/>
        </w:rPr>
        <w:t>施工工艺执行率</w:t>
      </w:r>
      <w:r>
        <w:rPr>
          <w:rFonts w:ascii="宋体" w:hAnsi="宋体"/>
          <w:color w:val="171717"/>
        </w:rPr>
        <w:t>100%</w:t>
      </w:r>
      <w:r>
        <w:rPr>
          <w:rFonts w:hint="eastAsia" w:ascii="宋体" w:hAnsi="宋体"/>
          <w:color w:val="171717"/>
        </w:rPr>
        <w:t>。</w:t>
      </w:r>
    </w:p>
    <w:p w14:paraId="2A045DBC">
      <w:pPr>
        <w:ind w:firstLine="560"/>
        <w:rPr>
          <w:rFonts w:ascii="宋体" w:hAnsi="宋体"/>
          <w:color w:val="171717"/>
        </w:rPr>
      </w:pPr>
      <w:r>
        <w:rPr>
          <w:rFonts w:hint="eastAsia" w:ascii="宋体" w:hAnsi="宋体"/>
          <w:color w:val="171717"/>
        </w:rPr>
        <w:t>工程竣工一次验收合格率</w:t>
      </w:r>
      <w:r>
        <w:rPr>
          <w:rFonts w:ascii="宋体" w:hAnsi="宋体"/>
          <w:color w:val="171717"/>
        </w:rPr>
        <w:t>100%</w:t>
      </w:r>
      <w:r>
        <w:rPr>
          <w:rFonts w:hint="eastAsia" w:ascii="宋体" w:hAnsi="宋体"/>
          <w:color w:val="171717"/>
        </w:rPr>
        <w:t>。</w:t>
      </w:r>
    </w:p>
    <w:p w14:paraId="048CCBD8">
      <w:pPr>
        <w:ind w:firstLine="560"/>
        <w:rPr>
          <w:rFonts w:ascii="宋体" w:hAnsi="宋体"/>
          <w:color w:val="171717"/>
        </w:rPr>
      </w:pPr>
      <w:r>
        <w:rPr>
          <w:rFonts w:hint="eastAsia" w:ascii="宋体" w:hAnsi="宋体"/>
          <w:color w:val="171717"/>
        </w:rPr>
        <w:t>确保设备安全无故障运行，现场服务满意率</w:t>
      </w:r>
      <w:r>
        <w:rPr>
          <w:rFonts w:ascii="宋体" w:hAnsi="宋体"/>
          <w:color w:val="171717"/>
        </w:rPr>
        <w:t>100%</w:t>
      </w:r>
      <w:r>
        <w:rPr>
          <w:rFonts w:hint="eastAsia" w:ascii="宋体" w:hAnsi="宋体"/>
          <w:color w:val="171717"/>
        </w:rPr>
        <w:t>。</w:t>
      </w:r>
    </w:p>
    <w:p w14:paraId="2874C914">
      <w:pPr>
        <w:ind w:firstLine="560"/>
        <w:rPr>
          <w:rFonts w:ascii="宋体" w:hAnsi="宋体"/>
          <w:color w:val="171717"/>
        </w:rPr>
      </w:pPr>
      <w:r>
        <w:rPr>
          <w:rFonts w:ascii="宋体" w:hAnsi="宋体"/>
          <w:color w:val="171717"/>
        </w:rPr>
        <w:t>3</w:t>
      </w:r>
      <w:r>
        <w:rPr>
          <w:rFonts w:hint="eastAsia" w:ascii="宋体" w:hAnsi="宋体"/>
          <w:color w:val="171717"/>
        </w:rPr>
        <w:t>、监测监控管理措施</w:t>
      </w:r>
    </w:p>
    <w:p w14:paraId="2352D32B">
      <w:pPr>
        <w:ind w:firstLine="560"/>
        <w:rPr>
          <w:rFonts w:ascii="宋体" w:hAnsi="宋体"/>
          <w:color w:val="171717"/>
        </w:rPr>
      </w:pPr>
      <w:r>
        <w:rPr>
          <w:rFonts w:hint="eastAsia" w:ascii="宋体" w:hAnsi="宋体"/>
          <w:color w:val="171717"/>
        </w:rPr>
        <w:t>塔机进场时必须经质保、安全、技术等相关部门验收合格，方可进行安装。</w:t>
      </w:r>
    </w:p>
    <w:p w14:paraId="3B7BD65D">
      <w:pPr>
        <w:ind w:firstLine="560"/>
        <w:rPr>
          <w:rFonts w:ascii="宋体" w:hAnsi="宋体"/>
          <w:color w:val="171717"/>
        </w:rPr>
      </w:pPr>
      <w:r>
        <w:rPr>
          <w:rFonts w:hint="eastAsia" w:ascii="宋体" w:hAnsi="宋体"/>
          <w:color w:val="171717"/>
        </w:rPr>
        <w:t>塔机进场后必须提交各部件出厂合格证，整机第三方检验证明等质保文件。</w:t>
      </w:r>
    </w:p>
    <w:p w14:paraId="18DB7B0A">
      <w:pPr>
        <w:ind w:firstLine="560"/>
        <w:rPr>
          <w:rFonts w:ascii="宋体" w:hAnsi="宋体"/>
          <w:color w:val="171717"/>
        </w:rPr>
      </w:pPr>
      <w:r>
        <w:rPr>
          <w:rFonts w:hint="eastAsia" w:ascii="宋体" w:hAnsi="宋体"/>
          <w:color w:val="171717"/>
        </w:rPr>
        <w:t>塔机安装的每一个步骤均应有机械化施工分公司质保人员见证验收，验收合格后方可进行下一步的安装工作。</w:t>
      </w:r>
    </w:p>
    <w:p w14:paraId="370BEC86">
      <w:pPr>
        <w:ind w:firstLine="560"/>
        <w:rPr>
          <w:rFonts w:ascii="宋体" w:hAnsi="宋体"/>
          <w:color w:val="171717"/>
        </w:rPr>
      </w:pPr>
      <w:r>
        <w:rPr>
          <w:rFonts w:hint="eastAsia" w:ascii="宋体" w:hAnsi="宋体"/>
          <w:color w:val="171717"/>
        </w:rPr>
        <w:t>塔机的安装工作必须严格按照安装技术方案来执行。</w:t>
      </w:r>
    </w:p>
    <w:p w14:paraId="5F7DABDE">
      <w:pPr>
        <w:ind w:firstLine="560"/>
        <w:rPr>
          <w:rFonts w:ascii="宋体" w:hAnsi="宋体"/>
          <w:color w:val="171717"/>
        </w:rPr>
      </w:pPr>
      <w:r>
        <w:rPr>
          <w:rFonts w:hint="eastAsia" w:ascii="宋体" w:hAnsi="宋体"/>
          <w:color w:val="171717"/>
        </w:rPr>
        <w:t>安拆施工技术人员编制出的安拆施工方案，必须履行审批手续，经项目部审核、监理单位批准后实施。</w:t>
      </w:r>
    </w:p>
    <w:p w14:paraId="73373FA8">
      <w:pPr>
        <w:ind w:firstLine="560"/>
        <w:rPr>
          <w:rFonts w:ascii="宋体" w:hAnsi="宋体"/>
          <w:color w:val="171717"/>
        </w:rPr>
      </w:pPr>
      <w:r>
        <w:rPr>
          <w:rFonts w:hint="eastAsia" w:ascii="宋体" w:hAnsi="宋体"/>
          <w:color w:val="171717"/>
        </w:rPr>
        <w:t>安装工序做好自检，安装完毕应根据《安装质量验收制度》要求做好调试、检查各机构运转正常、安全装置和各安全限位齐全、灵敏、可靠，</w:t>
      </w:r>
      <w:r>
        <w:rPr>
          <w:rFonts w:hint="eastAsia" w:ascii="宋体" w:hAnsi="宋体"/>
          <w:color w:val="1E1C11"/>
        </w:rPr>
        <w:t>做好安装检查验收记录。</w:t>
      </w:r>
    </w:p>
    <w:p w14:paraId="29921255">
      <w:pPr>
        <w:ind w:firstLine="560"/>
        <w:rPr>
          <w:rFonts w:ascii="宋体" w:hAnsi="宋体"/>
          <w:color w:val="171717"/>
        </w:rPr>
      </w:pPr>
      <w:r>
        <w:rPr>
          <w:rFonts w:hint="eastAsia" w:ascii="宋体" w:hAnsi="宋体"/>
          <w:color w:val="171717"/>
        </w:rPr>
        <w:t>吊安装工长负责贯彻执行每道作业程序，确保施工工艺执行率</w:t>
      </w:r>
      <w:r>
        <w:rPr>
          <w:rFonts w:ascii="宋体" w:hAnsi="宋体"/>
          <w:color w:val="171717"/>
        </w:rPr>
        <w:t>100%</w:t>
      </w:r>
      <w:r>
        <w:rPr>
          <w:rFonts w:hint="eastAsia" w:ascii="宋体" w:hAnsi="宋体"/>
          <w:color w:val="171717"/>
        </w:rPr>
        <w:t>。</w:t>
      </w:r>
    </w:p>
    <w:p w14:paraId="63D61BEC">
      <w:pPr>
        <w:ind w:firstLine="560"/>
        <w:rPr>
          <w:rFonts w:ascii="宋体" w:hAnsi="宋体"/>
          <w:color w:val="171717"/>
        </w:rPr>
      </w:pPr>
      <w:r>
        <w:rPr>
          <w:rFonts w:hint="eastAsia" w:ascii="宋体" w:hAnsi="宋体"/>
          <w:color w:val="171717"/>
        </w:rPr>
        <w:t>安拆单位负责塔机基础的施工质量，项目部配合塔吊安装过程中垂直度进行测量和记录。</w:t>
      </w:r>
    </w:p>
    <w:p w14:paraId="27FA0CCB">
      <w:pPr>
        <w:ind w:firstLine="560"/>
        <w:rPr>
          <w:rFonts w:ascii="宋体" w:hAnsi="宋体"/>
          <w:color w:val="171717"/>
        </w:rPr>
      </w:pPr>
      <w:r>
        <w:rPr>
          <w:rFonts w:hint="eastAsia" w:ascii="宋体" w:hAnsi="宋体"/>
          <w:color w:val="171717"/>
        </w:rPr>
        <w:t>实施对施工设备、工具、索具每日安全检查、维护保养，确保设备安全无故障运行。</w:t>
      </w:r>
    </w:p>
    <w:p w14:paraId="3EC99C57">
      <w:pPr>
        <w:ind w:firstLine="560"/>
        <w:rPr>
          <w:rFonts w:ascii="宋体" w:hAnsi="宋体"/>
          <w:color w:val="171717"/>
        </w:rPr>
      </w:pPr>
      <w:r>
        <w:rPr>
          <w:rFonts w:hint="eastAsia" w:ascii="宋体" w:hAnsi="宋体"/>
          <w:color w:val="171717"/>
        </w:rPr>
        <w:t>设备安装完毕，必须经安全检查部门检验合格，或所有缺陷均整改合格，取得安全使用合格证后，才能移交使用。</w:t>
      </w:r>
    </w:p>
    <w:p w14:paraId="577F9237">
      <w:pPr>
        <w:ind w:firstLine="560"/>
        <w:rPr>
          <w:rFonts w:ascii="宋体" w:hAnsi="宋体"/>
          <w:color w:val="171717"/>
        </w:rPr>
      </w:pPr>
      <w:r>
        <w:rPr>
          <w:rFonts w:hint="eastAsia" w:ascii="宋体" w:hAnsi="宋体"/>
          <w:color w:val="171717"/>
        </w:rPr>
        <w:t>施工服务人员、维修人员严格执行劳动纪律，保持良好的服务态度，虚心听取建设单位意见，确保服务质量满足客户要求。</w:t>
      </w:r>
    </w:p>
    <w:p w14:paraId="5419354D">
      <w:pPr>
        <w:ind w:firstLine="560"/>
        <w:rPr>
          <w:rFonts w:ascii="宋体" w:hAnsi="宋体"/>
          <w:color w:val="171717"/>
        </w:rPr>
      </w:pPr>
      <w:r>
        <w:rPr>
          <w:rFonts w:ascii="宋体" w:hAnsi="宋体"/>
          <w:color w:val="171717"/>
        </w:rPr>
        <w:t>4</w:t>
      </w:r>
      <w:r>
        <w:rPr>
          <w:rFonts w:hint="eastAsia" w:ascii="宋体" w:hAnsi="宋体"/>
          <w:color w:val="171717"/>
        </w:rPr>
        <w:t>、垂直度测量措施</w:t>
      </w:r>
    </w:p>
    <w:p w14:paraId="661EA556">
      <w:pPr>
        <w:ind w:firstLine="560"/>
      </w:pPr>
      <w:r>
        <w:rPr>
          <w:rFonts w:hint="eastAsia" w:ascii="宋体" w:hAnsi="宋体"/>
          <w:color w:val="171717"/>
        </w:rPr>
        <w:t>侧向垂直度在最大独立安装高度、空载状态、臂架相对于塔身</w:t>
      </w:r>
      <w:r>
        <w:rPr>
          <w:rFonts w:ascii="宋体" w:hAnsi="宋体"/>
          <w:color w:val="171717"/>
        </w:rPr>
        <w:t>0</w:t>
      </w:r>
      <w:r>
        <w:rPr>
          <w:rFonts w:hint="eastAsia" w:ascii="宋体" w:hAnsi="宋体"/>
          <w:color w:val="171717"/>
        </w:rPr>
        <w:t>°和</w:t>
      </w:r>
      <w:r>
        <w:rPr>
          <w:rFonts w:ascii="宋体" w:hAnsi="宋体"/>
          <w:color w:val="171717"/>
        </w:rPr>
        <w:t>90</w:t>
      </w:r>
      <w:r>
        <w:rPr>
          <w:rFonts w:hint="eastAsia" w:ascii="宋体" w:hAnsi="宋体"/>
          <w:color w:val="171717"/>
        </w:rPr>
        <w:t>°时由项目部测量人员使用全站仪分别沿臂架方向测量，标尺贴靠在塔身结构中心的最低处和最高处，用经纬仪测量两处的值，连续测量三次取平均值，计算塔身垂直度。要求垂直度误差≤</w:t>
      </w:r>
      <w:r>
        <w:rPr>
          <w:rFonts w:ascii="宋体" w:hAnsi="宋体"/>
          <w:color w:val="171717"/>
        </w:rPr>
        <w:t>4/1000</w:t>
      </w:r>
      <w:r>
        <w:rPr>
          <w:rFonts w:hint="eastAsia" w:ascii="宋体" w:hAnsi="宋体"/>
          <w:color w:val="171717"/>
        </w:rPr>
        <w:t>；</w:t>
      </w:r>
    </w:p>
    <w:p w14:paraId="40B9B054">
      <w:pPr>
        <w:pStyle w:val="2"/>
        <w:rPr>
          <w:color w:val="000000"/>
        </w:rPr>
      </w:pPr>
      <w:bookmarkStart w:id="436" w:name="_Toc32609"/>
      <w:bookmarkStart w:id="437" w:name="_Toc6494"/>
      <w:bookmarkStart w:id="438" w:name="_Toc14047"/>
      <w:bookmarkStart w:id="439" w:name="_Toc9689"/>
      <w:bookmarkStart w:id="440" w:name="_Toc16563"/>
      <w:bookmarkStart w:id="441" w:name="_Toc30554"/>
      <w:bookmarkStart w:id="442" w:name="_Toc11034"/>
      <w:r>
        <w:rPr>
          <w:rFonts w:hint="eastAsia"/>
          <w:color w:val="000000"/>
        </w:rPr>
        <w:t>第九章 安全管理措施</w:t>
      </w:r>
      <w:bookmarkEnd w:id="256"/>
      <w:bookmarkEnd w:id="257"/>
      <w:bookmarkEnd w:id="258"/>
      <w:bookmarkEnd w:id="259"/>
      <w:bookmarkEnd w:id="260"/>
      <w:bookmarkEnd w:id="261"/>
      <w:bookmarkEnd w:id="262"/>
      <w:bookmarkEnd w:id="263"/>
      <w:bookmarkEnd w:id="436"/>
      <w:bookmarkEnd w:id="437"/>
      <w:bookmarkEnd w:id="438"/>
      <w:bookmarkEnd w:id="439"/>
      <w:bookmarkEnd w:id="440"/>
      <w:bookmarkEnd w:id="441"/>
      <w:bookmarkEnd w:id="442"/>
    </w:p>
    <w:p w14:paraId="2EAE696C">
      <w:pPr>
        <w:pStyle w:val="3"/>
        <w:rPr>
          <w:color w:val="000000"/>
        </w:rPr>
      </w:pPr>
      <w:bookmarkStart w:id="443" w:name="_Toc20054"/>
      <w:bookmarkStart w:id="444" w:name="_Toc10342"/>
      <w:bookmarkStart w:id="445" w:name="_Toc1159"/>
      <w:bookmarkStart w:id="446" w:name="_Toc28976"/>
      <w:bookmarkStart w:id="447" w:name="_Toc4288"/>
      <w:bookmarkStart w:id="448" w:name="_Toc5695"/>
      <w:bookmarkStart w:id="449" w:name="_Toc24020"/>
      <w:bookmarkStart w:id="450" w:name="_Toc6010"/>
      <w:bookmarkStart w:id="451" w:name="_Toc87114081"/>
      <w:bookmarkStart w:id="452" w:name="_Toc13990"/>
      <w:bookmarkStart w:id="453" w:name="_Toc11936"/>
      <w:bookmarkStart w:id="454" w:name="_Toc7305"/>
      <w:bookmarkStart w:id="455" w:name="_Toc10746"/>
      <w:bookmarkStart w:id="456" w:name="_Toc22032"/>
      <w:bookmarkStart w:id="457" w:name="_Toc4614"/>
      <w:r>
        <w:rPr>
          <w:rFonts w:hint="eastAsia"/>
          <w:color w:val="000000"/>
        </w:rPr>
        <w:t>9.</w:t>
      </w:r>
      <w:r>
        <w:rPr>
          <w:color w:val="000000"/>
        </w:rPr>
        <w:t xml:space="preserve">1 </w:t>
      </w:r>
      <w:r>
        <w:rPr>
          <w:rFonts w:hint="eastAsia"/>
          <w:color w:val="000000"/>
        </w:rPr>
        <w:t>安全保证措施</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740F2514">
      <w:pPr>
        <w:pStyle w:val="4"/>
      </w:pPr>
      <w:r>
        <w:rPr>
          <w:rFonts w:hint="eastAsia"/>
        </w:rPr>
        <w:t>9.</w:t>
      </w:r>
      <w:r>
        <w:t>1</w:t>
      </w:r>
      <w:r>
        <w:rPr>
          <w:rFonts w:hint="eastAsia"/>
        </w:rPr>
        <w:t>.1安全管理目标</w:t>
      </w:r>
    </w:p>
    <w:p w14:paraId="040E7019">
      <w:pPr>
        <w:ind w:firstLine="560"/>
      </w:pPr>
      <w:r>
        <w:rPr>
          <w:rFonts w:hint="eastAsia"/>
        </w:rPr>
        <w:t>杜绝一般事故，确保零死亡。无责任事故。无重大安全隐患。不得因施工对周边环境、建筑、设施等造成破坏。无刑事案件发生。</w:t>
      </w:r>
    </w:p>
    <w:p w14:paraId="38EF1E10">
      <w:pPr>
        <w:pStyle w:val="4"/>
      </w:pPr>
      <w:r>
        <w:rPr>
          <w:rFonts w:hint="eastAsia"/>
        </w:rPr>
        <w:t>9.1.2 组织机构</w:t>
      </w:r>
    </w:p>
    <w:p w14:paraId="48612161">
      <w:pPr>
        <w:ind w:firstLine="560"/>
        <w:rPr>
          <w:color w:val="000000"/>
        </w:rPr>
      </w:pPr>
      <w:r>
        <w:rPr>
          <w:rFonts w:hint="eastAsia"/>
          <w:color w:val="000000"/>
        </w:rPr>
        <w:t>项目经理部成立以项目经理为组长，安全总监、总工程师、副经理、总经济师为副组长，职能部门负责人为组员的安全管理领导小组。项目部设置安环部，配备专职安全工程师，专门负责本单位日常安全生产监督管理工作。</w:t>
      </w:r>
    </w:p>
    <w:p w14:paraId="514A70B6">
      <w:pPr>
        <w:spacing w:line="240" w:lineRule="auto"/>
        <w:ind w:firstLine="0" w:firstLineChars="0"/>
        <w:jc w:val="center"/>
        <w:rPr>
          <w:color w:val="000000"/>
        </w:rPr>
      </w:pPr>
      <w:r>
        <w:rPr>
          <w:color w:val="000000"/>
        </w:rPr>
        <w:drawing>
          <wp:inline distT="0" distB="0" distL="114300" distR="114300">
            <wp:extent cx="4145280" cy="4037330"/>
            <wp:effectExtent l="0" t="0" r="0" b="1270"/>
            <wp:docPr id="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6"/>
                    <pic:cNvPicPr>
                      <a:picLocks noChangeAspect="1"/>
                    </pic:cNvPicPr>
                  </pic:nvPicPr>
                  <pic:blipFill>
                    <a:blip r:embed="rId62"/>
                    <a:stretch>
                      <a:fillRect/>
                    </a:stretch>
                  </pic:blipFill>
                  <pic:spPr>
                    <a:xfrm>
                      <a:off x="0" y="0"/>
                      <a:ext cx="4145280" cy="4037330"/>
                    </a:xfrm>
                    <a:prstGeom prst="rect">
                      <a:avLst/>
                    </a:prstGeom>
                    <a:noFill/>
                    <a:ln>
                      <a:noFill/>
                    </a:ln>
                  </pic:spPr>
                </pic:pic>
              </a:graphicData>
            </a:graphic>
          </wp:inline>
        </w:drawing>
      </w:r>
    </w:p>
    <w:p w14:paraId="2FD2D43A">
      <w:pPr>
        <w:pStyle w:val="122"/>
        <w:outlineLvl w:val="9"/>
        <w:rPr>
          <w:rStyle w:val="123"/>
          <w:b/>
        </w:rPr>
      </w:pPr>
      <w:r>
        <w:rPr>
          <w:rStyle w:val="123"/>
          <w:rFonts w:hint="eastAsia"/>
          <w:b/>
        </w:rPr>
        <w:t>图9.</w:t>
      </w:r>
      <w:r>
        <w:rPr>
          <w:rStyle w:val="123"/>
          <w:b/>
        </w:rPr>
        <w:t xml:space="preserve">1-1 </w:t>
      </w:r>
      <w:r>
        <w:rPr>
          <w:rStyle w:val="123"/>
          <w:rFonts w:hint="eastAsia"/>
          <w:b/>
        </w:rPr>
        <w:t>安全管理组织机构框图</w:t>
      </w:r>
    </w:p>
    <w:p w14:paraId="4624944E">
      <w:pPr>
        <w:pStyle w:val="4"/>
      </w:pPr>
      <w:r>
        <w:rPr>
          <w:rFonts w:hint="eastAsia"/>
        </w:rPr>
        <w:t>9.1.</w:t>
      </w:r>
      <w:r>
        <w:t>3</w:t>
      </w:r>
      <w:r>
        <w:rPr>
          <w:rFonts w:hint="eastAsia"/>
        </w:rPr>
        <w:t xml:space="preserve"> 保证体系</w:t>
      </w:r>
    </w:p>
    <w:p w14:paraId="045A4902">
      <w:pPr>
        <w:ind w:firstLine="560"/>
        <w:rPr>
          <w:color w:val="000000"/>
        </w:rPr>
      </w:pPr>
      <w:r>
        <w:rPr>
          <w:rFonts w:hint="eastAsia"/>
          <w:color w:val="000000"/>
        </w:rPr>
        <w:t>施工安全目标保证体系如下图:</w:t>
      </w:r>
    </w:p>
    <w:p w14:paraId="16AF8EF2">
      <w:pPr>
        <w:spacing w:line="240" w:lineRule="auto"/>
        <w:ind w:firstLine="0" w:firstLineChars="0"/>
        <w:jc w:val="center"/>
        <w:rPr>
          <w:rFonts w:cs="仿宋"/>
          <w:color w:val="000000"/>
          <w:sz w:val="18"/>
        </w:rPr>
      </w:pPr>
      <w:r>
        <w:rPr>
          <w:rFonts w:cs="仿宋"/>
          <w:color w:val="000000"/>
          <w:sz w:val="18"/>
        </w:rPr>
        <w:drawing>
          <wp:inline distT="0" distB="0" distL="114300" distR="114300">
            <wp:extent cx="5725160" cy="6306820"/>
            <wp:effectExtent l="0" t="0" r="5080" b="2540"/>
            <wp:docPr id="5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1"/>
                    <pic:cNvPicPr>
                      <a:picLocks noChangeAspect="1"/>
                    </pic:cNvPicPr>
                  </pic:nvPicPr>
                  <pic:blipFill>
                    <a:blip r:embed="rId63"/>
                    <a:stretch>
                      <a:fillRect/>
                    </a:stretch>
                  </pic:blipFill>
                  <pic:spPr>
                    <a:xfrm>
                      <a:off x="0" y="0"/>
                      <a:ext cx="5725160" cy="6306820"/>
                    </a:xfrm>
                    <a:prstGeom prst="rect">
                      <a:avLst/>
                    </a:prstGeom>
                    <a:noFill/>
                    <a:ln>
                      <a:noFill/>
                    </a:ln>
                  </pic:spPr>
                </pic:pic>
              </a:graphicData>
            </a:graphic>
          </wp:inline>
        </w:drawing>
      </w:r>
    </w:p>
    <w:p w14:paraId="680B9CBF">
      <w:pPr>
        <w:pStyle w:val="122"/>
        <w:spacing w:before="29" w:line="360" w:lineRule="auto"/>
        <w:ind w:right="159"/>
        <w:outlineLvl w:val="9"/>
        <w:rPr>
          <w:rStyle w:val="123"/>
          <w:b/>
        </w:rPr>
      </w:pPr>
      <w:bookmarkStart w:id="458" w:name="_Toc27540"/>
      <w:bookmarkStart w:id="459" w:name="_Toc25451"/>
      <w:bookmarkStart w:id="460" w:name="_Toc4879"/>
      <w:r>
        <w:rPr>
          <w:rStyle w:val="123"/>
          <w:rFonts w:hint="eastAsia"/>
          <w:b/>
        </w:rPr>
        <w:t>图9.1-2 安全生产保证体系框图</w:t>
      </w:r>
      <w:bookmarkEnd w:id="458"/>
      <w:bookmarkEnd w:id="459"/>
      <w:bookmarkEnd w:id="460"/>
    </w:p>
    <w:p w14:paraId="20894C7E">
      <w:pPr>
        <w:pStyle w:val="3"/>
        <w:spacing w:before="120" w:after="120"/>
      </w:pPr>
      <w:bookmarkStart w:id="461" w:name="_Toc14256"/>
      <w:bookmarkStart w:id="462" w:name="_Toc31815"/>
      <w:bookmarkStart w:id="463" w:name="_Toc20533"/>
      <w:bookmarkStart w:id="464" w:name="_Toc31738"/>
      <w:bookmarkStart w:id="465" w:name="_Toc5351"/>
      <w:bookmarkStart w:id="466" w:name="_Toc10569"/>
      <w:bookmarkStart w:id="467" w:name="_Toc17725"/>
      <w:bookmarkStart w:id="468" w:name="_Toc96868107"/>
      <w:bookmarkStart w:id="469" w:name="_Toc16185041"/>
      <w:bookmarkStart w:id="470" w:name="_Toc511375423"/>
      <w:r>
        <w:rPr>
          <w:rFonts w:hint="eastAsia" w:ascii="Times New Roman" w:hAnsi="Times New Roman"/>
        </w:rPr>
        <w:t>9.2危险源安全监控措施</w:t>
      </w:r>
      <w:bookmarkEnd w:id="461"/>
      <w:bookmarkEnd w:id="462"/>
      <w:bookmarkEnd w:id="463"/>
      <w:bookmarkEnd w:id="464"/>
      <w:bookmarkEnd w:id="465"/>
      <w:bookmarkEnd w:id="466"/>
      <w:bookmarkEnd w:id="467"/>
    </w:p>
    <w:p w14:paraId="4E482FFA">
      <w:pPr>
        <w:pStyle w:val="4"/>
      </w:pPr>
      <w:r>
        <w:rPr>
          <w:rFonts w:hint="eastAsia"/>
        </w:rPr>
        <w:t>9.2.1高处坠落安全控制措施</w:t>
      </w:r>
    </w:p>
    <w:p w14:paraId="4265581F">
      <w:pPr>
        <w:ind w:firstLine="560"/>
        <w:rPr>
          <w:szCs w:val="22"/>
        </w:rPr>
      </w:pPr>
      <w:r>
        <w:rPr>
          <w:rFonts w:hint="eastAsia"/>
          <w:szCs w:val="22"/>
        </w:rPr>
        <w:t>1、一般控制措施</w:t>
      </w:r>
    </w:p>
    <w:p w14:paraId="44F26FFC">
      <w:pPr>
        <w:ind w:firstLine="560"/>
      </w:pPr>
      <w:r>
        <w:rPr>
          <w:rFonts w:hint="eastAsia"/>
        </w:rPr>
        <w:t>（1）从事登高作业人员，必须进行体格检查，检查不合格不得从事高空作业。</w:t>
      </w:r>
    </w:p>
    <w:p w14:paraId="23BEDE68">
      <w:pPr>
        <w:ind w:firstLine="560"/>
      </w:pPr>
      <w:r>
        <w:rPr>
          <w:rFonts w:hint="eastAsia"/>
        </w:rPr>
        <w:t>（2）定期对个人安全防护用品、安全帽、安全带、防滑鞋的检查。</w:t>
      </w:r>
    </w:p>
    <w:p w14:paraId="6C66F6AC">
      <w:pPr>
        <w:ind w:firstLine="560"/>
      </w:pPr>
      <w:r>
        <w:rPr>
          <w:rFonts w:hint="eastAsia"/>
        </w:rPr>
        <w:t>（3）每日上岗前，必须对高处作业安全防护设施逐一加以检查，发现有松动、变形、损坏或脱落等现象，立即修理完善。</w:t>
      </w:r>
    </w:p>
    <w:p w14:paraId="45121BD8">
      <w:pPr>
        <w:ind w:firstLine="560"/>
      </w:pPr>
      <w:r>
        <w:rPr>
          <w:rFonts w:hint="eastAsia"/>
        </w:rPr>
        <w:t>（4）对高处作业的安全防护设施，做好安全监控，发现有缺陷和隐患时必须及时解决。</w:t>
      </w:r>
    </w:p>
    <w:p w14:paraId="62C314F1">
      <w:pPr>
        <w:ind w:firstLine="560"/>
      </w:pPr>
      <w:r>
        <w:rPr>
          <w:rFonts w:hint="eastAsia"/>
        </w:rPr>
        <w:t>（5）在没有安全防护设施时，禁止在高处支架操作平台上支撑、挑架或未固定的构件上行走或作业。高处作业与地面的联系，必须采用通讯装置，并设专人负责。</w:t>
      </w:r>
    </w:p>
    <w:p w14:paraId="71075BD5">
      <w:pPr>
        <w:ind w:firstLine="560"/>
      </w:pPr>
      <w:r>
        <w:rPr>
          <w:rFonts w:hint="eastAsia"/>
        </w:rPr>
        <w:t>（6）高处作业施工临边防护均采用标准1.2m防护栏杆，18cm高踢脚板。</w:t>
      </w:r>
    </w:p>
    <w:p w14:paraId="425AE501">
      <w:pPr>
        <w:ind w:firstLine="560"/>
      </w:pPr>
      <w:r>
        <w:rPr>
          <w:rFonts w:hint="eastAsia"/>
        </w:rPr>
        <w:t>2、施工现场高处坠落控制措施</w:t>
      </w:r>
    </w:p>
    <w:p w14:paraId="34101D1F">
      <w:pPr>
        <w:ind w:firstLine="560"/>
      </w:pPr>
      <w:r>
        <w:rPr>
          <w:rFonts w:hint="eastAsia"/>
        </w:rPr>
        <w:t>（1）塔机施工人员必须穿防滑鞋，危险部位作业必须系好安全带。</w:t>
      </w:r>
    </w:p>
    <w:p w14:paraId="693A0C38">
      <w:pPr>
        <w:ind w:firstLine="560"/>
      </w:pPr>
      <w:r>
        <w:rPr>
          <w:rFonts w:hint="eastAsia"/>
        </w:rPr>
        <w:t>（2）夜间工作必须有足够的照明灯光。</w:t>
      </w:r>
    </w:p>
    <w:p w14:paraId="72F3B800">
      <w:pPr>
        <w:ind w:firstLine="560"/>
      </w:pPr>
      <w:r>
        <w:rPr>
          <w:rFonts w:hint="eastAsia"/>
        </w:rPr>
        <w:t>（3）安装期间一律禁止饮酒。</w:t>
      </w:r>
    </w:p>
    <w:p w14:paraId="0AE6DB47">
      <w:pPr>
        <w:ind w:firstLine="560"/>
      </w:pPr>
      <w:r>
        <w:rPr>
          <w:rFonts w:hint="eastAsia"/>
        </w:rPr>
        <w:t>（4）所有作业吊车必须严格遵守安全操作规程。</w:t>
      </w:r>
    </w:p>
    <w:p w14:paraId="5576EF42">
      <w:pPr>
        <w:ind w:firstLine="560"/>
      </w:pPr>
      <w:r>
        <w:rPr>
          <w:rFonts w:hint="eastAsia"/>
        </w:rPr>
        <w:t>（5）工作中集中精力，不得随意开玩笑和打闹。</w:t>
      </w:r>
    </w:p>
    <w:p w14:paraId="4EC5A738">
      <w:pPr>
        <w:ind w:firstLine="560"/>
      </w:pPr>
      <w:r>
        <w:rPr>
          <w:rFonts w:hint="eastAsia"/>
        </w:rPr>
        <w:t>（6）凡大雨、大雪、大雾、大风（风力六级以上）等天气禁止安装塔吊。</w:t>
      </w:r>
    </w:p>
    <w:p w14:paraId="0FACECEF">
      <w:pPr>
        <w:pStyle w:val="11"/>
        <w:ind w:firstLine="560"/>
        <w:rPr>
          <w:rFonts w:hint="default"/>
        </w:rPr>
      </w:pPr>
      <w:r>
        <w:t>（7）</w:t>
      </w:r>
      <w:r>
        <w:rPr>
          <w:rFonts w:cs="宋体"/>
          <w:kern w:val="0"/>
          <w:szCs w:val="21"/>
        </w:rPr>
        <w:t>销轴时安装人员应站站塔机平台上，挂好安全带。</w:t>
      </w:r>
    </w:p>
    <w:p w14:paraId="780A3B47">
      <w:pPr>
        <w:pStyle w:val="4"/>
      </w:pPr>
      <w:r>
        <w:rPr>
          <w:rFonts w:hint="eastAsia"/>
        </w:rPr>
        <w:t>9.2.</w:t>
      </w:r>
      <w:r>
        <w:t>2</w:t>
      </w:r>
      <w:r>
        <w:rPr>
          <w:rFonts w:hint="eastAsia"/>
        </w:rPr>
        <w:t xml:space="preserve"> 起重伤害安全控制措施</w:t>
      </w:r>
    </w:p>
    <w:p w14:paraId="3B91044F">
      <w:pPr>
        <w:ind w:firstLine="560"/>
      </w:pPr>
      <w:r>
        <w:rPr>
          <w:rFonts w:hint="eastAsia"/>
        </w:rPr>
        <w:t>1、严格执行机械管理要求，性能不满足要求</w:t>
      </w:r>
      <w:r>
        <w:t>、</w:t>
      </w:r>
      <w:r>
        <w:rPr>
          <w:rFonts w:hint="eastAsia"/>
        </w:rPr>
        <w:t>状态差、车辆和操作人员证件不齐或无效的严禁进场。</w:t>
      </w:r>
    </w:p>
    <w:p w14:paraId="455F2BBB">
      <w:pPr>
        <w:ind w:firstLine="560"/>
      </w:pPr>
      <w:r>
        <w:rPr>
          <w:rFonts w:hint="eastAsia"/>
        </w:rPr>
        <w:t>2、起重机司机、起重指挥等操作人员必须正确佩戴防护用品。</w:t>
      </w:r>
    </w:p>
    <w:p w14:paraId="6F1D8763">
      <w:pPr>
        <w:ind w:firstLine="560"/>
      </w:pPr>
      <w:r>
        <w:rPr>
          <w:rFonts w:hint="eastAsia"/>
        </w:rPr>
        <w:t>3、起重吊装作业应设警戒区域，设置警示标牌，安排专人统一指挥，严禁闲杂人员进入吊装施工现场。</w:t>
      </w:r>
    </w:p>
    <w:p w14:paraId="5ADFD4BA">
      <w:pPr>
        <w:ind w:firstLine="560"/>
      </w:pPr>
      <w:r>
        <w:rPr>
          <w:rFonts w:hint="eastAsia"/>
        </w:rPr>
        <w:t>4、吊装作业如遇到停电或其他特殊情况，应将重物落在地面，不得悬在空中。</w:t>
      </w:r>
    </w:p>
    <w:p w14:paraId="57F0D5D6">
      <w:pPr>
        <w:ind w:firstLine="560"/>
      </w:pPr>
      <w:r>
        <w:rPr>
          <w:rFonts w:hint="eastAsia"/>
        </w:rPr>
        <w:t>5、大雨、大雾及风力六级以上（含六级）等恶劣天气，必须停止露天起重吊装作业。</w:t>
      </w:r>
    </w:p>
    <w:p w14:paraId="4D484CA8">
      <w:pPr>
        <w:ind w:firstLine="560"/>
      </w:pPr>
      <w:r>
        <w:rPr>
          <w:rFonts w:hint="eastAsia"/>
        </w:rPr>
        <w:t>7、严格遵守起重安全操作规程及“十不吊”要求，严禁违章操作、违章指挥。</w:t>
      </w:r>
    </w:p>
    <w:p w14:paraId="69B1A1AB">
      <w:pPr>
        <w:pStyle w:val="4"/>
      </w:pPr>
      <w:r>
        <w:rPr>
          <w:rFonts w:hint="eastAsia"/>
        </w:rPr>
        <w:t>9.2.</w:t>
      </w:r>
      <w:r>
        <w:t xml:space="preserve">3 </w:t>
      </w:r>
      <w:r>
        <w:rPr>
          <w:rFonts w:hint="eastAsia"/>
        </w:rPr>
        <w:t>预防坍塌安全控制措施</w:t>
      </w:r>
    </w:p>
    <w:p w14:paraId="5E9418C0">
      <w:pPr>
        <w:ind w:firstLine="560"/>
        <w:rPr>
          <w:szCs w:val="22"/>
        </w:rPr>
      </w:pPr>
      <w:r>
        <w:rPr>
          <w:rFonts w:hint="eastAsia"/>
          <w:szCs w:val="22"/>
        </w:rPr>
        <w:t>1、 一般控制措施</w:t>
      </w:r>
    </w:p>
    <w:p w14:paraId="728672B6">
      <w:pPr>
        <w:ind w:firstLine="560"/>
      </w:pPr>
      <w:r>
        <w:rPr>
          <w:rFonts w:hint="eastAsia"/>
        </w:rPr>
        <w:t>（1）在塔式起重机的塔吊顶及机臂架上设置爆闪警示灯及其他警示标志。</w:t>
      </w:r>
    </w:p>
    <w:p w14:paraId="2AEB9EB7">
      <w:pPr>
        <w:ind w:firstLine="560"/>
      </w:pPr>
      <w:r>
        <w:rPr>
          <w:rFonts w:hint="eastAsia"/>
        </w:rPr>
        <w:t>（2）塔式起重机安装时其自由高度严禁超过设计要求</w:t>
      </w:r>
    </w:p>
    <w:p w14:paraId="2C3489DB">
      <w:pPr>
        <w:ind w:firstLine="560"/>
        <w:rPr>
          <w:szCs w:val="22"/>
        </w:rPr>
      </w:pPr>
      <w:r>
        <w:rPr>
          <w:rFonts w:hint="eastAsia"/>
          <w:szCs w:val="22"/>
        </w:rPr>
        <w:t>2、施工现场防止坍塌控制措施</w:t>
      </w:r>
    </w:p>
    <w:p w14:paraId="769952F3">
      <w:pPr>
        <w:ind w:firstLine="560"/>
      </w:pPr>
      <w:r>
        <w:rPr>
          <w:rFonts w:hint="eastAsia"/>
        </w:rPr>
        <w:t>（1）各类施工机械距基坑（槽）、边坡和基础桩孔的距离， 应 根据设备重量、基坑（槽）、边坡和基础桩的支护、土质情况确定， 并不得小于 1.5m。</w:t>
      </w:r>
    </w:p>
    <w:p w14:paraId="73101D8C">
      <w:pPr>
        <w:ind w:firstLine="560"/>
      </w:pPr>
      <w:r>
        <w:rPr>
          <w:rFonts w:hint="eastAsia"/>
        </w:rPr>
        <w:t>（2）断点后拆下电磁离合器的电刷，观察磨损是否过度，内部弹簧有无伸缩劲，如不行或者不灵活就必须中心更换。用万能表测量离合器线圈是否在规定值内，在认真观察吸片是否烧坏，线圈工作时是否产生磁场，并检查夹谷吸片的卡簧是否有效。待确认正常后恢复使用。</w:t>
      </w:r>
    </w:p>
    <w:p w14:paraId="4C4A8C01">
      <w:pPr>
        <w:ind w:firstLine="560"/>
      </w:pPr>
      <w:r>
        <w:rPr>
          <w:rFonts w:hint="eastAsia"/>
        </w:rPr>
        <w:t>（3）检查钢丝绳、卸夹、吊钩、吊索等，严格执行钢丝绳的磨损规定，发现绳股断裂、纤维芯损坏或者钢芯断裂而造成绳径显著减小、笼状畸变、严重扭结等问题立即更换，杜绝事故发生。</w:t>
      </w:r>
    </w:p>
    <w:p w14:paraId="62E9DDD9">
      <w:pPr>
        <w:ind w:firstLine="560"/>
      </w:pPr>
      <w:r>
        <w:rPr>
          <w:rFonts w:hint="eastAsia"/>
        </w:rPr>
        <w:t>（4）定期用扳手检查标准节连接螺栓紧固。</w:t>
      </w:r>
    </w:p>
    <w:p w14:paraId="40F0C5B8">
      <w:pPr>
        <w:ind w:firstLine="560"/>
      </w:pPr>
      <w:r>
        <w:rPr>
          <w:rFonts w:hint="eastAsia"/>
        </w:rPr>
        <w:t>（5）定期对限位器进行试验，并调试确认灵敏后作业。</w:t>
      </w:r>
    </w:p>
    <w:p w14:paraId="6FDDEF4B">
      <w:pPr>
        <w:ind w:firstLine="560"/>
      </w:pPr>
      <w:bookmarkStart w:id="471" w:name="_Toc2425"/>
      <w:bookmarkStart w:id="472" w:name="_Toc3197"/>
      <w:bookmarkStart w:id="473" w:name="_Toc26093"/>
      <w:bookmarkStart w:id="474" w:name="_Toc6070"/>
      <w:bookmarkStart w:id="475" w:name="_Toc5122"/>
      <w:bookmarkStart w:id="476" w:name="_Toc529200610"/>
      <w:bookmarkStart w:id="477" w:name="_Toc533610116"/>
      <w:r>
        <w:rPr>
          <w:rFonts w:hint="eastAsia"/>
        </w:rPr>
        <w:t>一般风险源控制措施</w:t>
      </w:r>
      <w:bookmarkEnd w:id="471"/>
      <w:bookmarkEnd w:id="472"/>
      <w:bookmarkEnd w:id="473"/>
      <w:bookmarkEnd w:id="474"/>
      <w:bookmarkEnd w:id="475"/>
      <w:bookmarkEnd w:id="476"/>
      <w:bookmarkEnd w:id="477"/>
    </w:p>
    <w:p w14:paraId="30320D14">
      <w:pPr>
        <w:ind w:firstLine="560"/>
      </w:pPr>
      <w:r>
        <w:rPr>
          <w:rFonts w:hint="eastAsia"/>
        </w:rPr>
        <w:t>安全管理人员或安全管理方案规定的其他负有监控职责的人员，必须对已开工的工程实施工地安全标准或安全管理方案的情况和相关目标、指标的完成情况进行定期检查，并将情况填入安全日志。对已存在的与工地安全标准和安全管理方案不符合或对目标、指标的实现有影响的缺陷，应及时向有关人员指出，并按规定的时限向分管领导报告；对于严重威胁操作人员安全的，有权要求立即停工。</w:t>
      </w:r>
    </w:p>
    <w:p w14:paraId="0B2C836C">
      <w:pPr>
        <w:pStyle w:val="4"/>
      </w:pPr>
      <w:r>
        <w:rPr>
          <w:rFonts w:hint="eastAsia"/>
        </w:rPr>
        <w:t>9.2.4 常规安全控制措施</w:t>
      </w:r>
    </w:p>
    <w:p w14:paraId="45BA80D4">
      <w:pPr>
        <w:ind w:firstLine="560"/>
      </w:pPr>
      <w:r>
        <w:rPr>
          <w:rFonts w:hint="eastAsia"/>
        </w:rPr>
        <w:t>1、严格按照有关安全生产的各项规定组织施工，做到安全生产，文明施工，必须认真贯彻“安全第一、预防为主、综合治理”的方针。</w:t>
      </w:r>
    </w:p>
    <w:p w14:paraId="1EED2081">
      <w:pPr>
        <w:ind w:firstLine="560"/>
      </w:pPr>
      <w:r>
        <w:rPr>
          <w:rFonts w:hint="eastAsia"/>
        </w:rPr>
        <w:t>2、操作人员必须持证上岗，对新进场的工人进行安全生产的教育和培训，方准许其进入操作岗位。</w:t>
      </w:r>
    </w:p>
    <w:p w14:paraId="0A04C664">
      <w:pPr>
        <w:ind w:firstLine="560"/>
      </w:pPr>
      <w:r>
        <w:rPr>
          <w:rFonts w:hint="eastAsia"/>
        </w:rPr>
        <w:t>3、施工现场设立安全警示标志和守卫人员，闲杂人员一律不得进入施工现场参观、逗留，施工现场严禁嬉戏打闹。</w:t>
      </w:r>
    </w:p>
    <w:p w14:paraId="743B8F6A">
      <w:pPr>
        <w:ind w:firstLine="560"/>
      </w:pPr>
      <w:r>
        <w:rPr>
          <w:rFonts w:hint="eastAsia"/>
        </w:rPr>
        <w:t>4、施工操作人员进入现场时必须正确佩戴安全帽。</w:t>
      </w:r>
    </w:p>
    <w:p w14:paraId="2BF9D257">
      <w:pPr>
        <w:ind w:firstLine="560"/>
      </w:pPr>
      <w:r>
        <w:rPr>
          <w:rFonts w:hint="eastAsia"/>
        </w:rPr>
        <w:t>5、各工种严格执行相应的操作规程，不得违章作业。严格执行交接班制度。</w:t>
      </w:r>
    </w:p>
    <w:p w14:paraId="2A071EC3">
      <w:pPr>
        <w:ind w:firstLine="560"/>
      </w:pPr>
      <w:r>
        <w:rPr>
          <w:rFonts w:hint="eastAsia"/>
        </w:rPr>
        <w:t>6、现场施工为多工种协调作业，必须统一指挥，信号明确，通讯迅达，指令正确。各操作人员在意图不明时严禁进行作业，发现问题应及时向上级反映。</w:t>
      </w:r>
    </w:p>
    <w:p w14:paraId="6E33D96E">
      <w:pPr>
        <w:ind w:firstLine="560"/>
      </w:pPr>
      <w:r>
        <w:rPr>
          <w:rFonts w:hint="eastAsia"/>
        </w:rPr>
        <w:t>7、大风、大雨和浓雾天气必须停止吊装作业；夜间作业必须有良好的照明设施，否则不得夜间作业。</w:t>
      </w:r>
    </w:p>
    <w:p w14:paraId="562952D0">
      <w:pPr>
        <w:ind w:firstLine="560"/>
      </w:pPr>
      <w:r>
        <w:rPr>
          <w:rFonts w:hint="eastAsia"/>
        </w:rPr>
        <w:t>8、每天上下班时对劳动用品、机械设备及机具、吊具、索具等进行检查，确保用具在完好的情况下进行施工，消除隐患，确保安全施工。</w:t>
      </w:r>
    </w:p>
    <w:p w14:paraId="0A5AC72A">
      <w:pPr>
        <w:pStyle w:val="4"/>
      </w:pPr>
      <w:r>
        <w:rPr>
          <w:rFonts w:hint="eastAsia"/>
        </w:rPr>
        <w:t>9.2.5物体打击安全控制措施</w:t>
      </w:r>
    </w:p>
    <w:p w14:paraId="57974251">
      <w:pPr>
        <w:ind w:firstLine="560"/>
      </w:pPr>
      <w:r>
        <w:rPr>
          <w:rFonts w:hint="eastAsia"/>
        </w:rPr>
        <w:t>1、塔机结构件吊装过程中必须专人指挥，统一管理。</w:t>
      </w:r>
    </w:p>
    <w:p w14:paraId="60D7EFC5">
      <w:pPr>
        <w:ind w:firstLine="560"/>
      </w:pPr>
      <w:r>
        <w:rPr>
          <w:rFonts w:hint="eastAsia"/>
        </w:rPr>
        <w:t>2、高处施工作业人员必须配备工具袋并按要求正确佩戴使用个体安全防护用品，防止个人物品从高处掉落。</w:t>
      </w:r>
    </w:p>
    <w:p w14:paraId="57164A4E">
      <w:pPr>
        <w:ind w:firstLine="560"/>
      </w:pPr>
      <w:r>
        <w:rPr>
          <w:rFonts w:hint="eastAsia"/>
        </w:rPr>
        <w:t>3、尽量避免交叉作业，无法避开交叉作业时，应设置安全防护措施，防止发生物体打击事故。</w:t>
      </w:r>
    </w:p>
    <w:p w14:paraId="0D2D8834">
      <w:pPr>
        <w:ind w:firstLine="560"/>
        <w:rPr>
          <w:rFonts w:ascii="宋体" w:hAnsi="宋体" w:cs="宋体"/>
        </w:rPr>
      </w:pPr>
      <w:r>
        <w:rPr>
          <w:rFonts w:hint="eastAsia" w:ascii="宋体" w:hAnsi="宋体" w:cs="宋体"/>
        </w:rPr>
        <w:t>4、加强安全检查，高处临边严禁堆放物件，施工作业时严禁上下抛掷物件。</w:t>
      </w:r>
    </w:p>
    <w:p w14:paraId="26CEDBA7">
      <w:pPr>
        <w:ind w:firstLine="560"/>
        <w:rPr>
          <w:rFonts w:ascii="宋体" w:hAnsi="宋体" w:cs="宋体"/>
        </w:rPr>
      </w:pPr>
      <w:r>
        <w:rPr>
          <w:rFonts w:hint="eastAsia" w:ascii="宋体" w:hAnsi="宋体" w:cs="宋体"/>
        </w:rPr>
        <w:t>5、高空临边作业做好安全防护，护栏高度达到1.2m，设置踢脚板，防止物件掉落；高空操作范围全封闭，通道及操作平台满铺脚手板，设置防滑条。</w:t>
      </w:r>
    </w:p>
    <w:p w14:paraId="68CD6850">
      <w:pPr>
        <w:ind w:firstLine="560"/>
        <w:rPr>
          <w:rFonts w:ascii="宋体" w:hAnsi="宋体" w:cs="宋体"/>
        </w:rPr>
      </w:pPr>
      <w:r>
        <w:rPr>
          <w:rFonts w:hint="eastAsia" w:ascii="宋体" w:hAnsi="宋体" w:cs="宋体"/>
        </w:rPr>
        <w:t>6、大型结构安装、拆除等高空操作时设置临时警戒区，下方人员撤离并拉设警戒线。安装、拆除完成后及时清理现场，做到工完料尽场地清。</w:t>
      </w:r>
    </w:p>
    <w:p w14:paraId="2B27AC51">
      <w:pPr>
        <w:pStyle w:val="4"/>
      </w:pPr>
      <w:r>
        <w:rPr>
          <w:rFonts w:hint="eastAsia"/>
        </w:rPr>
        <w:t>9.2.6机械伤害安全控制措施</w:t>
      </w:r>
    </w:p>
    <w:p w14:paraId="2C0A5E71">
      <w:pPr>
        <w:ind w:firstLine="560"/>
      </w:pPr>
      <w:r>
        <w:rPr>
          <w:rFonts w:hint="eastAsia"/>
        </w:rPr>
        <w:t>1、操作人员须经安全教育培训，考核合格取得操作证后方可持证上岗作业。</w:t>
      </w:r>
    </w:p>
    <w:p w14:paraId="24D5E5AD">
      <w:pPr>
        <w:ind w:firstLine="560"/>
      </w:pPr>
      <w:r>
        <w:t>2、</w:t>
      </w:r>
      <w:r>
        <w:rPr>
          <w:rFonts w:hint="eastAsia"/>
        </w:rPr>
        <w:t>特种设备安装、拆除必须由具备资质的专业化公司进行，并且使用前或使用后一个月内到当地部门登记备案。</w:t>
      </w:r>
    </w:p>
    <w:p w14:paraId="3CD8E268">
      <w:pPr>
        <w:ind w:firstLine="560"/>
      </w:pPr>
      <w:r>
        <w:rPr>
          <w:rFonts w:hint="eastAsia"/>
        </w:rPr>
        <w:t>3、操作人员要严格按照机械设备安全操作规程作业，并且佩戴使用必要的安全防护用品。</w:t>
      </w:r>
    </w:p>
    <w:p w14:paraId="67729156">
      <w:pPr>
        <w:ind w:firstLine="560"/>
      </w:pPr>
      <w:r>
        <w:rPr>
          <w:rFonts w:hint="eastAsia"/>
        </w:rPr>
        <w:t>4、要定期对机械设备进行保养和维护，做好维修保养记录保证机械性能良好。</w:t>
      </w:r>
    </w:p>
    <w:p w14:paraId="313E7D1D">
      <w:pPr>
        <w:ind w:firstLine="560"/>
      </w:pPr>
      <w:r>
        <w:rPr>
          <w:rFonts w:hint="eastAsia"/>
        </w:rPr>
        <w:t>5、极端恶劣天气来临前以及过后要全面对机械设备进行检查和维修。</w:t>
      </w:r>
    </w:p>
    <w:p w14:paraId="45529874">
      <w:pPr>
        <w:ind w:firstLine="560"/>
      </w:pPr>
      <w:r>
        <w:rPr>
          <w:rFonts w:hint="eastAsia"/>
        </w:rPr>
        <w:t>6、机械设备零部件必须符合设计及安全技术规范、标准要求。</w:t>
      </w:r>
    </w:p>
    <w:p w14:paraId="0CAF6898">
      <w:pPr>
        <w:ind w:firstLine="560"/>
      </w:pPr>
      <w:r>
        <w:rPr>
          <w:rFonts w:hint="eastAsia"/>
        </w:rPr>
        <w:t>7、机械设备电气装置必须符合安全要求。</w:t>
      </w:r>
    </w:p>
    <w:p w14:paraId="404C4983">
      <w:pPr>
        <w:ind w:firstLine="560"/>
      </w:pPr>
      <w:r>
        <w:rPr>
          <w:rFonts w:hint="eastAsia"/>
        </w:rPr>
        <w:t>8、机械设备应根据有关安全要求，装设合理、可靠的安全装置，保证不影响机械设备安全使用。</w:t>
      </w:r>
    </w:p>
    <w:p w14:paraId="49AD0C91">
      <w:pPr>
        <w:ind w:firstLine="560"/>
      </w:pPr>
      <w:r>
        <w:rPr>
          <w:rFonts w:hint="eastAsia"/>
        </w:rPr>
        <w:t>9、操作人员必须正确使用安全装置，不得随意破坏或拆除安全装置；</w:t>
      </w:r>
    </w:p>
    <w:p w14:paraId="0EC7F8AF">
      <w:pPr>
        <w:ind w:firstLine="560"/>
      </w:pPr>
      <w:r>
        <w:rPr>
          <w:rFonts w:hint="eastAsia"/>
        </w:rPr>
        <w:t>10、操作人员在机械设备运行前，必须按规定进行安全检查，严禁机械设备带病运行。</w:t>
      </w:r>
    </w:p>
    <w:p w14:paraId="289C1B88">
      <w:pPr>
        <w:pStyle w:val="4"/>
      </w:pPr>
      <w:r>
        <w:rPr>
          <w:rFonts w:hint="eastAsia"/>
        </w:rPr>
        <w:t>9.2.7 施工用电安全控制措施</w:t>
      </w:r>
    </w:p>
    <w:p w14:paraId="07D8EE9A">
      <w:pPr>
        <w:ind w:firstLine="560"/>
      </w:pPr>
      <w:r>
        <w:rPr>
          <w:rFonts w:hint="eastAsia"/>
        </w:rPr>
        <w:t>1、严格执行《施工现场临时用电安全技术规范》（JGJ</w:t>
      </w:r>
      <w:r>
        <w:t xml:space="preserve"> 46-2005</w:t>
      </w:r>
      <w:r>
        <w:rPr>
          <w:rFonts w:hint="eastAsia"/>
        </w:rPr>
        <w:t>）中的规定，并做好临时用电施工设计和安全用电技术措施的编制。</w:t>
      </w:r>
    </w:p>
    <w:p w14:paraId="28463448">
      <w:pPr>
        <w:ind w:firstLine="560"/>
      </w:pPr>
      <w:r>
        <w:rPr>
          <w:rFonts w:hint="eastAsia"/>
        </w:rPr>
        <w:t>2、施工用电必须符合“三相五线制”的要求，按“一机、一闸、一漏、一锁”和“动力线照明用电严禁搭接的规定落实”并设置醒目的警示标志。</w:t>
      </w:r>
    </w:p>
    <w:p w14:paraId="285079B0">
      <w:pPr>
        <w:ind w:firstLine="560"/>
      </w:pPr>
      <w:r>
        <w:rPr>
          <w:rFonts w:hint="eastAsia"/>
        </w:rPr>
        <w:t>3、专值电工必须做好临时用电安全检测制度，定期对临时用电工程进行检测，主要内容是：接地电阻值，电气设备绝缘电阻值，漏电保护器动作参数等，以监视临时用电工程是否安全可靠，并做好检测记录，有检测日期和检测人员签名。</w:t>
      </w:r>
    </w:p>
    <w:p w14:paraId="32590C03">
      <w:pPr>
        <w:ind w:firstLine="560"/>
      </w:pPr>
      <w:r>
        <w:rPr>
          <w:rFonts w:hint="eastAsia"/>
        </w:rPr>
        <w:t>4、做好临时用电维修制度，加强日常和定期维修工作，及时发现和消除隐患，并建立维修工作记录，记载维修时间、地点、设备、内容、技术措施、处理结果、维修人员、验收人员等。</w:t>
      </w:r>
    </w:p>
    <w:p w14:paraId="1D2E95F9">
      <w:pPr>
        <w:ind w:firstLine="560"/>
      </w:pPr>
      <w:r>
        <w:rPr>
          <w:rFonts w:hint="eastAsia"/>
        </w:rPr>
        <w:t>5、建立安全用电责任制，对临时用电工程各部位的操作、监护、维修分片、分块、分机落实到人，并辅以必要的严惩。</w:t>
      </w:r>
    </w:p>
    <w:p w14:paraId="1F3C44DB">
      <w:pPr>
        <w:ind w:firstLine="560"/>
      </w:pPr>
      <w:r>
        <w:rPr>
          <w:rFonts w:hint="eastAsia"/>
        </w:rPr>
        <w:t>6、建立安全教育和培训制度；定期对专业电工和各类用电人员进行用电安全教育和培训，凡上岗人员必须持有劳动部门核发的上岗证书，严禁无证上岗。</w:t>
      </w:r>
    </w:p>
    <w:p w14:paraId="662A3F67">
      <w:pPr>
        <w:ind w:firstLine="560"/>
      </w:pPr>
      <w:r>
        <w:rPr>
          <w:rFonts w:hint="eastAsia"/>
        </w:rPr>
        <w:t>7、电气操作人员要认真执行规范，正确连接电线，电线要完好无损，有良好的绝缘外皮。电线要压牢、压实，各种开关触头要压接牢固，多股导线要用端子与设备安装，以防加大电阻引起火灾。</w:t>
      </w:r>
    </w:p>
    <w:p w14:paraId="7DCF34F2">
      <w:pPr>
        <w:ind w:firstLine="560"/>
      </w:pPr>
      <w:r>
        <w:rPr>
          <w:rFonts w:hint="eastAsia"/>
        </w:rPr>
        <w:t>8、配电箱、开关箱内严禁存放杂物及易燃物体，并派专人负责定期清扫。</w:t>
      </w:r>
    </w:p>
    <w:p w14:paraId="112F22A6">
      <w:pPr>
        <w:ind w:firstLine="560"/>
      </w:pPr>
      <w:r>
        <w:rPr>
          <w:rFonts w:hint="eastAsia"/>
        </w:rPr>
        <w:t>9、临时用电维修时必须执行两人制度，一人在总控制柜值守并悬挂“维修中”警示牌，另一人在现场进行维修作业。</w:t>
      </w:r>
    </w:p>
    <w:p w14:paraId="58510229">
      <w:pPr>
        <w:ind w:firstLine="560"/>
      </w:pPr>
      <w:r>
        <w:rPr>
          <w:rFonts w:hint="eastAsia"/>
        </w:rPr>
        <w:t>10、施工现场变压器必须采用全封闭，二级配电柜采用隔离防护并做防水防触电漏电。三级配电距离现场用电设备不宜太远防止出现电线损坏漏电。</w:t>
      </w:r>
    </w:p>
    <w:p w14:paraId="36CCC027">
      <w:pPr>
        <w:pStyle w:val="4"/>
      </w:pPr>
      <w:r>
        <w:rPr>
          <w:rFonts w:hint="eastAsia"/>
        </w:rPr>
        <w:t>9.2.8 车辆伤害安全控制措施</w:t>
      </w:r>
    </w:p>
    <w:p w14:paraId="67F4692A">
      <w:pPr>
        <w:ind w:firstLine="560"/>
      </w:pPr>
      <w:r>
        <w:t>1</w:t>
      </w:r>
      <w:r>
        <w:rPr>
          <w:rFonts w:hint="eastAsia"/>
        </w:rPr>
        <w:t>车辆驾驶人员及车辆必须证件齐全并在有效时间内，车辆必须车检。</w:t>
      </w:r>
    </w:p>
    <w:p w14:paraId="267357A9">
      <w:pPr>
        <w:ind w:firstLine="560"/>
      </w:pPr>
      <w:r>
        <w:rPr>
          <w:rFonts w:hint="eastAsia"/>
        </w:rPr>
        <w:t>2、物机部、安环部、综合办公室制定车辆管理办法并督促落实车辆管理办法</w:t>
      </w:r>
    </w:p>
    <w:p w14:paraId="31F6BB59">
      <w:pPr>
        <w:ind w:firstLine="560"/>
      </w:pPr>
      <w:r>
        <w:rPr>
          <w:rFonts w:hint="eastAsia"/>
        </w:rPr>
        <w:t>3、驾驶员应严格执行项目有关安全规定，每天出车前应对车辆进行“三检”，对车辆进行安全性能方面的全面检查，并作好记录，杜绝病车上路。不得驾驶安全设施不全或者有安全隐患的机动车，确保行车安全。</w:t>
      </w:r>
    </w:p>
    <w:p w14:paraId="617E0DB6">
      <w:pPr>
        <w:ind w:firstLine="560"/>
      </w:pPr>
      <w:r>
        <w:rPr>
          <w:rFonts w:hint="eastAsia"/>
        </w:rPr>
        <w:t>4、现场施工区域道路上应在显眼、清晰的位置按规定设置限速交通标志、警示标志或者安全防护设施。在交叉路口、上下坡、转弯处、出入口等位置设置醒目标识。在便道两侧设置反光贴保证夜间行车安全。</w:t>
      </w:r>
    </w:p>
    <w:p w14:paraId="3BE0EACA">
      <w:pPr>
        <w:ind w:firstLine="560"/>
      </w:pPr>
      <w:r>
        <w:rPr>
          <w:rFonts w:hint="eastAsia"/>
        </w:rPr>
        <w:t>5、冬季、雨季做好防滑措施及警示标志，保证车辆行驶安全。</w:t>
      </w:r>
    </w:p>
    <w:p w14:paraId="3E9C21E6">
      <w:pPr>
        <w:ind w:firstLine="560"/>
      </w:pPr>
      <w:r>
        <w:rPr>
          <w:rFonts w:hint="eastAsia"/>
        </w:rPr>
        <w:t>6、机动车在保证安全的情况下，在施工便道行驶时，车速不得超过每小时15公里，汽车吊车行驶速度不超过每小时5公里。</w:t>
      </w:r>
    </w:p>
    <w:p w14:paraId="06CD3838">
      <w:pPr>
        <w:ind w:firstLine="560"/>
      </w:pPr>
      <w:r>
        <w:t>7</w:t>
      </w:r>
      <w:r>
        <w:rPr>
          <w:rFonts w:hint="eastAsia"/>
        </w:rPr>
        <w:t>、生产现场使用的车辆，如机械运输车、吊车、装载车等机械车辆，车辆驾驶人员定岗、定人、定则。并定期做好体检。</w:t>
      </w:r>
    </w:p>
    <w:bookmarkEnd w:id="468"/>
    <w:bookmarkEnd w:id="469"/>
    <w:bookmarkEnd w:id="470"/>
    <w:p w14:paraId="09F270A6">
      <w:pPr>
        <w:pStyle w:val="3"/>
        <w:rPr>
          <w:color w:val="000000"/>
        </w:rPr>
      </w:pPr>
      <w:bookmarkStart w:id="478" w:name="_Toc25745"/>
      <w:bookmarkStart w:id="479" w:name="_Toc21634"/>
      <w:bookmarkStart w:id="480" w:name="_Toc9016"/>
      <w:bookmarkStart w:id="481" w:name="_Toc14932"/>
      <w:bookmarkStart w:id="482" w:name="_Toc943"/>
      <w:bookmarkStart w:id="483" w:name="_Toc24088"/>
      <w:bookmarkStart w:id="484" w:name="_Toc6182"/>
      <w:r>
        <w:rPr>
          <w:rFonts w:hint="eastAsia"/>
          <w:color w:val="000000"/>
        </w:rPr>
        <w:t>9.3 施工安全保证措施</w:t>
      </w:r>
      <w:bookmarkEnd w:id="478"/>
      <w:bookmarkEnd w:id="479"/>
      <w:bookmarkEnd w:id="480"/>
      <w:bookmarkEnd w:id="481"/>
      <w:bookmarkEnd w:id="482"/>
      <w:bookmarkEnd w:id="483"/>
      <w:bookmarkEnd w:id="484"/>
    </w:p>
    <w:p w14:paraId="34D83B8A">
      <w:pPr>
        <w:pStyle w:val="4"/>
        <w:rPr>
          <w:color w:val="000000"/>
        </w:rPr>
      </w:pPr>
      <w:r>
        <w:rPr>
          <w:rFonts w:hint="eastAsia"/>
          <w:color w:val="000000"/>
        </w:rPr>
        <w:t>9.</w:t>
      </w:r>
      <w:r>
        <w:rPr>
          <w:color w:val="000000"/>
        </w:rPr>
        <w:t xml:space="preserve">3.1 </w:t>
      </w:r>
      <w:r>
        <w:rPr>
          <w:rFonts w:hint="eastAsia"/>
          <w:color w:val="000000"/>
        </w:rPr>
        <w:t>组织保证</w:t>
      </w:r>
    </w:p>
    <w:p w14:paraId="6670EF8D">
      <w:pPr>
        <w:ind w:firstLine="560"/>
        <w:rPr>
          <w:color w:val="000000"/>
        </w:rPr>
      </w:pPr>
      <w:r>
        <w:rPr>
          <w:rFonts w:hint="eastAsia"/>
          <w:color w:val="000000"/>
        </w:rPr>
        <w:t>1、建立安全保证体系组织机构，成立以项目经理为组长，安全总监、总工程师、副经理、总经济师为副组长，职能部门负责人为组员的安全领导小组。</w:t>
      </w:r>
    </w:p>
    <w:p w14:paraId="15A2ECEF">
      <w:pPr>
        <w:ind w:firstLine="560"/>
        <w:rPr>
          <w:color w:val="000000"/>
        </w:rPr>
      </w:pPr>
      <w:r>
        <w:rPr>
          <w:rFonts w:hint="eastAsia"/>
          <w:color w:val="000000"/>
        </w:rPr>
        <w:t>2、安全领导小组成立办公室，下设在项目部安全环保部，领导小组成员在施工期间，应保持手机通讯24小时畅通。</w:t>
      </w:r>
    </w:p>
    <w:p w14:paraId="26685834">
      <w:pPr>
        <w:ind w:firstLine="560"/>
        <w:rPr>
          <w:color w:val="000000"/>
        </w:rPr>
      </w:pPr>
      <w:r>
        <w:rPr>
          <w:rFonts w:hint="eastAsia"/>
          <w:color w:val="000000"/>
        </w:rPr>
        <w:t>3、健全自上而下、层层落实的安全管理体系，安全环保部配备足够的专职安全管理人员。</w:t>
      </w:r>
    </w:p>
    <w:p w14:paraId="0C0C9265">
      <w:pPr>
        <w:ind w:firstLine="560"/>
        <w:rPr>
          <w:color w:val="000000"/>
        </w:rPr>
      </w:pPr>
      <w:r>
        <w:rPr>
          <w:rFonts w:hint="eastAsia"/>
          <w:color w:val="000000"/>
        </w:rPr>
        <w:t>4、作业队配兼职安全员、群安员，建立各级网络，做到“专管成线，群管成片”。</w:t>
      </w:r>
    </w:p>
    <w:p w14:paraId="5958D574">
      <w:pPr>
        <w:pStyle w:val="4"/>
        <w:rPr>
          <w:color w:val="000000"/>
        </w:rPr>
      </w:pPr>
      <w:r>
        <w:rPr>
          <w:rFonts w:hint="eastAsia"/>
          <w:color w:val="000000"/>
        </w:rPr>
        <w:t>9.</w:t>
      </w:r>
      <w:r>
        <w:rPr>
          <w:color w:val="000000"/>
        </w:rPr>
        <w:t xml:space="preserve">3.2 </w:t>
      </w:r>
      <w:r>
        <w:rPr>
          <w:rFonts w:hint="eastAsia"/>
          <w:color w:val="000000"/>
        </w:rPr>
        <w:t>制度保证</w:t>
      </w:r>
    </w:p>
    <w:p w14:paraId="400195C9">
      <w:pPr>
        <w:ind w:firstLine="560"/>
        <w:rPr>
          <w:color w:val="000000"/>
        </w:rPr>
      </w:pPr>
      <w:r>
        <w:rPr>
          <w:rFonts w:hint="eastAsia"/>
          <w:color w:val="000000"/>
        </w:rPr>
        <w:t>1、安全检查制度</w:t>
      </w:r>
    </w:p>
    <w:p w14:paraId="17DC2746">
      <w:pPr>
        <w:ind w:firstLine="560"/>
        <w:rPr>
          <w:color w:val="000000"/>
        </w:rPr>
      </w:pPr>
      <w:r>
        <w:rPr>
          <w:rFonts w:hint="eastAsia"/>
          <w:color w:val="000000"/>
        </w:rPr>
        <w:t>（1）定期安全检查制度</w:t>
      </w:r>
    </w:p>
    <w:p w14:paraId="73DB6771">
      <w:pPr>
        <w:ind w:firstLine="560"/>
        <w:rPr>
          <w:color w:val="000000"/>
        </w:rPr>
      </w:pPr>
      <w:r>
        <w:rPr>
          <w:rFonts w:hint="eastAsia"/>
          <w:color w:val="000000"/>
        </w:rPr>
        <w:t>项目部每旬进行定期安全大检查，同时根据实际情况进行不定期安全检查或专项安全检查。</w:t>
      </w:r>
    </w:p>
    <w:p w14:paraId="431C5109">
      <w:pPr>
        <w:ind w:firstLine="560"/>
        <w:rPr>
          <w:color w:val="000000"/>
        </w:rPr>
      </w:pPr>
      <w:r>
        <w:rPr>
          <w:rFonts w:hint="eastAsia"/>
          <w:color w:val="000000"/>
        </w:rPr>
        <w:t>定期安全大检查由项目经理主持，安全环保部组织，安全生产领导小组成员及其他有关人员参加，检查人员在项目部会议室准时集合，根据检查范围进行分组检查。</w:t>
      </w:r>
    </w:p>
    <w:p w14:paraId="305DB132">
      <w:pPr>
        <w:ind w:firstLine="560"/>
        <w:rPr>
          <w:color w:val="000000"/>
        </w:rPr>
      </w:pPr>
      <w:r>
        <w:rPr>
          <w:rFonts w:hint="eastAsia"/>
          <w:color w:val="000000"/>
        </w:rPr>
        <w:t>（2）经常性安全检查</w:t>
      </w:r>
    </w:p>
    <w:p w14:paraId="1563865C">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各作业班组长负责组织开展班前、班后、岗位安全检查并保留检查记录，项目部安全环保部将定期对活动开展情况进行检查。</w:t>
      </w:r>
    </w:p>
    <w:p w14:paraId="26263DEE">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作业工序转换时安全检查。此项检查活动由安全员或现场技术人员实施，并将检查情况记入工程施工日志备查。</w:t>
      </w:r>
    </w:p>
    <w:p w14:paraId="2422AA61">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各级安全员日常巡回安全检查。此项检查活动由专兼职安全员实施，并每天记录巡查日志。</w:t>
      </w:r>
    </w:p>
    <w:p w14:paraId="60EF19B0">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各级管理人员在检查生产的同时检查安全施工。</w:t>
      </w:r>
    </w:p>
    <w:p w14:paraId="4FB95598">
      <w:pPr>
        <w:ind w:firstLine="560"/>
        <w:rPr>
          <w:color w:val="000000"/>
        </w:rPr>
      </w:pPr>
      <w:r>
        <w:rPr>
          <w:rFonts w:hint="eastAsia"/>
          <w:color w:val="000000"/>
        </w:rPr>
        <w:t>（3）专项安全生产检查</w:t>
      </w:r>
    </w:p>
    <w:p w14:paraId="14158E33">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特殊气候条件下施工专项施工安全检查，包括雨（雷）季、大风等。</w:t>
      </w:r>
    </w:p>
    <w:p w14:paraId="19FCF62C">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节假日前后专项安全生产检查。</w:t>
      </w:r>
    </w:p>
    <w:p w14:paraId="187CBFF1">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临时停工后复工前专项安全生产检查。</w:t>
      </w:r>
    </w:p>
    <w:p w14:paraId="04DC3EBF">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大型吊装前、大型结构体系转换前、特种设备、大型临时设备设施投入使用前专项安全生产检查。</w:t>
      </w:r>
    </w:p>
    <w:p w14:paraId="105FCFB9">
      <w:pPr>
        <w:ind w:firstLine="560"/>
        <w:rPr>
          <w:color w:val="000000"/>
        </w:rPr>
      </w:pPr>
      <w:r>
        <w:rPr>
          <w:color w:val="000000"/>
        </w:rPr>
        <w:fldChar w:fldCharType="begin"/>
      </w:r>
      <w:r>
        <w:rPr>
          <w:rFonts w:hint="eastAsia"/>
          <w:color w:val="000000"/>
        </w:rPr>
        <w:instrText xml:space="preserve">= 5 \* GB3</w:instrText>
      </w:r>
      <w:r>
        <w:rPr>
          <w:color w:val="000000"/>
        </w:rPr>
        <w:fldChar w:fldCharType="separate"/>
      </w:r>
      <w:r>
        <w:rPr>
          <w:rFonts w:hint="eastAsia"/>
          <w:color w:val="000000"/>
        </w:rPr>
        <w:t>⑤</w:t>
      </w:r>
      <w:r>
        <w:rPr>
          <w:color w:val="000000"/>
        </w:rPr>
        <w:fldChar w:fldCharType="end"/>
      </w:r>
      <w:r>
        <w:rPr>
          <w:rFonts w:hint="eastAsia"/>
          <w:color w:val="000000"/>
        </w:rPr>
        <w:t>上级要求的专项安全生产检查。</w:t>
      </w:r>
    </w:p>
    <w:p w14:paraId="46B0B7BC">
      <w:pPr>
        <w:ind w:firstLine="560"/>
        <w:rPr>
          <w:color w:val="000000"/>
        </w:rPr>
      </w:pPr>
      <w:r>
        <w:rPr>
          <w:rFonts w:hint="eastAsia"/>
          <w:color w:val="000000"/>
        </w:rPr>
        <w:t>（4）安全环保部做好各项检查记录，对重要隐患下发安全事故隐患通知单一式两份，按照“五定”（即：定整改措施、定整改时间、定整改负责人、定整改标准、定整改落实人）的原则，各部门或作业队分管负责人对隐患进行落实整改，整改完毕后书面及时返回安全环保部、质量管理部保存。</w:t>
      </w:r>
    </w:p>
    <w:p w14:paraId="048584BD">
      <w:pPr>
        <w:ind w:firstLine="560"/>
        <w:rPr>
          <w:color w:val="000000"/>
        </w:rPr>
      </w:pPr>
      <w:r>
        <w:rPr>
          <w:rFonts w:hint="eastAsia"/>
          <w:color w:val="000000"/>
        </w:rPr>
        <w:t>2、安全教育制度</w:t>
      </w:r>
    </w:p>
    <w:p w14:paraId="1141E72F">
      <w:pPr>
        <w:ind w:firstLine="560"/>
        <w:rPr>
          <w:color w:val="000000"/>
        </w:rPr>
      </w:pPr>
      <w:r>
        <w:rPr>
          <w:rFonts w:hint="eastAsia"/>
          <w:color w:val="000000"/>
          <w:lang w:val="zh-CN"/>
        </w:rPr>
        <w:t>（1）</w:t>
      </w:r>
      <w:r>
        <w:rPr>
          <w:rFonts w:hint="eastAsia"/>
          <w:color w:val="000000"/>
        </w:rPr>
        <w:t>项目部应对全体员工及参加项目所属各项工程施工的生产人员进行上岗前安全培训，并进行考核。</w:t>
      </w:r>
    </w:p>
    <w:p w14:paraId="284EA31C">
      <w:pPr>
        <w:ind w:firstLine="560"/>
        <w:rPr>
          <w:color w:val="000000"/>
        </w:rPr>
      </w:pPr>
      <w:r>
        <w:rPr>
          <w:rFonts w:hint="eastAsia"/>
          <w:color w:val="000000"/>
          <w:lang w:val="zh-CN"/>
        </w:rPr>
        <w:t>（2）</w:t>
      </w:r>
      <w:r>
        <w:rPr>
          <w:rFonts w:hint="eastAsia"/>
          <w:color w:val="000000"/>
        </w:rPr>
        <w:t>项目部全体员工及参加项目所属各项工程施工的生产人员应接受安全培训，熟悉有关安全生产规章制度和安全操作规程，具备必要的安全生产知识，掌握本岗位的安全操作技能，增强预防事故、控制职业危害和应急处理的能力。</w:t>
      </w:r>
    </w:p>
    <w:p w14:paraId="6BD42304">
      <w:pPr>
        <w:ind w:firstLine="560"/>
        <w:rPr>
          <w:color w:val="000000"/>
        </w:rPr>
      </w:pPr>
      <w:r>
        <w:rPr>
          <w:rFonts w:hint="eastAsia"/>
          <w:color w:val="000000"/>
          <w:lang w:val="zh-CN"/>
        </w:rPr>
        <w:t>（3）</w:t>
      </w:r>
      <w:r>
        <w:rPr>
          <w:rFonts w:hint="eastAsia"/>
          <w:color w:val="000000"/>
        </w:rPr>
        <w:t>未经安全生产培训、考核合格的从业人员，不得上岗或参与项目所属工程项目的施工生产。</w:t>
      </w:r>
    </w:p>
    <w:p w14:paraId="445032FC">
      <w:pPr>
        <w:ind w:firstLine="560"/>
        <w:rPr>
          <w:color w:val="000000"/>
        </w:rPr>
      </w:pPr>
      <w:r>
        <w:rPr>
          <w:rFonts w:hint="eastAsia"/>
          <w:color w:val="000000"/>
          <w:lang w:val="zh-CN"/>
        </w:rPr>
        <w:t>（4）</w:t>
      </w:r>
      <w:r>
        <w:rPr>
          <w:rFonts w:hint="eastAsia"/>
          <w:color w:val="000000"/>
        </w:rPr>
        <w:t>项目部经理和专职安全生产管理人员应积极参加公司、业主组织的安全生产再培训。</w:t>
      </w:r>
    </w:p>
    <w:p w14:paraId="53C0C1FD">
      <w:pPr>
        <w:ind w:firstLine="560"/>
        <w:rPr>
          <w:color w:val="000000"/>
        </w:rPr>
      </w:pPr>
      <w:r>
        <w:rPr>
          <w:rFonts w:hint="eastAsia"/>
          <w:color w:val="000000"/>
          <w:lang w:val="zh-CN"/>
        </w:rPr>
        <w:t>（5）</w:t>
      </w:r>
      <w:r>
        <w:rPr>
          <w:rFonts w:hint="eastAsia"/>
          <w:color w:val="000000"/>
        </w:rPr>
        <w:t>特种作业人员，必须按照国家有关法律、法规的规定接受专门的安全培训，经省、市级劳动安全部门考核合格，取得特种作业操作资格证书后，方可上岗作业。</w:t>
      </w:r>
    </w:p>
    <w:p w14:paraId="24DEFBF3">
      <w:pPr>
        <w:ind w:firstLine="560"/>
        <w:rPr>
          <w:color w:val="000000"/>
        </w:rPr>
      </w:pPr>
      <w:r>
        <w:rPr>
          <w:rFonts w:hint="eastAsia"/>
          <w:color w:val="000000"/>
          <w:lang w:val="zh-CN"/>
        </w:rPr>
        <w:t>（6）</w:t>
      </w:r>
      <w:r>
        <w:rPr>
          <w:rFonts w:hint="eastAsia"/>
          <w:color w:val="000000"/>
        </w:rPr>
        <w:t>实施新工艺、新技术或者使用新设备、新材料时，应当对有关作业人员重新进行有针对性的安全培训。</w:t>
      </w:r>
    </w:p>
    <w:p w14:paraId="1974687B">
      <w:pPr>
        <w:ind w:firstLine="560"/>
        <w:rPr>
          <w:color w:val="000000"/>
        </w:rPr>
      </w:pPr>
      <w:r>
        <w:rPr>
          <w:rFonts w:hint="eastAsia"/>
          <w:color w:val="000000"/>
        </w:rPr>
        <w:t>3、特种作业人员管理制度</w:t>
      </w:r>
    </w:p>
    <w:p w14:paraId="21D8E9F0">
      <w:pPr>
        <w:ind w:firstLine="560"/>
        <w:rPr>
          <w:color w:val="000000"/>
        </w:rPr>
      </w:pPr>
      <w:r>
        <w:rPr>
          <w:rFonts w:hint="eastAsia"/>
          <w:color w:val="000000"/>
          <w:lang w:val="zh-CN"/>
        </w:rPr>
        <w:t>（1）</w:t>
      </w:r>
      <w:r>
        <w:rPr>
          <w:rFonts w:hint="eastAsia"/>
          <w:color w:val="000000"/>
        </w:rPr>
        <w:t>特种作业人员（包括电工、焊工、起重工、场内机动车司机等），质量技术监督部门或建设行政主管部门组织的安全技术培训，经教育、考核、复验，考核合格取得合格证，获取操作证者方准上岗作业。</w:t>
      </w:r>
    </w:p>
    <w:p w14:paraId="199358F5">
      <w:pPr>
        <w:ind w:firstLine="560"/>
        <w:rPr>
          <w:color w:val="000000"/>
        </w:rPr>
      </w:pPr>
      <w:r>
        <w:rPr>
          <w:rFonts w:hint="eastAsia"/>
          <w:color w:val="000000"/>
          <w:lang w:val="zh-CN"/>
        </w:rPr>
        <w:t>（2）</w:t>
      </w:r>
      <w:r>
        <w:rPr>
          <w:rFonts w:hint="eastAsia"/>
          <w:color w:val="000000"/>
        </w:rPr>
        <w:t>取得操作证的特种作业人员，应定期进行复审，未按期复审或复审不合格者，其操作证自行失效，该特种工不准上岗作业。</w:t>
      </w:r>
    </w:p>
    <w:p w14:paraId="44C86E65">
      <w:pPr>
        <w:ind w:firstLine="560"/>
        <w:rPr>
          <w:color w:val="000000"/>
        </w:rPr>
      </w:pPr>
      <w:r>
        <w:rPr>
          <w:rFonts w:hint="eastAsia"/>
          <w:color w:val="000000"/>
        </w:rPr>
        <w:t>4、特种设备管理制度</w:t>
      </w:r>
    </w:p>
    <w:p w14:paraId="583FE5CB">
      <w:pPr>
        <w:ind w:firstLine="560"/>
        <w:rPr>
          <w:color w:val="000000"/>
        </w:rPr>
      </w:pPr>
      <w:r>
        <w:rPr>
          <w:rFonts w:hint="eastAsia"/>
          <w:color w:val="000000"/>
          <w:lang w:val="zh-CN"/>
        </w:rPr>
        <w:t>（1）</w:t>
      </w:r>
      <w:r>
        <w:rPr>
          <w:rFonts w:hint="eastAsia"/>
          <w:color w:val="000000"/>
        </w:rPr>
        <w:t>项目部设备物资部必须严格执行《中华人民共和国特种设备安全法》规定，保证特种设备的安全使用，并明确管理人员及每台设备的安全责任人。</w:t>
      </w:r>
    </w:p>
    <w:p w14:paraId="265F7311">
      <w:pPr>
        <w:ind w:firstLine="560"/>
        <w:rPr>
          <w:color w:val="000000"/>
        </w:rPr>
      </w:pPr>
      <w:r>
        <w:rPr>
          <w:rFonts w:hint="eastAsia"/>
          <w:color w:val="000000"/>
          <w:lang w:val="zh-CN"/>
        </w:rPr>
        <w:t>（2）</w:t>
      </w:r>
      <w:r>
        <w:rPr>
          <w:rFonts w:hint="eastAsia"/>
          <w:color w:val="000000"/>
        </w:rPr>
        <w:t>设备物资部、安全环保部、工程技术部等部门应对进场设备进行验收，验收合格后方可投入使用，并按“一机一档”的原则建立台帐，归档保存，并将《特种设备管理台账》报安全环保部备案；安装、使用和维修改造应符合相关规定要求。</w:t>
      </w:r>
    </w:p>
    <w:p w14:paraId="36CE103E">
      <w:pPr>
        <w:ind w:firstLine="560"/>
        <w:rPr>
          <w:color w:val="000000"/>
        </w:rPr>
      </w:pPr>
      <w:r>
        <w:rPr>
          <w:rFonts w:hint="eastAsia"/>
          <w:color w:val="000000"/>
          <w:lang w:val="zh-CN"/>
        </w:rPr>
        <w:t>（3）</w:t>
      </w:r>
      <w:r>
        <w:rPr>
          <w:rFonts w:hint="eastAsia"/>
          <w:color w:val="000000"/>
        </w:rPr>
        <w:t>进场特种设备应经国家特种设备安全监督管理部门检验检测合格后方可投入使用。</w:t>
      </w:r>
    </w:p>
    <w:p w14:paraId="1A51F5CA">
      <w:pPr>
        <w:ind w:firstLine="560"/>
        <w:rPr>
          <w:color w:val="000000"/>
        </w:rPr>
      </w:pPr>
      <w:r>
        <w:rPr>
          <w:rFonts w:hint="eastAsia"/>
          <w:color w:val="000000"/>
          <w:lang w:val="zh-CN"/>
        </w:rPr>
        <w:t>（4）</w:t>
      </w:r>
      <w:r>
        <w:rPr>
          <w:rFonts w:hint="eastAsia"/>
          <w:color w:val="000000"/>
        </w:rPr>
        <w:t>使用单位至少每月进行一次自行检查，对查出的问题必须及时处理，并按技术规范作定期检验。</w:t>
      </w:r>
    </w:p>
    <w:p w14:paraId="554F0300">
      <w:pPr>
        <w:ind w:firstLine="560"/>
        <w:rPr>
          <w:color w:val="000000"/>
        </w:rPr>
      </w:pPr>
      <w:r>
        <w:rPr>
          <w:rFonts w:hint="eastAsia"/>
          <w:color w:val="000000"/>
          <w:lang w:val="zh-CN"/>
        </w:rPr>
        <w:t>（5）</w:t>
      </w:r>
      <w:r>
        <w:rPr>
          <w:rFonts w:hint="eastAsia"/>
          <w:color w:val="000000"/>
        </w:rPr>
        <w:t>特种设备使用单位负责日常保养和维护工作并做好记录。</w:t>
      </w:r>
    </w:p>
    <w:p w14:paraId="5332EED1">
      <w:pPr>
        <w:ind w:firstLine="560"/>
        <w:rPr>
          <w:color w:val="000000"/>
        </w:rPr>
      </w:pPr>
      <w:r>
        <w:rPr>
          <w:rFonts w:hint="eastAsia"/>
          <w:color w:val="000000"/>
          <w:lang w:val="zh-CN"/>
        </w:rPr>
        <w:t>（6）</w:t>
      </w:r>
      <w:r>
        <w:rPr>
          <w:rFonts w:hint="eastAsia"/>
          <w:color w:val="000000"/>
        </w:rPr>
        <w:t>凡需持证操作的设备必须执行定人、定机、定岗位的“三定”制度。</w:t>
      </w:r>
    </w:p>
    <w:p w14:paraId="64009D44">
      <w:pPr>
        <w:ind w:firstLine="560"/>
        <w:rPr>
          <w:color w:val="000000"/>
        </w:rPr>
      </w:pPr>
      <w:r>
        <w:rPr>
          <w:rFonts w:hint="eastAsia"/>
          <w:color w:val="000000"/>
          <w:lang w:val="zh-CN"/>
        </w:rPr>
        <w:t>（7）</w:t>
      </w:r>
      <w:r>
        <w:rPr>
          <w:rFonts w:hint="eastAsia"/>
          <w:color w:val="000000"/>
        </w:rPr>
        <w:t>特种设备的操作人员必须持证上岗，严格执行特种设备的安全操作规程。</w:t>
      </w:r>
    </w:p>
    <w:p w14:paraId="069E35A3">
      <w:pPr>
        <w:ind w:firstLine="560"/>
        <w:rPr>
          <w:color w:val="000000"/>
        </w:rPr>
      </w:pPr>
      <w:r>
        <w:rPr>
          <w:rFonts w:hint="eastAsia"/>
          <w:color w:val="000000"/>
          <w:lang w:val="zh-CN"/>
        </w:rPr>
        <w:t>（8）</w:t>
      </w:r>
      <w:r>
        <w:rPr>
          <w:rFonts w:hint="eastAsia"/>
          <w:color w:val="000000"/>
        </w:rPr>
        <w:t>特种设备管理人员须持证上岗，方可从事相应管理工作。</w:t>
      </w:r>
    </w:p>
    <w:p w14:paraId="7E7C7252">
      <w:pPr>
        <w:ind w:firstLine="560"/>
        <w:rPr>
          <w:color w:val="000000"/>
        </w:rPr>
      </w:pPr>
      <w:r>
        <w:rPr>
          <w:rFonts w:hint="eastAsia"/>
          <w:color w:val="000000"/>
          <w:lang w:val="zh-CN"/>
        </w:rPr>
        <w:t>（9）</w:t>
      </w:r>
      <w:r>
        <w:rPr>
          <w:rFonts w:hint="eastAsia"/>
          <w:color w:val="000000"/>
        </w:rPr>
        <w:t>特种设备须在显著位置设置标识牌。</w:t>
      </w:r>
    </w:p>
    <w:p w14:paraId="073AB844">
      <w:pPr>
        <w:ind w:firstLine="560"/>
        <w:rPr>
          <w:color w:val="000000"/>
        </w:rPr>
      </w:pPr>
      <w:r>
        <w:rPr>
          <w:rFonts w:hint="eastAsia"/>
          <w:color w:val="000000"/>
        </w:rPr>
        <w:t>5、安全生产例会制度</w:t>
      </w:r>
    </w:p>
    <w:p w14:paraId="72BBC192">
      <w:pPr>
        <w:ind w:firstLine="560"/>
        <w:rPr>
          <w:color w:val="000000"/>
        </w:rPr>
      </w:pPr>
      <w:r>
        <w:rPr>
          <w:rFonts w:hint="eastAsia"/>
          <w:color w:val="000000"/>
          <w:lang w:val="zh-CN"/>
        </w:rPr>
        <w:t>（1）</w:t>
      </w:r>
      <w:r>
        <w:rPr>
          <w:rFonts w:hint="eastAsia"/>
          <w:color w:val="000000"/>
        </w:rPr>
        <w:t>项目部每月召开一次安全生产例会，根据情况，可以增加安全生产例会次数，或者召开专项安全生产例会。</w:t>
      </w:r>
    </w:p>
    <w:p w14:paraId="27FDF913">
      <w:pPr>
        <w:ind w:firstLine="560"/>
        <w:rPr>
          <w:color w:val="000000"/>
        </w:rPr>
      </w:pPr>
      <w:r>
        <w:rPr>
          <w:rFonts w:hint="eastAsia"/>
          <w:color w:val="000000"/>
          <w:lang w:val="zh-CN"/>
        </w:rPr>
        <w:t>（2）</w:t>
      </w:r>
      <w:r>
        <w:rPr>
          <w:rFonts w:hint="eastAsia"/>
          <w:color w:val="000000"/>
        </w:rPr>
        <w:t>安全生产例会由主管生产的副经理或安全总监召集并主持。一般在月度安全生产检查后及时召开，可以和生产例会同时召开。</w:t>
      </w:r>
    </w:p>
    <w:p w14:paraId="55490B45">
      <w:pPr>
        <w:ind w:firstLine="560"/>
        <w:rPr>
          <w:color w:val="000000"/>
        </w:rPr>
      </w:pPr>
      <w:r>
        <w:rPr>
          <w:rFonts w:hint="eastAsia"/>
          <w:color w:val="000000"/>
          <w:lang w:val="zh-CN"/>
        </w:rPr>
        <w:t>（3）</w:t>
      </w:r>
      <w:r>
        <w:rPr>
          <w:rFonts w:hint="eastAsia"/>
          <w:color w:val="000000"/>
        </w:rPr>
        <w:t>项目部安全生产领导小组成员、各工区经理和技术负责人、专职安全管理人员、安全保卫负责人、各劳务协作单位负责人、租赁机械设备单位管理人员应参加安全生产例会。</w:t>
      </w:r>
    </w:p>
    <w:p w14:paraId="6E4226D6">
      <w:pPr>
        <w:ind w:firstLine="560"/>
        <w:rPr>
          <w:color w:val="000000"/>
        </w:rPr>
      </w:pPr>
      <w:r>
        <w:rPr>
          <w:rFonts w:hint="eastAsia"/>
          <w:color w:val="000000"/>
          <w:lang w:val="zh-CN"/>
        </w:rPr>
        <w:t>（4）</w:t>
      </w:r>
      <w:r>
        <w:rPr>
          <w:rFonts w:hint="eastAsia"/>
          <w:color w:val="000000"/>
        </w:rPr>
        <w:t>项目部月度安全生产例会议程包括：</w:t>
      </w:r>
    </w:p>
    <w:p w14:paraId="7AD8D899">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汇报上月项目部安全生产管理工作总体情况及安全生产大检查及日常安全巡查发现的情况。</w:t>
      </w:r>
    </w:p>
    <w:p w14:paraId="6BFA6555">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上月项目部发生的生产安全事故分析。</w:t>
      </w:r>
    </w:p>
    <w:p w14:paraId="000E628C">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项目部目前安全生产状况及当前需要做好的工作。</w:t>
      </w:r>
    </w:p>
    <w:p w14:paraId="42E7414B">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国家、上级机关关于安全生产工作的新法律、规章制度和相关要求的学习通报。</w:t>
      </w:r>
    </w:p>
    <w:p w14:paraId="3CC0A913">
      <w:pPr>
        <w:ind w:firstLine="560"/>
        <w:rPr>
          <w:color w:val="000000"/>
        </w:rPr>
      </w:pPr>
      <w:r>
        <w:rPr>
          <w:color w:val="000000"/>
        </w:rPr>
        <w:fldChar w:fldCharType="begin"/>
      </w:r>
      <w:r>
        <w:rPr>
          <w:rFonts w:hint="eastAsia"/>
          <w:color w:val="000000"/>
        </w:rPr>
        <w:instrText xml:space="preserve">= 5 \* GB3</w:instrText>
      </w:r>
      <w:r>
        <w:rPr>
          <w:color w:val="000000"/>
        </w:rPr>
        <w:fldChar w:fldCharType="separate"/>
      </w:r>
      <w:r>
        <w:rPr>
          <w:rFonts w:hint="eastAsia"/>
          <w:color w:val="000000"/>
        </w:rPr>
        <w:t>⑤</w:t>
      </w:r>
      <w:r>
        <w:rPr>
          <w:color w:val="000000"/>
        </w:rPr>
        <w:fldChar w:fldCharType="end"/>
      </w:r>
      <w:r>
        <w:rPr>
          <w:rFonts w:hint="eastAsia"/>
          <w:color w:val="000000"/>
        </w:rPr>
        <w:t>分析确定下月项目部安全生产工作重点，确定安全生产重点监控部位。</w:t>
      </w:r>
    </w:p>
    <w:p w14:paraId="46230250">
      <w:pPr>
        <w:ind w:firstLine="560"/>
        <w:rPr>
          <w:color w:val="000000"/>
        </w:rPr>
      </w:pPr>
      <w:r>
        <w:rPr>
          <w:color w:val="000000"/>
        </w:rPr>
        <w:fldChar w:fldCharType="begin"/>
      </w:r>
      <w:r>
        <w:rPr>
          <w:rFonts w:hint="eastAsia"/>
          <w:color w:val="000000"/>
        </w:rPr>
        <w:instrText xml:space="preserve">= 6 \* GB3</w:instrText>
      </w:r>
      <w:r>
        <w:rPr>
          <w:color w:val="000000"/>
        </w:rPr>
        <w:fldChar w:fldCharType="separate"/>
      </w:r>
      <w:r>
        <w:rPr>
          <w:rFonts w:hint="eastAsia"/>
          <w:color w:val="000000"/>
        </w:rPr>
        <w:t>⑥</w:t>
      </w:r>
      <w:r>
        <w:rPr>
          <w:color w:val="000000"/>
        </w:rPr>
        <w:fldChar w:fldCharType="end"/>
      </w:r>
      <w:r>
        <w:rPr>
          <w:rFonts w:hint="eastAsia"/>
          <w:color w:val="000000"/>
        </w:rPr>
        <w:t>落实相关安全生产问题的解决方案和责任部门或人员。</w:t>
      </w:r>
    </w:p>
    <w:p w14:paraId="481C8AAF">
      <w:pPr>
        <w:ind w:firstLine="560"/>
        <w:rPr>
          <w:color w:val="000000"/>
        </w:rPr>
      </w:pPr>
      <w:r>
        <w:rPr>
          <w:color w:val="000000"/>
        </w:rPr>
        <w:fldChar w:fldCharType="begin"/>
      </w:r>
      <w:r>
        <w:rPr>
          <w:rFonts w:hint="eastAsia"/>
          <w:color w:val="000000"/>
        </w:rPr>
        <w:instrText xml:space="preserve">= 7 \* GB3</w:instrText>
      </w:r>
      <w:r>
        <w:rPr>
          <w:color w:val="000000"/>
        </w:rPr>
        <w:fldChar w:fldCharType="separate"/>
      </w:r>
      <w:r>
        <w:rPr>
          <w:rFonts w:hint="eastAsia"/>
          <w:color w:val="000000"/>
        </w:rPr>
        <w:t>⑦</w:t>
      </w:r>
      <w:r>
        <w:rPr>
          <w:color w:val="000000"/>
        </w:rPr>
        <w:fldChar w:fldCharType="end"/>
      </w:r>
      <w:r>
        <w:rPr>
          <w:rFonts w:hint="eastAsia"/>
          <w:color w:val="000000"/>
        </w:rPr>
        <w:t>其他需要解决的安全生产相关问题。</w:t>
      </w:r>
    </w:p>
    <w:p w14:paraId="0A012A54">
      <w:pPr>
        <w:ind w:firstLine="560"/>
        <w:rPr>
          <w:color w:val="000000"/>
        </w:rPr>
      </w:pPr>
      <w:r>
        <w:rPr>
          <w:rFonts w:hint="eastAsia"/>
          <w:color w:val="000000"/>
          <w:lang w:val="zh-CN"/>
        </w:rPr>
        <w:t>（5）</w:t>
      </w:r>
      <w:r>
        <w:rPr>
          <w:rFonts w:hint="eastAsia"/>
          <w:color w:val="000000"/>
        </w:rPr>
        <w:t>安全生产例会的内容要记录清楚，必要时要形成会议记要，会议形成的各项决议、有关部门和人员必须认真落实，安全环保部、质量管理部负责监督。</w:t>
      </w:r>
    </w:p>
    <w:p w14:paraId="69C18851">
      <w:pPr>
        <w:ind w:firstLine="560"/>
        <w:rPr>
          <w:color w:val="000000"/>
        </w:rPr>
      </w:pPr>
      <w:r>
        <w:rPr>
          <w:rFonts w:hint="eastAsia"/>
          <w:color w:val="000000"/>
          <w:lang w:val="zh-CN"/>
        </w:rPr>
        <w:t>（6）</w:t>
      </w:r>
      <w:r>
        <w:rPr>
          <w:rFonts w:hint="eastAsia"/>
          <w:color w:val="000000"/>
        </w:rPr>
        <w:t>安全生产例会会议记录由安全环保部、质量管理部记录并保存。</w:t>
      </w:r>
    </w:p>
    <w:p w14:paraId="40978748">
      <w:pPr>
        <w:ind w:firstLine="560"/>
        <w:rPr>
          <w:color w:val="000000"/>
        </w:rPr>
      </w:pPr>
      <w:r>
        <w:rPr>
          <w:rFonts w:hint="eastAsia"/>
          <w:color w:val="000000"/>
        </w:rPr>
        <w:t>6、职业健康管理制度</w:t>
      </w:r>
    </w:p>
    <w:p w14:paraId="102DB8AA">
      <w:pPr>
        <w:ind w:firstLine="560"/>
        <w:rPr>
          <w:color w:val="000000"/>
        </w:rPr>
      </w:pPr>
      <w:r>
        <w:rPr>
          <w:rFonts w:hint="eastAsia"/>
          <w:color w:val="000000"/>
          <w:lang w:val="zh-CN"/>
        </w:rPr>
        <w:t>（1）</w:t>
      </w:r>
      <w:r>
        <w:rPr>
          <w:rFonts w:hint="eastAsia"/>
          <w:color w:val="000000"/>
        </w:rPr>
        <w:t>劳动保护措施</w:t>
      </w:r>
    </w:p>
    <w:p w14:paraId="45120DA0">
      <w:pPr>
        <w:ind w:firstLine="560"/>
        <w:rPr>
          <w:color w:val="000000"/>
        </w:rPr>
      </w:pPr>
      <w:r>
        <w:rPr>
          <w:rFonts w:ascii="宋体" w:hAnsi="宋体" w:eastAsia="宋体" w:cs="宋体"/>
          <w:color w:val="000000"/>
        </w:rPr>
        <w:fldChar w:fldCharType="begin"/>
      </w:r>
      <w:r>
        <w:rPr>
          <w:rFonts w:hint="eastAsia" w:ascii="宋体" w:hAnsi="宋体" w:eastAsia="宋体" w:cs="宋体"/>
          <w:color w:val="000000"/>
        </w:rPr>
        <w:instrText xml:space="preserve">= 1 \* GB3</w:instrText>
      </w:r>
      <w:r>
        <w:rPr>
          <w:rFonts w:ascii="宋体" w:hAnsi="宋体" w:eastAsia="宋体" w:cs="宋体"/>
          <w:color w:val="000000"/>
        </w:rPr>
        <w:fldChar w:fldCharType="separate"/>
      </w:r>
      <w:r>
        <w:rPr>
          <w:rFonts w:hint="eastAsia" w:ascii="宋体" w:hAnsi="宋体" w:eastAsia="宋体" w:cs="宋体"/>
          <w:color w:val="000000"/>
        </w:rPr>
        <w:t>①</w:t>
      </w:r>
      <w:r>
        <w:rPr>
          <w:rFonts w:ascii="宋体" w:hAnsi="宋体" w:eastAsia="宋体" w:cs="宋体"/>
          <w:color w:val="000000"/>
        </w:rPr>
        <w:fldChar w:fldCharType="end"/>
      </w:r>
      <w:r>
        <w:rPr>
          <w:rFonts w:hint="eastAsia"/>
          <w:color w:val="000000"/>
        </w:rPr>
        <w:t xml:space="preserve">接触粉尘、有毒有害气体等有害、危险施工环境的作业职工，按有关规定发放个人劳动保护用品，并监督检查使用情况，以确保正常使用。  </w:t>
      </w:r>
    </w:p>
    <w:p w14:paraId="60A191FC">
      <w:pPr>
        <w:ind w:firstLine="560"/>
        <w:rPr>
          <w:color w:val="000000"/>
        </w:rPr>
      </w:pPr>
      <w:r>
        <w:rPr>
          <w:rFonts w:ascii="宋体" w:hAnsi="宋体" w:eastAsia="宋体" w:cs="宋体"/>
          <w:color w:val="000000"/>
        </w:rPr>
        <w:fldChar w:fldCharType="begin"/>
      </w:r>
      <w:r>
        <w:rPr>
          <w:rFonts w:hint="eastAsia" w:ascii="宋体" w:hAnsi="宋体" w:eastAsia="宋体" w:cs="宋体"/>
          <w:color w:val="000000"/>
        </w:rPr>
        <w:instrText xml:space="preserve">= 2 \* GB3</w:instrText>
      </w:r>
      <w:r>
        <w:rPr>
          <w:rFonts w:ascii="宋体" w:hAnsi="宋体" w:eastAsia="宋体" w:cs="宋体"/>
          <w:color w:val="000000"/>
        </w:rPr>
        <w:fldChar w:fldCharType="separate"/>
      </w:r>
      <w:r>
        <w:rPr>
          <w:rFonts w:hint="eastAsia" w:ascii="宋体" w:hAnsi="宋体" w:eastAsia="宋体" w:cs="宋体"/>
          <w:color w:val="000000"/>
        </w:rPr>
        <w:t>②</w:t>
      </w:r>
      <w:r>
        <w:rPr>
          <w:rFonts w:ascii="宋体" w:hAnsi="宋体" w:eastAsia="宋体" w:cs="宋体"/>
          <w:color w:val="000000"/>
        </w:rPr>
        <w:fldChar w:fldCharType="end"/>
      </w:r>
      <w:r>
        <w:rPr>
          <w:rFonts w:hint="eastAsia"/>
          <w:color w:val="000000"/>
        </w:rPr>
        <w:t xml:space="preserve">加强机械保养，减少施工机械不正常运转造成的噪音。 </w:t>
      </w:r>
    </w:p>
    <w:p w14:paraId="316A48BD">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对于噪音超标的机械设备，采用消音器降低噪音。</w:t>
      </w:r>
    </w:p>
    <w:p w14:paraId="55754C7B">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对经常接触有噪音的职工，加强个人防护，佩带耳塞消除影响。</w:t>
      </w:r>
    </w:p>
    <w:p w14:paraId="1003F203">
      <w:pPr>
        <w:ind w:firstLine="560"/>
        <w:rPr>
          <w:color w:val="000000"/>
        </w:rPr>
      </w:pPr>
      <w:r>
        <w:rPr>
          <w:rFonts w:ascii="宋体" w:hAnsi="宋体" w:eastAsia="宋体" w:cs="宋体"/>
          <w:color w:val="000000"/>
        </w:rPr>
        <w:fldChar w:fldCharType="begin"/>
      </w:r>
      <w:r>
        <w:rPr>
          <w:rFonts w:hint="eastAsia" w:ascii="宋体" w:hAnsi="宋体" w:eastAsia="宋体" w:cs="宋体"/>
          <w:color w:val="000000"/>
        </w:rPr>
        <w:instrText xml:space="preserve">= 5 \* GB3</w:instrText>
      </w:r>
      <w:r>
        <w:rPr>
          <w:rFonts w:ascii="宋体" w:hAnsi="宋体" w:eastAsia="宋体" w:cs="宋体"/>
          <w:color w:val="000000"/>
        </w:rPr>
        <w:fldChar w:fldCharType="separate"/>
      </w:r>
      <w:r>
        <w:rPr>
          <w:rFonts w:hint="eastAsia" w:ascii="宋体" w:hAnsi="宋体" w:eastAsia="宋体" w:cs="宋体"/>
          <w:color w:val="000000"/>
        </w:rPr>
        <w:t>⑤</w:t>
      </w:r>
      <w:r>
        <w:rPr>
          <w:rFonts w:ascii="宋体" w:hAnsi="宋体" w:eastAsia="宋体" w:cs="宋体"/>
          <w:color w:val="000000"/>
        </w:rPr>
        <w:fldChar w:fldCharType="end"/>
      </w:r>
      <w:r>
        <w:rPr>
          <w:rFonts w:hint="eastAsia"/>
          <w:color w:val="000000"/>
        </w:rPr>
        <w:t>按照劳动法的要求，做好本工程的劳动、保护装备工作，根据每个工种的人数以及劳动性质，由物机部门负责采购，配备充足而且必要的劳动保护用品。同时加强行政管理，落实劳动保护措施。</w:t>
      </w:r>
    </w:p>
    <w:p w14:paraId="02682314">
      <w:pPr>
        <w:ind w:firstLine="560"/>
        <w:rPr>
          <w:color w:val="000000"/>
        </w:rPr>
      </w:pPr>
      <w:r>
        <w:rPr>
          <w:rFonts w:cs="仿宋"/>
          <w:color w:val="000000"/>
        </w:rPr>
        <w:fldChar w:fldCharType="begin"/>
      </w:r>
      <w:r>
        <w:rPr>
          <w:rFonts w:hint="eastAsia" w:cs="仿宋"/>
          <w:color w:val="000000"/>
        </w:rPr>
        <w:instrText xml:space="preserve">= 6 \* GB3</w:instrText>
      </w:r>
      <w:r>
        <w:rPr>
          <w:rFonts w:cs="仿宋"/>
          <w:color w:val="000000"/>
        </w:rPr>
        <w:fldChar w:fldCharType="separate"/>
      </w:r>
      <w:r>
        <w:rPr>
          <w:rFonts w:hint="eastAsia" w:cs="仿宋"/>
          <w:color w:val="000000"/>
        </w:rPr>
        <w:t>⑥</w:t>
      </w:r>
      <w:r>
        <w:rPr>
          <w:rFonts w:cs="仿宋"/>
          <w:color w:val="000000"/>
        </w:rPr>
        <w:fldChar w:fldCharType="end"/>
      </w:r>
      <w:r>
        <w:rPr>
          <w:rFonts w:hint="eastAsia"/>
          <w:color w:val="000000"/>
        </w:rPr>
        <w:t>现场电焊作业人员，必须佩戴好护目镜。</w:t>
      </w:r>
    </w:p>
    <w:p w14:paraId="70165C67">
      <w:pPr>
        <w:ind w:firstLine="560"/>
        <w:rPr>
          <w:color w:val="000000"/>
        </w:rPr>
      </w:pPr>
      <w:r>
        <w:rPr>
          <w:color w:val="000000"/>
        </w:rPr>
        <w:fldChar w:fldCharType="begin"/>
      </w:r>
      <w:r>
        <w:rPr>
          <w:rFonts w:hint="eastAsia"/>
          <w:color w:val="000000"/>
        </w:rPr>
        <w:instrText xml:space="preserve">= 7 \* GB3</w:instrText>
      </w:r>
      <w:r>
        <w:rPr>
          <w:color w:val="000000"/>
        </w:rPr>
        <w:fldChar w:fldCharType="separate"/>
      </w:r>
      <w:r>
        <w:rPr>
          <w:rFonts w:hint="eastAsia"/>
          <w:color w:val="000000"/>
        </w:rPr>
        <w:t>⑦</w:t>
      </w:r>
      <w:r>
        <w:rPr>
          <w:color w:val="000000"/>
        </w:rPr>
        <w:fldChar w:fldCharType="end"/>
      </w:r>
      <w:r>
        <w:rPr>
          <w:rFonts w:hint="eastAsia"/>
          <w:color w:val="000000"/>
        </w:rPr>
        <w:t>劳动保护装备要符合以下要求：</w:t>
      </w:r>
    </w:p>
    <w:p w14:paraId="24E3C6B8">
      <w:pPr>
        <w:ind w:firstLine="560"/>
        <w:rPr>
          <w:color w:val="000000"/>
        </w:rPr>
      </w:pPr>
      <w:r>
        <w:rPr>
          <w:color w:val="000000"/>
        </w:rPr>
        <w:t>1</w:t>
      </w:r>
      <w:r>
        <w:rPr>
          <w:rFonts w:hint="eastAsia"/>
          <w:color w:val="000000"/>
        </w:rPr>
        <w:t>）采购劳动保护用品时，必须审核产品的生产许可证、产品合格证和安全鉴定证，确保产品的质量和使用安全；对于未列入国家生产许可证管理范围的劳动防护用品，按路用劳动防护用品许可证制度进行质量管理。</w:t>
      </w:r>
    </w:p>
    <w:p w14:paraId="514B4F98">
      <w:pPr>
        <w:ind w:firstLine="560"/>
        <w:rPr>
          <w:color w:val="000000"/>
        </w:rPr>
      </w:pPr>
      <w:r>
        <w:rPr>
          <w:rFonts w:ascii="宋体" w:hAnsi="宋体" w:eastAsia="宋体" w:cs="宋体"/>
          <w:color w:val="000000"/>
        </w:rPr>
        <w:t>2</w:t>
      </w:r>
      <w:r>
        <w:rPr>
          <w:rFonts w:hint="eastAsia" w:ascii="宋体" w:hAnsi="宋体" w:eastAsia="宋体" w:cs="宋体"/>
          <w:color w:val="000000"/>
        </w:rPr>
        <w:t>）</w:t>
      </w:r>
      <w:r>
        <w:rPr>
          <w:rFonts w:hint="eastAsia"/>
          <w:color w:val="000000"/>
        </w:rPr>
        <w:t>施工人员必须分工按规定配齐劳动保护用品，并配戴上岗。进入施工现场的其他人员必须配戴安全帽，闲杂人员不得出入施工现场；由安全领导小组负责对施工人员进行劳动保护方面的检查，对漏配、缺配劳动保护用品的施工人员，责令补发劳动保护用品；对不按规定配戴劳动保护用品上岗的人员，进行批评教育，并责令其改正，对累教不改的人员，将采取罚款、停岗等措施予以惩罚。</w:t>
      </w:r>
    </w:p>
    <w:p w14:paraId="51395063">
      <w:pPr>
        <w:ind w:firstLine="560"/>
        <w:rPr>
          <w:color w:val="000000"/>
        </w:rPr>
      </w:pPr>
      <w:r>
        <w:rPr>
          <w:rFonts w:hint="eastAsia"/>
          <w:color w:val="000000"/>
          <w:lang w:val="zh-CN"/>
        </w:rPr>
        <w:t>（2）</w:t>
      </w:r>
      <w:r>
        <w:rPr>
          <w:rFonts w:hint="eastAsia"/>
          <w:color w:val="000000"/>
        </w:rPr>
        <w:t xml:space="preserve">医疗保障措施  </w:t>
      </w:r>
    </w:p>
    <w:p w14:paraId="1ECDBB76">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联系医院，全面负责医疗卫生和传染病、血吸虫病防治的监测监督工作，落实防治措施，做好职工的健康教育工作。对项目内出现的疫情信息，及时向上一级医疗卫生机构报告。对内规范管理、对外加强协调联系，营造一个良好的内外卫生防疫工作环境。</w:t>
      </w:r>
    </w:p>
    <w:p w14:paraId="559D5B02">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夏季发放防暑药品，防止中暑。冬季发放防寒防冻药品，防止冻伤；春秋两季是传染病、病毒性疾病高发季节，医务人员将加强对职工的健康检查，做好预防接种工作，搞好环境卫生，切断蚊蝇等传媒生物孳生源，有效控制疾病的流行。</w:t>
      </w:r>
    </w:p>
    <w:p w14:paraId="10B93DF6">
      <w:pPr>
        <w:ind w:firstLine="560"/>
        <w:rPr>
          <w:color w:val="000000"/>
        </w:rPr>
      </w:pPr>
      <w:r>
        <w:rPr>
          <w:rFonts w:hint="eastAsia"/>
          <w:color w:val="000000"/>
        </w:rPr>
        <w:t>9、疫情防控安全保障措施</w:t>
      </w:r>
    </w:p>
    <w:p w14:paraId="2D8ABEDD">
      <w:pPr>
        <w:ind w:firstLine="560"/>
        <w:rPr>
          <w:color w:val="000000"/>
        </w:rPr>
      </w:pPr>
      <w:r>
        <w:rPr>
          <w:rFonts w:hint="eastAsia"/>
          <w:color w:val="000000"/>
          <w:lang w:val="zh-CN"/>
        </w:rPr>
        <w:t>（1）</w:t>
      </w:r>
      <w:r>
        <w:rPr>
          <w:rFonts w:hint="eastAsia"/>
          <w:color w:val="000000"/>
        </w:rPr>
        <w:t>进场人员管理</w:t>
      </w:r>
    </w:p>
    <w:p w14:paraId="3EC8FC7A">
      <w:pPr>
        <w:ind w:firstLine="560"/>
        <w:rPr>
          <w:color w:val="000000"/>
        </w:rPr>
      </w:pPr>
      <w:r>
        <w:rPr>
          <w:rFonts w:hint="eastAsia"/>
          <w:color w:val="000000"/>
        </w:rPr>
        <w:t>通过宣传栏、公告栏、专题讲座、线上培训、班前教育、技术交底等方式，加强对施工现场人员防疫政策、健康知识的宣传教育培训，引导施工现场人员养成勤洗手、常通风、科学佩戴口罩、使用公勺公筷等良好卫生习惯，着力提升从业人员的防范意识和防控能力。</w:t>
      </w:r>
    </w:p>
    <w:p w14:paraId="3F8AA624">
      <w:pPr>
        <w:ind w:firstLine="560"/>
        <w:rPr>
          <w:color w:val="000000"/>
        </w:rPr>
      </w:pPr>
      <w:r>
        <w:rPr>
          <w:rFonts w:hint="eastAsia"/>
          <w:color w:val="000000"/>
          <w:lang w:val="zh-CN"/>
        </w:rPr>
        <w:t>（2）</w:t>
      </w:r>
      <w:r>
        <w:rPr>
          <w:rFonts w:hint="eastAsia"/>
          <w:color w:val="000000"/>
        </w:rPr>
        <w:t>防疫消杀管理</w:t>
      </w:r>
    </w:p>
    <w:p w14:paraId="45149A67">
      <w:pPr>
        <w:ind w:firstLine="560"/>
        <w:rPr>
          <w:color w:val="000000"/>
        </w:rPr>
      </w:pPr>
      <w:r>
        <w:rPr>
          <w:color w:val="000000"/>
        </w:rPr>
        <w:t>1</w:t>
      </w:r>
      <w:r>
        <w:rPr>
          <w:rFonts w:hint="eastAsia"/>
          <w:color w:val="000000"/>
        </w:rPr>
        <w:t>）常态化管控期间，各部门、各单位每天早晨和中午上班后，请注意用消毒湿巾对办公时可能接触的物体表面进入擦拭（包括但不限于桌椅、电脑键盘、手机、文件夹、杯/茶具）。</w:t>
      </w:r>
    </w:p>
    <w:p w14:paraId="42744DC4">
      <w:pPr>
        <w:ind w:firstLine="560"/>
        <w:rPr>
          <w:color w:val="000000"/>
        </w:rPr>
      </w:pPr>
      <w:r>
        <w:rPr>
          <w:color w:val="000000"/>
        </w:rPr>
        <w:t>2</w:t>
      </w:r>
      <w:r>
        <w:rPr>
          <w:rFonts w:hint="eastAsia"/>
          <w:color w:val="000000"/>
        </w:rPr>
        <w:t>）公共区域消毒作业，由办公室安排相关人员组织实施并做好记录。包括食堂、卫生间、会议室、办公楼等聚集性地方，做到全方位、无死角消杀。</w:t>
      </w:r>
    </w:p>
    <w:p w14:paraId="02D824B5">
      <w:pPr>
        <w:ind w:firstLine="560"/>
        <w:rPr>
          <w:color w:val="000000"/>
        </w:rPr>
      </w:pPr>
      <w:r>
        <w:rPr>
          <w:rFonts w:hint="eastAsia"/>
          <w:color w:val="000000"/>
          <w:lang w:val="zh-CN"/>
        </w:rPr>
        <w:t>（3）</w:t>
      </w:r>
      <w:r>
        <w:rPr>
          <w:rFonts w:hint="eastAsia"/>
          <w:color w:val="000000"/>
        </w:rPr>
        <w:t>施工现场管控</w:t>
      </w:r>
    </w:p>
    <w:p w14:paraId="3904F8B0">
      <w:pPr>
        <w:ind w:firstLine="560"/>
        <w:rPr>
          <w:color w:val="000000"/>
        </w:rPr>
      </w:pPr>
      <w:r>
        <w:rPr>
          <w:rFonts w:hint="eastAsia"/>
          <w:color w:val="000000"/>
        </w:rPr>
        <w:t>必须储备充足的口罩、酒精、消毒液、防护服等物资，疫情防控工作小组要实时掌控物资储备情况，及时补充。</w:t>
      </w:r>
    </w:p>
    <w:p w14:paraId="0EC555FA">
      <w:pPr>
        <w:ind w:firstLine="560"/>
        <w:rPr>
          <w:color w:val="000000"/>
        </w:rPr>
      </w:pPr>
      <w:r>
        <w:rPr>
          <w:rFonts w:hint="eastAsia"/>
          <w:color w:val="000000"/>
          <w:lang w:val="zh-CN"/>
        </w:rPr>
        <w:t>（4）</w:t>
      </w:r>
      <w:r>
        <w:rPr>
          <w:rFonts w:hint="eastAsia"/>
          <w:color w:val="000000"/>
        </w:rPr>
        <w:t>教育培训</w:t>
      </w:r>
    </w:p>
    <w:p w14:paraId="438020BA">
      <w:pPr>
        <w:ind w:firstLine="560"/>
        <w:rPr>
          <w:color w:val="000000"/>
        </w:rPr>
      </w:pPr>
      <w:r>
        <w:rPr>
          <w:rFonts w:hint="eastAsia"/>
          <w:color w:val="000000"/>
        </w:rPr>
        <w:t>1）将新冠疫情防控教育纳入到每日岗前安全教育，创新教育和交底方式，减少人员聚集。</w:t>
      </w:r>
    </w:p>
    <w:p w14:paraId="25744F4C">
      <w:pPr>
        <w:ind w:firstLine="560"/>
        <w:rPr>
          <w:color w:val="000000"/>
        </w:rPr>
      </w:pPr>
      <w:r>
        <w:rPr>
          <w:rFonts w:hint="eastAsia"/>
          <w:color w:val="000000"/>
        </w:rPr>
        <w:t>2）指导从业人员注意个人卫生，保持勤洗手、多饮水，保持宿舍卫生整洁，多通风。</w:t>
      </w:r>
    </w:p>
    <w:p w14:paraId="7A12D446">
      <w:pPr>
        <w:pStyle w:val="3"/>
        <w:keepLines w:val="0"/>
        <w:widowControl/>
        <w:spacing w:beforeAutospacing="1" w:afterAutospacing="1"/>
        <w:rPr>
          <w:rFonts w:ascii="Times New Roman" w:hAnsi="Times New Roman"/>
          <w:color w:val="000000"/>
        </w:rPr>
      </w:pPr>
      <w:bookmarkStart w:id="485" w:name="_Toc2392"/>
      <w:bookmarkStart w:id="486" w:name="_Toc32679"/>
      <w:bookmarkStart w:id="487" w:name="_Toc20956"/>
      <w:bookmarkStart w:id="488" w:name="_Toc12160"/>
      <w:bookmarkStart w:id="489" w:name="_Toc30343"/>
      <w:bookmarkStart w:id="490" w:name="_Toc21241"/>
      <w:bookmarkStart w:id="491" w:name="_Toc12043"/>
      <w:bookmarkStart w:id="492" w:name="_Toc28071"/>
      <w:bookmarkStart w:id="493" w:name="_Toc14949"/>
      <w:bookmarkStart w:id="494" w:name="_Toc31375"/>
      <w:bookmarkStart w:id="495" w:name="_Toc87114083"/>
      <w:bookmarkStart w:id="496" w:name="_Toc30170"/>
      <w:bookmarkStart w:id="497" w:name="_Toc16910"/>
      <w:bookmarkStart w:id="498" w:name="_Toc8948"/>
      <w:bookmarkStart w:id="499" w:name="_Toc12630"/>
      <w:r>
        <w:rPr>
          <w:rFonts w:hint="eastAsia"/>
          <w:color w:val="000000"/>
        </w:rPr>
        <w:t>9.4</w:t>
      </w:r>
      <w:r>
        <w:rPr>
          <w:color w:val="000000"/>
        </w:rPr>
        <w:t xml:space="preserve"> 高处作业及临边防护安全技术措施</w:t>
      </w:r>
      <w:bookmarkEnd w:id="485"/>
      <w:bookmarkEnd w:id="486"/>
      <w:bookmarkEnd w:id="487"/>
      <w:bookmarkEnd w:id="488"/>
      <w:bookmarkEnd w:id="489"/>
      <w:bookmarkEnd w:id="490"/>
    </w:p>
    <w:p w14:paraId="3F666E13">
      <w:pPr>
        <w:ind w:firstLine="560"/>
        <w:rPr>
          <w:color w:val="000000"/>
        </w:rPr>
      </w:pPr>
      <w:r>
        <w:rPr>
          <w:color w:val="000000"/>
        </w:rPr>
        <w:t>1．施工前,要对操作者进行安全交底，落实安全技术措施和人身防护用品，未经落实不得进行施工</w:t>
      </w:r>
      <w:r>
        <w:rPr>
          <w:rFonts w:hint="eastAsia"/>
          <w:color w:val="000000"/>
        </w:rPr>
        <w:t>。</w:t>
      </w:r>
    </w:p>
    <w:p w14:paraId="5799B76D">
      <w:pPr>
        <w:ind w:firstLine="560"/>
        <w:rPr>
          <w:color w:val="000000"/>
        </w:rPr>
      </w:pPr>
      <w:r>
        <w:rPr>
          <w:color w:val="000000"/>
        </w:rPr>
        <w:t>2．高空作业中的工具设备和电气设施，必须在施工前加以检查，确认其完好，方能使用</w:t>
      </w:r>
      <w:r>
        <w:rPr>
          <w:rFonts w:hint="eastAsia"/>
          <w:color w:val="000000"/>
        </w:rPr>
        <w:t>。</w:t>
      </w:r>
    </w:p>
    <w:p w14:paraId="3F1EB959">
      <w:pPr>
        <w:ind w:firstLine="560"/>
        <w:rPr>
          <w:color w:val="000000"/>
        </w:rPr>
      </w:pPr>
      <w:r>
        <w:rPr>
          <w:color w:val="000000"/>
        </w:rPr>
        <w:t>3．攀登和悬空高处作业人员以及搭设高处作业安全设施人员,必须经过专业技术培训考试合格持证上岗.高处作业人员必须佩带安全带</w:t>
      </w:r>
      <w:r>
        <w:rPr>
          <w:rFonts w:hint="eastAsia"/>
          <w:color w:val="000000"/>
        </w:rPr>
        <w:t>。</w:t>
      </w:r>
    </w:p>
    <w:p w14:paraId="18B962A0">
      <w:pPr>
        <w:ind w:firstLine="560"/>
        <w:rPr>
          <w:color w:val="000000"/>
        </w:rPr>
      </w:pPr>
      <w:r>
        <w:rPr>
          <w:color w:val="000000"/>
        </w:rPr>
        <w:t>4．施工现场使用的防高处坠落安全防护用品，必须是经国家质量鉴定、审验手续的合格产品</w:t>
      </w:r>
      <w:r>
        <w:rPr>
          <w:rFonts w:hint="eastAsia"/>
          <w:color w:val="000000"/>
        </w:rPr>
        <w:t>。</w:t>
      </w:r>
    </w:p>
    <w:p w14:paraId="1B095F0E">
      <w:pPr>
        <w:ind w:firstLine="560"/>
        <w:rPr>
          <w:color w:val="000000"/>
        </w:rPr>
      </w:pPr>
      <w:r>
        <w:rPr>
          <w:color w:val="000000"/>
        </w:rPr>
        <w:t xml:space="preserve">5．高处作业平台四周围应有防护栏,并挂密目网防护，平台底部设置18cm挡脚板，平台设爬梯供工作人员上下。 </w:t>
      </w:r>
    </w:p>
    <w:p w14:paraId="51906823">
      <w:pPr>
        <w:ind w:firstLine="560"/>
        <w:rPr>
          <w:color w:val="000000"/>
        </w:rPr>
      </w:pPr>
      <w:r>
        <w:rPr>
          <w:color w:val="000000"/>
        </w:rPr>
        <w:t xml:space="preserve">6．在交叉作业时,不允许在上下同一垂直区域内进行作业，下层作业时应在上层物体落地区域外作业。 </w:t>
      </w:r>
    </w:p>
    <w:p w14:paraId="2BF7EE91">
      <w:pPr>
        <w:ind w:firstLine="560"/>
        <w:rPr>
          <w:color w:val="000000"/>
        </w:rPr>
      </w:pPr>
      <w:r>
        <w:rPr>
          <w:color w:val="000000"/>
        </w:rPr>
        <w:t>7．临边防护必须超出作业面1</w:t>
      </w:r>
      <w:r>
        <w:rPr>
          <w:rFonts w:hint="eastAsia"/>
          <w:color w:val="000000"/>
        </w:rPr>
        <w:t>.</w:t>
      </w:r>
      <w:r>
        <w:rPr>
          <w:color w:val="000000"/>
        </w:rPr>
        <w:t>2m,作业人员必须按规定系挂安全带。临边作业必须设防护栏杆（要求0</w:t>
      </w:r>
      <w:r>
        <w:rPr>
          <w:rFonts w:hint="eastAsia"/>
          <w:color w:val="000000"/>
        </w:rPr>
        <w:t>.</w:t>
      </w:r>
      <w:r>
        <w:rPr>
          <w:color w:val="000000"/>
        </w:rPr>
        <w:t xml:space="preserve">6m、1.2m各设一道)。 </w:t>
      </w:r>
    </w:p>
    <w:p w14:paraId="61880112">
      <w:pPr>
        <w:ind w:firstLine="560"/>
        <w:rPr>
          <w:color w:val="000000"/>
        </w:rPr>
      </w:pPr>
      <w:r>
        <w:rPr>
          <w:color w:val="000000"/>
        </w:rPr>
        <w:t xml:space="preserve">8．高处作业中所用的物料应该堆放平稳,不可置放在临边或洞口附近，也不可妨碍通行和装卸。 </w:t>
      </w:r>
    </w:p>
    <w:p w14:paraId="399E0BEC">
      <w:pPr>
        <w:ind w:firstLine="560"/>
        <w:rPr>
          <w:color w:val="000000"/>
        </w:rPr>
      </w:pPr>
      <w:r>
        <w:rPr>
          <w:color w:val="000000"/>
        </w:rPr>
        <w:t xml:space="preserve">9．现场操作人员上下楼时必须走专门的通道,不得在非规定的通道进行攀登,更不得任意利用吊车臂等施工设备进行攀登。 </w:t>
      </w:r>
    </w:p>
    <w:p w14:paraId="7F3C244A">
      <w:pPr>
        <w:ind w:firstLine="560"/>
        <w:rPr>
          <w:color w:val="000000"/>
        </w:rPr>
      </w:pPr>
      <w:r>
        <w:rPr>
          <w:color w:val="000000"/>
        </w:rPr>
        <w:t>10．对脚手架的搭设、拆除，安全网的支挂,安全带的使用，”四口”、”五临边"的防护要进行量化检查验收，合格后方准施工</w:t>
      </w:r>
      <w:r>
        <w:rPr>
          <w:rFonts w:hint="eastAsia"/>
          <w:color w:val="000000"/>
        </w:rPr>
        <w:t>。</w:t>
      </w:r>
    </w:p>
    <w:p w14:paraId="414916A1">
      <w:pPr>
        <w:ind w:firstLine="560"/>
        <w:rPr>
          <w:color w:val="000000"/>
        </w:rPr>
      </w:pPr>
      <w:r>
        <w:rPr>
          <w:color w:val="000000"/>
        </w:rPr>
        <w:t xml:space="preserve">11．冬季进行高处作业,要用可靠的防滑、防寒和防冻措施。 </w:t>
      </w:r>
    </w:p>
    <w:p w14:paraId="2BF6001F">
      <w:pPr>
        <w:ind w:firstLine="560"/>
        <w:rPr>
          <w:color w:val="000000"/>
        </w:rPr>
      </w:pPr>
      <w:r>
        <w:rPr>
          <w:color w:val="000000"/>
        </w:rPr>
        <w:t>12．进行高处作业时，应事先设置避雷设施，遇五级以上强风，不得进行露天攀登与悬空高处作业，大风及大雨过后，应对高处作业安全设施逐一加以检查,发现有松动、变形、损坏或脱落等现象立即修理完善。</w:t>
      </w:r>
    </w:p>
    <w:p w14:paraId="176F72BE">
      <w:pPr>
        <w:pStyle w:val="3"/>
        <w:rPr>
          <w:color w:val="000000"/>
        </w:rPr>
      </w:pPr>
      <w:bookmarkStart w:id="500" w:name="_Toc24035"/>
      <w:bookmarkStart w:id="501" w:name="_Toc18276"/>
      <w:bookmarkStart w:id="502" w:name="_Toc23912"/>
      <w:bookmarkStart w:id="503" w:name="_Toc8552"/>
      <w:bookmarkStart w:id="504" w:name="_Toc3683"/>
      <w:bookmarkStart w:id="505" w:name="_Toc23597"/>
      <w:r>
        <w:rPr>
          <w:rFonts w:hint="eastAsia"/>
          <w:color w:val="000000"/>
        </w:rPr>
        <w:t>9.5绿色施工保证措施</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Start w:id="506" w:name="_Toc54548765"/>
    </w:p>
    <w:p w14:paraId="29918F75">
      <w:pPr>
        <w:pStyle w:val="122"/>
        <w:outlineLvl w:val="9"/>
        <w:rPr>
          <w:rStyle w:val="123"/>
          <w:b/>
        </w:rPr>
      </w:pPr>
      <w:r>
        <w:rPr>
          <w:rStyle w:val="123"/>
          <w:rFonts w:hint="eastAsia"/>
          <w:b/>
        </w:rPr>
        <w:t>表9.5</w:t>
      </w:r>
      <w:r>
        <w:rPr>
          <w:rStyle w:val="123"/>
          <w:b/>
        </w:rPr>
        <w:t>-1</w:t>
      </w:r>
      <w:r>
        <w:rPr>
          <w:rStyle w:val="123"/>
          <w:rFonts w:hint="eastAsia"/>
          <w:b/>
        </w:rPr>
        <w:t>环境敏感因素分析及防控措施表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5"/>
        <w:gridCol w:w="1505"/>
        <w:gridCol w:w="6941"/>
      </w:tblGrid>
      <w:tr w14:paraId="44AE98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blHeader/>
          <w:jc w:val="center"/>
        </w:trPr>
        <w:tc>
          <w:tcPr>
            <w:tcW w:w="425" w:type="pct"/>
            <w:vAlign w:val="center"/>
          </w:tcPr>
          <w:p w14:paraId="50394A54">
            <w:pPr>
              <w:pStyle w:val="143"/>
              <w:rPr>
                <w:rFonts w:ascii="仿宋" w:hAnsi="仿宋"/>
                <w:color w:val="000000"/>
                <w:kern w:val="2"/>
                <w:sz w:val="24"/>
                <w:szCs w:val="24"/>
              </w:rPr>
            </w:pPr>
            <w:r>
              <w:rPr>
                <w:rFonts w:hint="eastAsia" w:ascii="仿宋" w:hAnsi="仿宋"/>
                <w:color w:val="000000"/>
                <w:kern w:val="2"/>
                <w:sz w:val="24"/>
                <w:szCs w:val="24"/>
              </w:rPr>
              <w:t>序号</w:t>
            </w:r>
          </w:p>
        </w:tc>
        <w:tc>
          <w:tcPr>
            <w:tcW w:w="815" w:type="pct"/>
            <w:vAlign w:val="center"/>
          </w:tcPr>
          <w:p w14:paraId="40E555A7">
            <w:pPr>
              <w:pStyle w:val="143"/>
              <w:rPr>
                <w:rFonts w:ascii="仿宋" w:hAnsi="仿宋"/>
                <w:color w:val="000000"/>
                <w:kern w:val="2"/>
                <w:sz w:val="24"/>
                <w:szCs w:val="24"/>
              </w:rPr>
            </w:pPr>
            <w:r>
              <w:rPr>
                <w:rFonts w:hint="eastAsia" w:ascii="仿宋" w:hAnsi="仿宋"/>
                <w:color w:val="000000"/>
                <w:kern w:val="2"/>
                <w:sz w:val="24"/>
                <w:szCs w:val="24"/>
              </w:rPr>
              <w:t>因素</w:t>
            </w:r>
          </w:p>
        </w:tc>
        <w:tc>
          <w:tcPr>
            <w:tcW w:w="3759" w:type="pct"/>
            <w:vAlign w:val="center"/>
          </w:tcPr>
          <w:p w14:paraId="3913B90A">
            <w:pPr>
              <w:pStyle w:val="143"/>
              <w:rPr>
                <w:rFonts w:ascii="仿宋" w:hAnsi="仿宋"/>
                <w:color w:val="000000"/>
                <w:kern w:val="2"/>
                <w:sz w:val="24"/>
                <w:szCs w:val="24"/>
              </w:rPr>
            </w:pPr>
            <w:r>
              <w:rPr>
                <w:rFonts w:hint="eastAsia" w:ascii="仿宋" w:hAnsi="仿宋"/>
                <w:color w:val="000000"/>
                <w:kern w:val="2"/>
                <w:sz w:val="24"/>
                <w:szCs w:val="24"/>
              </w:rPr>
              <w:t>防控措施</w:t>
            </w:r>
          </w:p>
        </w:tc>
      </w:tr>
      <w:tr w14:paraId="15A726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791DB84C">
            <w:pPr>
              <w:pStyle w:val="143"/>
              <w:rPr>
                <w:rFonts w:ascii="仿宋" w:hAnsi="仿宋"/>
                <w:color w:val="000000"/>
                <w:kern w:val="2"/>
                <w:sz w:val="24"/>
                <w:szCs w:val="24"/>
              </w:rPr>
            </w:pPr>
            <w:r>
              <w:rPr>
                <w:rFonts w:ascii="仿宋" w:hAnsi="仿宋"/>
                <w:color w:val="000000"/>
                <w:kern w:val="2"/>
                <w:sz w:val="24"/>
                <w:szCs w:val="24"/>
              </w:rPr>
              <w:t>1</w:t>
            </w:r>
          </w:p>
        </w:tc>
        <w:tc>
          <w:tcPr>
            <w:tcW w:w="815" w:type="pct"/>
            <w:vAlign w:val="center"/>
          </w:tcPr>
          <w:p w14:paraId="04342C3B">
            <w:pPr>
              <w:pStyle w:val="143"/>
              <w:rPr>
                <w:rFonts w:ascii="仿宋" w:hAnsi="仿宋"/>
                <w:color w:val="000000"/>
                <w:kern w:val="2"/>
                <w:sz w:val="24"/>
                <w:szCs w:val="24"/>
              </w:rPr>
            </w:pPr>
            <w:r>
              <w:rPr>
                <w:rFonts w:hint="eastAsia" w:ascii="仿宋" w:hAnsi="仿宋"/>
                <w:color w:val="000000"/>
                <w:kern w:val="2"/>
                <w:sz w:val="24"/>
                <w:szCs w:val="24"/>
              </w:rPr>
              <w:t>废气</w:t>
            </w:r>
          </w:p>
        </w:tc>
        <w:tc>
          <w:tcPr>
            <w:tcW w:w="3759" w:type="pct"/>
            <w:vAlign w:val="center"/>
          </w:tcPr>
          <w:p w14:paraId="60918735">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1 \* GB2 </w:instrText>
            </w:r>
            <w:r>
              <w:rPr>
                <w:rFonts w:ascii="仿宋" w:hAnsi="仿宋"/>
                <w:color w:val="000000"/>
                <w:kern w:val="2"/>
                <w:sz w:val="24"/>
                <w:szCs w:val="24"/>
              </w:rPr>
              <w:fldChar w:fldCharType="separate"/>
            </w:r>
            <w:r>
              <w:rPr>
                <w:rFonts w:hint="eastAsia" w:ascii="仿宋" w:hAnsi="仿宋"/>
                <w:color w:val="000000"/>
                <w:kern w:val="2"/>
                <w:sz w:val="24"/>
                <w:szCs w:val="24"/>
              </w:rPr>
              <w:t>⑴</w:t>
            </w:r>
            <w:r>
              <w:rPr>
                <w:rFonts w:ascii="仿宋" w:hAnsi="仿宋"/>
                <w:color w:val="000000"/>
                <w:kern w:val="2"/>
                <w:sz w:val="24"/>
                <w:szCs w:val="24"/>
              </w:rPr>
              <w:fldChar w:fldCharType="end"/>
            </w:r>
            <w:r>
              <w:rPr>
                <w:rFonts w:hint="eastAsia" w:ascii="仿宋" w:hAnsi="仿宋"/>
                <w:color w:val="000000"/>
                <w:kern w:val="2"/>
                <w:sz w:val="24"/>
                <w:szCs w:val="24"/>
              </w:rPr>
              <w:t>施工车辆、机械设备的废气排放应符合国家现行标准规定；</w:t>
            </w:r>
          </w:p>
          <w:p w14:paraId="49FCE9CC">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2 \* GB2 </w:instrText>
            </w:r>
            <w:r>
              <w:rPr>
                <w:rFonts w:ascii="仿宋" w:hAnsi="仿宋"/>
                <w:color w:val="000000"/>
                <w:kern w:val="2"/>
                <w:sz w:val="24"/>
                <w:szCs w:val="24"/>
              </w:rPr>
              <w:fldChar w:fldCharType="separate"/>
            </w:r>
            <w:r>
              <w:rPr>
                <w:rFonts w:hint="eastAsia"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施工现场应用无烟尘或少烟尘焊接工艺，提高焊接机械化和自动化程度；</w:t>
            </w:r>
          </w:p>
          <w:p w14:paraId="06A22662">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3 \* GB2 </w:instrText>
            </w:r>
            <w:r>
              <w:rPr>
                <w:rFonts w:ascii="仿宋" w:hAnsi="仿宋"/>
                <w:color w:val="000000"/>
                <w:kern w:val="2"/>
                <w:sz w:val="24"/>
                <w:szCs w:val="24"/>
              </w:rPr>
              <w:fldChar w:fldCharType="separate"/>
            </w:r>
            <w:r>
              <w:rPr>
                <w:rFonts w:hint="eastAsia" w:ascii="仿宋" w:hAnsi="仿宋"/>
                <w:color w:val="000000"/>
                <w:kern w:val="2"/>
                <w:sz w:val="24"/>
                <w:szCs w:val="24"/>
              </w:rPr>
              <w:t>⑶</w:t>
            </w:r>
            <w:r>
              <w:rPr>
                <w:rFonts w:ascii="仿宋" w:hAnsi="仿宋"/>
                <w:color w:val="000000"/>
                <w:kern w:val="2"/>
                <w:sz w:val="24"/>
                <w:szCs w:val="24"/>
              </w:rPr>
              <w:fldChar w:fldCharType="end"/>
            </w:r>
            <w:r>
              <w:rPr>
                <w:rFonts w:hint="eastAsia" w:ascii="仿宋" w:hAnsi="仿宋"/>
                <w:color w:val="000000"/>
                <w:kern w:val="2"/>
                <w:sz w:val="24"/>
                <w:szCs w:val="24"/>
              </w:rPr>
              <w:t>施工现场不得焚烧废弃物或橡胶制品。</w:t>
            </w:r>
          </w:p>
        </w:tc>
      </w:tr>
      <w:tr w14:paraId="61882F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488E8F65">
            <w:pPr>
              <w:pStyle w:val="143"/>
              <w:rPr>
                <w:rFonts w:ascii="仿宋" w:hAnsi="仿宋"/>
                <w:color w:val="000000"/>
                <w:kern w:val="2"/>
                <w:sz w:val="24"/>
                <w:szCs w:val="24"/>
              </w:rPr>
            </w:pPr>
            <w:r>
              <w:rPr>
                <w:rFonts w:ascii="仿宋" w:hAnsi="仿宋"/>
                <w:color w:val="000000"/>
                <w:kern w:val="2"/>
                <w:sz w:val="24"/>
                <w:szCs w:val="24"/>
              </w:rPr>
              <w:t>2</w:t>
            </w:r>
          </w:p>
        </w:tc>
        <w:tc>
          <w:tcPr>
            <w:tcW w:w="815" w:type="pct"/>
            <w:vAlign w:val="center"/>
          </w:tcPr>
          <w:p w14:paraId="20200257">
            <w:pPr>
              <w:pStyle w:val="143"/>
              <w:rPr>
                <w:rFonts w:ascii="仿宋" w:hAnsi="仿宋"/>
                <w:color w:val="000000"/>
                <w:kern w:val="2"/>
                <w:sz w:val="24"/>
                <w:szCs w:val="24"/>
              </w:rPr>
            </w:pPr>
            <w:r>
              <w:rPr>
                <w:rFonts w:hint="eastAsia" w:ascii="仿宋" w:hAnsi="仿宋"/>
                <w:color w:val="000000"/>
                <w:kern w:val="2"/>
                <w:sz w:val="24"/>
                <w:szCs w:val="24"/>
              </w:rPr>
              <w:t>液体垃圾</w:t>
            </w:r>
          </w:p>
        </w:tc>
        <w:tc>
          <w:tcPr>
            <w:tcW w:w="3759" w:type="pct"/>
            <w:vAlign w:val="center"/>
          </w:tcPr>
          <w:p w14:paraId="0706859F">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hint="eastAsia" w:ascii="仿宋" w:hAnsi="仿宋"/>
                <w:color w:val="000000"/>
                <w:kern w:val="2"/>
                <w:sz w:val="24"/>
                <w:szCs w:val="24"/>
              </w:rPr>
              <w:instrText xml:space="preserve">= 1 \* GB2</w:instrText>
            </w:r>
            <w:r>
              <w:rPr>
                <w:rFonts w:ascii="仿宋" w:hAnsi="仿宋"/>
                <w:color w:val="000000"/>
                <w:kern w:val="2"/>
                <w:sz w:val="24"/>
                <w:szCs w:val="24"/>
              </w:rPr>
              <w:fldChar w:fldCharType="separate"/>
            </w:r>
            <w:r>
              <w:rPr>
                <w:rFonts w:hint="eastAsia" w:ascii="仿宋" w:hAnsi="仿宋"/>
                <w:color w:val="000000"/>
                <w:kern w:val="2"/>
                <w:sz w:val="24"/>
                <w:szCs w:val="24"/>
              </w:rPr>
              <w:t>⑴</w:t>
            </w:r>
            <w:r>
              <w:rPr>
                <w:rFonts w:ascii="仿宋" w:hAnsi="仿宋"/>
                <w:color w:val="000000"/>
                <w:kern w:val="2"/>
                <w:sz w:val="24"/>
                <w:szCs w:val="24"/>
              </w:rPr>
              <w:fldChar w:fldCharType="end"/>
            </w:r>
            <w:r>
              <w:rPr>
                <w:rFonts w:hint="eastAsia" w:ascii="仿宋" w:hAnsi="仿宋"/>
                <w:color w:val="000000"/>
                <w:kern w:val="2"/>
                <w:sz w:val="24"/>
                <w:szCs w:val="24"/>
              </w:rPr>
              <w:t>施工机械定期检修检查，防止漏油凿出污染；</w:t>
            </w:r>
          </w:p>
          <w:p w14:paraId="2040D937">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hint="eastAsia" w:ascii="仿宋" w:hAnsi="仿宋"/>
                <w:color w:val="000000"/>
                <w:kern w:val="2"/>
                <w:sz w:val="24"/>
                <w:szCs w:val="24"/>
              </w:rPr>
              <w:instrText xml:space="preserve">= 2 \* GB2</w:instrText>
            </w:r>
            <w:r>
              <w:rPr>
                <w:rFonts w:ascii="仿宋" w:hAnsi="仿宋"/>
                <w:color w:val="000000"/>
                <w:kern w:val="2"/>
                <w:sz w:val="24"/>
                <w:szCs w:val="24"/>
              </w:rPr>
              <w:fldChar w:fldCharType="separate"/>
            </w:r>
            <w:r>
              <w:rPr>
                <w:rFonts w:hint="eastAsia"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所有的油品或危险的化学品，污染物品必须有防止泄露和防污染的措施；</w:t>
            </w:r>
          </w:p>
          <w:p w14:paraId="72D9CC26">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4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⑷</w:t>
            </w:r>
            <w:r>
              <w:rPr>
                <w:rFonts w:hint="eastAsia" w:ascii="仿宋" w:hAnsi="仿宋"/>
                <w:color w:val="000000"/>
                <w:kern w:val="2"/>
                <w:sz w:val="24"/>
                <w:szCs w:val="24"/>
              </w:rPr>
              <w:fldChar w:fldCharType="end"/>
            </w:r>
            <w:r>
              <w:rPr>
                <w:rFonts w:hint="eastAsia" w:ascii="仿宋" w:hAnsi="仿宋"/>
                <w:color w:val="000000"/>
                <w:kern w:val="2"/>
                <w:sz w:val="24"/>
                <w:szCs w:val="24"/>
              </w:rPr>
              <w:t>所有使用和存储油品的部位都必须要有防止溢油的围油托盘围挡；</w:t>
            </w:r>
          </w:p>
          <w:p w14:paraId="2879BE59">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5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⑸</w:t>
            </w:r>
            <w:r>
              <w:rPr>
                <w:rFonts w:hint="eastAsia" w:ascii="仿宋" w:hAnsi="仿宋"/>
                <w:color w:val="000000"/>
                <w:kern w:val="2"/>
                <w:sz w:val="24"/>
                <w:szCs w:val="24"/>
              </w:rPr>
              <w:fldChar w:fldCharType="end"/>
            </w:r>
            <w:r>
              <w:rPr>
                <w:rFonts w:hint="eastAsia" w:ascii="仿宋" w:hAnsi="仿宋"/>
                <w:color w:val="000000"/>
                <w:kern w:val="2"/>
                <w:sz w:val="24"/>
                <w:szCs w:val="24"/>
              </w:rPr>
              <w:t>所有设备都必须配备溢油应急物品，如围油索，吸油毡、干沙等。</w:t>
            </w:r>
          </w:p>
        </w:tc>
      </w:tr>
      <w:tr w14:paraId="4AFF6B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4096130A">
            <w:pPr>
              <w:pStyle w:val="143"/>
              <w:rPr>
                <w:rFonts w:ascii="仿宋" w:hAnsi="仿宋"/>
                <w:color w:val="000000"/>
                <w:kern w:val="2"/>
                <w:sz w:val="24"/>
                <w:szCs w:val="24"/>
              </w:rPr>
            </w:pPr>
            <w:r>
              <w:rPr>
                <w:rFonts w:ascii="仿宋" w:hAnsi="仿宋"/>
                <w:color w:val="000000"/>
                <w:kern w:val="2"/>
                <w:sz w:val="24"/>
                <w:szCs w:val="24"/>
              </w:rPr>
              <w:t>3</w:t>
            </w:r>
          </w:p>
        </w:tc>
        <w:tc>
          <w:tcPr>
            <w:tcW w:w="815" w:type="pct"/>
            <w:vAlign w:val="center"/>
          </w:tcPr>
          <w:p w14:paraId="58652B0B">
            <w:pPr>
              <w:pStyle w:val="143"/>
              <w:rPr>
                <w:rFonts w:ascii="仿宋" w:hAnsi="仿宋"/>
                <w:color w:val="000000"/>
                <w:kern w:val="2"/>
                <w:sz w:val="24"/>
                <w:szCs w:val="24"/>
              </w:rPr>
            </w:pPr>
            <w:r>
              <w:rPr>
                <w:rFonts w:hint="eastAsia" w:ascii="仿宋" w:hAnsi="仿宋"/>
                <w:color w:val="000000"/>
                <w:kern w:val="2"/>
                <w:sz w:val="24"/>
                <w:szCs w:val="24"/>
              </w:rPr>
              <w:t>噪声</w:t>
            </w:r>
          </w:p>
        </w:tc>
        <w:tc>
          <w:tcPr>
            <w:tcW w:w="3759" w:type="pct"/>
            <w:vAlign w:val="center"/>
          </w:tcPr>
          <w:p w14:paraId="3C31189E">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1 \* GB2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⑴</w:t>
            </w:r>
            <w:r>
              <w:rPr>
                <w:rFonts w:hint="eastAsia" w:ascii="仿宋" w:hAnsi="仿宋"/>
                <w:color w:val="000000"/>
                <w:kern w:val="2"/>
                <w:sz w:val="24"/>
                <w:szCs w:val="24"/>
              </w:rPr>
              <w:fldChar w:fldCharType="end"/>
            </w:r>
            <w:r>
              <w:rPr>
                <w:rFonts w:hint="eastAsia" w:ascii="仿宋" w:hAnsi="仿宋"/>
                <w:color w:val="000000"/>
                <w:kern w:val="2"/>
                <w:sz w:val="24"/>
                <w:szCs w:val="24"/>
              </w:rPr>
              <w:t>针对现场噪声源，采取隔声、隔振、吸声、消音等措施；</w:t>
            </w:r>
          </w:p>
          <w:p w14:paraId="428A3426">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2 \* GB2 </w:instrText>
            </w:r>
            <w:r>
              <w:rPr>
                <w:rFonts w:ascii="仿宋" w:hAnsi="仿宋"/>
                <w:color w:val="000000"/>
                <w:kern w:val="2"/>
                <w:sz w:val="24"/>
                <w:szCs w:val="24"/>
              </w:rPr>
              <w:fldChar w:fldCharType="separate"/>
            </w:r>
            <w:r>
              <w:rPr>
                <w:rFonts w:hint="eastAsia"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施工机械作业时间尽量选择在</w:t>
            </w:r>
            <w:r>
              <w:rPr>
                <w:rFonts w:ascii="仿宋" w:hAnsi="仿宋"/>
                <w:color w:val="000000"/>
                <w:kern w:val="2"/>
                <w:sz w:val="24"/>
                <w:szCs w:val="24"/>
              </w:rPr>
              <w:t>6:00</w:t>
            </w:r>
            <w:r>
              <w:rPr>
                <w:rFonts w:hint="eastAsia" w:ascii="仿宋" w:hAnsi="仿宋"/>
                <w:color w:val="000000"/>
                <w:kern w:val="2"/>
                <w:sz w:val="24"/>
                <w:szCs w:val="24"/>
              </w:rPr>
              <w:t>～</w:t>
            </w:r>
            <w:r>
              <w:rPr>
                <w:rFonts w:ascii="仿宋" w:hAnsi="仿宋"/>
                <w:color w:val="000000"/>
                <w:kern w:val="2"/>
                <w:sz w:val="24"/>
                <w:szCs w:val="24"/>
              </w:rPr>
              <w:t>22:00</w:t>
            </w:r>
            <w:r>
              <w:rPr>
                <w:rFonts w:hint="eastAsia" w:ascii="仿宋" w:hAnsi="仿宋"/>
                <w:color w:val="000000"/>
                <w:kern w:val="2"/>
                <w:sz w:val="24"/>
                <w:szCs w:val="24"/>
              </w:rPr>
              <w:t>的时段内进行，昼间施工分贝不超过</w:t>
            </w:r>
            <w:r>
              <w:rPr>
                <w:rFonts w:ascii="仿宋" w:hAnsi="仿宋"/>
                <w:color w:val="000000"/>
                <w:kern w:val="2"/>
                <w:sz w:val="24"/>
                <w:szCs w:val="24"/>
              </w:rPr>
              <w:t>70</w:t>
            </w:r>
            <w:r>
              <w:rPr>
                <w:rFonts w:hint="eastAsia" w:ascii="仿宋" w:hAnsi="仿宋"/>
                <w:color w:val="000000"/>
                <w:kern w:val="2"/>
                <w:sz w:val="24"/>
                <w:szCs w:val="24"/>
              </w:rPr>
              <w:t>分贝，夜间（</w:t>
            </w:r>
            <w:r>
              <w:rPr>
                <w:rFonts w:ascii="仿宋" w:hAnsi="仿宋"/>
                <w:color w:val="000000"/>
                <w:kern w:val="2"/>
                <w:sz w:val="24"/>
                <w:szCs w:val="24"/>
              </w:rPr>
              <w:t>22:00</w:t>
            </w:r>
            <w:r>
              <w:rPr>
                <w:rFonts w:hint="eastAsia" w:ascii="仿宋" w:hAnsi="仿宋"/>
                <w:color w:val="000000"/>
                <w:kern w:val="2"/>
                <w:sz w:val="24"/>
                <w:szCs w:val="24"/>
              </w:rPr>
              <w:t>～</w:t>
            </w:r>
            <w:r>
              <w:rPr>
                <w:rFonts w:ascii="仿宋" w:hAnsi="仿宋"/>
                <w:color w:val="000000"/>
                <w:kern w:val="2"/>
                <w:sz w:val="24"/>
                <w:szCs w:val="24"/>
              </w:rPr>
              <w:t>6:00</w:t>
            </w:r>
            <w:r>
              <w:rPr>
                <w:rFonts w:hint="eastAsia" w:ascii="仿宋" w:hAnsi="仿宋"/>
                <w:color w:val="000000"/>
                <w:kern w:val="2"/>
                <w:sz w:val="24"/>
                <w:szCs w:val="24"/>
              </w:rPr>
              <w:t>）施工不超过</w:t>
            </w:r>
            <w:r>
              <w:rPr>
                <w:rFonts w:ascii="仿宋" w:hAnsi="仿宋"/>
                <w:color w:val="000000"/>
                <w:kern w:val="2"/>
                <w:sz w:val="24"/>
                <w:szCs w:val="24"/>
              </w:rPr>
              <w:t>55</w:t>
            </w:r>
            <w:r>
              <w:rPr>
                <w:rFonts w:hint="eastAsia" w:ascii="仿宋" w:hAnsi="仿宋"/>
                <w:color w:val="000000"/>
                <w:kern w:val="2"/>
                <w:sz w:val="24"/>
                <w:szCs w:val="24"/>
              </w:rPr>
              <w:t>分贝。</w:t>
            </w:r>
          </w:p>
        </w:tc>
      </w:tr>
      <w:tr w14:paraId="4D66AE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43DE04F3">
            <w:pPr>
              <w:pStyle w:val="143"/>
              <w:rPr>
                <w:rFonts w:ascii="仿宋" w:hAnsi="仿宋"/>
                <w:color w:val="000000"/>
                <w:kern w:val="2"/>
                <w:sz w:val="24"/>
                <w:szCs w:val="24"/>
              </w:rPr>
            </w:pPr>
            <w:r>
              <w:rPr>
                <w:rFonts w:ascii="仿宋" w:hAnsi="仿宋"/>
                <w:color w:val="000000"/>
                <w:kern w:val="2"/>
                <w:sz w:val="24"/>
                <w:szCs w:val="24"/>
              </w:rPr>
              <w:t>5</w:t>
            </w:r>
          </w:p>
        </w:tc>
        <w:tc>
          <w:tcPr>
            <w:tcW w:w="815" w:type="pct"/>
            <w:vAlign w:val="center"/>
          </w:tcPr>
          <w:p w14:paraId="3770C1C8">
            <w:pPr>
              <w:pStyle w:val="143"/>
              <w:rPr>
                <w:rFonts w:ascii="仿宋" w:hAnsi="仿宋"/>
                <w:color w:val="000000"/>
                <w:kern w:val="2"/>
                <w:sz w:val="24"/>
                <w:szCs w:val="24"/>
              </w:rPr>
            </w:pPr>
            <w:r>
              <w:rPr>
                <w:rFonts w:hint="eastAsia" w:ascii="仿宋" w:hAnsi="仿宋"/>
                <w:color w:val="000000"/>
                <w:kern w:val="2"/>
                <w:sz w:val="24"/>
                <w:szCs w:val="24"/>
              </w:rPr>
              <w:t>固体垃圾</w:t>
            </w:r>
          </w:p>
        </w:tc>
        <w:tc>
          <w:tcPr>
            <w:tcW w:w="3759" w:type="pct"/>
            <w:vAlign w:val="center"/>
          </w:tcPr>
          <w:p w14:paraId="7BC6F7E2">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1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⑴</w:t>
            </w:r>
            <w:r>
              <w:rPr>
                <w:rFonts w:hint="eastAsia" w:ascii="仿宋" w:hAnsi="仿宋"/>
                <w:color w:val="000000"/>
                <w:kern w:val="2"/>
                <w:sz w:val="24"/>
                <w:szCs w:val="24"/>
              </w:rPr>
              <w:fldChar w:fldCharType="end"/>
            </w:r>
            <w:r>
              <w:rPr>
                <w:rFonts w:hint="eastAsia" w:ascii="仿宋" w:hAnsi="仿宋"/>
                <w:color w:val="000000"/>
                <w:kern w:val="2"/>
                <w:sz w:val="24"/>
                <w:szCs w:val="24"/>
              </w:rPr>
              <w:t>施工过程中的小型机具设备有条件的按照防坠绳，其余钢结构边角料及时回收处理。</w:t>
            </w:r>
          </w:p>
          <w:p w14:paraId="1B209E54">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2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⑵</w:t>
            </w:r>
            <w:r>
              <w:rPr>
                <w:rFonts w:hint="eastAsia" w:ascii="仿宋" w:hAnsi="仿宋"/>
                <w:color w:val="000000"/>
                <w:kern w:val="2"/>
                <w:sz w:val="24"/>
                <w:szCs w:val="24"/>
              </w:rPr>
              <w:fldChar w:fldCharType="end"/>
            </w:r>
            <w:r>
              <w:rPr>
                <w:rFonts w:hint="eastAsia" w:ascii="仿宋" w:hAnsi="仿宋"/>
                <w:color w:val="000000"/>
                <w:kern w:val="2"/>
                <w:sz w:val="24"/>
                <w:szCs w:val="24"/>
              </w:rPr>
              <w:t>施工过程中人员产生的废物垃圾集中收集，定期处理。</w:t>
            </w:r>
          </w:p>
        </w:tc>
      </w:tr>
      <w:bookmarkEnd w:id="506"/>
    </w:tbl>
    <w:p w14:paraId="7740F787">
      <w:pPr>
        <w:pStyle w:val="3"/>
      </w:pPr>
      <w:bookmarkStart w:id="507" w:name="_Toc7289"/>
      <w:bookmarkStart w:id="508" w:name="_Toc22151"/>
      <w:bookmarkStart w:id="509" w:name="_Toc30252"/>
      <w:bookmarkStart w:id="510" w:name="_Toc7261"/>
      <w:bookmarkStart w:id="511" w:name="_Toc13220"/>
      <w:bookmarkStart w:id="512" w:name="_Toc7696"/>
      <w:bookmarkStart w:id="513" w:name="_Toc27508"/>
      <w:bookmarkStart w:id="514" w:name="_Toc1911"/>
      <w:bookmarkStart w:id="515" w:name="_Toc1328"/>
      <w:bookmarkStart w:id="516" w:name="_Toc4987"/>
      <w:bookmarkStart w:id="517" w:name="_Toc28125"/>
      <w:bookmarkStart w:id="518" w:name="_Toc3116"/>
      <w:bookmarkStart w:id="519" w:name="_Toc10738"/>
      <w:bookmarkStart w:id="520" w:name="_Toc2309"/>
      <w:r>
        <w:rPr>
          <w:rFonts w:hint="eastAsia"/>
        </w:rPr>
        <w:t>9.6验收及日常检查维保</w:t>
      </w:r>
      <w:bookmarkEnd w:id="507"/>
      <w:bookmarkEnd w:id="508"/>
      <w:bookmarkEnd w:id="509"/>
      <w:bookmarkEnd w:id="510"/>
      <w:bookmarkEnd w:id="511"/>
      <w:bookmarkEnd w:id="512"/>
      <w:bookmarkEnd w:id="513"/>
    </w:p>
    <w:p w14:paraId="1264FB7E">
      <w:pPr>
        <w:ind w:firstLine="560"/>
      </w:pPr>
      <w:r>
        <w:rPr>
          <w:rFonts w:hint="eastAsia"/>
        </w:rPr>
        <w:t>塔机需在安装完毕后进行一次验收。</w:t>
      </w:r>
    </w:p>
    <w:p w14:paraId="4710D795">
      <w:pPr>
        <w:ind w:firstLine="560"/>
      </w:pPr>
      <w:r>
        <w:rPr>
          <w:rFonts w:hint="eastAsia"/>
        </w:rPr>
        <w:t>1、验收内容和验收标准</w:t>
      </w:r>
    </w:p>
    <w:p w14:paraId="6C2B3B8E">
      <w:pPr>
        <w:ind w:firstLine="560"/>
      </w:pPr>
      <w:r>
        <w:rPr>
          <w:rFonts w:hint="eastAsia"/>
        </w:rPr>
        <w:t>验收内容验收标准如下表</w:t>
      </w:r>
    </w:p>
    <w:p w14:paraId="51989AEA">
      <w:pPr>
        <w:pStyle w:val="122"/>
        <w:outlineLvl w:val="9"/>
        <w:rPr>
          <w:rStyle w:val="123"/>
          <w:b/>
        </w:rPr>
      </w:pPr>
      <w:r>
        <w:rPr>
          <w:rStyle w:val="123"/>
          <w:rFonts w:hint="eastAsia"/>
          <w:b/>
        </w:rPr>
        <w:t>表9.6</w:t>
      </w:r>
      <w:r>
        <w:rPr>
          <w:rStyle w:val="123"/>
          <w:b/>
        </w:rPr>
        <w:t xml:space="preserve">-1 </w:t>
      </w:r>
      <w:r>
        <w:rPr>
          <w:rStyle w:val="123"/>
          <w:rFonts w:hint="eastAsia"/>
          <w:b/>
        </w:rPr>
        <w:t>塔式起重机安装完成验收表</w:t>
      </w:r>
    </w:p>
    <w:tbl>
      <w:tblPr>
        <w:tblStyle w:val="40"/>
        <w:tblpPr w:leftFromText="180" w:rightFromText="180" w:vertAnchor="text" w:horzAnchor="page" w:tblpX="1618" w:tblpY="450"/>
        <w:tblOverlap w:val="never"/>
        <w:tblW w:w="891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731"/>
        <w:gridCol w:w="5349"/>
      </w:tblGrid>
      <w:tr w14:paraId="3F602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667BE53D">
            <w:pPr>
              <w:spacing w:line="240" w:lineRule="auto"/>
              <w:ind w:firstLine="0" w:firstLineChars="0"/>
              <w:jc w:val="center"/>
              <w:rPr>
                <w:rFonts w:ascii="仿宋" w:hAnsi="仿宋"/>
                <w:bCs/>
                <w:sz w:val="24"/>
                <w:szCs w:val="24"/>
              </w:rPr>
            </w:pPr>
            <w:r>
              <w:rPr>
                <w:rFonts w:hint="eastAsia" w:ascii="仿宋" w:hAnsi="仿宋"/>
                <w:bCs/>
                <w:sz w:val="24"/>
                <w:szCs w:val="24"/>
              </w:rPr>
              <w:t>序号</w:t>
            </w:r>
          </w:p>
        </w:tc>
        <w:tc>
          <w:tcPr>
            <w:tcW w:w="2731" w:type="dxa"/>
            <w:vAlign w:val="center"/>
          </w:tcPr>
          <w:p w14:paraId="3A163405">
            <w:pPr>
              <w:spacing w:line="240" w:lineRule="auto"/>
              <w:ind w:firstLine="0" w:firstLineChars="0"/>
              <w:jc w:val="center"/>
              <w:rPr>
                <w:rFonts w:ascii="仿宋" w:hAnsi="仿宋"/>
                <w:bCs/>
                <w:sz w:val="24"/>
                <w:szCs w:val="24"/>
              </w:rPr>
            </w:pPr>
            <w:r>
              <w:rPr>
                <w:rFonts w:hint="eastAsia" w:ascii="仿宋" w:hAnsi="仿宋"/>
                <w:bCs/>
                <w:sz w:val="24"/>
                <w:szCs w:val="24"/>
              </w:rPr>
              <w:t>验收项目</w:t>
            </w:r>
          </w:p>
        </w:tc>
        <w:tc>
          <w:tcPr>
            <w:tcW w:w="5349" w:type="dxa"/>
            <w:vAlign w:val="center"/>
          </w:tcPr>
          <w:p w14:paraId="00D67C03">
            <w:pPr>
              <w:spacing w:line="240" w:lineRule="auto"/>
              <w:ind w:firstLine="0" w:firstLineChars="0"/>
              <w:jc w:val="center"/>
              <w:rPr>
                <w:rFonts w:ascii="仿宋" w:hAnsi="仿宋"/>
                <w:bCs/>
                <w:sz w:val="24"/>
                <w:szCs w:val="24"/>
              </w:rPr>
            </w:pPr>
            <w:r>
              <w:rPr>
                <w:rFonts w:hint="eastAsia" w:ascii="仿宋" w:hAnsi="仿宋"/>
                <w:bCs/>
                <w:sz w:val="24"/>
                <w:szCs w:val="24"/>
              </w:rPr>
              <w:t>验收标准</w:t>
            </w:r>
          </w:p>
        </w:tc>
      </w:tr>
      <w:tr w14:paraId="67B132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674D242F">
            <w:pPr>
              <w:spacing w:line="240" w:lineRule="auto"/>
              <w:ind w:firstLine="0" w:firstLineChars="0"/>
              <w:jc w:val="center"/>
              <w:rPr>
                <w:rFonts w:ascii="仿宋" w:hAnsi="仿宋"/>
                <w:sz w:val="24"/>
                <w:szCs w:val="24"/>
              </w:rPr>
            </w:pPr>
            <w:r>
              <w:rPr>
                <w:rFonts w:ascii="仿宋" w:hAnsi="仿宋"/>
                <w:sz w:val="24"/>
                <w:szCs w:val="24"/>
              </w:rPr>
              <w:t>1</w:t>
            </w:r>
          </w:p>
        </w:tc>
        <w:tc>
          <w:tcPr>
            <w:tcW w:w="2731" w:type="dxa"/>
            <w:vAlign w:val="center"/>
          </w:tcPr>
          <w:p w14:paraId="157216E3">
            <w:pPr>
              <w:spacing w:line="240" w:lineRule="auto"/>
              <w:ind w:firstLine="0" w:firstLineChars="0"/>
              <w:jc w:val="center"/>
              <w:rPr>
                <w:rFonts w:ascii="仿宋" w:hAnsi="仿宋"/>
                <w:sz w:val="24"/>
                <w:szCs w:val="24"/>
              </w:rPr>
            </w:pPr>
            <w:r>
              <w:rPr>
                <w:rFonts w:hint="eastAsia" w:ascii="仿宋" w:hAnsi="仿宋"/>
                <w:sz w:val="24"/>
                <w:szCs w:val="24"/>
              </w:rPr>
              <w:t>塔身垂直度</w:t>
            </w:r>
          </w:p>
        </w:tc>
        <w:tc>
          <w:tcPr>
            <w:tcW w:w="5349" w:type="dxa"/>
            <w:vAlign w:val="center"/>
          </w:tcPr>
          <w:p w14:paraId="54E4C6F3">
            <w:pPr>
              <w:spacing w:line="240" w:lineRule="auto"/>
              <w:ind w:firstLine="0" w:firstLineChars="0"/>
              <w:jc w:val="center"/>
              <w:rPr>
                <w:rFonts w:ascii="仿宋" w:hAnsi="仿宋"/>
                <w:sz w:val="24"/>
                <w:szCs w:val="24"/>
              </w:rPr>
            </w:pPr>
            <w:r>
              <w:rPr>
                <w:rFonts w:hint="eastAsia" w:ascii="仿宋" w:hAnsi="仿宋"/>
                <w:sz w:val="24"/>
                <w:szCs w:val="24"/>
              </w:rPr>
              <w:t>独立高度≤</w:t>
            </w:r>
            <w:r>
              <w:rPr>
                <w:rFonts w:ascii="仿宋" w:hAnsi="仿宋"/>
                <w:sz w:val="24"/>
                <w:szCs w:val="24"/>
              </w:rPr>
              <w:t>4</w:t>
            </w:r>
            <w:r>
              <w:rPr>
                <w:rFonts w:hint="eastAsia" w:ascii="仿宋" w:hAnsi="仿宋"/>
                <w:sz w:val="24"/>
                <w:szCs w:val="24"/>
              </w:rPr>
              <w:t>‰</w:t>
            </w:r>
          </w:p>
        </w:tc>
      </w:tr>
      <w:tr w14:paraId="7830B4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3F93948">
            <w:pPr>
              <w:spacing w:line="240" w:lineRule="auto"/>
              <w:ind w:firstLine="0" w:firstLineChars="0"/>
              <w:jc w:val="center"/>
              <w:rPr>
                <w:rFonts w:ascii="仿宋" w:hAnsi="仿宋"/>
                <w:sz w:val="24"/>
                <w:szCs w:val="24"/>
              </w:rPr>
            </w:pPr>
            <w:r>
              <w:rPr>
                <w:rFonts w:ascii="仿宋" w:hAnsi="仿宋"/>
                <w:sz w:val="24"/>
                <w:szCs w:val="24"/>
              </w:rPr>
              <w:t>2</w:t>
            </w:r>
          </w:p>
        </w:tc>
        <w:tc>
          <w:tcPr>
            <w:tcW w:w="2731" w:type="dxa"/>
            <w:vAlign w:val="center"/>
          </w:tcPr>
          <w:p w14:paraId="5B172F55">
            <w:pPr>
              <w:spacing w:line="240" w:lineRule="auto"/>
              <w:ind w:firstLine="0" w:firstLineChars="0"/>
              <w:jc w:val="center"/>
              <w:rPr>
                <w:rFonts w:ascii="仿宋" w:hAnsi="仿宋"/>
                <w:sz w:val="24"/>
                <w:szCs w:val="24"/>
              </w:rPr>
            </w:pPr>
            <w:r>
              <w:rPr>
                <w:rFonts w:hint="eastAsia" w:ascii="仿宋" w:hAnsi="仿宋"/>
                <w:sz w:val="24"/>
                <w:szCs w:val="24"/>
              </w:rPr>
              <w:t>结构件</w:t>
            </w:r>
          </w:p>
        </w:tc>
        <w:tc>
          <w:tcPr>
            <w:tcW w:w="5349" w:type="dxa"/>
            <w:vAlign w:val="center"/>
          </w:tcPr>
          <w:p w14:paraId="237FC837">
            <w:pPr>
              <w:spacing w:line="240" w:lineRule="auto"/>
              <w:ind w:firstLine="0" w:firstLineChars="0"/>
              <w:jc w:val="center"/>
              <w:rPr>
                <w:rFonts w:ascii="仿宋" w:hAnsi="仿宋"/>
                <w:sz w:val="24"/>
                <w:szCs w:val="24"/>
              </w:rPr>
            </w:pPr>
            <w:r>
              <w:rPr>
                <w:rFonts w:hint="eastAsia" w:ascii="仿宋" w:hAnsi="仿宋"/>
                <w:sz w:val="24"/>
                <w:szCs w:val="24"/>
              </w:rPr>
              <w:t>无扭曲、变形、裂纹和严重锈蚀</w:t>
            </w:r>
          </w:p>
        </w:tc>
      </w:tr>
      <w:tr w14:paraId="28D67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7F97FFD7">
            <w:pPr>
              <w:spacing w:line="240" w:lineRule="auto"/>
              <w:ind w:firstLine="0" w:firstLineChars="0"/>
              <w:jc w:val="center"/>
              <w:rPr>
                <w:rFonts w:ascii="仿宋" w:hAnsi="仿宋"/>
                <w:sz w:val="24"/>
                <w:szCs w:val="24"/>
              </w:rPr>
            </w:pPr>
            <w:r>
              <w:rPr>
                <w:rFonts w:ascii="仿宋" w:hAnsi="仿宋"/>
                <w:sz w:val="24"/>
                <w:szCs w:val="24"/>
              </w:rPr>
              <w:t>3</w:t>
            </w:r>
          </w:p>
        </w:tc>
        <w:tc>
          <w:tcPr>
            <w:tcW w:w="2731" w:type="dxa"/>
            <w:vAlign w:val="center"/>
          </w:tcPr>
          <w:p w14:paraId="053ECEB9">
            <w:pPr>
              <w:spacing w:line="240" w:lineRule="auto"/>
              <w:ind w:firstLine="0" w:firstLineChars="0"/>
              <w:jc w:val="center"/>
              <w:rPr>
                <w:rFonts w:ascii="仿宋" w:hAnsi="仿宋"/>
                <w:sz w:val="24"/>
                <w:szCs w:val="24"/>
              </w:rPr>
            </w:pPr>
            <w:r>
              <w:rPr>
                <w:rFonts w:hint="eastAsia" w:ascii="仿宋" w:hAnsi="仿宋"/>
                <w:sz w:val="24"/>
                <w:szCs w:val="24"/>
              </w:rPr>
              <w:t>连接件、紧固件</w:t>
            </w:r>
          </w:p>
        </w:tc>
        <w:tc>
          <w:tcPr>
            <w:tcW w:w="5349" w:type="dxa"/>
            <w:vAlign w:val="center"/>
          </w:tcPr>
          <w:p w14:paraId="558D4D2C">
            <w:pPr>
              <w:spacing w:line="240" w:lineRule="auto"/>
              <w:ind w:firstLine="0" w:firstLineChars="0"/>
              <w:jc w:val="center"/>
              <w:rPr>
                <w:rFonts w:ascii="仿宋" w:hAnsi="仿宋"/>
                <w:sz w:val="24"/>
                <w:szCs w:val="24"/>
              </w:rPr>
            </w:pPr>
            <w:r>
              <w:rPr>
                <w:rFonts w:hint="eastAsia" w:ascii="仿宋" w:hAnsi="仿宋"/>
                <w:sz w:val="24"/>
                <w:szCs w:val="24"/>
              </w:rPr>
              <w:t>销轴齐全到位，有可靠轴向止动，正确使用开口销。螺栓连接齐全、坚固牢靠，均有防松措施，高强螺栓按要求预紧，螺栓高于螺母</w:t>
            </w:r>
            <w:r>
              <w:rPr>
                <w:rFonts w:ascii="仿宋" w:hAnsi="仿宋"/>
                <w:sz w:val="24"/>
                <w:szCs w:val="24"/>
              </w:rPr>
              <w:t>0-3</w:t>
            </w:r>
            <w:r>
              <w:rPr>
                <w:rFonts w:hint="eastAsia" w:ascii="仿宋" w:hAnsi="仿宋"/>
                <w:sz w:val="24"/>
                <w:szCs w:val="24"/>
              </w:rPr>
              <w:t>扣</w:t>
            </w:r>
          </w:p>
        </w:tc>
      </w:tr>
      <w:tr w14:paraId="27F9C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460C03F8">
            <w:pPr>
              <w:spacing w:line="240" w:lineRule="auto"/>
              <w:ind w:firstLine="0" w:firstLineChars="0"/>
              <w:jc w:val="center"/>
              <w:rPr>
                <w:rFonts w:ascii="仿宋" w:hAnsi="仿宋"/>
                <w:sz w:val="24"/>
                <w:szCs w:val="24"/>
              </w:rPr>
            </w:pPr>
            <w:r>
              <w:rPr>
                <w:rFonts w:ascii="仿宋" w:hAnsi="仿宋"/>
                <w:sz w:val="24"/>
                <w:szCs w:val="24"/>
              </w:rPr>
              <w:t>4</w:t>
            </w:r>
          </w:p>
        </w:tc>
        <w:tc>
          <w:tcPr>
            <w:tcW w:w="2731" w:type="dxa"/>
            <w:vAlign w:val="center"/>
          </w:tcPr>
          <w:p w14:paraId="56011D68">
            <w:pPr>
              <w:spacing w:line="240" w:lineRule="auto"/>
              <w:ind w:firstLine="0" w:firstLineChars="0"/>
              <w:jc w:val="center"/>
              <w:rPr>
                <w:rFonts w:ascii="仿宋" w:hAnsi="仿宋"/>
                <w:sz w:val="24"/>
                <w:szCs w:val="24"/>
              </w:rPr>
            </w:pPr>
            <w:r>
              <w:rPr>
                <w:rFonts w:hint="eastAsia" w:ascii="仿宋" w:hAnsi="仿宋"/>
                <w:sz w:val="24"/>
                <w:szCs w:val="24"/>
              </w:rPr>
              <w:t>配重</w:t>
            </w:r>
          </w:p>
        </w:tc>
        <w:tc>
          <w:tcPr>
            <w:tcW w:w="5349" w:type="dxa"/>
            <w:vAlign w:val="center"/>
          </w:tcPr>
          <w:p w14:paraId="03D1F03B">
            <w:pPr>
              <w:spacing w:line="240" w:lineRule="auto"/>
              <w:ind w:firstLine="0" w:firstLineChars="0"/>
              <w:jc w:val="center"/>
              <w:rPr>
                <w:rFonts w:ascii="仿宋" w:hAnsi="仿宋"/>
                <w:sz w:val="24"/>
                <w:szCs w:val="24"/>
              </w:rPr>
            </w:pPr>
            <w:r>
              <w:rPr>
                <w:rFonts w:hint="eastAsia" w:ascii="仿宋" w:hAnsi="仿宋"/>
                <w:sz w:val="24"/>
                <w:szCs w:val="24"/>
              </w:rPr>
              <w:t>按规定堆放、固定连接正确可靠、重量符合设计要求</w:t>
            </w:r>
          </w:p>
        </w:tc>
      </w:tr>
      <w:tr w14:paraId="47A89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3510D0F6">
            <w:pPr>
              <w:spacing w:line="240" w:lineRule="auto"/>
              <w:ind w:firstLine="0" w:firstLineChars="0"/>
              <w:jc w:val="center"/>
              <w:rPr>
                <w:rFonts w:ascii="仿宋" w:hAnsi="仿宋"/>
                <w:sz w:val="24"/>
                <w:szCs w:val="24"/>
              </w:rPr>
            </w:pPr>
            <w:r>
              <w:rPr>
                <w:rFonts w:ascii="仿宋" w:hAnsi="仿宋"/>
                <w:sz w:val="24"/>
                <w:szCs w:val="24"/>
              </w:rPr>
              <w:t>5</w:t>
            </w:r>
          </w:p>
        </w:tc>
        <w:tc>
          <w:tcPr>
            <w:tcW w:w="2731" w:type="dxa"/>
            <w:vAlign w:val="center"/>
          </w:tcPr>
          <w:p w14:paraId="612D37FE">
            <w:pPr>
              <w:spacing w:line="240" w:lineRule="auto"/>
              <w:ind w:firstLine="0" w:firstLineChars="0"/>
              <w:jc w:val="center"/>
              <w:rPr>
                <w:rFonts w:ascii="仿宋" w:hAnsi="仿宋"/>
                <w:sz w:val="24"/>
                <w:szCs w:val="24"/>
              </w:rPr>
            </w:pPr>
            <w:r>
              <w:rPr>
                <w:rFonts w:hint="eastAsia" w:ascii="仿宋" w:hAnsi="仿宋"/>
                <w:sz w:val="24"/>
                <w:szCs w:val="24"/>
              </w:rPr>
              <w:t>钢丝绳及其固结</w:t>
            </w:r>
          </w:p>
        </w:tc>
        <w:tc>
          <w:tcPr>
            <w:tcW w:w="5349" w:type="dxa"/>
            <w:vAlign w:val="center"/>
          </w:tcPr>
          <w:p w14:paraId="1ECA082E">
            <w:pPr>
              <w:spacing w:line="240" w:lineRule="auto"/>
              <w:ind w:firstLine="0" w:firstLineChars="0"/>
              <w:jc w:val="center"/>
              <w:rPr>
                <w:rFonts w:ascii="仿宋" w:hAnsi="仿宋"/>
                <w:sz w:val="24"/>
                <w:szCs w:val="24"/>
              </w:rPr>
            </w:pPr>
            <w:r>
              <w:rPr>
                <w:rFonts w:hint="eastAsia" w:ascii="仿宋" w:hAnsi="仿宋"/>
                <w:sz w:val="24"/>
                <w:szCs w:val="24"/>
              </w:rPr>
              <w:t>无严重损伤、变形、固结合理，符合</w:t>
            </w:r>
            <w:r>
              <w:rPr>
                <w:rFonts w:ascii="仿宋" w:hAnsi="仿宋"/>
                <w:sz w:val="24"/>
                <w:szCs w:val="24"/>
              </w:rPr>
              <w:t>JGJ33-2001</w:t>
            </w:r>
            <w:r>
              <w:rPr>
                <w:rFonts w:hint="eastAsia" w:ascii="仿宋" w:hAnsi="仿宋"/>
                <w:sz w:val="24"/>
                <w:szCs w:val="24"/>
              </w:rPr>
              <w:t>、</w:t>
            </w:r>
            <w:r>
              <w:rPr>
                <w:rFonts w:ascii="仿宋" w:hAnsi="仿宋"/>
                <w:sz w:val="24"/>
                <w:szCs w:val="24"/>
              </w:rPr>
              <w:t>GB5972-86</w:t>
            </w:r>
            <w:r>
              <w:rPr>
                <w:rFonts w:hint="eastAsia" w:ascii="仿宋" w:hAnsi="仿宋"/>
                <w:sz w:val="24"/>
                <w:szCs w:val="24"/>
              </w:rPr>
              <w:t>有关要求</w:t>
            </w:r>
          </w:p>
        </w:tc>
      </w:tr>
      <w:tr w14:paraId="142EAD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ADC6E7A">
            <w:pPr>
              <w:spacing w:line="240" w:lineRule="auto"/>
              <w:ind w:firstLine="0" w:firstLineChars="0"/>
              <w:jc w:val="center"/>
              <w:rPr>
                <w:rFonts w:ascii="仿宋" w:hAnsi="仿宋"/>
                <w:sz w:val="24"/>
                <w:szCs w:val="24"/>
              </w:rPr>
            </w:pPr>
            <w:r>
              <w:rPr>
                <w:rFonts w:ascii="仿宋" w:hAnsi="仿宋"/>
                <w:sz w:val="24"/>
                <w:szCs w:val="24"/>
              </w:rPr>
              <w:t>6</w:t>
            </w:r>
          </w:p>
        </w:tc>
        <w:tc>
          <w:tcPr>
            <w:tcW w:w="2731" w:type="dxa"/>
            <w:vAlign w:val="center"/>
          </w:tcPr>
          <w:p w14:paraId="6586FC0F">
            <w:pPr>
              <w:spacing w:line="240" w:lineRule="auto"/>
              <w:ind w:firstLine="0" w:firstLineChars="0"/>
              <w:jc w:val="center"/>
              <w:rPr>
                <w:rFonts w:ascii="仿宋" w:hAnsi="仿宋"/>
                <w:sz w:val="24"/>
                <w:szCs w:val="24"/>
              </w:rPr>
            </w:pPr>
            <w:r>
              <w:rPr>
                <w:rFonts w:hint="eastAsia" w:ascii="仿宋" w:hAnsi="仿宋"/>
                <w:sz w:val="24"/>
                <w:szCs w:val="24"/>
              </w:rPr>
              <w:t>钢丝绳绳端的固定及安装情况</w:t>
            </w:r>
          </w:p>
        </w:tc>
        <w:tc>
          <w:tcPr>
            <w:tcW w:w="5349" w:type="dxa"/>
            <w:vAlign w:val="center"/>
          </w:tcPr>
          <w:p w14:paraId="0680BF11">
            <w:pPr>
              <w:spacing w:line="240" w:lineRule="auto"/>
              <w:ind w:firstLine="0" w:firstLineChars="0"/>
              <w:jc w:val="center"/>
              <w:rPr>
                <w:rFonts w:ascii="仿宋" w:hAnsi="仿宋"/>
                <w:sz w:val="24"/>
                <w:szCs w:val="24"/>
              </w:rPr>
            </w:pPr>
            <w:r>
              <w:rPr>
                <w:rFonts w:hint="eastAsia" w:ascii="仿宋" w:hAnsi="仿宋"/>
                <w:sz w:val="24"/>
                <w:szCs w:val="24"/>
              </w:rPr>
              <w:t>固定应牢固，在卷筒、滑轮中的缠绕方向应．正确</w:t>
            </w:r>
          </w:p>
        </w:tc>
      </w:tr>
      <w:tr w14:paraId="478D3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5DB2405D">
            <w:pPr>
              <w:spacing w:line="240" w:lineRule="auto"/>
              <w:ind w:firstLine="0" w:firstLineChars="0"/>
              <w:jc w:val="center"/>
              <w:rPr>
                <w:rFonts w:ascii="仿宋" w:hAnsi="仿宋"/>
                <w:sz w:val="24"/>
                <w:szCs w:val="24"/>
              </w:rPr>
            </w:pPr>
            <w:r>
              <w:rPr>
                <w:rFonts w:ascii="仿宋" w:hAnsi="仿宋"/>
                <w:sz w:val="24"/>
                <w:szCs w:val="24"/>
              </w:rPr>
              <w:t>7</w:t>
            </w:r>
          </w:p>
        </w:tc>
        <w:tc>
          <w:tcPr>
            <w:tcW w:w="2731" w:type="dxa"/>
            <w:vAlign w:val="center"/>
          </w:tcPr>
          <w:p w14:paraId="1A5C0BCD">
            <w:pPr>
              <w:spacing w:line="240" w:lineRule="auto"/>
              <w:ind w:firstLine="0" w:firstLineChars="0"/>
              <w:jc w:val="center"/>
              <w:rPr>
                <w:rFonts w:ascii="仿宋" w:hAnsi="仿宋"/>
                <w:sz w:val="24"/>
                <w:szCs w:val="24"/>
              </w:rPr>
            </w:pPr>
            <w:r>
              <w:rPr>
                <w:rFonts w:hint="eastAsia" w:ascii="仿宋" w:hAnsi="仿宋"/>
                <w:sz w:val="24"/>
                <w:szCs w:val="24"/>
              </w:rPr>
              <w:t>吊钩</w:t>
            </w:r>
          </w:p>
        </w:tc>
        <w:tc>
          <w:tcPr>
            <w:tcW w:w="5349" w:type="dxa"/>
            <w:vAlign w:val="center"/>
          </w:tcPr>
          <w:p w14:paraId="583D6D0C">
            <w:pPr>
              <w:spacing w:line="240" w:lineRule="auto"/>
              <w:ind w:firstLine="0" w:firstLineChars="0"/>
              <w:jc w:val="center"/>
              <w:rPr>
                <w:rFonts w:ascii="仿宋" w:hAnsi="仿宋"/>
                <w:sz w:val="24"/>
                <w:szCs w:val="24"/>
              </w:rPr>
            </w:pPr>
            <w:r>
              <w:rPr>
                <w:rFonts w:hint="eastAsia" w:ascii="仿宋" w:hAnsi="仿宋"/>
                <w:sz w:val="24"/>
                <w:szCs w:val="24"/>
              </w:rPr>
              <w:t>防脱钩装置完好。表面无破口、孔穴、裂纹、凹陷等，不得补焊，挂绳处断面磨损小于高度</w:t>
            </w:r>
            <w:r>
              <w:rPr>
                <w:rFonts w:ascii="仿宋" w:hAnsi="仿宋"/>
                <w:sz w:val="24"/>
                <w:szCs w:val="24"/>
              </w:rPr>
              <w:t>10%</w:t>
            </w:r>
            <w:r>
              <w:rPr>
                <w:rFonts w:hint="eastAsia" w:ascii="仿宋" w:hAnsi="仿宋"/>
                <w:sz w:val="24"/>
                <w:szCs w:val="24"/>
              </w:rPr>
              <w:t>，无永久变形。</w:t>
            </w:r>
          </w:p>
        </w:tc>
      </w:tr>
      <w:tr w14:paraId="781BB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003819C">
            <w:pPr>
              <w:spacing w:line="240" w:lineRule="auto"/>
              <w:ind w:firstLine="0" w:firstLineChars="0"/>
              <w:jc w:val="center"/>
              <w:rPr>
                <w:rFonts w:ascii="仿宋" w:hAnsi="仿宋"/>
                <w:sz w:val="24"/>
                <w:szCs w:val="24"/>
              </w:rPr>
            </w:pPr>
            <w:r>
              <w:rPr>
                <w:rFonts w:ascii="仿宋" w:hAnsi="仿宋"/>
                <w:sz w:val="24"/>
                <w:szCs w:val="24"/>
              </w:rPr>
              <w:t>8</w:t>
            </w:r>
          </w:p>
        </w:tc>
        <w:tc>
          <w:tcPr>
            <w:tcW w:w="2731" w:type="dxa"/>
            <w:vAlign w:val="center"/>
          </w:tcPr>
          <w:p w14:paraId="718FF005">
            <w:pPr>
              <w:spacing w:line="240" w:lineRule="auto"/>
              <w:ind w:firstLine="0" w:firstLineChars="0"/>
              <w:jc w:val="center"/>
              <w:rPr>
                <w:rFonts w:ascii="仿宋" w:hAnsi="仿宋"/>
                <w:sz w:val="24"/>
                <w:szCs w:val="24"/>
              </w:rPr>
            </w:pPr>
            <w:r>
              <w:rPr>
                <w:rFonts w:hint="eastAsia" w:ascii="仿宋" w:hAnsi="仿宋"/>
                <w:sz w:val="24"/>
                <w:szCs w:val="24"/>
              </w:rPr>
              <w:t>吊装钢丝绳、卡环、吊具</w:t>
            </w:r>
          </w:p>
        </w:tc>
        <w:tc>
          <w:tcPr>
            <w:tcW w:w="5349" w:type="dxa"/>
            <w:vAlign w:val="center"/>
          </w:tcPr>
          <w:p w14:paraId="39F7F26B">
            <w:pPr>
              <w:spacing w:line="240" w:lineRule="auto"/>
              <w:ind w:firstLine="0" w:firstLineChars="0"/>
              <w:jc w:val="center"/>
              <w:rPr>
                <w:rFonts w:ascii="仿宋" w:hAnsi="仿宋"/>
                <w:sz w:val="24"/>
                <w:szCs w:val="24"/>
              </w:rPr>
            </w:pPr>
            <w:r>
              <w:rPr>
                <w:rFonts w:hint="eastAsia" w:ascii="仿宋" w:hAnsi="仿宋"/>
                <w:sz w:val="24"/>
                <w:szCs w:val="24"/>
              </w:rPr>
              <w:t>钢丝绳、卡环符合国标要求、吊具无开焊和变形</w:t>
            </w:r>
          </w:p>
        </w:tc>
      </w:tr>
      <w:tr w14:paraId="7484D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5B3ECE2C">
            <w:pPr>
              <w:spacing w:line="240" w:lineRule="auto"/>
              <w:ind w:firstLine="0" w:firstLineChars="0"/>
              <w:jc w:val="center"/>
              <w:rPr>
                <w:rFonts w:ascii="仿宋" w:hAnsi="仿宋"/>
                <w:sz w:val="24"/>
                <w:szCs w:val="24"/>
              </w:rPr>
            </w:pPr>
            <w:r>
              <w:rPr>
                <w:rFonts w:ascii="仿宋" w:hAnsi="仿宋"/>
                <w:sz w:val="24"/>
                <w:szCs w:val="24"/>
              </w:rPr>
              <w:t>9</w:t>
            </w:r>
          </w:p>
        </w:tc>
        <w:tc>
          <w:tcPr>
            <w:tcW w:w="2731" w:type="dxa"/>
            <w:vAlign w:val="center"/>
          </w:tcPr>
          <w:p w14:paraId="1378443B">
            <w:pPr>
              <w:spacing w:line="240" w:lineRule="auto"/>
              <w:ind w:firstLine="0" w:firstLineChars="0"/>
              <w:jc w:val="center"/>
              <w:rPr>
                <w:rFonts w:ascii="仿宋" w:hAnsi="仿宋"/>
                <w:sz w:val="24"/>
                <w:szCs w:val="24"/>
              </w:rPr>
            </w:pPr>
            <w:r>
              <w:rPr>
                <w:rFonts w:hint="eastAsia" w:ascii="仿宋" w:hAnsi="仿宋"/>
                <w:sz w:val="24"/>
                <w:szCs w:val="24"/>
              </w:rPr>
              <w:t>各工作机构、各保护装置、润滑系统及液压系统等的安装、注油情况</w:t>
            </w:r>
          </w:p>
        </w:tc>
        <w:tc>
          <w:tcPr>
            <w:tcW w:w="5349" w:type="dxa"/>
            <w:vAlign w:val="center"/>
          </w:tcPr>
          <w:p w14:paraId="07DE4189">
            <w:pPr>
              <w:spacing w:line="240" w:lineRule="auto"/>
              <w:ind w:firstLine="0" w:firstLineChars="0"/>
              <w:jc w:val="center"/>
              <w:rPr>
                <w:rFonts w:ascii="仿宋" w:hAnsi="仿宋"/>
                <w:sz w:val="24"/>
                <w:szCs w:val="24"/>
              </w:rPr>
            </w:pPr>
            <w:r>
              <w:rPr>
                <w:rFonts w:hint="eastAsia" w:ascii="仿宋" w:hAnsi="仿宋"/>
                <w:sz w:val="24"/>
                <w:szCs w:val="24"/>
              </w:rPr>
              <w:t>满足图纸及设计要求</w:t>
            </w:r>
          </w:p>
        </w:tc>
      </w:tr>
      <w:tr w14:paraId="3287C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83D70FD">
            <w:pPr>
              <w:spacing w:line="240" w:lineRule="auto"/>
              <w:ind w:firstLine="0" w:firstLineChars="0"/>
              <w:jc w:val="center"/>
              <w:rPr>
                <w:rFonts w:ascii="仿宋" w:hAnsi="仿宋"/>
                <w:sz w:val="24"/>
                <w:szCs w:val="24"/>
              </w:rPr>
            </w:pPr>
            <w:r>
              <w:rPr>
                <w:rFonts w:ascii="仿宋" w:hAnsi="仿宋"/>
                <w:sz w:val="24"/>
                <w:szCs w:val="24"/>
              </w:rPr>
              <w:t>10</w:t>
            </w:r>
          </w:p>
        </w:tc>
        <w:tc>
          <w:tcPr>
            <w:tcW w:w="2731" w:type="dxa"/>
            <w:vAlign w:val="center"/>
          </w:tcPr>
          <w:p w14:paraId="5824753F">
            <w:pPr>
              <w:spacing w:line="240" w:lineRule="auto"/>
              <w:ind w:firstLine="0" w:firstLineChars="0"/>
              <w:jc w:val="center"/>
              <w:rPr>
                <w:rFonts w:ascii="仿宋" w:hAnsi="仿宋"/>
                <w:sz w:val="24"/>
                <w:szCs w:val="24"/>
              </w:rPr>
            </w:pPr>
            <w:r>
              <w:rPr>
                <w:rFonts w:hint="eastAsia" w:ascii="仿宋" w:hAnsi="仿宋"/>
                <w:sz w:val="24"/>
                <w:szCs w:val="24"/>
              </w:rPr>
              <w:t>电缆、电气元件、变压器及各电机的接线是否正确，接头是否有松动现象，接地是否良好</w:t>
            </w:r>
          </w:p>
        </w:tc>
        <w:tc>
          <w:tcPr>
            <w:tcW w:w="5349" w:type="dxa"/>
            <w:vAlign w:val="center"/>
          </w:tcPr>
          <w:p w14:paraId="09B2DBD7">
            <w:pPr>
              <w:spacing w:line="240" w:lineRule="auto"/>
              <w:ind w:firstLine="0" w:firstLineChars="0"/>
              <w:jc w:val="center"/>
              <w:rPr>
                <w:rFonts w:ascii="仿宋" w:hAnsi="仿宋"/>
                <w:sz w:val="24"/>
                <w:szCs w:val="24"/>
              </w:rPr>
            </w:pPr>
            <w:r>
              <w:rPr>
                <w:rFonts w:hint="eastAsia" w:ascii="仿宋" w:hAnsi="仿宋"/>
                <w:sz w:val="24"/>
                <w:szCs w:val="24"/>
              </w:rPr>
              <w:t>各接线位置接触良好，接线正确，接头无松动，接地良好，接地电阻小于</w:t>
            </w:r>
            <w:r>
              <w:rPr>
                <w:rFonts w:ascii="仿宋" w:hAnsi="仿宋"/>
                <w:sz w:val="24"/>
                <w:szCs w:val="24"/>
              </w:rPr>
              <w:t>4</w:t>
            </w:r>
            <w:r>
              <w:rPr>
                <w:rFonts w:hint="eastAsia" w:ascii="仿宋" w:hAnsi="仿宋"/>
                <w:sz w:val="24"/>
                <w:szCs w:val="24"/>
              </w:rPr>
              <w:t>Ω。</w:t>
            </w:r>
          </w:p>
          <w:p w14:paraId="2DA87470">
            <w:pPr>
              <w:spacing w:line="240" w:lineRule="auto"/>
              <w:ind w:firstLine="0" w:firstLineChars="0"/>
              <w:jc w:val="center"/>
              <w:rPr>
                <w:rFonts w:ascii="仿宋" w:hAnsi="仿宋"/>
                <w:sz w:val="24"/>
                <w:szCs w:val="24"/>
              </w:rPr>
            </w:pPr>
          </w:p>
        </w:tc>
      </w:tr>
      <w:tr w14:paraId="51DF6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D39E1D5">
            <w:pPr>
              <w:spacing w:line="240" w:lineRule="auto"/>
              <w:ind w:firstLine="0" w:firstLineChars="0"/>
              <w:jc w:val="center"/>
              <w:rPr>
                <w:rFonts w:ascii="仿宋" w:hAnsi="仿宋"/>
                <w:sz w:val="24"/>
                <w:szCs w:val="24"/>
              </w:rPr>
            </w:pPr>
            <w:r>
              <w:rPr>
                <w:rFonts w:ascii="仿宋" w:hAnsi="仿宋"/>
                <w:sz w:val="24"/>
                <w:szCs w:val="24"/>
              </w:rPr>
              <w:t>11</w:t>
            </w:r>
          </w:p>
        </w:tc>
        <w:tc>
          <w:tcPr>
            <w:tcW w:w="2731" w:type="dxa"/>
            <w:vAlign w:val="center"/>
          </w:tcPr>
          <w:p w14:paraId="509957E2">
            <w:pPr>
              <w:spacing w:line="240" w:lineRule="auto"/>
              <w:ind w:firstLine="0" w:firstLineChars="0"/>
              <w:jc w:val="center"/>
              <w:rPr>
                <w:rFonts w:ascii="仿宋" w:hAnsi="仿宋"/>
                <w:sz w:val="24"/>
                <w:szCs w:val="24"/>
              </w:rPr>
            </w:pPr>
            <w:r>
              <w:rPr>
                <w:rFonts w:hint="eastAsia" w:ascii="仿宋" w:hAnsi="仿宋"/>
                <w:sz w:val="24"/>
                <w:szCs w:val="24"/>
              </w:rPr>
              <w:t>各机构电机转向是否正确</w:t>
            </w:r>
          </w:p>
        </w:tc>
        <w:tc>
          <w:tcPr>
            <w:tcW w:w="5349" w:type="dxa"/>
            <w:vAlign w:val="center"/>
          </w:tcPr>
          <w:p w14:paraId="25CD5916">
            <w:pPr>
              <w:spacing w:line="240" w:lineRule="auto"/>
              <w:ind w:firstLine="0" w:firstLineChars="0"/>
              <w:jc w:val="center"/>
              <w:rPr>
                <w:rFonts w:ascii="仿宋" w:hAnsi="仿宋"/>
                <w:sz w:val="24"/>
                <w:szCs w:val="24"/>
              </w:rPr>
            </w:pPr>
            <w:r>
              <w:rPr>
                <w:rFonts w:hint="eastAsia" w:ascii="仿宋" w:hAnsi="仿宋"/>
                <w:sz w:val="24"/>
                <w:szCs w:val="24"/>
              </w:rPr>
              <w:t>转向正确</w:t>
            </w:r>
          </w:p>
        </w:tc>
      </w:tr>
      <w:tr w14:paraId="66EA2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03A38423">
            <w:pPr>
              <w:spacing w:line="240" w:lineRule="auto"/>
              <w:ind w:firstLine="0" w:firstLineChars="0"/>
              <w:jc w:val="center"/>
              <w:rPr>
                <w:rFonts w:ascii="仿宋" w:hAnsi="仿宋"/>
                <w:sz w:val="24"/>
                <w:szCs w:val="24"/>
              </w:rPr>
            </w:pPr>
            <w:r>
              <w:rPr>
                <w:rFonts w:ascii="仿宋" w:hAnsi="仿宋"/>
                <w:sz w:val="24"/>
                <w:szCs w:val="24"/>
              </w:rPr>
              <w:t>12</w:t>
            </w:r>
          </w:p>
        </w:tc>
        <w:tc>
          <w:tcPr>
            <w:tcW w:w="2731" w:type="dxa"/>
            <w:vAlign w:val="center"/>
          </w:tcPr>
          <w:p w14:paraId="3310D2EF">
            <w:pPr>
              <w:spacing w:line="240" w:lineRule="auto"/>
              <w:ind w:firstLine="0" w:firstLineChars="0"/>
              <w:jc w:val="center"/>
              <w:rPr>
                <w:rFonts w:ascii="仿宋" w:hAnsi="仿宋"/>
                <w:sz w:val="24"/>
                <w:szCs w:val="24"/>
              </w:rPr>
            </w:pPr>
            <w:r>
              <w:rPr>
                <w:rFonts w:hint="eastAsia" w:ascii="仿宋" w:hAnsi="仿宋"/>
                <w:sz w:val="24"/>
                <w:szCs w:val="24"/>
              </w:rPr>
              <w:t>作业环境</w:t>
            </w:r>
          </w:p>
        </w:tc>
        <w:tc>
          <w:tcPr>
            <w:tcW w:w="5349" w:type="dxa"/>
            <w:vAlign w:val="center"/>
          </w:tcPr>
          <w:p w14:paraId="2778F8B6">
            <w:pPr>
              <w:spacing w:line="240" w:lineRule="auto"/>
              <w:ind w:firstLine="0" w:firstLineChars="0"/>
              <w:jc w:val="center"/>
              <w:rPr>
                <w:rFonts w:ascii="仿宋" w:hAnsi="仿宋"/>
                <w:sz w:val="24"/>
                <w:szCs w:val="24"/>
              </w:rPr>
            </w:pPr>
            <w:r>
              <w:rPr>
                <w:rFonts w:hint="eastAsia" w:ascii="仿宋" w:hAnsi="仿宋"/>
                <w:sz w:val="24"/>
                <w:szCs w:val="24"/>
              </w:rPr>
              <w:t>周边无障碍物</w:t>
            </w:r>
          </w:p>
        </w:tc>
      </w:tr>
      <w:tr w14:paraId="77216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Merge w:val="restart"/>
            <w:vAlign w:val="center"/>
          </w:tcPr>
          <w:p w14:paraId="401E7E72">
            <w:pPr>
              <w:spacing w:line="240" w:lineRule="auto"/>
              <w:ind w:firstLine="0" w:firstLineChars="0"/>
              <w:jc w:val="center"/>
              <w:rPr>
                <w:rFonts w:ascii="仿宋" w:hAnsi="仿宋"/>
                <w:sz w:val="24"/>
                <w:szCs w:val="24"/>
              </w:rPr>
            </w:pPr>
            <w:r>
              <w:rPr>
                <w:rFonts w:ascii="仿宋" w:hAnsi="仿宋"/>
                <w:sz w:val="24"/>
                <w:szCs w:val="24"/>
              </w:rPr>
              <w:t>13</w:t>
            </w:r>
          </w:p>
        </w:tc>
        <w:tc>
          <w:tcPr>
            <w:tcW w:w="2731" w:type="dxa"/>
            <w:vMerge w:val="restart"/>
            <w:vAlign w:val="center"/>
          </w:tcPr>
          <w:p w14:paraId="6CE5BDDE">
            <w:pPr>
              <w:spacing w:line="240" w:lineRule="auto"/>
              <w:ind w:firstLine="0" w:firstLineChars="0"/>
              <w:jc w:val="center"/>
              <w:rPr>
                <w:rFonts w:ascii="仿宋" w:hAnsi="仿宋"/>
                <w:sz w:val="24"/>
                <w:szCs w:val="24"/>
              </w:rPr>
            </w:pPr>
            <w:r>
              <w:rPr>
                <w:rFonts w:hint="eastAsia" w:ascii="仿宋" w:hAnsi="仿宋"/>
                <w:sz w:val="24"/>
                <w:szCs w:val="24"/>
              </w:rPr>
              <w:t>各机构制动轮安装情况</w:t>
            </w:r>
          </w:p>
        </w:tc>
        <w:tc>
          <w:tcPr>
            <w:tcW w:w="5349" w:type="dxa"/>
            <w:vAlign w:val="center"/>
          </w:tcPr>
          <w:p w14:paraId="44B1E16A">
            <w:pPr>
              <w:spacing w:line="240" w:lineRule="auto"/>
              <w:ind w:firstLine="0" w:firstLineChars="0"/>
              <w:jc w:val="center"/>
              <w:rPr>
                <w:rFonts w:ascii="仿宋" w:hAnsi="仿宋"/>
                <w:sz w:val="24"/>
                <w:szCs w:val="24"/>
              </w:rPr>
            </w:pPr>
            <w:r>
              <w:rPr>
                <w:rFonts w:hint="eastAsia" w:ascii="仿宋" w:hAnsi="仿宋"/>
                <w:sz w:val="24"/>
                <w:szCs w:val="24"/>
              </w:rPr>
              <w:t>打开有间隙．无摩擦</w:t>
            </w:r>
          </w:p>
        </w:tc>
      </w:tr>
      <w:tr w14:paraId="393EB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Merge w:val="continue"/>
          </w:tcPr>
          <w:p w14:paraId="5822750F">
            <w:pPr>
              <w:spacing w:line="240" w:lineRule="auto"/>
              <w:ind w:firstLine="0" w:firstLineChars="0"/>
              <w:jc w:val="center"/>
              <w:rPr>
                <w:rFonts w:ascii="仿宋" w:hAnsi="仿宋"/>
                <w:sz w:val="24"/>
                <w:szCs w:val="24"/>
              </w:rPr>
            </w:pPr>
          </w:p>
        </w:tc>
        <w:tc>
          <w:tcPr>
            <w:tcW w:w="2731" w:type="dxa"/>
            <w:vMerge w:val="continue"/>
            <w:vAlign w:val="center"/>
          </w:tcPr>
          <w:p w14:paraId="3CF19917">
            <w:pPr>
              <w:spacing w:line="240" w:lineRule="auto"/>
              <w:ind w:firstLine="0" w:firstLineChars="0"/>
              <w:jc w:val="center"/>
              <w:rPr>
                <w:rFonts w:ascii="仿宋" w:hAnsi="仿宋"/>
                <w:sz w:val="24"/>
                <w:szCs w:val="24"/>
              </w:rPr>
            </w:pPr>
          </w:p>
        </w:tc>
        <w:tc>
          <w:tcPr>
            <w:tcW w:w="5349" w:type="dxa"/>
            <w:vAlign w:val="center"/>
          </w:tcPr>
          <w:p w14:paraId="1B8ADCA0">
            <w:pPr>
              <w:spacing w:line="240" w:lineRule="auto"/>
              <w:ind w:firstLine="0" w:firstLineChars="0"/>
              <w:jc w:val="center"/>
              <w:rPr>
                <w:rFonts w:ascii="仿宋" w:hAnsi="仿宋"/>
                <w:sz w:val="24"/>
                <w:szCs w:val="24"/>
              </w:rPr>
            </w:pPr>
            <w:r>
              <w:rPr>
                <w:rFonts w:hint="eastAsia" w:ascii="仿宋" w:hAnsi="仿宋"/>
                <w:sz w:val="24"/>
                <w:szCs w:val="24"/>
              </w:rPr>
              <w:t>制动接触面积≥</w:t>
            </w:r>
            <w:r>
              <w:rPr>
                <w:rFonts w:ascii="仿宋" w:hAnsi="仿宋"/>
                <w:sz w:val="24"/>
                <w:szCs w:val="24"/>
              </w:rPr>
              <w:t>70%</w:t>
            </w:r>
          </w:p>
        </w:tc>
      </w:tr>
    </w:tbl>
    <w:p w14:paraId="35A80BCD">
      <w:pPr>
        <w:ind w:firstLine="560"/>
      </w:pPr>
      <w:r>
        <w:rPr>
          <w:rFonts w:hint="eastAsia"/>
        </w:rPr>
        <w:t>2、验收</w:t>
      </w:r>
      <w:r>
        <w:t>程序流程</w:t>
      </w:r>
    </w:p>
    <w:p w14:paraId="0AD99536">
      <w:pPr>
        <w:ind w:firstLine="560"/>
      </w:pPr>
      <w:r>
        <w:rPr>
          <w:rFonts w:hint="eastAsia"/>
        </w:rPr>
        <w:t>调试完成后，将塔机的各种资料（包括出厂合格证、第三方检验证明、各部件安装验收记录、配重块强度报告、垂直度测量报告、接地电阻测量报告等）整理汇总，以备查验。</w:t>
      </w:r>
    </w:p>
    <w:p w14:paraId="583DF502">
      <w:pPr>
        <w:ind w:firstLine="560"/>
      </w:pPr>
      <w:r>
        <w:rPr>
          <w:rFonts w:hint="eastAsia"/>
        </w:rPr>
        <w:t>塔吊安装完毕各项技术指标自检查符合相关要求后通知机械部、安质部、其他业主相关部门等现场验收。</w:t>
      </w:r>
    </w:p>
    <w:p w14:paraId="5BED3700">
      <w:pPr>
        <w:ind w:firstLine="560"/>
      </w:pPr>
      <w:r>
        <w:rPr>
          <w:rFonts w:hint="eastAsia"/>
        </w:rPr>
        <w:t>内部自检合格后，报市级以上特种设备</w:t>
      </w:r>
      <w:r>
        <w:fldChar w:fldCharType="begin"/>
      </w:r>
      <w:r>
        <w:instrText xml:space="preserve"> HYPERLINK "http://www.sei.sd.cn/Init!linklist.action" \t "_blank" </w:instrText>
      </w:r>
      <w:r>
        <w:fldChar w:fldCharType="separate"/>
      </w:r>
      <w:r>
        <w:rPr>
          <w:rFonts w:hint="eastAsia"/>
        </w:rPr>
        <w:t>检验研究院</w:t>
      </w:r>
      <w:r>
        <w:rPr>
          <w:rFonts w:hint="eastAsia"/>
        </w:rPr>
        <w:fldChar w:fldCharType="end"/>
      </w:r>
      <w:r>
        <w:rPr>
          <w:rFonts w:hint="eastAsia"/>
        </w:rPr>
        <w:t>前来验收，验收合格后方可投入运营。</w:t>
      </w:r>
    </w:p>
    <w:p w14:paraId="3663DCB5">
      <w:pPr>
        <w:ind w:left="560" w:firstLine="0" w:firstLineChars="0"/>
      </w:pPr>
      <w:r>
        <w:rPr>
          <w:rFonts w:hint="eastAsia"/>
        </w:rPr>
        <w:t>3、</w:t>
      </w:r>
      <w:r>
        <w:t>验收人员</w:t>
      </w:r>
    </w:p>
    <w:p w14:paraId="3016E033">
      <w:pPr>
        <w:ind w:firstLine="560"/>
      </w:pPr>
      <w:r>
        <w:t>塔机安装后,</w:t>
      </w:r>
      <w:r>
        <w:rPr>
          <w:rFonts w:hint="eastAsia"/>
        </w:rPr>
        <w:t>应由</w:t>
      </w:r>
      <w:r>
        <w:t>使用单位应通知安装单位组织有关人员进行性能载荷等自检验收</w:t>
      </w:r>
      <w:r>
        <w:rPr>
          <w:rFonts w:hint="eastAsia"/>
        </w:rPr>
        <w:t>，</w:t>
      </w:r>
      <w:r>
        <w:t>验收合格双方签字盖章后方可投入使用。使用单位并将自检验收情况连同资料报当地安检部门申请检测。</w:t>
      </w:r>
      <w:r>
        <w:rPr>
          <w:rFonts w:hint="eastAsia"/>
        </w:rPr>
        <w:t>验收人员应包括使用单位及项目部机械部、现场负责人、安质部等相关人员。安装单位人员应包括塔机安装负责人、技术员、安全员、安拆施工队长等相关人员。</w:t>
      </w:r>
    </w:p>
    <w:p w14:paraId="78A3D333">
      <w:pPr>
        <w:ind w:firstLine="560"/>
      </w:pPr>
      <w:bookmarkStart w:id="521" w:name="_Toc31559"/>
      <w:bookmarkStart w:id="522" w:name="_Toc11765"/>
      <w:bookmarkStart w:id="523" w:name="_Toc7928"/>
      <w:bookmarkStart w:id="524" w:name="_Toc6210"/>
      <w:bookmarkStart w:id="525" w:name="_Toc7041"/>
    </w:p>
    <w:p w14:paraId="3FEA4117">
      <w:pPr>
        <w:ind w:firstLine="560"/>
      </w:pPr>
    </w:p>
    <w:p w14:paraId="18CFE90C">
      <w:pPr>
        <w:pStyle w:val="3"/>
      </w:pPr>
      <w:bookmarkStart w:id="526" w:name="_Toc27918"/>
      <w:r>
        <w:rPr>
          <w:rFonts w:hint="eastAsia"/>
        </w:rPr>
        <w:t>9.7</w:t>
      </w:r>
      <w:bookmarkEnd w:id="521"/>
      <w:bookmarkEnd w:id="522"/>
      <w:bookmarkEnd w:id="523"/>
      <w:bookmarkEnd w:id="524"/>
      <w:bookmarkEnd w:id="525"/>
      <w:r>
        <w:rPr>
          <w:rFonts w:hint="eastAsia"/>
        </w:rPr>
        <w:t>塔机监测监控</w:t>
      </w:r>
      <w:bookmarkEnd w:id="526"/>
    </w:p>
    <w:p w14:paraId="4C1003A9">
      <w:pPr>
        <w:pStyle w:val="4"/>
        <w:rPr>
          <w:rFonts w:hint="eastAsia" w:ascii="Times New Roman" w:hAnsi="Times New Roman"/>
          <w:color w:val="auto"/>
          <w:lang w:val="en-US" w:eastAsia="zh-CN"/>
        </w:rPr>
      </w:pPr>
      <w:bookmarkStart w:id="527" w:name="_Toc131080078"/>
      <w:bookmarkStart w:id="528" w:name="_Toc29256"/>
      <w:bookmarkStart w:id="529" w:name="_Toc10605"/>
      <w:bookmarkStart w:id="530" w:name="_Toc21885"/>
      <w:bookmarkStart w:id="531" w:name="_Toc7819"/>
      <w:bookmarkStart w:id="532" w:name="_Toc4390"/>
      <w:bookmarkStart w:id="533" w:name="_Toc17547"/>
      <w:r>
        <w:rPr>
          <w:rFonts w:hint="eastAsia" w:ascii="Times New Roman" w:hAnsi="Times New Roman"/>
          <w:color w:val="auto"/>
          <w:lang w:val="en-US" w:eastAsia="zh-CN"/>
        </w:rPr>
        <w:t>9.7.1.监测项目</w:t>
      </w:r>
      <w:bookmarkEnd w:id="527"/>
    </w:p>
    <w:p w14:paraId="34E4CBD2">
      <w:pPr>
        <w:bidi w:val="0"/>
        <w:rPr>
          <w:color w:val="auto"/>
        </w:rPr>
      </w:pPr>
      <w:r>
        <w:rPr>
          <w:rFonts w:hint="eastAsia"/>
          <w:color w:val="auto"/>
        </w:rPr>
        <w:t>塔机</w:t>
      </w:r>
      <w:r>
        <w:rPr>
          <w:color w:val="auto"/>
        </w:rPr>
        <w:t>水平、沉降和垂直位移监测。</w:t>
      </w:r>
    </w:p>
    <w:p w14:paraId="0A1E9406">
      <w:pPr>
        <w:pStyle w:val="4"/>
        <w:rPr>
          <w:rFonts w:hint="eastAsia" w:ascii="Times New Roman" w:hAnsi="Times New Roman"/>
          <w:color w:val="auto"/>
          <w:lang w:eastAsia="zh-CN"/>
        </w:rPr>
      </w:pPr>
      <w:bookmarkStart w:id="534" w:name="_Toc131080079"/>
      <w:r>
        <w:rPr>
          <w:rFonts w:hint="eastAsia" w:ascii="Times New Roman" w:hAnsi="Times New Roman"/>
          <w:color w:val="auto"/>
          <w:lang w:val="en-US" w:eastAsia="zh-CN"/>
        </w:rPr>
        <w:t>9.7.2.</w:t>
      </w:r>
      <w:r>
        <w:rPr>
          <w:rFonts w:hint="eastAsia" w:ascii="Times New Roman" w:hAnsi="Times New Roman"/>
          <w:color w:val="auto"/>
          <w:lang w:eastAsia="zh-CN"/>
        </w:rPr>
        <w:t>测点布置</w:t>
      </w:r>
      <w:bookmarkEnd w:id="534"/>
    </w:p>
    <w:p w14:paraId="7914287B">
      <w:pPr>
        <w:bidi w:val="0"/>
        <w:rPr>
          <w:color w:val="auto"/>
        </w:rPr>
      </w:pPr>
      <w:r>
        <w:rPr>
          <w:color w:val="auto"/>
        </w:rPr>
        <w:t>（1）基准点：基准点应设在基坑开挖变形影响范围以外，通视条件良好并便于保存的稳定位置。对于本工程，</w:t>
      </w:r>
      <w:r>
        <w:rPr>
          <w:rFonts w:hint="eastAsia"/>
          <w:color w:val="auto"/>
        </w:rPr>
        <w:t>塔机</w:t>
      </w:r>
      <w:r>
        <w:rPr>
          <w:color w:val="auto"/>
        </w:rPr>
        <w:t>沉降观测基准点，在距基坑边缘50m外的建筑物上设置三个水准观测基准点。</w:t>
      </w:r>
    </w:p>
    <w:p w14:paraId="24B947EE">
      <w:pPr>
        <w:bidi w:val="0"/>
        <w:rPr>
          <w:color w:val="auto"/>
        </w:rPr>
      </w:pPr>
      <w:r>
        <w:rPr>
          <w:color w:val="auto"/>
        </w:rPr>
        <w:t>（2）观测点：基坑</w:t>
      </w:r>
      <w:r>
        <w:rPr>
          <w:rFonts w:hint="eastAsia"/>
          <w:color w:val="auto"/>
        </w:rPr>
        <w:t>塔机</w:t>
      </w:r>
      <w:r>
        <w:rPr>
          <w:color w:val="auto"/>
        </w:rPr>
        <w:t>的水平沉降和垂直位移观测点沿</w:t>
      </w:r>
      <w:r>
        <w:rPr>
          <w:rFonts w:hint="eastAsia"/>
          <w:color w:val="auto"/>
        </w:rPr>
        <w:t>塔机</w:t>
      </w:r>
      <w:r>
        <w:rPr>
          <w:color w:val="auto"/>
        </w:rPr>
        <w:t>周边布置，考虑到本基坑较深，观测周期较长，在定人定仪器的要求下，势必会影响监测的质量，同时也增大了监测费用。综合考虑，观测时间为每周上报两次，水平沉降观测点同时作为垂直唯一的观测点。观测点采用</w:t>
      </w:r>
      <w:r>
        <w:rPr>
          <w:rFonts w:hint="eastAsia"/>
          <w:color w:val="auto"/>
        </w:rPr>
        <w:t>塔机</w:t>
      </w:r>
      <w:r>
        <w:rPr>
          <w:color w:val="auto"/>
        </w:rPr>
        <w:t>塔身边设置垂直观测点。</w:t>
      </w:r>
    </w:p>
    <w:p w14:paraId="68B8B6FA">
      <w:pPr>
        <w:pStyle w:val="4"/>
        <w:rPr>
          <w:rFonts w:hint="eastAsia" w:ascii="Times New Roman" w:hAnsi="Times New Roman"/>
          <w:color w:val="auto"/>
          <w:lang w:val="en-US" w:eastAsia="zh-CN"/>
        </w:rPr>
      </w:pPr>
      <w:bookmarkStart w:id="535" w:name="_Toc131080080"/>
      <w:r>
        <w:rPr>
          <w:rFonts w:hint="eastAsia" w:ascii="Times New Roman" w:hAnsi="Times New Roman"/>
          <w:color w:val="auto"/>
          <w:lang w:val="en-US" w:eastAsia="zh-CN"/>
        </w:rPr>
        <w:t>9.7.3.监测方法</w:t>
      </w:r>
      <w:bookmarkEnd w:id="535"/>
    </w:p>
    <w:p w14:paraId="73AFC072">
      <w:pPr>
        <w:bidi w:val="0"/>
        <w:rPr>
          <w:color w:val="auto"/>
        </w:rPr>
      </w:pPr>
      <w:r>
        <w:rPr>
          <w:color w:val="auto"/>
        </w:rPr>
        <w:t>（1）监测方法：</w:t>
      </w:r>
    </w:p>
    <w:p w14:paraId="7F560602">
      <w:pPr>
        <w:bidi w:val="0"/>
        <w:rPr>
          <w:color w:val="auto"/>
        </w:rPr>
      </w:pPr>
      <w:r>
        <w:rPr>
          <w:color w:val="auto"/>
        </w:rPr>
        <w:t>1）初始值：</w:t>
      </w:r>
      <w:r>
        <w:rPr>
          <w:rFonts w:hint="eastAsia"/>
          <w:color w:val="auto"/>
        </w:rPr>
        <w:t>塔机</w:t>
      </w:r>
      <w:r>
        <w:rPr>
          <w:color w:val="auto"/>
        </w:rPr>
        <w:t>监测工作的准备工作应在基坑开挖前完成。应在至少连续三次测得的数值基本一致后，才能将其确定为该项目的初始值。</w:t>
      </w:r>
    </w:p>
    <w:p w14:paraId="48E60CBE">
      <w:pPr>
        <w:bidi w:val="0"/>
        <w:rPr>
          <w:color w:val="auto"/>
        </w:rPr>
      </w:pPr>
      <w:r>
        <w:rPr>
          <w:color w:val="auto"/>
        </w:rPr>
        <w:t>2）</w:t>
      </w:r>
      <w:r>
        <w:rPr>
          <w:rFonts w:hint="eastAsia"/>
          <w:color w:val="auto"/>
        </w:rPr>
        <w:t>塔机</w:t>
      </w:r>
      <w:r>
        <w:rPr>
          <w:color w:val="auto"/>
        </w:rPr>
        <w:t>垂直位移及沉降观测：观测仪器采用水准仪+水准标尺。</w:t>
      </w:r>
    </w:p>
    <w:p w14:paraId="78BD5A68">
      <w:pPr>
        <w:bidi w:val="0"/>
        <w:rPr>
          <w:color w:val="auto"/>
        </w:rPr>
      </w:pPr>
      <w:r>
        <w:rPr>
          <w:color w:val="auto"/>
        </w:rPr>
        <w:t>3）</w:t>
      </w:r>
      <w:r>
        <w:rPr>
          <w:rFonts w:hint="eastAsia"/>
          <w:color w:val="auto"/>
        </w:rPr>
        <w:t>塔机</w:t>
      </w:r>
      <w:r>
        <w:rPr>
          <w:color w:val="auto"/>
        </w:rPr>
        <w:t>水平位移：采用全站仪建立垂直系统，通过直接观测点位垂直值来确定水平位移。</w:t>
      </w:r>
    </w:p>
    <w:p w14:paraId="2B63F16D">
      <w:pPr>
        <w:bidi w:val="0"/>
        <w:rPr>
          <w:color w:val="auto"/>
        </w:rPr>
      </w:pPr>
      <w:r>
        <w:rPr>
          <w:color w:val="auto"/>
        </w:rPr>
        <w:t>（2）观测要求：同一项目每次观测时，宜符合下列要求：</w:t>
      </w:r>
    </w:p>
    <w:p w14:paraId="6E92E5DC">
      <w:pPr>
        <w:bidi w:val="0"/>
        <w:rPr>
          <w:color w:val="auto"/>
        </w:rPr>
      </w:pPr>
      <w:r>
        <w:rPr>
          <w:color w:val="auto"/>
        </w:rPr>
        <w:t>1）采用相同的观测路线和观测方法；</w:t>
      </w:r>
    </w:p>
    <w:p w14:paraId="69F2616F">
      <w:pPr>
        <w:bidi w:val="0"/>
        <w:rPr>
          <w:color w:val="auto"/>
        </w:rPr>
      </w:pPr>
      <w:r>
        <w:rPr>
          <w:color w:val="auto"/>
        </w:rPr>
        <w:t>2）使用同一监测仪器和设备；</w:t>
      </w:r>
    </w:p>
    <w:p w14:paraId="3499E24B">
      <w:pPr>
        <w:bidi w:val="0"/>
        <w:rPr>
          <w:color w:val="auto"/>
        </w:rPr>
      </w:pPr>
      <w:r>
        <w:rPr>
          <w:color w:val="auto"/>
        </w:rPr>
        <w:t>3）固定观测人员。</w:t>
      </w:r>
    </w:p>
    <w:p w14:paraId="06625643">
      <w:pPr>
        <w:pStyle w:val="184"/>
        <w:bidi w:val="0"/>
        <w:rPr>
          <w:color w:val="auto"/>
        </w:rPr>
      </w:pPr>
      <w:r>
        <w:rPr>
          <w:color w:val="auto"/>
        </w:rPr>
        <w:drawing>
          <wp:inline distT="0" distB="0" distL="114300" distR="114300">
            <wp:extent cx="4163695" cy="1764665"/>
            <wp:effectExtent l="0" t="0" r="8255" b="698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64"/>
                    <a:stretch>
                      <a:fillRect/>
                    </a:stretch>
                  </pic:blipFill>
                  <pic:spPr>
                    <a:xfrm>
                      <a:off x="0" y="0"/>
                      <a:ext cx="4163695" cy="1764665"/>
                    </a:xfrm>
                    <a:prstGeom prst="rect">
                      <a:avLst/>
                    </a:prstGeom>
                    <a:noFill/>
                    <a:ln>
                      <a:noFill/>
                    </a:ln>
                  </pic:spPr>
                </pic:pic>
              </a:graphicData>
            </a:graphic>
          </wp:inline>
        </w:drawing>
      </w:r>
    </w:p>
    <w:p w14:paraId="4F341A6B">
      <w:pPr>
        <w:pStyle w:val="12"/>
        <w:ind w:firstLine="422"/>
        <w:jc w:val="center"/>
        <w:rPr>
          <w:color w:val="auto"/>
        </w:rPr>
      </w:pPr>
      <w:r>
        <w:rPr>
          <w:rFonts w:hint="eastAsia"/>
          <w:color w:val="auto"/>
        </w:rPr>
        <w:t>塔机</w:t>
      </w:r>
      <w:r>
        <w:rPr>
          <w:color w:val="auto"/>
        </w:rPr>
        <w:t>垂直度观测示意图</w:t>
      </w:r>
    </w:p>
    <w:p w14:paraId="39B7A5D1">
      <w:pPr>
        <w:bidi w:val="0"/>
        <w:rPr>
          <w:color w:val="auto"/>
        </w:rPr>
      </w:pPr>
    </w:p>
    <w:p w14:paraId="0F7CA8E8">
      <w:pPr>
        <w:pStyle w:val="184"/>
        <w:bidi w:val="0"/>
        <w:rPr>
          <w:color w:val="auto"/>
        </w:rPr>
      </w:pPr>
      <w:r>
        <w:rPr>
          <w:color w:val="auto"/>
        </w:rPr>
        <w:drawing>
          <wp:inline distT="0" distB="0" distL="114300" distR="114300">
            <wp:extent cx="4246245" cy="2060575"/>
            <wp:effectExtent l="0" t="0" r="1905" b="1587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65"/>
                    <a:srcRect t="9834"/>
                    <a:stretch>
                      <a:fillRect/>
                    </a:stretch>
                  </pic:blipFill>
                  <pic:spPr>
                    <a:xfrm>
                      <a:off x="0" y="0"/>
                      <a:ext cx="4246245" cy="2060575"/>
                    </a:xfrm>
                    <a:prstGeom prst="rect">
                      <a:avLst/>
                    </a:prstGeom>
                    <a:noFill/>
                    <a:ln>
                      <a:noFill/>
                    </a:ln>
                  </pic:spPr>
                </pic:pic>
              </a:graphicData>
            </a:graphic>
          </wp:inline>
        </w:drawing>
      </w:r>
    </w:p>
    <w:p w14:paraId="45945DD0">
      <w:pPr>
        <w:pStyle w:val="12"/>
        <w:ind w:firstLine="422"/>
        <w:jc w:val="center"/>
        <w:rPr>
          <w:color w:val="auto"/>
        </w:rPr>
      </w:pPr>
      <w:r>
        <w:rPr>
          <w:rFonts w:hint="eastAsia"/>
          <w:color w:val="auto"/>
        </w:rPr>
        <w:t>塔机</w:t>
      </w:r>
      <w:r>
        <w:rPr>
          <w:color w:val="auto"/>
        </w:rPr>
        <w:t>沉降观测示意图</w:t>
      </w:r>
    </w:p>
    <w:p w14:paraId="4B79D49C">
      <w:pPr>
        <w:bidi w:val="0"/>
        <w:rPr>
          <w:color w:val="auto"/>
        </w:rPr>
      </w:pPr>
      <w:r>
        <w:rPr>
          <w:color w:val="auto"/>
        </w:rPr>
        <w:t>（3）</w:t>
      </w:r>
      <w:r>
        <w:rPr>
          <w:rFonts w:hint="eastAsia"/>
          <w:color w:val="auto"/>
        </w:rPr>
        <w:t>塔机</w:t>
      </w:r>
      <w:r>
        <w:rPr>
          <w:color w:val="auto"/>
        </w:rPr>
        <w:t>基础位移监测</w:t>
      </w:r>
    </w:p>
    <w:p w14:paraId="40FFC9BF">
      <w:pPr>
        <w:bidi w:val="0"/>
        <w:rPr>
          <w:color w:val="auto"/>
        </w:rPr>
      </w:pPr>
      <w:r>
        <w:rPr>
          <w:color w:val="auto"/>
        </w:rPr>
        <w:t>用全站仪在</w:t>
      </w:r>
      <w:r>
        <w:rPr>
          <w:rFonts w:hint="eastAsia"/>
          <w:color w:val="auto"/>
        </w:rPr>
        <w:t>塔机</w:t>
      </w:r>
      <w:r>
        <w:rPr>
          <w:color w:val="auto"/>
        </w:rPr>
        <w:t>基础承台上布置四个定位点，作为位移观测点。</w:t>
      </w:r>
    </w:p>
    <w:p w14:paraId="02C9040C">
      <w:pPr>
        <w:pStyle w:val="184"/>
        <w:bidi w:val="0"/>
        <w:rPr>
          <w:color w:val="auto"/>
        </w:rPr>
      </w:pPr>
      <w:r>
        <w:rPr>
          <w:color w:val="auto"/>
        </w:rPr>
        <w:drawing>
          <wp:inline distT="0" distB="0" distL="114300" distR="114300">
            <wp:extent cx="4071620" cy="1972945"/>
            <wp:effectExtent l="0" t="0" r="5080" b="825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66"/>
                    <a:stretch>
                      <a:fillRect/>
                    </a:stretch>
                  </pic:blipFill>
                  <pic:spPr>
                    <a:xfrm>
                      <a:off x="0" y="0"/>
                      <a:ext cx="4071620" cy="1972945"/>
                    </a:xfrm>
                    <a:prstGeom prst="rect">
                      <a:avLst/>
                    </a:prstGeom>
                    <a:noFill/>
                    <a:ln>
                      <a:noFill/>
                    </a:ln>
                  </pic:spPr>
                </pic:pic>
              </a:graphicData>
            </a:graphic>
          </wp:inline>
        </w:drawing>
      </w:r>
    </w:p>
    <w:p w14:paraId="29D49A0E">
      <w:pPr>
        <w:pStyle w:val="12"/>
        <w:ind w:firstLine="422"/>
        <w:jc w:val="center"/>
        <w:rPr>
          <w:color w:val="auto"/>
        </w:rPr>
      </w:pPr>
      <w:r>
        <w:rPr>
          <w:rFonts w:hint="eastAsia"/>
          <w:color w:val="auto"/>
        </w:rPr>
        <w:t>塔机</w:t>
      </w:r>
      <w:r>
        <w:rPr>
          <w:color w:val="auto"/>
        </w:rPr>
        <w:t>位移观测示意图</w:t>
      </w:r>
    </w:p>
    <w:p w14:paraId="68899637">
      <w:pPr>
        <w:pStyle w:val="4"/>
        <w:rPr>
          <w:rFonts w:hint="eastAsia" w:ascii="Times New Roman" w:hAnsi="Times New Roman"/>
          <w:color w:val="auto"/>
          <w:lang w:val="en-US" w:eastAsia="zh-CN"/>
        </w:rPr>
      </w:pPr>
      <w:bookmarkStart w:id="536" w:name="_Toc131080081"/>
      <w:r>
        <w:rPr>
          <w:rFonts w:hint="eastAsia" w:ascii="Times New Roman" w:hAnsi="Times New Roman"/>
          <w:color w:val="auto"/>
          <w:lang w:val="en-US" w:eastAsia="zh-CN"/>
        </w:rPr>
        <w:t>9.7.4监测频</w:t>
      </w:r>
      <w:bookmarkEnd w:id="536"/>
      <w:r>
        <w:rPr>
          <w:rFonts w:hint="eastAsia" w:ascii="Times New Roman" w:hAnsi="Times New Roman"/>
          <w:color w:val="auto"/>
          <w:lang w:val="en-US" w:eastAsia="zh-CN"/>
        </w:rPr>
        <w:t>率</w:t>
      </w:r>
    </w:p>
    <w:p w14:paraId="72E079B2">
      <w:pPr>
        <w:bidi w:val="0"/>
        <w:rPr>
          <w:color w:val="auto"/>
        </w:rPr>
      </w:pPr>
      <w:r>
        <w:rPr>
          <w:color w:val="auto"/>
        </w:rPr>
        <w:t>（1）</w:t>
      </w:r>
      <w:r>
        <w:rPr>
          <w:rFonts w:hint="eastAsia"/>
          <w:color w:val="auto"/>
        </w:rPr>
        <w:t>塔机</w:t>
      </w:r>
      <w:r>
        <w:rPr>
          <w:color w:val="auto"/>
        </w:rPr>
        <w:t>水平沉降监测：基坑开挖深度在5m以内，可每2d观测一次，基坑开挖至5m以下及基坑开挖完成后一周内，每天观测一次。基坑开挖至基底后一周后无明显位移时，可适当延长观测周期，每5~10d观测一次。</w:t>
      </w:r>
    </w:p>
    <w:p w14:paraId="3A591F8C">
      <w:pPr>
        <w:bidi w:val="0"/>
        <w:rPr>
          <w:color w:val="auto"/>
        </w:rPr>
      </w:pPr>
      <w:r>
        <w:rPr>
          <w:color w:val="auto"/>
        </w:rPr>
        <w:t>（2）</w:t>
      </w:r>
      <w:r>
        <w:rPr>
          <w:rFonts w:hint="eastAsia"/>
          <w:color w:val="auto"/>
        </w:rPr>
        <w:t>塔机</w:t>
      </w:r>
      <w:r>
        <w:rPr>
          <w:color w:val="auto"/>
        </w:rPr>
        <w:t>垂直位移及建筑物沉降观测：在基坑降水时和在基坑土开挖过程中应每天观测一次。混凝土底板浇完10d以后，可每2~3d观测一次，直至基坑回填土完成，此后频率为每月两次。</w:t>
      </w:r>
    </w:p>
    <w:p w14:paraId="64F20EB3">
      <w:pPr>
        <w:bidi w:val="0"/>
        <w:rPr>
          <w:color w:val="auto"/>
        </w:rPr>
      </w:pPr>
      <w:r>
        <w:rPr>
          <w:color w:val="auto"/>
        </w:rPr>
        <w:t>（3）当出现下列情况之一时，应进一步加强监测，缩短监测时间间隔，加密观测次数，并及时向施工、监理和设计人员报告监测结果：</w:t>
      </w:r>
    </w:p>
    <w:p w14:paraId="6F892D44">
      <w:pPr>
        <w:bidi w:val="0"/>
        <w:rPr>
          <w:color w:val="auto"/>
        </w:rPr>
      </w:pPr>
      <w:r>
        <w:rPr>
          <w:color w:val="auto"/>
        </w:rPr>
        <w:t>1）监测项目的监测值达到报警标准；</w:t>
      </w:r>
    </w:p>
    <w:p w14:paraId="711A74D0">
      <w:pPr>
        <w:bidi w:val="0"/>
        <w:rPr>
          <w:color w:val="auto"/>
        </w:rPr>
      </w:pPr>
      <w:r>
        <w:rPr>
          <w:color w:val="auto"/>
        </w:rPr>
        <w:t>2）监测项目的监测值变化量较大或速率加快；</w:t>
      </w:r>
    </w:p>
    <w:p w14:paraId="02F0B08E">
      <w:pPr>
        <w:bidi w:val="0"/>
        <w:rPr>
          <w:color w:val="auto"/>
        </w:rPr>
      </w:pPr>
      <w:r>
        <w:rPr>
          <w:color w:val="auto"/>
        </w:rPr>
        <w:t>3）基坑及周围环境中大量积水、长时间连续降雨、</w:t>
      </w:r>
      <w:r>
        <w:rPr>
          <w:rFonts w:hint="eastAsia"/>
          <w:color w:val="auto"/>
          <w:lang w:val="en-US" w:eastAsia="zh-CN"/>
        </w:rPr>
        <w:t>地下</w:t>
      </w:r>
      <w:r>
        <w:rPr>
          <w:color w:val="auto"/>
        </w:rPr>
        <w:t>管线出现泄漏；</w:t>
      </w:r>
    </w:p>
    <w:p w14:paraId="068A266A">
      <w:pPr>
        <w:bidi w:val="0"/>
        <w:rPr>
          <w:color w:val="auto"/>
        </w:rPr>
      </w:pPr>
      <w:r>
        <w:rPr>
          <w:color w:val="auto"/>
        </w:rPr>
        <w:t>4）基坑附近地面荷载突然加大；</w:t>
      </w:r>
    </w:p>
    <w:p w14:paraId="4C34FB0F">
      <w:pPr>
        <w:bidi w:val="0"/>
        <w:rPr>
          <w:color w:val="auto"/>
        </w:rPr>
      </w:pPr>
      <w:r>
        <w:rPr>
          <w:color w:val="auto"/>
        </w:rPr>
        <w:t>5）临近的建筑物或地面突然出现大量沉降、不均匀沉降或严重开裂。</w:t>
      </w:r>
    </w:p>
    <w:p w14:paraId="4FB6A7CC">
      <w:pPr>
        <w:bidi w:val="0"/>
        <w:rPr>
          <w:color w:val="auto"/>
        </w:rPr>
      </w:pPr>
      <w:r>
        <w:rPr>
          <w:color w:val="auto"/>
        </w:rPr>
        <w:t>（4）当有危险事故征兆时，应连续监测。</w:t>
      </w:r>
    </w:p>
    <w:p w14:paraId="34377EA2">
      <w:pPr>
        <w:pStyle w:val="4"/>
        <w:rPr>
          <w:rFonts w:hint="eastAsia" w:ascii="Times New Roman" w:hAnsi="Times New Roman"/>
          <w:color w:val="auto"/>
          <w:lang w:val="en-US" w:eastAsia="zh-CN"/>
        </w:rPr>
      </w:pPr>
      <w:bookmarkStart w:id="537" w:name="_Toc131080082"/>
      <w:r>
        <w:rPr>
          <w:rFonts w:hint="eastAsia" w:ascii="Times New Roman" w:hAnsi="Times New Roman"/>
          <w:color w:val="auto"/>
          <w:lang w:val="en-US" w:eastAsia="zh-CN"/>
        </w:rPr>
        <w:t>9.7.5监控报警</w:t>
      </w:r>
      <w:bookmarkEnd w:id="537"/>
      <w:r>
        <w:rPr>
          <w:rFonts w:hint="eastAsia" w:ascii="Times New Roman" w:hAnsi="Times New Roman"/>
          <w:color w:val="auto"/>
          <w:lang w:val="en-US" w:eastAsia="zh-CN"/>
        </w:rPr>
        <w:t>及措施</w:t>
      </w:r>
    </w:p>
    <w:p w14:paraId="7A9C5E53">
      <w:pPr>
        <w:bidi w:val="0"/>
        <w:rPr>
          <w:color w:val="auto"/>
        </w:rPr>
      </w:pPr>
      <w:r>
        <w:rPr>
          <w:rFonts w:hint="eastAsia"/>
          <w:color w:val="auto"/>
        </w:rPr>
        <w:t>塔机</w:t>
      </w:r>
      <w:r>
        <w:rPr>
          <w:color w:val="auto"/>
        </w:rPr>
        <w:t>水平沉降报警值设为50mm，水平位移速率报警值设为连续三日大于2mm/d。</w:t>
      </w:r>
    </w:p>
    <w:p w14:paraId="0F4B21B6">
      <w:pPr>
        <w:bidi w:val="0"/>
        <w:rPr>
          <w:color w:val="auto"/>
        </w:rPr>
      </w:pPr>
      <w:r>
        <w:rPr>
          <w:rFonts w:hint="eastAsia"/>
          <w:color w:val="auto"/>
        </w:rPr>
        <w:t>塔机</w:t>
      </w:r>
      <w:r>
        <w:rPr>
          <w:color w:val="auto"/>
        </w:rPr>
        <w:t>独立状态下塔身（附着状态下最高附着点以上塔身）轴心线的侧向垂直度允差为4/1000，最高附着点以下塔身轴心线的垂直度允差为2/1000。</w:t>
      </w:r>
    </w:p>
    <w:p w14:paraId="39955EFF">
      <w:pPr>
        <w:bidi w:val="0"/>
        <w:rPr>
          <w:color w:val="auto"/>
        </w:rPr>
      </w:pPr>
      <w:r>
        <w:rPr>
          <w:color w:val="auto"/>
        </w:rPr>
        <w:t>当出现上述情况时，应立即报警，并应采取以下措施：</w:t>
      </w:r>
    </w:p>
    <w:p w14:paraId="6B151B19">
      <w:pPr>
        <w:bidi w:val="0"/>
        <w:rPr>
          <w:color w:val="auto"/>
        </w:rPr>
      </w:pPr>
      <w:r>
        <w:rPr>
          <w:color w:val="auto"/>
        </w:rPr>
        <w:t>（1）疏散施工现场作业人员，拉设警戒带，并设专人旁站监护，严禁无关人员进入。</w:t>
      </w:r>
    </w:p>
    <w:p w14:paraId="716BA936">
      <w:pPr>
        <w:bidi w:val="0"/>
        <w:rPr>
          <w:color w:val="auto"/>
        </w:rPr>
      </w:pPr>
      <w:r>
        <w:rPr>
          <w:color w:val="auto"/>
        </w:rPr>
        <w:t>（2）应立即停止作业，并将回转机构锁住，限制其转动。根据情况设置地锚，控制</w:t>
      </w:r>
      <w:r>
        <w:rPr>
          <w:rFonts w:hint="eastAsia"/>
          <w:color w:val="auto"/>
        </w:rPr>
        <w:t>塔机</w:t>
      </w:r>
      <w:r>
        <w:rPr>
          <w:color w:val="auto"/>
        </w:rPr>
        <w:t>的倾斜。</w:t>
      </w:r>
    </w:p>
    <w:p w14:paraId="0891EB61">
      <w:pPr>
        <w:bidi w:val="0"/>
        <w:rPr>
          <w:color w:val="auto"/>
        </w:rPr>
      </w:pPr>
      <w:r>
        <w:rPr>
          <w:color w:val="auto"/>
        </w:rPr>
        <w:t>（3）对塔机采取加固措施，如情况较为严重时选用适量吨位起重机将</w:t>
      </w:r>
      <w:r>
        <w:rPr>
          <w:rFonts w:hint="eastAsia"/>
          <w:color w:val="auto"/>
        </w:rPr>
        <w:t>塔机</w:t>
      </w:r>
      <w:r>
        <w:rPr>
          <w:color w:val="auto"/>
        </w:rPr>
        <w:t>拆除。</w:t>
      </w:r>
    </w:p>
    <w:p w14:paraId="6AE5FFA6">
      <w:pPr>
        <w:pStyle w:val="2"/>
        <w:rPr>
          <w:color w:val="000000"/>
        </w:rPr>
      </w:pPr>
      <w:bookmarkStart w:id="538" w:name="_Toc5970"/>
      <w:r>
        <w:rPr>
          <w:rFonts w:hint="eastAsia"/>
          <w:color w:val="000000"/>
        </w:rPr>
        <w:t>第十章应急预案</w:t>
      </w:r>
      <w:bookmarkEnd w:id="514"/>
      <w:bookmarkEnd w:id="515"/>
      <w:bookmarkEnd w:id="516"/>
      <w:bookmarkEnd w:id="517"/>
      <w:bookmarkEnd w:id="518"/>
      <w:bookmarkEnd w:id="519"/>
      <w:bookmarkEnd w:id="528"/>
      <w:bookmarkEnd w:id="529"/>
      <w:bookmarkEnd w:id="530"/>
      <w:bookmarkEnd w:id="531"/>
      <w:bookmarkEnd w:id="532"/>
      <w:bookmarkEnd w:id="533"/>
      <w:bookmarkEnd w:id="538"/>
    </w:p>
    <w:p w14:paraId="3B24F340">
      <w:pPr>
        <w:pStyle w:val="3"/>
      </w:pPr>
      <w:bookmarkStart w:id="539" w:name="_Toc4217"/>
      <w:bookmarkStart w:id="540" w:name="_Toc8242"/>
      <w:bookmarkStart w:id="541" w:name="_Toc12677"/>
      <w:bookmarkStart w:id="542" w:name="_Toc15655"/>
      <w:bookmarkStart w:id="543" w:name="_Toc32719"/>
      <w:bookmarkStart w:id="544" w:name="_Toc7471"/>
      <w:bookmarkStart w:id="545" w:name="_Toc8591"/>
      <w:bookmarkStart w:id="546" w:name="_Toc1366"/>
      <w:bookmarkStart w:id="547" w:name="_Toc4908"/>
      <w:bookmarkStart w:id="548" w:name="_Toc2879"/>
      <w:bookmarkStart w:id="549" w:name="_Toc26730"/>
      <w:bookmarkStart w:id="550" w:name="_Toc28470"/>
      <w:bookmarkStart w:id="551" w:name="_Toc96868129"/>
      <w:bookmarkStart w:id="552" w:name="_Toc5439"/>
      <w:bookmarkStart w:id="553" w:name="_Toc32153"/>
      <w:bookmarkStart w:id="554" w:name="_Toc4508"/>
      <w:bookmarkStart w:id="555" w:name="_Toc22342"/>
      <w:bookmarkStart w:id="556" w:name="_Toc19108"/>
      <w:bookmarkStart w:id="557" w:name="_Toc25418"/>
      <w:bookmarkStart w:id="558" w:name="_Toc24686"/>
      <w:bookmarkStart w:id="559" w:name="_Toc19747"/>
      <w:bookmarkStart w:id="560" w:name="_Toc11961"/>
      <w:r>
        <w:rPr>
          <w:rFonts w:hint="eastAsia"/>
        </w:rPr>
        <w:t>10.</w:t>
      </w:r>
      <w:r>
        <w:t>1</w:t>
      </w:r>
      <w:bookmarkEnd w:id="539"/>
      <w:bookmarkEnd w:id="540"/>
      <w:bookmarkEnd w:id="541"/>
      <w:bookmarkEnd w:id="542"/>
      <w:bookmarkEnd w:id="543"/>
      <w:bookmarkEnd w:id="544"/>
      <w:bookmarkEnd w:id="545"/>
      <w:bookmarkEnd w:id="546"/>
      <w:bookmarkStart w:id="561" w:name="_Toc301216459"/>
      <w:r>
        <w:rPr>
          <w:rFonts w:hint="eastAsia"/>
        </w:rPr>
        <w:t>编制目的</w:t>
      </w:r>
      <w:bookmarkEnd w:id="547"/>
    </w:p>
    <w:p w14:paraId="33F085E0">
      <w:pPr>
        <w:ind w:firstLine="560"/>
      </w:pPr>
      <w:r>
        <w:rPr>
          <w:rFonts w:hint="eastAsia"/>
        </w:rPr>
        <w:t>塔吊安拆施工过程中，机械吊装等施工过程中需要严格按照操作规程施工，施工过程中存在很大的突然性和危险性，所以在施工前必须加强岗前学习培训，施工中采取正确的安全操作规程，并设立应急预案措施，尽可能降低安全事故的发生是编制本应急预案的目的。</w:t>
      </w:r>
    </w:p>
    <w:p w14:paraId="305D34CC">
      <w:pPr>
        <w:pStyle w:val="3"/>
        <w:rPr>
          <w:rFonts w:hint="eastAsia"/>
        </w:rPr>
      </w:pPr>
      <w:bookmarkStart w:id="562" w:name="_Toc930"/>
      <w:r>
        <w:rPr>
          <w:rFonts w:hint="eastAsia"/>
        </w:rPr>
        <w:t>1</w:t>
      </w:r>
      <w:r>
        <w:t>0.2</w:t>
      </w:r>
      <w:r>
        <w:rPr>
          <w:rFonts w:hint="eastAsia"/>
        </w:rPr>
        <w:t>应急组织机构</w:t>
      </w:r>
      <w:bookmarkEnd w:id="562"/>
    </w:p>
    <w:p w14:paraId="02BF45D6">
      <w:pPr>
        <w:pStyle w:val="4"/>
        <w:rPr>
          <w:rFonts w:hint="eastAsia"/>
        </w:rPr>
      </w:pPr>
      <w:r>
        <w:rPr>
          <w:rFonts w:hint="eastAsia"/>
        </w:rPr>
        <w:t>1</w:t>
      </w:r>
      <w:r>
        <w:t>0.2.1</w:t>
      </w:r>
      <w:r>
        <w:rPr>
          <w:rFonts w:hint="eastAsia"/>
        </w:rPr>
        <w:t>组织机构</w:t>
      </w:r>
    </w:p>
    <w:p w14:paraId="7EE6E068">
      <w:pPr>
        <w:ind w:firstLine="560"/>
        <w:rPr>
          <w:rFonts w:hint="eastAsia"/>
        </w:rPr>
      </w:pPr>
      <w:r>
        <w:rPr>
          <w:rFonts w:hint="eastAsia"/>
        </w:rPr>
        <w:t>项目成立项目经理为组长的项目部生产安全应急领导小组，成员由项目部领导班子、各部门负责人、各分部相关负责人组成，人员构成如下：</w:t>
      </w:r>
    </w:p>
    <w:p w14:paraId="7A3BE26D">
      <w:pPr>
        <w:ind w:firstLine="560"/>
        <w:rPr>
          <w:rFonts w:hint="eastAsia"/>
        </w:rPr>
      </w:pPr>
      <w:r>
        <w:rPr>
          <w:rFonts w:hint="eastAsia"/>
        </w:rPr>
        <w:t>组  长：汪芳进</w:t>
      </w:r>
    </w:p>
    <w:p w14:paraId="666A6F0C">
      <w:pPr>
        <w:ind w:firstLine="560"/>
        <w:rPr>
          <w:rFonts w:hint="eastAsia"/>
        </w:rPr>
      </w:pPr>
      <w:r>
        <w:rPr>
          <w:rFonts w:hint="eastAsia"/>
        </w:rPr>
        <w:t>副组长：李  航、李方峰、杨文涛、潘胜平、饶培红</w:t>
      </w:r>
    </w:p>
    <w:p w14:paraId="1C331E84">
      <w:pPr>
        <w:ind w:firstLine="560"/>
        <w:rPr>
          <w:rFonts w:hint="eastAsia"/>
        </w:rPr>
      </w:pPr>
      <w:r>
        <w:rPr>
          <w:rFonts w:hint="eastAsia"/>
        </w:rPr>
        <w:t xml:space="preserve">成  员：赵  俊、周燕飞、张  晶、赵  小、崔全福、程生伟、潘全胜、陈彦龙、谢  浩、刘军波、郑  杰、杨登辉、朱新郑。 </w:t>
      </w:r>
    </w:p>
    <w:p w14:paraId="06CE6467">
      <w:pPr>
        <w:ind w:firstLine="560"/>
        <w:rPr>
          <w:rFonts w:hint="eastAsia"/>
        </w:rPr>
      </w:pPr>
      <w:r>
        <w:rPr>
          <w:rFonts w:hint="eastAsia"/>
        </w:rPr>
        <w:t>应急领导小组办公室设在安环部，办公室主任：赵俊，负责日常工作。应急领导小组办公室电话：18971601217。</w:t>
      </w:r>
    </w:p>
    <w:p w14:paraId="6C679587">
      <w:pPr>
        <w:pStyle w:val="3"/>
      </w:pPr>
      <w:bookmarkStart w:id="563" w:name="_Toc4579"/>
      <w:bookmarkStart w:id="564" w:name="_Toc31613"/>
      <w:bookmarkStart w:id="565" w:name="_Toc836"/>
      <w:bookmarkStart w:id="566" w:name="_Toc12175"/>
      <w:bookmarkStart w:id="567" w:name="_Toc21225"/>
      <w:bookmarkStart w:id="568" w:name="_Toc301216458"/>
      <w:bookmarkStart w:id="569" w:name="_Toc19378"/>
      <w:bookmarkStart w:id="570" w:name="_Toc32494"/>
      <w:bookmarkStart w:id="571" w:name="_Toc3631"/>
      <w:bookmarkStart w:id="572" w:name="_Toc19045"/>
      <w:r>
        <w:rPr>
          <w:rFonts w:hint="eastAsia"/>
        </w:rPr>
        <w:t>10.</w:t>
      </w:r>
      <w:r>
        <w:t>2紧急事故救援小组成员分工</w:t>
      </w:r>
      <w:bookmarkEnd w:id="563"/>
      <w:bookmarkEnd w:id="564"/>
      <w:bookmarkEnd w:id="565"/>
      <w:bookmarkEnd w:id="566"/>
      <w:bookmarkEnd w:id="567"/>
      <w:bookmarkEnd w:id="568"/>
      <w:bookmarkEnd w:id="569"/>
      <w:bookmarkEnd w:id="570"/>
      <w:bookmarkEnd w:id="571"/>
      <w:bookmarkEnd w:id="572"/>
    </w:p>
    <w:p w14:paraId="5CE04A90">
      <w:pPr>
        <w:ind w:firstLine="560"/>
        <w:rPr>
          <w:szCs w:val="24"/>
        </w:rPr>
      </w:pPr>
      <w:r>
        <w:rPr>
          <w:szCs w:val="24"/>
        </w:rPr>
        <w:t>组长及组员</w:t>
      </w:r>
      <w:r>
        <w:rPr>
          <w:rFonts w:hint="eastAsia"/>
          <w:szCs w:val="24"/>
        </w:rPr>
        <w:t>均</w:t>
      </w:r>
      <w:r>
        <w:rPr>
          <w:szCs w:val="24"/>
        </w:rPr>
        <w:t>为通讯组，负责在施工现场发生意外或紧急事故时，及时电话报救，组长为电话报救第一责任人；如其有事不在现场，</w:t>
      </w:r>
      <w:r>
        <w:rPr>
          <w:rFonts w:hint="eastAsia"/>
          <w:szCs w:val="24"/>
        </w:rPr>
        <w:t>副组长</w:t>
      </w:r>
      <w:r>
        <w:rPr>
          <w:szCs w:val="24"/>
        </w:rPr>
        <w:t>则为电话报救第一责任人，如此类推。</w:t>
      </w:r>
    </w:p>
    <w:p w14:paraId="23994D28">
      <w:pPr>
        <w:ind w:firstLine="560"/>
        <w:rPr>
          <w:szCs w:val="24"/>
        </w:rPr>
      </w:pPr>
      <w:r>
        <w:rPr>
          <w:szCs w:val="24"/>
        </w:rPr>
        <w:t>副组长为紧急抢救组，负责在救护车到达之前，对伤员开展自救，使伤员的伤势不至于进一步恶化。</w:t>
      </w:r>
    </w:p>
    <w:p w14:paraId="4B31BF03">
      <w:pPr>
        <w:ind w:firstLine="560"/>
        <w:rPr>
          <w:szCs w:val="24"/>
        </w:rPr>
      </w:pPr>
      <w:r>
        <w:rPr>
          <w:szCs w:val="24"/>
        </w:rPr>
        <w:t>紧急疏导组</w:t>
      </w:r>
      <w:r>
        <w:rPr>
          <w:rFonts w:hint="eastAsia"/>
          <w:szCs w:val="24"/>
        </w:rPr>
        <w:t>为分部成员</w:t>
      </w:r>
      <w:r>
        <w:rPr>
          <w:szCs w:val="24"/>
        </w:rPr>
        <w:t>，负责清除现场阻碍救护车辆的道路，疏散围观群众到安全地点，确保道路畅通，加强警戒保证在调查人员到达之前，对发生事故的现场原始状态进行保护，待事故调查人员对事故现场调查取证完毕后，对现场进行清理，由副组长负责。</w:t>
      </w:r>
    </w:p>
    <w:p w14:paraId="4E79BADE">
      <w:pPr>
        <w:ind w:firstLine="560"/>
        <w:jc w:val="left"/>
        <w:rPr>
          <w:szCs w:val="24"/>
        </w:rPr>
      </w:pPr>
      <w:r>
        <w:rPr>
          <w:szCs w:val="24"/>
        </w:rPr>
        <w:t>紧急抢险组</w:t>
      </w:r>
      <w:r>
        <w:rPr>
          <w:rFonts w:hint="eastAsia"/>
          <w:szCs w:val="24"/>
        </w:rPr>
        <w:t>为项目部成员</w:t>
      </w:r>
      <w:r>
        <w:rPr>
          <w:szCs w:val="24"/>
        </w:rPr>
        <w:t>：应在副组长的负责下，对事故现场实施排险工作，提供紧急抢险物资、设备、应急照明。</w:t>
      </w:r>
    </w:p>
    <w:p w14:paraId="7853554C">
      <w:pPr>
        <w:pStyle w:val="3"/>
      </w:pPr>
      <w:bookmarkStart w:id="573" w:name="_Toc19798"/>
      <w:bookmarkStart w:id="574" w:name="_Toc26464"/>
      <w:bookmarkStart w:id="575" w:name="_Toc18269"/>
      <w:bookmarkStart w:id="576" w:name="_Toc13940"/>
      <w:bookmarkStart w:id="577" w:name="_Toc23204"/>
      <w:bookmarkStart w:id="578" w:name="_Toc27421"/>
      <w:bookmarkStart w:id="579" w:name="_Toc17677"/>
      <w:bookmarkStart w:id="580" w:name="_Toc9737"/>
      <w:bookmarkStart w:id="581" w:name="_Toc8473"/>
      <w:r>
        <w:rPr>
          <w:rFonts w:hint="eastAsia"/>
        </w:rPr>
        <w:t>10.</w:t>
      </w:r>
      <w:r>
        <w:t>3应急准备</w:t>
      </w:r>
      <w:bookmarkEnd w:id="561"/>
      <w:bookmarkEnd w:id="573"/>
      <w:bookmarkEnd w:id="574"/>
      <w:bookmarkEnd w:id="575"/>
      <w:bookmarkEnd w:id="576"/>
      <w:bookmarkEnd w:id="577"/>
      <w:bookmarkEnd w:id="578"/>
      <w:bookmarkEnd w:id="579"/>
      <w:bookmarkEnd w:id="580"/>
      <w:bookmarkEnd w:id="581"/>
    </w:p>
    <w:p w14:paraId="2FFC3C0C">
      <w:pPr>
        <w:ind w:firstLine="560"/>
        <w:rPr>
          <w:szCs w:val="24"/>
        </w:rPr>
      </w:pPr>
      <w:r>
        <w:rPr>
          <w:szCs w:val="24"/>
        </w:rPr>
        <w:t>（1）技术准备</w:t>
      </w:r>
    </w:p>
    <w:p w14:paraId="7A986083">
      <w:pPr>
        <w:ind w:firstLine="560"/>
        <w:rPr>
          <w:szCs w:val="24"/>
        </w:rPr>
      </w:pPr>
      <w:r>
        <w:rPr>
          <w:szCs w:val="24"/>
        </w:rPr>
        <w:t>根据本工程塔吊施工的全过程，针对各环节的每一步骤，按照安全生产技术规程和方案要求，对所有施工人员进行安全交底，要使全员对工作和安全注意事项心中有数。</w:t>
      </w:r>
    </w:p>
    <w:p w14:paraId="42BB7EB8">
      <w:pPr>
        <w:ind w:firstLine="560"/>
        <w:rPr>
          <w:szCs w:val="24"/>
        </w:rPr>
      </w:pPr>
      <w:r>
        <w:rPr>
          <w:szCs w:val="24"/>
        </w:rPr>
        <w:t>（2）物资准备</w:t>
      </w:r>
    </w:p>
    <w:p w14:paraId="2DF93FDF">
      <w:pPr>
        <w:ind w:firstLine="560"/>
        <w:rPr>
          <w:szCs w:val="24"/>
        </w:rPr>
      </w:pPr>
      <w:r>
        <w:rPr>
          <w:szCs w:val="24"/>
        </w:rPr>
        <w:t>对进场需使用的所有机械设备、机具必须按照国家、地区规定要求进行核定和检验，确保其牢固可靠、适用。</w:t>
      </w:r>
    </w:p>
    <w:p w14:paraId="4E141E7C">
      <w:pPr>
        <w:ind w:firstLine="560"/>
        <w:rPr>
          <w:szCs w:val="24"/>
        </w:rPr>
      </w:pPr>
      <w:r>
        <w:rPr>
          <w:szCs w:val="24"/>
        </w:rPr>
        <w:t>（3）防护设施准备</w:t>
      </w:r>
    </w:p>
    <w:p w14:paraId="74E25808">
      <w:pPr>
        <w:ind w:firstLine="560"/>
        <w:rPr>
          <w:szCs w:val="24"/>
        </w:rPr>
      </w:pPr>
      <w:r>
        <w:rPr>
          <w:szCs w:val="24"/>
        </w:rPr>
        <w:t>对施工工作范围危险区进行警戒、设警戒线、挂安全警示牌，并安排专人看护；对需动火的作业，充分准备好干粉灭火器备用；对于光线弱的情况，备全照明应急设备。</w:t>
      </w:r>
      <w:bookmarkStart w:id="582" w:name="_Toc301216460"/>
    </w:p>
    <w:p w14:paraId="2A5814B5">
      <w:pPr>
        <w:pStyle w:val="3"/>
      </w:pPr>
      <w:bookmarkStart w:id="583" w:name="_Toc27467"/>
      <w:bookmarkStart w:id="584" w:name="_Toc21049"/>
      <w:bookmarkStart w:id="585" w:name="_Toc28477"/>
      <w:bookmarkStart w:id="586" w:name="_Toc31255"/>
      <w:bookmarkStart w:id="587" w:name="_Toc15541"/>
      <w:bookmarkStart w:id="588" w:name="_Toc8928"/>
      <w:bookmarkStart w:id="589" w:name="_Toc12397"/>
      <w:bookmarkStart w:id="590" w:name="_Toc9255"/>
      <w:bookmarkStart w:id="591" w:name="_Toc437"/>
      <w:r>
        <w:rPr>
          <w:rFonts w:hint="eastAsia"/>
        </w:rPr>
        <w:t>10.</w:t>
      </w:r>
      <w:r>
        <w:t>4施工现场的急救步骤</w:t>
      </w:r>
      <w:bookmarkEnd w:id="582"/>
      <w:bookmarkEnd w:id="583"/>
      <w:bookmarkEnd w:id="584"/>
      <w:bookmarkEnd w:id="585"/>
      <w:bookmarkEnd w:id="586"/>
      <w:bookmarkEnd w:id="587"/>
      <w:bookmarkEnd w:id="588"/>
      <w:bookmarkEnd w:id="589"/>
      <w:bookmarkEnd w:id="590"/>
      <w:bookmarkEnd w:id="591"/>
    </w:p>
    <w:p w14:paraId="101F2984">
      <w:pPr>
        <w:ind w:firstLine="560"/>
        <w:rPr>
          <w:szCs w:val="24"/>
        </w:rPr>
      </w:pPr>
      <w:r>
        <w:rPr>
          <w:szCs w:val="24"/>
        </w:rPr>
        <w:t>（1）电话报警</w:t>
      </w:r>
    </w:p>
    <w:p w14:paraId="1688648E">
      <w:pPr>
        <w:ind w:firstLine="560"/>
        <w:rPr>
          <w:szCs w:val="24"/>
        </w:rPr>
      </w:pPr>
      <w:r>
        <w:rPr>
          <w:szCs w:val="24"/>
        </w:rPr>
        <w:t>事故发生第一时间，要立即报告，救护小组迅速采取有效急救措施，同时报警求救，拨打电话报告时，不要惊慌，必须讲清事故情况和已采取的措施，让救护人员做好急救准备，讲清事故发生地点、附近特征，单位名称，负责人姓名、电话；报告程序：逐级也可越级。</w:t>
      </w:r>
    </w:p>
    <w:p w14:paraId="09864686">
      <w:pPr>
        <w:ind w:firstLine="560"/>
        <w:rPr>
          <w:szCs w:val="24"/>
        </w:rPr>
      </w:pPr>
      <w:r>
        <w:rPr>
          <w:szCs w:val="24"/>
        </w:rPr>
        <w:t>（2）现场疏导、自救</w:t>
      </w:r>
    </w:p>
    <w:p w14:paraId="7F4C3939">
      <w:pPr>
        <w:ind w:firstLine="560"/>
        <w:rPr>
          <w:szCs w:val="24"/>
        </w:rPr>
      </w:pPr>
      <w:r>
        <w:rPr>
          <w:szCs w:val="24"/>
        </w:rPr>
        <w:t>在电话报救的同时，由各小组紧急就位，根据现场实际情况对伤员或财物进行救护，有次序地组织人员安全撤离，疏散群众，清理救护通道。</w:t>
      </w:r>
      <w:bookmarkStart w:id="592" w:name="_Toc301216461"/>
    </w:p>
    <w:p w14:paraId="2A3C48E7">
      <w:pPr>
        <w:pStyle w:val="3"/>
      </w:pPr>
      <w:bookmarkStart w:id="593" w:name="_Toc18184"/>
      <w:bookmarkStart w:id="594" w:name="_Toc1649"/>
      <w:bookmarkStart w:id="595" w:name="_Toc30542"/>
      <w:bookmarkStart w:id="596" w:name="_Toc23718"/>
      <w:bookmarkStart w:id="597" w:name="_Toc24215"/>
      <w:bookmarkStart w:id="598" w:name="_Toc31401"/>
      <w:bookmarkStart w:id="599" w:name="_Toc30118"/>
      <w:bookmarkStart w:id="600" w:name="_Toc12894"/>
      <w:bookmarkStart w:id="601" w:name="_Toc16554"/>
      <w:r>
        <w:rPr>
          <w:rFonts w:hint="eastAsia"/>
        </w:rPr>
        <w:t>10.</w:t>
      </w:r>
      <w:r>
        <w:t>5现场</w:t>
      </w:r>
      <w:bookmarkEnd w:id="592"/>
      <w:r>
        <w:t>预案及措施</w:t>
      </w:r>
      <w:bookmarkEnd w:id="593"/>
      <w:bookmarkEnd w:id="594"/>
      <w:bookmarkEnd w:id="595"/>
      <w:bookmarkEnd w:id="596"/>
      <w:bookmarkEnd w:id="597"/>
      <w:bookmarkEnd w:id="598"/>
      <w:bookmarkEnd w:id="599"/>
      <w:bookmarkEnd w:id="600"/>
      <w:bookmarkEnd w:id="601"/>
    </w:p>
    <w:p w14:paraId="65C58FDF">
      <w:pPr>
        <w:pStyle w:val="4"/>
        <w:rPr>
          <w:color w:val="000000"/>
        </w:rPr>
      </w:pPr>
      <w:bookmarkStart w:id="602" w:name="_Toc32288"/>
      <w:bookmarkStart w:id="603" w:name="_Toc20837"/>
      <w:bookmarkStart w:id="604" w:name="_Toc2793"/>
      <w:bookmarkStart w:id="605" w:name="_Toc27599"/>
      <w:r>
        <w:rPr>
          <w:rFonts w:hint="eastAsia"/>
          <w:color w:val="000000"/>
        </w:rPr>
        <w:t>10.</w:t>
      </w:r>
      <w:r>
        <w:rPr>
          <w:color w:val="000000"/>
        </w:rPr>
        <w:t>5.1 高空坠落应急处置措施</w:t>
      </w:r>
    </w:p>
    <w:p w14:paraId="672D4290">
      <w:pPr>
        <w:ind w:firstLine="560"/>
      </w:pPr>
      <w:r>
        <w:t>1、目击者发现事故发生要第一时间进行高声呼救，同时拨打或要求其他目击者拨打应急电话，向应急指挥小组报告事故的相关信息。并在确保安全的前提下，开展前期的应急处置工作。</w:t>
      </w:r>
    </w:p>
    <w:p w14:paraId="4E5F855F">
      <w:pPr>
        <w:ind w:firstLine="560"/>
      </w:pPr>
      <w:r>
        <w:t>2、临边处掉到地面，要对当事者进行及时的必要治疗，现场抢救的重点应放在对休克、骨折和出血等几种情形上，现场救治困难或无效，应尽快送医院进行抢救治疗，避免延误抢救的时间。</w:t>
      </w:r>
    </w:p>
    <w:p w14:paraId="418C7F67">
      <w:pPr>
        <w:ind w:firstLine="560"/>
      </w:pPr>
      <w:r>
        <w:t>3、掉到地面的，出事地点的20米范围要停止作业，迅速对现场进行警戒、疏散人员、维持秩序，并不得有无关人员围观，特别是要防止临边的其它作业人员的围观。</w:t>
      </w:r>
    </w:p>
    <w:p w14:paraId="46006FDA">
      <w:pPr>
        <w:ind w:firstLine="560"/>
      </w:pPr>
      <w:r>
        <w:t>4、如掉落地点抢救难度大，首先应转至平台上才方便进行救治，必须召集在现场医务人员和抢险抢救组一起确定转移方案。</w:t>
      </w:r>
    </w:p>
    <w:p w14:paraId="19CFEB72">
      <w:pPr>
        <w:pStyle w:val="4"/>
        <w:rPr>
          <w:color w:val="000000"/>
        </w:rPr>
      </w:pPr>
      <w:r>
        <w:rPr>
          <w:rFonts w:hint="eastAsia"/>
          <w:color w:val="000000"/>
        </w:rPr>
        <w:t>10.5</w:t>
      </w:r>
      <w:r>
        <w:rPr>
          <w:color w:val="000000"/>
        </w:rPr>
        <w:t>.2 起重吊装应急处置措施</w:t>
      </w:r>
    </w:p>
    <w:p w14:paraId="58882172">
      <w:pPr>
        <w:ind w:firstLine="560"/>
      </w:pPr>
      <w:r>
        <w:t>1、施工现场发生一般起重事故，无人员受伤，起重司机应保持冷静，立即停止起重作业，如重物悬空应在保证安全的情况下，落下重物，停掉电源，立即向上级汇报。</w:t>
      </w:r>
    </w:p>
    <w:p w14:paraId="7977F29E">
      <w:pPr>
        <w:ind w:firstLine="560"/>
      </w:pPr>
      <w:r>
        <w:t>2、在施工作业过程中一旦发生起重伤害事故，应立即组织救援工作，同时要采取有效措施防止事故进一步扩大，有效减少人员伤亡和财产损失。</w:t>
      </w:r>
    </w:p>
    <w:p w14:paraId="09A3A04C">
      <w:pPr>
        <w:ind w:firstLine="560"/>
      </w:pPr>
      <w:r>
        <w:t>3、现场指挥应根据事态，迅速调动人员、设备进行现场救援，并做好现场警戒工作，以防事态扩大，同时向上级汇报。</w:t>
      </w:r>
    </w:p>
    <w:p w14:paraId="654931B0">
      <w:pPr>
        <w:ind w:firstLine="560"/>
      </w:pPr>
      <w:r>
        <w:t>4、应急小组成员到达事故现场后，对较轻的受伤人员，视伤情及时进行止血、包扎、固定等措施，送往医院治疗，并组织人员封锁事故现场，做好警示标志，等待专业人员进行处理。</w:t>
      </w:r>
    </w:p>
    <w:p w14:paraId="440421FA">
      <w:pPr>
        <w:ind w:firstLine="560"/>
      </w:pPr>
      <w:r>
        <w:t>5、若受伤人员被压在重物下面，立即采取搬开重物或使用起重工具吊起重物等措施，将受伤人员转移到安全地带，进行抢救。</w:t>
      </w:r>
    </w:p>
    <w:p w14:paraId="6D984304">
      <w:pPr>
        <w:ind w:firstLine="560"/>
      </w:pPr>
      <w:r>
        <w:t>6、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14:paraId="054FF06F">
      <w:pPr>
        <w:ind w:firstLine="560"/>
      </w:pPr>
      <w:r>
        <w:t>7、做好事故现场的清理和恢复工作，防止次生或滋生的事故。</w:t>
      </w:r>
    </w:p>
    <w:p w14:paraId="66C78F17">
      <w:pPr>
        <w:pStyle w:val="4"/>
        <w:rPr>
          <w:color w:val="000000"/>
        </w:rPr>
      </w:pPr>
      <w:r>
        <w:rPr>
          <w:rFonts w:hint="eastAsia"/>
          <w:color w:val="000000"/>
        </w:rPr>
        <w:t>10.5.3</w:t>
      </w:r>
      <w:r>
        <w:rPr>
          <w:color w:val="000000"/>
        </w:rPr>
        <w:t xml:space="preserve"> 坍塌应急处置措施</w:t>
      </w:r>
    </w:p>
    <w:p w14:paraId="10C94B1C">
      <w:pPr>
        <w:ind w:firstLine="560"/>
      </w:pPr>
      <w:r>
        <w:t>1、发生坍塌事故时，事故发现人员高声呼救，同时拨打或要求其他目击者拨打应急电话，向应急指挥小组报告事故的相关信息。</w:t>
      </w:r>
    </w:p>
    <w:p w14:paraId="15533E47">
      <w:pPr>
        <w:ind w:firstLine="560"/>
      </w:pPr>
      <w:r>
        <w:t>2、首先落实是否有人员和设备被掩埋，如果有人员设备被掩埋要判明被埋人员、设备的方位，迅速调集吊车等设备进行抢救。</w:t>
      </w:r>
    </w:p>
    <w:p w14:paraId="3588D9BF">
      <w:pPr>
        <w:ind w:firstLine="560"/>
      </w:pPr>
      <w:r>
        <w:t>3、紧急救援时，应先救被埋或被困在设备内的人员，尽快设法使其脱离危险。</w:t>
      </w:r>
    </w:p>
    <w:p w14:paraId="5E1657D1">
      <w:pPr>
        <w:ind w:firstLine="560"/>
      </w:pPr>
      <w:r>
        <w:t>4、若用电设备被埋，应设法先切断电源，然后进行救援。</w:t>
      </w:r>
    </w:p>
    <w:p w14:paraId="1A33C831">
      <w:pPr>
        <w:ind w:firstLine="560"/>
      </w:pPr>
      <w:r>
        <w:t>5、及时疏散人群，并在危险区域设置明显的标志。</w:t>
      </w:r>
    </w:p>
    <w:p w14:paraId="4F93BC6B">
      <w:pPr>
        <w:ind w:firstLine="560"/>
      </w:pPr>
      <w:r>
        <w:t>6、调离危险区域内与救援工作无关的设备，防止再次事故发生。</w:t>
      </w:r>
    </w:p>
    <w:p w14:paraId="7C6C184B">
      <w:pPr>
        <w:pStyle w:val="4"/>
        <w:rPr>
          <w:color w:val="000000"/>
        </w:rPr>
      </w:pPr>
      <w:r>
        <w:rPr>
          <w:rFonts w:hint="eastAsia"/>
          <w:color w:val="000000"/>
        </w:rPr>
        <w:t>10.</w:t>
      </w:r>
      <w:r>
        <w:rPr>
          <w:color w:val="000000"/>
        </w:rPr>
        <w:t>5.5 物体打击应急处置措施</w:t>
      </w:r>
    </w:p>
    <w:p w14:paraId="59ECF273">
      <w:pPr>
        <w:ind w:firstLine="560"/>
      </w:pPr>
      <w:r>
        <w:t>1、施工区发生物体打击事故，最早发现事故的人迅速向应急领导小组报告，进一步了解事故伤害程度。</w:t>
      </w:r>
    </w:p>
    <w:p w14:paraId="721E13B2">
      <w:pPr>
        <w:ind w:firstLine="560"/>
      </w:pPr>
      <w:r>
        <w:t>2、及时疏散现场闲杂人员，并保护事故现场，同时避免其他人员靠近现场。</w:t>
      </w:r>
    </w:p>
    <w:p w14:paraId="06E67F6A">
      <w:pPr>
        <w:ind w:firstLine="560"/>
      </w:pPr>
      <w:r>
        <w:t>3、急救员立即通知现场应急小组组长，说明伤者受伤情况，并根据现场实际施行必要的医疗处理，在伤情允许情况下，抢救组负责组织人员搬运受伤人员，转移到安全地方。</w:t>
      </w:r>
    </w:p>
    <w:p w14:paraId="53B2C0C6">
      <w:pPr>
        <w:ind w:firstLine="560"/>
      </w:pPr>
      <w:r>
        <w:t>4、由组长根据汇报，决定是否拨打120医疗急救电话，并说明伤员情况，行车路线，快速联系项目部值班车到场，随时待命。</w:t>
      </w:r>
    </w:p>
    <w:p w14:paraId="0B9A5FC6">
      <w:pPr>
        <w:ind w:firstLine="560"/>
      </w:pPr>
      <w:r>
        <w:t>5、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3C58DB5D">
      <w:pPr>
        <w:pStyle w:val="4"/>
        <w:rPr>
          <w:color w:val="000000"/>
        </w:rPr>
      </w:pPr>
      <w:r>
        <w:rPr>
          <w:rFonts w:hint="eastAsia"/>
          <w:color w:val="000000"/>
        </w:rPr>
        <w:t>10.</w:t>
      </w:r>
      <w:r>
        <w:rPr>
          <w:color w:val="000000"/>
        </w:rPr>
        <w:t>5.</w:t>
      </w:r>
      <w:r>
        <w:rPr>
          <w:rFonts w:hint="eastAsia"/>
          <w:color w:val="000000"/>
        </w:rPr>
        <w:t>6</w:t>
      </w:r>
      <w:r>
        <w:rPr>
          <w:color w:val="000000"/>
        </w:rPr>
        <w:t xml:space="preserve"> 触电应急处置措施</w:t>
      </w:r>
    </w:p>
    <w:p w14:paraId="37E44D9C">
      <w:pPr>
        <w:ind w:firstLine="560"/>
      </w:pPr>
      <w:r>
        <w:t>1、如果触电地点附近有电源开关或电源插销，可立即拉开开关拨出插销，断开电源，但应注意平时检查，防止单线开关断零而未断电源。</w:t>
      </w:r>
    </w:p>
    <w:p w14:paraId="4C8236CF">
      <w:pPr>
        <w:ind w:firstLine="560"/>
      </w:pPr>
      <w:r>
        <w:t>2、如果触电者附近没有电源开关或插销，可由电工用绝缘钳或有干燥木柄的斧头、立即切断电缆、断开电源。或用干燥木板等，绝缘物插到触电者身下，以隔离电源。</w:t>
      </w:r>
    </w:p>
    <w:p w14:paraId="3A7D7492">
      <w:pPr>
        <w:ind w:firstLine="560"/>
      </w:pPr>
      <w:r>
        <w:t>3、当电线搭落在触电者身上或压在身下时，用干燥的衣服，手套，绳索，木板，木棒等绝缘物作为工具，拉开触电者或拉开电线，使触电者脱离电源。切忌徒手抢救触电者。</w:t>
      </w:r>
    </w:p>
    <w:p w14:paraId="79EDE8EA">
      <w:pPr>
        <w:ind w:firstLine="560"/>
      </w:pPr>
      <w:r>
        <w:t>4、发生触电事故时，现场突发事件应急组织立即赶赴现场，由负责人安排抢险人员按进行现场抢险，由医疗急救组对触电者进行救治。</w:t>
      </w:r>
    </w:p>
    <w:p w14:paraId="370D5E15">
      <w:pPr>
        <w:pStyle w:val="4"/>
        <w:rPr>
          <w:color w:val="000000"/>
        </w:rPr>
      </w:pPr>
      <w:r>
        <w:rPr>
          <w:rFonts w:hint="eastAsia"/>
          <w:color w:val="000000"/>
        </w:rPr>
        <w:t>10.</w:t>
      </w:r>
      <w:r>
        <w:rPr>
          <w:color w:val="000000"/>
        </w:rPr>
        <w:t>5.</w:t>
      </w:r>
      <w:r>
        <w:rPr>
          <w:rFonts w:hint="eastAsia"/>
          <w:color w:val="000000"/>
        </w:rPr>
        <w:t>7</w:t>
      </w:r>
      <w:r>
        <w:rPr>
          <w:color w:val="000000"/>
        </w:rPr>
        <w:t xml:space="preserve"> 车辆伤害应急处置措施</w:t>
      </w:r>
    </w:p>
    <w:p w14:paraId="16DF15E3">
      <w:pPr>
        <w:ind w:firstLine="560"/>
      </w:pPr>
      <w:r>
        <w:t>1、发生车辆倾翻事故时，应及时通知有关部门和维修单位维保人员到达现场，进行施救。当有人员被压埋在倾倒车下面或驾驶室内时，应立即采取千斤顶、起吊设备、切割等措施,将被压人员救出,在实施处置时，必须指定1名有经验的人员进行现场指挥,并采取警戒措施，防止车辆倾倒、挤压事故的再次发生。发生汽油、柴油等易燃易爆品和有毒物质泄漏时，应采取措施堵塞泄漏和冲释爆炸性物质或有毒物质混合浓度，避免发生爆炸或中毒事故。</w:t>
      </w:r>
    </w:p>
    <w:p w14:paraId="0757592B">
      <w:pPr>
        <w:ind w:firstLine="560"/>
      </w:pPr>
      <w:r>
        <w:t>2、发生火灾时，应采取措施救出被困在车厢内或驾驶室内无法逃生的人员，并应立即使机车熄火，防止电气火灾的蔓延扩大灭火时，应防止二氧化碳等中毒窒息事故的发生，发生汽油、柴油等易燃易爆品和有毒物质泄漏时，应采取措施堵塞泄漏和冲释爆炸性物质或有毒物质混合浓度，避免发生爆炸或中毒事故。</w:t>
      </w:r>
    </w:p>
    <w:p w14:paraId="3D0486D6">
      <w:pPr>
        <w:ind w:firstLine="560"/>
      </w:pPr>
      <w:r>
        <w:t>3、在救助行动中，救助人员应严格执行安全操作规程，配齐安全设施和防护工具，加强自我保护，确保抢救行动过程中的人身安全和财产安全。</w:t>
      </w:r>
    </w:p>
    <w:p w14:paraId="71B58CC4">
      <w:pPr>
        <w:ind w:firstLine="560"/>
      </w:pPr>
      <w:r>
        <w:t>4、车辆伤害事故发生后，采取车辆专业维修人员的一般救援措施，通过车辆专业维修人与对车辆的人工操作，完成救援活动。</w:t>
      </w:r>
    </w:p>
    <w:p w14:paraId="5CE630EA">
      <w:pPr>
        <w:pStyle w:val="4"/>
        <w:rPr>
          <w:color w:val="000000"/>
        </w:rPr>
      </w:pPr>
      <w:r>
        <w:rPr>
          <w:rFonts w:hint="eastAsia"/>
          <w:color w:val="000000"/>
        </w:rPr>
        <w:t>10.</w:t>
      </w:r>
      <w:r>
        <w:rPr>
          <w:color w:val="000000"/>
        </w:rPr>
        <w:t>5.</w:t>
      </w:r>
      <w:r>
        <w:rPr>
          <w:rFonts w:hint="eastAsia"/>
          <w:color w:val="000000"/>
        </w:rPr>
        <w:t>8</w:t>
      </w:r>
      <w:r>
        <w:rPr>
          <w:color w:val="000000"/>
        </w:rPr>
        <w:t>机械伤害应急处置措施</w:t>
      </w:r>
    </w:p>
    <w:p w14:paraId="05EF68A3">
      <w:pPr>
        <w:ind w:firstLine="560"/>
      </w:pPr>
      <w:r>
        <w:t>1、遇有创伤性出血的伤员，应迅速包扎止血，使伤员保持头低脚高的卧位，并注意保暖。正确的现场止血处理措施：一般伤口小的止血，先用生理盐水冲洗伤口，涂上红汞水，然后盖上消毒纱布，用绷带较紧的包扎，来增强压力而达到止血，止血带止血，选择弹性好的橡皮管，橡皮带或三角巾、毛巾，带状布条等，上肢出血结扎在上臂上1/2处(靠近心脏位置)。下肢出血结扎在大脚上1/3处，结扎时，在止血带与皮肤之间垫上消毒纱布棉垫，每隔25～40分钟放松一次，每次放松0.5～1分钟。</w:t>
      </w:r>
    </w:p>
    <w:p w14:paraId="4C8DF0B5">
      <w:pPr>
        <w:ind w:firstLine="560"/>
      </w:pPr>
      <w:r>
        <w:t>2、动用最快的交通工具或其他措施，及时把伤者送往邻近医院抢救，运送途中应尽量减少颠簸。</w:t>
      </w:r>
    </w:p>
    <w:p w14:paraId="7C583222">
      <w:pPr>
        <w:ind w:firstLine="560"/>
      </w:pPr>
      <w:r>
        <w:t>3、消除不安全因素，如机械处于危险状态，应立即采用措施进行稳定，防止事故扩大，避免更大的人身伤害及财产损失。</w:t>
      </w:r>
    </w:p>
    <w:p w14:paraId="5E882F25">
      <w:pPr>
        <w:ind w:firstLine="560"/>
      </w:pPr>
      <w:r>
        <w:t>4、在不影响安全的前提下，切断机器的电源。</w:t>
      </w:r>
    </w:p>
    <w:p w14:paraId="298594C1">
      <w:pPr>
        <w:ind w:firstLine="560"/>
      </w:pPr>
      <w:r>
        <w:t>5、注意保护现场，因抢救伤员和防止事故扩大，需要移动现场物件时，应做出标志，拍照，详细记录和绘制事故现场图。</w:t>
      </w:r>
    </w:p>
    <w:p w14:paraId="04A882B0">
      <w:pPr>
        <w:pStyle w:val="4"/>
        <w:rPr>
          <w:color w:val="000000"/>
        </w:rPr>
      </w:pPr>
      <w:r>
        <w:rPr>
          <w:rFonts w:hint="eastAsia"/>
          <w:color w:val="000000"/>
        </w:rPr>
        <w:t>10.</w:t>
      </w:r>
      <w:r>
        <w:rPr>
          <w:color w:val="000000"/>
        </w:rPr>
        <w:t>5.</w:t>
      </w:r>
      <w:r>
        <w:rPr>
          <w:rFonts w:hint="eastAsia"/>
          <w:color w:val="000000"/>
        </w:rPr>
        <w:t>9</w:t>
      </w:r>
      <w:r>
        <w:rPr>
          <w:color w:val="000000"/>
        </w:rPr>
        <w:t xml:space="preserve"> 火灾爆炸应急处置措施</w:t>
      </w:r>
    </w:p>
    <w:p w14:paraId="4FAA53DB">
      <w:pPr>
        <w:ind w:firstLine="560"/>
      </w:pPr>
      <w:r>
        <w:t>1、发生火情后，现场人员应保持冷静，明辨方向和火势大小，迅速使用起火现场的灭火器、消防栓等各种消防器材第一时间灭火，力争把火控制、扑灭在初期节段。同时呼喊周围人员参与到灭火和报警，并将事故报告给班组长或现场主管人员。</w:t>
      </w:r>
    </w:p>
    <w:p w14:paraId="545FE20F">
      <w:pPr>
        <w:ind w:firstLine="560"/>
      </w:pPr>
      <w:r>
        <w:t>2、现场人员断开着火区电源，现场安全负责人或班组长立即组织人员迅速展开初期火灾的扑救工作，切断易燃物输送源或迅速隔离易燃物等。</w:t>
      </w:r>
    </w:p>
    <w:p w14:paraId="7D7029B2">
      <w:pPr>
        <w:ind w:firstLine="560"/>
      </w:pPr>
      <w:r>
        <w:t>3、立即组织营救受害人员，组织撤离或者采取其他措施，保护危害区域的其他人，迅速控制危险火源。</w:t>
      </w:r>
    </w:p>
    <w:p w14:paraId="52FC801C">
      <w:pPr>
        <w:ind w:firstLine="560"/>
      </w:pPr>
      <w:r>
        <w:t>4、若衣服着火又不能及时扑灭时，应立即脱掉衣服，如来不及或无法脱掉应就地打滚，用身体压灭火种或就地用水灭火，切勿跑动。</w:t>
      </w:r>
    </w:p>
    <w:p w14:paraId="3BCB821F">
      <w:pPr>
        <w:ind w:firstLine="560"/>
      </w:pPr>
      <w:r>
        <w:t>5、发生爆炸事故时，现场负责人根据现场情况，立即致电“11</w:t>
      </w:r>
      <w:r>
        <w:rPr>
          <w:rFonts w:hint="eastAsia"/>
        </w:rPr>
        <w:t>0</w:t>
      </w:r>
      <w:r>
        <w:t>”和“120”急救中心，详细报告事发地址、人员伤害的情况和可能需要配合救援的设备。</w:t>
      </w:r>
    </w:p>
    <w:p w14:paraId="094BB1D6">
      <w:pPr>
        <w:ind w:firstLine="560"/>
      </w:pPr>
      <w:r>
        <w:t>6、根据爆炸后所产生的危险性，立即疏散人员和封锁事故现场。</w:t>
      </w:r>
    </w:p>
    <w:p w14:paraId="37F218AA">
      <w:pPr>
        <w:ind w:firstLine="560"/>
      </w:pPr>
      <w:r>
        <w:t>7、撤离爆炸现场附近的可燃物，避免火灾区域扩大。</w:t>
      </w:r>
    </w:p>
    <w:p w14:paraId="5DA8F4E4">
      <w:pPr>
        <w:ind w:firstLine="560"/>
      </w:pPr>
      <w:r>
        <w:t>8、做好事故现场的清理和恢复工作，防止次生或滋生的事故。</w:t>
      </w:r>
    </w:p>
    <w:p w14:paraId="35C7C571">
      <w:pPr>
        <w:pStyle w:val="4"/>
        <w:rPr>
          <w:color w:val="000000"/>
        </w:rPr>
      </w:pPr>
      <w:r>
        <w:rPr>
          <w:rFonts w:hint="eastAsia"/>
          <w:color w:val="000000"/>
        </w:rPr>
        <w:t>10.</w:t>
      </w:r>
      <w:r>
        <w:rPr>
          <w:color w:val="000000"/>
        </w:rPr>
        <w:t>5.10 恶劣天气应急处置措施</w:t>
      </w:r>
    </w:p>
    <w:p w14:paraId="4BEE4822">
      <w:pPr>
        <w:ind w:firstLine="560"/>
      </w:pPr>
      <w:r>
        <w:t>为保证施工机械、设备和人员的安全，确保现场施工能顺利进行，雷电雨</w:t>
      </w:r>
      <w:r>
        <w:rPr>
          <w:rFonts w:hint="eastAsia"/>
        </w:rPr>
        <w:t>台风</w:t>
      </w:r>
      <w:r>
        <w:t>天气应采取下列应急措施：</w:t>
      </w:r>
    </w:p>
    <w:p w14:paraId="0F521027">
      <w:pPr>
        <w:ind w:firstLine="560"/>
      </w:pPr>
      <w:r>
        <w:t>1、突遇恶劣雷电天气时，现场组织施工作业人员转移到安全区域。</w:t>
      </w:r>
    </w:p>
    <w:p w14:paraId="5A426CCD">
      <w:pPr>
        <w:ind w:firstLine="560"/>
      </w:pPr>
      <w:r>
        <w:t>2、注意观察是否出现雷电导致施工现场发生火灾、设备损坏和人员伤亡。</w:t>
      </w:r>
    </w:p>
    <w:p w14:paraId="4154DCFF">
      <w:pPr>
        <w:ind w:firstLine="560"/>
      </w:pPr>
      <w:r>
        <w:t>3、应注意各工点的施工情况，遇异常情况应及时向应急领导小组汇报。</w:t>
      </w:r>
    </w:p>
    <w:p w14:paraId="5DA97362">
      <w:pPr>
        <w:ind w:firstLine="560"/>
        <w:rPr>
          <w:rFonts w:hint="eastAsia" w:eastAsia="仿宋"/>
          <w:lang w:val="en-US" w:eastAsia="zh-CN"/>
        </w:rPr>
      </w:pPr>
      <w:r>
        <w:rPr>
          <w:rFonts w:hint="eastAsia"/>
          <w:lang w:val="en-US" w:eastAsia="zh-CN"/>
        </w:rPr>
        <w:t>4、恶劣天气或夜间严禁进行塔式起重机安拆或吊装作业</w:t>
      </w:r>
    </w:p>
    <w:p w14:paraId="6FAF0B62">
      <w:pPr>
        <w:pStyle w:val="3"/>
        <w:rPr>
          <w:lang w:val="zh-CN"/>
        </w:rPr>
      </w:pPr>
      <w:bookmarkStart w:id="606" w:name="_Toc17569"/>
      <w:bookmarkStart w:id="607" w:name="_Toc31662"/>
      <w:bookmarkStart w:id="608" w:name="_Toc18473"/>
      <w:bookmarkStart w:id="609" w:name="_Toc5166"/>
      <w:bookmarkStart w:id="610" w:name="_Toc816"/>
      <w:bookmarkStart w:id="611" w:name="_Toc10246"/>
      <w:bookmarkStart w:id="612" w:name="_Toc19736"/>
      <w:bookmarkStart w:id="613" w:name="_Toc29851"/>
      <w:r>
        <w:rPr>
          <w:rFonts w:hint="eastAsia"/>
        </w:rPr>
        <w:t>10.</w:t>
      </w:r>
      <w:r>
        <w:t>6</w:t>
      </w:r>
      <w:r>
        <w:rPr>
          <w:lang w:val="zh-CN"/>
        </w:rPr>
        <w:t>应急响应</w:t>
      </w:r>
      <w:bookmarkEnd w:id="602"/>
      <w:bookmarkEnd w:id="603"/>
      <w:bookmarkEnd w:id="604"/>
      <w:bookmarkEnd w:id="605"/>
      <w:bookmarkEnd w:id="606"/>
      <w:bookmarkEnd w:id="607"/>
      <w:bookmarkEnd w:id="608"/>
      <w:bookmarkEnd w:id="609"/>
      <w:bookmarkEnd w:id="610"/>
      <w:bookmarkEnd w:id="611"/>
      <w:bookmarkEnd w:id="612"/>
      <w:bookmarkEnd w:id="613"/>
    </w:p>
    <w:p w14:paraId="2954AC42">
      <w:pPr>
        <w:ind w:firstLine="560"/>
        <w:rPr>
          <w:szCs w:val="24"/>
          <w:lang w:val="zh-CN"/>
        </w:rPr>
      </w:pPr>
      <w:r>
        <w:rPr>
          <w:szCs w:val="24"/>
          <w:lang w:val="zh-CN"/>
        </w:rPr>
        <w:t>施工过程中施工现场或驻地发生无法预料的需要紧急抢救处理的危险时，应迅速逐级上报，次序为现场、办公室、抢险领导小组、上级主管部门。由项目部</w:t>
      </w:r>
      <w:r>
        <w:rPr>
          <w:rFonts w:hint="eastAsia"/>
          <w:szCs w:val="24"/>
          <w:lang w:val="zh-CN"/>
        </w:rPr>
        <w:t>安环</w:t>
      </w:r>
      <w:r>
        <w:rPr>
          <w:szCs w:val="24"/>
          <w:lang w:val="zh-CN"/>
        </w:rPr>
        <w:t>部收集、记录、整理紧急情况信息并向小组及时传递，由小组组长或副组长主持紧急情况处理会议，协调、派遣和统一指挥所有车辆、设备、人员、物资等实施紧急抢救和向上级汇报。</w:t>
      </w:r>
    </w:p>
    <w:p w14:paraId="30612AFB">
      <w:pPr>
        <w:spacing w:line="240" w:lineRule="auto"/>
        <w:ind w:firstLine="560"/>
        <w:jc w:val="center"/>
        <w:rPr>
          <w:szCs w:val="24"/>
          <w:lang w:val="zh-CN"/>
        </w:rPr>
      </w:pPr>
      <w:r>
        <w:drawing>
          <wp:inline distT="0" distB="0" distL="114300" distR="114300">
            <wp:extent cx="4418965" cy="3280410"/>
            <wp:effectExtent l="0" t="0" r="635" b="11430"/>
            <wp:docPr id="228" name="Picture 28"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8" descr="QQ截图未命名"/>
                    <pic:cNvPicPr>
                      <a:picLocks noChangeAspect="1"/>
                    </pic:cNvPicPr>
                  </pic:nvPicPr>
                  <pic:blipFill>
                    <a:blip r:embed="rId67"/>
                    <a:stretch>
                      <a:fillRect/>
                    </a:stretch>
                  </pic:blipFill>
                  <pic:spPr>
                    <a:xfrm>
                      <a:off x="0" y="0"/>
                      <a:ext cx="4418965" cy="3280410"/>
                    </a:xfrm>
                    <a:prstGeom prst="rect">
                      <a:avLst/>
                    </a:prstGeom>
                    <a:noFill/>
                    <a:ln>
                      <a:noFill/>
                    </a:ln>
                  </pic:spPr>
                </pic:pic>
              </a:graphicData>
            </a:graphic>
          </wp:inline>
        </w:drawing>
      </w:r>
    </w:p>
    <w:p w14:paraId="1ABAB235">
      <w:pPr>
        <w:ind w:firstLine="560"/>
        <w:rPr>
          <w:szCs w:val="24"/>
          <w:lang w:val="zh-CN"/>
        </w:rPr>
      </w:pPr>
      <w:r>
        <w:rPr>
          <w:szCs w:val="24"/>
          <w:lang w:val="zh-CN"/>
        </w:rPr>
        <w:t>（1）紧急情况发生后，现场要做好警戒和疏散工作，保护现场，及时抢救伤员和财产，并由在现场的项目部最高级别负责人指挥，在3分钟内电话通报到值班人员，主要说明紧急情况性质、地点、发生时间、有无伤亡、是否需要派救护车、消防车或警力支援到现场实施抢救，如需可直接拨打120、110等求救电话。</w:t>
      </w:r>
    </w:p>
    <w:p w14:paraId="075358A0">
      <w:pPr>
        <w:ind w:firstLine="560"/>
        <w:rPr>
          <w:szCs w:val="24"/>
          <w:lang w:val="zh-CN"/>
        </w:rPr>
      </w:pPr>
      <w:r>
        <w:rPr>
          <w:szCs w:val="24"/>
          <w:lang w:val="zh-CN"/>
        </w:rPr>
        <w:t>（2）值班人员在接到紧急情况报告后必须在2分钟内将情况报告到紧急情况领导小组组长和副组长。小组组长组织讨论后在最短的时间内发出如何进行现场处置的指令。分派人员车辆等到现场进行抢救、警戒、疏散和保护现场等。由项目部安质部在30分钟内以小组名义打电话向上一级有关部门报告。</w:t>
      </w:r>
    </w:p>
    <w:p w14:paraId="237B9C89">
      <w:pPr>
        <w:ind w:firstLine="560"/>
        <w:rPr>
          <w:szCs w:val="24"/>
          <w:lang w:val="zh-CN"/>
        </w:rPr>
      </w:pPr>
      <w:r>
        <w:rPr>
          <w:szCs w:val="24"/>
          <w:lang w:val="zh-CN"/>
        </w:rPr>
        <w:t>（3）遇到紧急情况，全体职工应特事特办、急事急办，主动积极地投身到紧急情况的处理中去。各种设备、车辆、器材、物资等应统一调遣，各类人员必须坚决无条件服从组长或副组长的命令和安排，不得拖延、推诿、阻碍紧急情况的处理。</w:t>
      </w:r>
      <w:bookmarkStart w:id="614" w:name="_Toc10402"/>
      <w:bookmarkStart w:id="615" w:name="_Toc11266"/>
      <w:bookmarkStart w:id="616" w:name="_Toc28668"/>
    </w:p>
    <w:p w14:paraId="58310644">
      <w:pPr>
        <w:pStyle w:val="3"/>
      </w:pPr>
      <w:bookmarkStart w:id="617" w:name="_Toc26436"/>
      <w:bookmarkStart w:id="618" w:name="_Toc28731"/>
      <w:bookmarkStart w:id="619" w:name="_Toc6213"/>
      <w:bookmarkStart w:id="620" w:name="_Toc3277"/>
      <w:bookmarkStart w:id="621" w:name="_Toc1391"/>
      <w:bookmarkStart w:id="622" w:name="_Toc8422"/>
      <w:bookmarkStart w:id="623" w:name="_Toc29083"/>
      <w:bookmarkStart w:id="624" w:name="_Toc12964"/>
      <w:bookmarkStart w:id="625" w:name="_Toc7514"/>
      <w:r>
        <w:rPr>
          <w:rFonts w:hint="eastAsia"/>
        </w:rPr>
        <w:t>10.7</w:t>
      </w:r>
      <w:r>
        <w:rPr>
          <w:lang w:val="zh-CN"/>
        </w:rPr>
        <w:t>应急电话</w:t>
      </w:r>
      <w:bookmarkEnd w:id="614"/>
      <w:bookmarkEnd w:id="615"/>
      <w:bookmarkEnd w:id="616"/>
      <w:bookmarkEnd w:id="617"/>
      <w:bookmarkEnd w:id="618"/>
      <w:bookmarkEnd w:id="619"/>
      <w:bookmarkEnd w:id="620"/>
      <w:bookmarkEnd w:id="621"/>
      <w:bookmarkEnd w:id="622"/>
      <w:bookmarkEnd w:id="623"/>
      <w:bookmarkEnd w:id="624"/>
      <w:bookmarkEnd w:id="625"/>
    </w:p>
    <w:p w14:paraId="6BCA3804">
      <w:pPr>
        <w:autoSpaceDE w:val="0"/>
        <w:autoSpaceDN w:val="0"/>
        <w:adjustRightInd w:val="0"/>
        <w:ind w:firstLine="560"/>
        <w:rPr>
          <w:szCs w:val="24"/>
          <w:lang w:val="zh-CN"/>
        </w:rPr>
      </w:pPr>
      <w:r>
        <w:rPr>
          <w:szCs w:val="24"/>
          <w:lang w:val="zh-CN"/>
        </w:rPr>
        <w:t>火警电话：11</w:t>
      </w:r>
      <w:r>
        <w:rPr>
          <w:rFonts w:hint="eastAsia"/>
          <w:szCs w:val="24"/>
        </w:rPr>
        <w:t>9</w:t>
      </w:r>
      <w:r>
        <w:rPr>
          <w:szCs w:val="24"/>
          <w:lang w:val="zh-CN"/>
        </w:rPr>
        <w:t xml:space="preserve"> 医疗救护：120</w:t>
      </w:r>
    </w:p>
    <w:p w14:paraId="47D3DF13">
      <w:pPr>
        <w:autoSpaceDE w:val="0"/>
        <w:autoSpaceDN w:val="0"/>
        <w:adjustRightInd w:val="0"/>
        <w:ind w:firstLine="560"/>
        <w:rPr>
          <w:lang w:val="zh-CN"/>
        </w:rPr>
      </w:pPr>
      <w:r>
        <w:rPr>
          <w:lang w:val="zh-CN"/>
        </w:rPr>
        <w:t>交通报警电话：122  匪警电话：110</w:t>
      </w:r>
    </w:p>
    <w:p w14:paraId="2621ABDA">
      <w:pPr>
        <w:pStyle w:val="11"/>
        <w:ind w:firstLine="560"/>
        <w:rPr>
          <w:rFonts w:hint="default" w:ascii="Times New Roman" w:hAnsi="Times New Roman"/>
          <w:szCs w:val="24"/>
          <w:lang w:val="zh-CN"/>
        </w:rPr>
      </w:pPr>
    </w:p>
    <w:p w14:paraId="74CA9CC3">
      <w:pPr>
        <w:ind w:firstLine="560"/>
        <w:rPr>
          <w:szCs w:val="24"/>
          <w:lang w:val="zh-CN"/>
        </w:rPr>
      </w:pPr>
    </w:p>
    <w:p w14:paraId="1BECEB7D">
      <w:pPr>
        <w:pStyle w:val="11"/>
        <w:ind w:firstLine="560"/>
        <w:rPr>
          <w:rFonts w:hint="default" w:ascii="Times New Roman" w:hAnsi="Times New Roman"/>
          <w:szCs w:val="24"/>
          <w:lang w:val="zh-CN"/>
        </w:rPr>
      </w:pPr>
    </w:p>
    <w:bookmarkEnd w:id="520"/>
    <w:bookmarkEnd w:id="548"/>
    <w:bookmarkEnd w:id="549"/>
    <w:bookmarkEnd w:id="550"/>
    <w:bookmarkEnd w:id="551"/>
    <w:bookmarkEnd w:id="552"/>
    <w:bookmarkEnd w:id="553"/>
    <w:bookmarkEnd w:id="554"/>
    <w:bookmarkEnd w:id="555"/>
    <w:bookmarkEnd w:id="556"/>
    <w:bookmarkEnd w:id="557"/>
    <w:bookmarkEnd w:id="558"/>
    <w:bookmarkEnd w:id="559"/>
    <w:bookmarkEnd w:id="560"/>
    <w:p w14:paraId="103DAEE3">
      <w:pPr>
        <w:pStyle w:val="2"/>
        <w:rPr>
          <w:rFonts w:hint="default"/>
        </w:rPr>
      </w:pPr>
      <w:bookmarkStart w:id="626" w:name="_Toc8268"/>
      <w:bookmarkStart w:id="627" w:name="_Toc7213"/>
      <w:bookmarkStart w:id="628" w:name="_Toc25969"/>
      <w:bookmarkStart w:id="629" w:name="_Toc27141"/>
      <w:bookmarkStart w:id="630" w:name="_Toc28751"/>
      <w:bookmarkStart w:id="631" w:name="_Toc21724"/>
      <w:r>
        <w:rPr>
          <w:rFonts w:hint="eastAsia"/>
          <w:color w:val="000000"/>
        </w:rPr>
        <w:t>第十一章附件</w:t>
      </w:r>
      <w:bookmarkEnd w:id="626"/>
      <w:bookmarkEnd w:id="627"/>
      <w:bookmarkEnd w:id="628"/>
      <w:bookmarkEnd w:id="629"/>
      <w:bookmarkEnd w:id="630"/>
      <w:bookmarkEnd w:id="631"/>
    </w:p>
    <w:p w14:paraId="257E844A">
      <w:pPr>
        <w:pStyle w:val="3"/>
        <w:rPr>
          <w:rFonts w:hint="eastAsia" w:cs="Times New Roman"/>
          <w:lang w:eastAsia="zh-CN"/>
        </w:rPr>
      </w:pPr>
      <w:bookmarkStart w:id="632" w:name="_Toc3460"/>
      <w:r>
        <w:rPr>
          <w:rFonts w:hint="eastAsia" w:cs="Times New Roman"/>
        </w:rPr>
        <w:t>11.</w:t>
      </w:r>
      <w:r>
        <w:rPr>
          <w:rFonts w:hint="eastAsia" w:cs="Times New Roman"/>
          <w:lang w:val="en-US" w:eastAsia="zh-CN"/>
        </w:rPr>
        <w:t>4</w:t>
      </w:r>
      <w:r>
        <w:rPr>
          <w:rFonts w:hint="eastAsia" w:cs="Times New Roman"/>
          <w:lang w:eastAsia="zh-CN"/>
        </w:rPr>
        <w:t>基础计算书</w:t>
      </w:r>
      <w:bookmarkEnd w:id="632"/>
    </w:p>
    <w:p w14:paraId="03A619FC">
      <w:pPr>
        <w:widowControl w:val="0"/>
        <w:spacing w:line="480" w:lineRule="auto"/>
        <w:jc w:val="center"/>
        <w:rPr>
          <w:rFonts w:hint="eastAsia" w:ascii="宋体" w:hAnsi="宋体" w:eastAsia="宋体" w:cs="宋体"/>
          <w:b/>
          <w:i w:val="0"/>
          <w:color w:val="000000"/>
          <w:kern w:val="2"/>
          <w:sz w:val="50"/>
          <w:szCs w:val="24"/>
          <w:u w:val="none"/>
          <w:lang w:val="en-US" w:eastAsia="zh-CN" w:bidi="ar-SA"/>
        </w:rPr>
      </w:pPr>
      <w:r>
        <w:rPr>
          <w:rFonts w:hint="eastAsia" w:ascii="宋体" w:hAnsi="宋体" w:eastAsia="宋体" w:cs="宋体"/>
          <w:b/>
          <w:i w:val="0"/>
          <w:color w:val="000000"/>
          <w:kern w:val="2"/>
          <w:sz w:val="50"/>
          <w:szCs w:val="24"/>
          <w:u w:val="none"/>
          <w:lang w:val="en-US" w:eastAsia="zh-CN" w:bidi="ar-SA"/>
        </w:rPr>
        <w:t>XGT6015A-8S塔机板式基础计算书</w:t>
      </w:r>
    </w:p>
    <w:p w14:paraId="1EC63FD5">
      <w:pPr>
        <w:numPr>
          <w:ilvl w:val="0"/>
          <w:numId w:val="0"/>
        </w:numPr>
        <w:spacing w:line="360" w:lineRule="auto"/>
        <w:ind w:firstLine="281" w:firstLineChars="100"/>
        <w:jc w:val="left"/>
        <w:rPr>
          <w:rFonts w:hint="eastAsia"/>
          <w:b/>
          <w:sz w:val="28"/>
          <w:szCs w:val="28"/>
        </w:rPr>
      </w:pPr>
      <w:r>
        <w:rPr>
          <w:rFonts w:hint="eastAsia"/>
          <w:b/>
          <w:sz w:val="28"/>
          <w:szCs w:val="28"/>
          <w:lang w:eastAsia="zh-CN"/>
        </w:rPr>
        <w:t>一、</w:t>
      </w:r>
      <w:r>
        <w:rPr>
          <w:rFonts w:hint="eastAsia"/>
          <w:b/>
          <w:sz w:val="28"/>
          <w:szCs w:val="28"/>
        </w:rPr>
        <w:t>计算依据</w:t>
      </w:r>
    </w:p>
    <w:p w14:paraId="58E54273">
      <w:pPr>
        <w:spacing w:line="360" w:lineRule="auto"/>
        <w:ind w:left="0" w:leftChars="0" w:firstLine="480" w:firstLineChars="200"/>
        <w:jc w:val="left"/>
        <w:rPr>
          <w:rFonts w:hint="eastAsia"/>
          <w:sz w:val="24"/>
        </w:rPr>
      </w:pPr>
      <w:r>
        <w:rPr>
          <w:rFonts w:hint="eastAsia"/>
          <w:sz w:val="24"/>
        </w:rPr>
        <w:t>1、GB/T13752-2017《塔式起重机设计规范》</w:t>
      </w:r>
    </w:p>
    <w:p w14:paraId="49507E8F">
      <w:pPr>
        <w:spacing w:line="360" w:lineRule="auto"/>
        <w:ind w:left="0" w:leftChars="0" w:firstLine="480" w:firstLineChars="200"/>
        <w:jc w:val="left"/>
        <w:rPr>
          <w:rFonts w:hint="eastAsia"/>
          <w:sz w:val="24"/>
        </w:rPr>
      </w:pPr>
      <w:r>
        <w:rPr>
          <w:rFonts w:hint="eastAsia"/>
          <w:sz w:val="24"/>
        </w:rPr>
        <w:t>2、JGJ/T187-2019《塔式起重机混凝土基础工程技术规程》</w:t>
      </w:r>
    </w:p>
    <w:p w14:paraId="48497424">
      <w:pPr>
        <w:spacing w:line="360" w:lineRule="auto"/>
        <w:ind w:left="0" w:leftChars="0" w:firstLine="480" w:firstLineChars="200"/>
        <w:jc w:val="left"/>
        <w:rPr>
          <w:rFonts w:hint="eastAsia"/>
          <w:sz w:val="24"/>
        </w:rPr>
      </w:pPr>
      <w:r>
        <w:rPr>
          <w:rFonts w:hint="eastAsia"/>
          <w:sz w:val="24"/>
        </w:rPr>
        <w:t>3、</w:t>
      </w:r>
      <w:r>
        <w:rPr>
          <w:rFonts w:hint="eastAsia"/>
          <w:sz w:val="24"/>
          <w:lang w:eastAsia="zh-CN"/>
        </w:rPr>
        <w:t>XGT6015-8S1</w:t>
      </w:r>
      <w:r>
        <w:rPr>
          <w:rFonts w:hint="eastAsia"/>
          <w:sz w:val="24"/>
        </w:rPr>
        <w:t>塔机说明书</w:t>
      </w:r>
    </w:p>
    <w:p w14:paraId="5A286FF2">
      <w:pPr>
        <w:numPr>
          <w:ilvl w:val="0"/>
          <w:numId w:val="0"/>
        </w:numPr>
        <w:spacing w:line="360" w:lineRule="auto"/>
        <w:ind w:firstLine="281" w:firstLineChars="100"/>
        <w:jc w:val="left"/>
        <w:rPr>
          <w:rFonts w:hint="eastAsia"/>
          <w:b/>
          <w:sz w:val="28"/>
          <w:szCs w:val="28"/>
        </w:rPr>
      </w:pPr>
      <w:r>
        <w:rPr>
          <w:rFonts w:hint="eastAsia"/>
          <w:b/>
          <w:sz w:val="28"/>
          <w:szCs w:val="28"/>
          <w:lang w:eastAsia="zh-CN"/>
        </w:rPr>
        <w:t>二、</w:t>
      </w:r>
      <w:r>
        <w:rPr>
          <w:rFonts w:hint="eastAsia"/>
          <w:b/>
          <w:sz w:val="28"/>
          <w:szCs w:val="28"/>
        </w:rPr>
        <w:t>计算说明</w:t>
      </w:r>
    </w:p>
    <w:p w14:paraId="1E95C200">
      <w:pPr>
        <w:spacing w:line="360" w:lineRule="auto"/>
        <w:ind w:left="0" w:leftChars="0" w:firstLine="480" w:firstLineChars="200"/>
        <w:jc w:val="left"/>
        <w:rPr>
          <w:rFonts w:hint="eastAsia"/>
          <w:sz w:val="24"/>
          <w:lang w:val="en-US" w:eastAsia="zh-CN"/>
        </w:rPr>
      </w:pPr>
      <w:r>
        <w:rPr>
          <w:rFonts w:hint="eastAsia"/>
          <w:sz w:val="24"/>
          <w:lang w:val="en-US" w:eastAsia="zh-CN"/>
        </w:rPr>
        <w:t>1、本计算书仅适用于地基承载力≥160kPa的我公司XGT6015A-8S塔机在以下基础示意图方式的使用；</w:t>
      </w:r>
    </w:p>
    <w:p w14:paraId="0AA084E4">
      <w:pPr>
        <w:spacing w:line="360" w:lineRule="auto"/>
        <w:ind w:left="0" w:leftChars="0" w:firstLine="0" w:firstLineChars="0"/>
        <w:jc w:val="left"/>
        <w:rPr>
          <w:rFonts w:hint="eastAsia"/>
          <w:sz w:val="24"/>
          <w:lang w:val="en-US" w:eastAsia="zh-CN"/>
        </w:rPr>
      </w:pPr>
      <w:r>
        <w:rPr>
          <w:rFonts w:hint="eastAsia"/>
          <w:sz w:val="24"/>
          <w:lang w:val="en-US" w:eastAsia="zh-CN"/>
        </w:rPr>
        <w:t>2、任何力学、几何参数或结构型式的改变均不再适用于本计算书。</w:t>
      </w:r>
    </w:p>
    <w:p w14:paraId="5D1A5C06">
      <w:pPr>
        <w:spacing w:line="360" w:lineRule="auto"/>
        <w:ind w:left="0" w:leftChars="0" w:firstLine="281" w:firstLineChars="100"/>
        <w:jc w:val="left"/>
        <w:rPr>
          <w:rFonts w:hint="eastAsia"/>
          <w:b/>
          <w:sz w:val="28"/>
          <w:szCs w:val="28"/>
        </w:rPr>
      </w:pPr>
      <w:r>
        <w:rPr>
          <w:rFonts w:hint="eastAsia"/>
          <w:b/>
          <w:sz w:val="28"/>
          <w:szCs w:val="28"/>
        </w:rPr>
        <w:t>三、</w:t>
      </w:r>
      <w:r>
        <w:rPr>
          <w:rFonts w:hint="eastAsia"/>
          <w:b/>
          <w:sz w:val="28"/>
          <w:szCs w:val="28"/>
          <w:lang w:eastAsia="zh-CN"/>
        </w:rPr>
        <w:t>XGT6015</w:t>
      </w:r>
      <w:r>
        <w:rPr>
          <w:rFonts w:hint="eastAsia"/>
          <w:b/>
          <w:sz w:val="28"/>
          <w:szCs w:val="28"/>
          <w:lang w:val="en-US" w:eastAsia="zh-CN"/>
        </w:rPr>
        <w:t>A</w:t>
      </w:r>
      <w:r>
        <w:rPr>
          <w:rFonts w:hint="eastAsia"/>
          <w:b/>
          <w:sz w:val="28"/>
          <w:szCs w:val="28"/>
          <w:lang w:eastAsia="zh-CN"/>
        </w:rPr>
        <w:t>-8S</w:t>
      </w:r>
      <w:r>
        <w:rPr>
          <w:rFonts w:hint="eastAsia"/>
          <w:b/>
          <w:sz w:val="28"/>
          <w:szCs w:val="28"/>
        </w:rPr>
        <w:t>塔机作用于基础顶面的载荷</w:t>
      </w:r>
    </w:p>
    <w:p w14:paraId="3E800FD7">
      <w:pPr>
        <w:spacing w:line="360" w:lineRule="auto"/>
        <w:jc w:val="center"/>
        <w:rPr>
          <w:rFonts w:hint="eastAsia" w:ascii="宋体" w:hAnsi="宋体"/>
        </w:rPr>
      </w:pPr>
      <w:r>
        <w:rPr>
          <w:rFonts w:ascii="宋体" w:hAnsi="宋体"/>
        </w:rPr>
        <w:drawing>
          <wp:inline distT="0" distB="0" distL="114300" distR="114300">
            <wp:extent cx="2028190" cy="2012950"/>
            <wp:effectExtent l="0" t="0" r="10160" b="6350"/>
            <wp:docPr id="43" name="图片 31" descr="基础示意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1" descr="基础示意图5"/>
                    <pic:cNvPicPr>
                      <a:picLocks noChangeAspect="1"/>
                    </pic:cNvPicPr>
                  </pic:nvPicPr>
                  <pic:blipFill>
                    <a:blip r:embed="rId68"/>
                    <a:stretch>
                      <a:fillRect/>
                    </a:stretch>
                  </pic:blipFill>
                  <pic:spPr>
                    <a:xfrm>
                      <a:off x="0" y="0"/>
                      <a:ext cx="2028190" cy="2012950"/>
                    </a:xfrm>
                    <a:prstGeom prst="rect">
                      <a:avLst/>
                    </a:prstGeom>
                    <a:noFill/>
                    <a:ln>
                      <a:noFill/>
                    </a:ln>
                  </pic:spPr>
                </pic:pic>
              </a:graphicData>
            </a:graphic>
          </wp:inline>
        </w:drawing>
      </w:r>
    </w:p>
    <w:p w14:paraId="1ED39259">
      <w:pPr>
        <w:spacing w:line="360" w:lineRule="auto"/>
        <w:ind w:left="0" w:leftChars="0" w:firstLine="0" w:firstLineChars="0"/>
        <w:jc w:val="both"/>
        <w:rPr>
          <w:rFonts w:ascii="宋体" w:hAnsi="宋体"/>
          <w:bCs/>
          <w:sz w:val="24"/>
        </w:rPr>
      </w:pPr>
      <w:r>
        <w:rPr>
          <w:rFonts w:hint="eastAsia" w:ascii="宋体" w:hAnsi="宋体"/>
          <w:bCs/>
          <w:sz w:val="24"/>
        </w:rPr>
        <w:t>F</w:t>
      </w:r>
      <w:r>
        <w:rPr>
          <w:rFonts w:hint="eastAsia" w:ascii="宋体" w:hAnsi="宋体"/>
          <w:bCs/>
          <w:sz w:val="24"/>
          <w:vertAlign w:val="subscript"/>
        </w:rPr>
        <w:t>v</w:t>
      </w:r>
      <w:r>
        <w:rPr>
          <w:rFonts w:hint="eastAsia" w:ascii="宋体" w:hAnsi="宋体"/>
          <w:bCs/>
          <w:sz w:val="24"/>
        </w:rPr>
        <w:t xml:space="preserve">：竖直载荷（kN）    </w:t>
      </w:r>
      <w:r>
        <w:rPr>
          <w:rFonts w:hint="eastAsia" w:ascii="宋体" w:hAnsi="宋体"/>
          <w:bCs/>
          <w:sz w:val="24"/>
          <w:lang w:val="en-US" w:eastAsia="zh-CN"/>
        </w:rPr>
        <w:t xml:space="preserve">     </w:t>
      </w:r>
      <w:r>
        <w:rPr>
          <w:rFonts w:hint="eastAsia" w:ascii="宋体" w:hAnsi="宋体"/>
          <w:bCs/>
          <w:sz w:val="24"/>
        </w:rPr>
        <w:t xml:space="preserve"> F</w:t>
      </w:r>
      <w:r>
        <w:rPr>
          <w:rFonts w:hint="eastAsia" w:ascii="宋体" w:hAnsi="宋体"/>
          <w:bCs/>
          <w:sz w:val="24"/>
          <w:vertAlign w:val="subscript"/>
        </w:rPr>
        <w:t>h</w:t>
      </w:r>
      <w:r>
        <w:rPr>
          <w:rFonts w:hint="eastAsia" w:ascii="宋体" w:hAnsi="宋体"/>
          <w:bCs/>
          <w:sz w:val="24"/>
        </w:rPr>
        <w:t xml:space="preserve">：水平载荷（kN）    </w:t>
      </w:r>
      <w:r>
        <w:rPr>
          <w:rFonts w:hint="eastAsia" w:ascii="宋体" w:hAnsi="宋体"/>
          <w:bCs/>
          <w:sz w:val="24"/>
          <w:lang w:val="en-US" w:eastAsia="zh-CN"/>
        </w:rPr>
        <w:t xml:space="preserve">   </w:t>
      </w:r>
      <w:r>
        <w:rPr>
          <w:rFonts w:hint="eastAsia" w:ascii="宋体" w:hAnsi="宋体"/>
          <w:bCs/>
          <w:sz w:val="24"/>
        </w:rPr>
        <w:t xml:space="preserve">  M</w:t>
      </w:r>
      <w:r>
        <w:rPr>
          <w:rFonts w:hint="eastAsia" w:ascii="宋体" w:hAnsi="宋体"/>
          <w:bCs/>
          <w:sz w:val="24"/>
          <w:vertAlign w:val="subscript"/>
        </w:rPr>
        <w:t>k</w:t>
      </w:r>
      <w:r>
        <w:rPr>
          <w:rFonts w:hint="eastAsia" w:ascii="宋体" w:hAnsi="宋体"/>
          <w:bCs/>
          <w:sz w:val="24"/>
        </w:rPr>
        <w:t>：倾翻力矩（kN.m）</w:t>
      </w:r>
    </w:p>
    <w:tbl>
      <w:tblPr>
        <w:tblStyle w:val="40"/>
        <w:tblW w:w="7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1376"/>
        <w:gridCol w:w="1616"/>
        <w:gridCol w:w="1496"/>
        <w:gridCol w:w="1496"/>
        <w:gridCol w:w="1616"/>
      </w:tblGrid>
      <w:tr w14:paraId="3A5D2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912" w:type="dxa"/>
            <w:gridSpan w:val="3"/>
            <w:noWrap w:val="0"/>
            <w:vAlign w:val="center"/>
          </w:tcPr>
          <w:p w14:paraId="14824D58">
            <w:pPr>
              <w:spacing w:line="360" w:lineRule="auto"/>
              <w:ind w:firstLine="1200" w:firstLineChars="500"/>
              <w:rPr>
                <w:rFonts w:ascii="宋体" w:hAnsi="宋体"/>
                <w:sz w:val="24"/>
              </w:rPr>
            </w:pPr>
            <w:r>
              <w:rPr>
                <w:rFonts w:hint="eastAsia" w:ascii="宋体" w:hAnsi="宋体"/>
                <w:sz w:val="24"/>
              </w:rPr>
              <w:t>工作状态</w:t>
            </w:r>
          </w:p>
        </w:tc>
        <w:tc>
          <w:tcPr>
            <w:tcW w:w="3912" w:type="dxa"/>
            <w:gridSpan w:val="3"/>
            <w:noWrap w:val="0"/>
            <w:vAlign w:val="center"/>
          </w:tcPr>
          <w:p w14:paraId="5944263A">
            <w:pPr>
              <w:spacing w:line="360" w:lineRule="auto"/>
              <w:ind w:firstLine="960" w:firstLineChars="400"/>
              <w:rPr>
                <w:rFonts w:ascii="宋体" w:hAnsi="宋体"/>
                <w:sz w:val="24"/>
              </w:rPr>
            </w:pPr>
            <w:r>
              <w:rPr>
                <w:rFonts w:hint="eastAsia" w:ascii="宋体" w:hAnsi="宋体"/>
                <w:sz w:val="24"/>
              </w:rPr>
              <w:t>非工作状态</w:t>
            </w:r>
          </w:p>
        </w:tc>
      </w:tr>
      <w:tr w14:paraId="62F1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04" w:type="dxa"/>
            <w:noWrap w:val="0"/>
            <w:vAlign w:val="center"/>
          </w:tcPr>
          <w:p w14:paraId="6792DF55">
            <w:pPr>
              <w:spacing w:line="360" w:lineRule="auto"/>
              <w:jc w:val="center"/>
              <w:rPr>
                <w:rFonts w:ascii="宋体" w:hAnsi="宋体"/>
                <w:sz w:val="24"/>
                <w:vertAlign w:val="subscript"/>
              </w:rPr>
            </w:pPr>
            <w:r>
              <w:rPr>
                <w:rFonts w:hint="eastAsia" w:ascii="宋体" w:hAnsi="宋体"/>
                <w:sz w:val="24"/>
              </w:rPr>
              <w:t>F</w:t>
            </w:r>
            <w:r>
              <w:rPr>
                <w:rFonts w:hint="eastAsia" w:ascii="宋体" w:hAnsi="宋体"/>
                <w:sz w:val="24"/>
                <w:vertAlign w:val="subscript"/>
              </w:rPr>
              <w:t>v工</w:t>
            </w:r>
          </w:p>
        </w:tc>
        <w:tc>
          <w:tcPr>
            <w:tcW w:w="1304" w:type="dxa"/>
            <w:noWrap w:val="0"/>
            <w:vAlign w:val="center"/>
          </w:tcPr>
          <w:p w14:paraId="08CF9369">
            <w:pPr>
              <w:spacing w:line="360" w:lineRule="auto"/>
              <w:jc w:val="center"/>
              <w:rPr>
                <w:rFonts w:ascii="宋体" w:hAnsi="宋体"/>
                <w:sz w:val="24"/>
                <w:vertAlign w:val="subscript"/>
              </w:rPr>
            </w:pPr>
            <w:r>
              <w:rPr>
                <w:rFonts w:hint="eastAsia" w:ascii="宋体" w:hAnsi="宋体"/>
                <w:sz w:val="24"/>
              </w:rPr>
              <w:t>F</w:t>
            </w:r>
            <w:r>
              <w:rPr>
                <w:rFonts w:hint="eastAsia" w:ascii="宋体" w:hAnsi="宋体"/>
                <w:sz w:val="24"/>
                <w:vertAlign w:val="subscript"/>
              </w:rPr>
              <w:t>h工</w:t>
            </w:r>
          </w:p>
        </w:tc>
        <w:tc>
          <w:tcPr>
            <w:tcW w:w="1304" w:type="dxa"/>
            <w:noWrap w:val="0"/>
            <w:vAlign w:val="center"/>
          </w:tcPr>
          <w:p w14:paraId="3AABCA01">
            <w:pPr>
              <w:spacing w:line="360" w:lineRule="auto"/>
              <w:jc w:val="center"/>
              <w:rPr>
                <w:rFonts w:ascii="宋体" w:hAnsi="宋体"/>
                <w:sz w:val="24"/>
              </w:rPr>
            </w:pPr>
            <w:r>
              <w:rPr>
                <w:rFonts w:hint="eastAsia" w:ascii="宋体" w:hAnsi="宋体"/>
                <w:sz w:val="24"/>
              </w:rPr>
              <w:t>M</w:t>
            </w:r>
            <w:r>
              <w:rPr>
                <w:rFonts w:hint="eastAsia" w:ascii="宋体" w:hAnsi="宋体"/>
                <w:sz w:val="24"/>
                <w:vertAlign w:val="subscript"/>
              </w:rPr>
              <w:t>k工</w:t>
            </w:r>
          </w:p>
        </w:tc>
        <w:tc>
          <w:tcPr>
            <w:tcW w:w="1304" w:type="dxa"/>
            <w:noWrap w:val="0"/>
            <w:vAlign w:val="center"/>
          </w:tcPr>
          <w:p w14:paraId="2355BE08">
            <w:pPr>
              <w:spacing w:line="360" w:lineRule="auto"/>
              <w:jc w:val="center"/>
              <w:rPr>
                <w:rFonts w:ascii="宋体" w:hAnsi="宋体"/>
                <w:sz w:val="24"/>
                <w:vertAlign w:val="subscript"/>
              </w:rPr>
            </w:pPr>
            <w:r>
              <w:rPr>
                <w:rFonts w:hint="eastAsia" w:ascii="宋体" w:hAnsi="宋体"/>
                <w:sz w:val="24"/>
              </w:rPr>
              <w:t>F</w:t>
            </w:r>
            <w:r>
              <w:rPr>
                <w:rFonts w:hint="eastAsia" w:ascii="宋体" w:hAnsi="宋体"/>
                <w:sz w:val="24"/>
                <w:vertAlign w:val="subscript"/>
              </w:rPr>
              <w:t>v非</w:t>
            </w:r>
          </w:p>
        </w:tc>
        <w:tc>
          <w:tcPr>
            <w:tcW w:w="1304" w:type="dxa"/>
            <w:noWrap w:val="0"/>
            <w:vAlign w:val="center"/>
          </w:tcPr>
          <w:p w14:paraId="51BB69C3">
            <w:pPr>
              <w:spacing w:line="360" w:lineRule="auto"/>
              <w:jc w:val="center"/>
              <w:rPr>
                <w:rFonts w:ascii="宋体" w:hAnsi="宋体"/>
                <w:sz w:val="24"/>
                <w:vertAlign w:val="subscript"/>
              </w:rPr>
            </w:pPr>
            <w:r>
              <w:rPr>
                <w:rFonts w:hint="eastAsia" w:ascii="宋体" w:hAnsi="宋体"/>
                <w:sz w:val="24"/>
              </w:rPr>
              <w:t>F</w:t>
            </w:r>
            <w:r>
              <w:rPr>
                <w:rFonts w:hint="eastAsia" w:ascii="宋体" w:hAnsi="宋体"/>
                <w:sz w:val="24"/>
                <w:vertAlign w:val="subscript"/>
              </w:rPr>
              <w:t>h非</w:t>
            </w:r>
          </w:p>
        </w:tc>
        <w:tc>
          <w:tcPr>
            <w:tcW w:w="1304" w:type="dxa"/>
            <w:noWrap w:val="0"/>
            <w:vAlign w:val="center"/>
          </w:tcPr>
          <w:p w14:paraId="4AF04E45">
            <w:pPr>
              <w:spacing w:line="360" w:lineRule="auto"/>
              <w:jc w:val="center"/>
              <w:rPr>
                <w:rFonts w:ascii="宋体" w:hAnsi="宋体"/>
                <w:sz w:val="24"/>
              </w:rPr>
            </w:pPr>
            <w:r>
              <w:rPr>
                <w:rFonts w:hint="eastAsia" w:ascii="宋体" w:hAnsi="宋体"/>
                <w:sz w:val="24"/>
              </w:rPr>
              <w:t>M</w:t>
            </w:r>
            <w:r>
              <w:rPr>
                <w:rFonts w:hint="eastAsia" w:ascii="宋体" w:hAnsi="宋体"/>
                <w:sz w:val="24"/>
                <w:vertAlign w:val="subscript"/>
              </w:rPr>
              <w:t>k非</w:t>
            </w:r>
          </w:p>
        </w:tc>
      </w:tr>
      <w:tr w14:paraId="5C72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 w:hRule="atLeast"/>
          <w:jc w:val="center"/>
        </w:trPr>
        <w:tc>
          <w:tcPr>
            <w:tcW w:w="1304" w:type="dxa"/>
            <w:noWrap w:val="0"/>
            <w:vAlign w:val="center"/>
          </w:tcPr>
          <w:p w14:paraId="3690B09A">
            <w:pPr>
              <w:spacing w:line="360" w:lineRule="auto"/>
              <w:jc w:val="center"/>
              <w:rPr>
                <w:rFonts w:hint="default" w:ascii="宋体" w:hAnsi="宋体" w:eastAsiaTheme="minorEastAsia"/>
                <w:sz w:val="24"/>
                <w:lang w:val="en-US" w:eastAsia="zh-CN"/>
              </w:rPr>
            </w:pPr>
            <w:r>
              <w:rPr>
                <w:rFonts w:hint="eastAsia" w:ascii="宋体" w:hAnsi="宋体"/>
                <w:sz w:val="24"/>
                <w:lang w:val="en-US" w:eastAsia="zh-CN"/>
              </w:rPr>
              <w:t>578.00</w:t>
            </w:r>
          </w:p>
        </w:tc>
        <w:tc>
          <w:tcPr>
            <w:tcW w:w="1304" w:type="dxa"/>
            <w:noWrap w:val="0"/>
            <w:vAlign w:val="center"/>
          </w:tcPr>
          <w:p w14:paraId="06F54E58">
            <w:pPr>
              <w:spacing w:line="360" w:lineRule="auto"/>
              <w:jc w:val="center"/>
              <w:rPr>
                <w:rFonts w:hint="eastAsia" w:ascii="宋体" w:hAnsi="宋体" w:eastAsiaTheme="minorEastAsia"/>
                <w:sz w:val="24"/>
                <w:lang w:eastAsia="zh-CN"/>
              </w:rPr>
            </w:pPr>
            <w:r>
              <w:rPr>
                <w:rFonts w:hint="eastAsia" w:ascii="宋体" w:hAnsi="宋体"/>
                <w:sz w:val="24"/>
                <w:lang w:eastAsia="zh-CN"/>
              </w:rPr>
              <w:t>2</w:t>
            </w:r>
            <w:r>
              <w:rPr>
                <w:rFonts w:hint="eastAsia" w:ascii="宋体" w:hAnsi="宋体"/>
                <w:sz w:val="24"/>
                <w:lang w:val="en-US" w:eastAsia="zh-CN"/>
              </w:rPr>
              <w:t>9</w:t>
            </w:r>
            <w:r>
              <w:rPr>
                <w:rFonts w:hint="eastAsia" w:ascii="宋体" w:hAnsi="宋体"/>
                <w:sz w:val="24"/>
                <w:lang w:eastAsia="zh-CN"/>
              </w:rPr>
              <w:t>.00</w:t>
            </w:r>
          </w:p>
        </w:tc>
        <w:tc>
          <w:tcPr>
            <w:tcW w:w="1304" w:type="dxa"/>
            <w:noWrap w:val="0"/>
            <w:vAlign w:val="center"/>
          </w:tcPr>
          <w:p w14:paraId="54483A88">
            <w:pPr>
              <w:spacing w:line="360" w:lineRule="auto"/>
              <w:jc w:val="center"/>
              <w:rPr>
                <w:rFonts w:hint="eastAsia" w:ascii="宋体" w:hAnsi="宋体" w:eastAsiaTheme="minorEastAsia"/>
                <w:sz w:val="24"/>
                <w:lang w:eastAsia="zh-CN"/>
              </w:rPr>
            </w:pPr>
            <w:r>
              <w:rPr>
                <w:rFonts w:hint="eastAsia" w:ascii="宋体" w:hAnsi="宋体"/>
                <w:sz w:val="24"/>
                <w:lang w:val="en-US" w:eastAsia="zh-CN"/>
              </w:rPr>
              <w:t>1842</w:t>
            </w:r>
            <w:r>
              <w:rPr>
                <w:rFonts w:hint="eastAsia" w:ascii="宋体" w:hAnsi="宋体"/>
                <w:sz w:val="24"/>
                <w:lang w:eastAsia="zh-CN"/>
              </w:rPr>
              <w:t>.00</w:t>
            </w:r>
          </w:p>
        </w:tc>
        <w:tc>
          <w:tcPr>
            <w:tcW w:w="1304" w:type="dxa"/>
            <w:noWrap w:val="0"/>
            <w:vAlign w:val="center"/>
          </w:tcPr>
          <w:p w14:paraId="7B96F5CD">
            <w:pPr>
              <w:spacing w:line="360" w:lineRule="auto"/>
              <w:jc w:val="center"/>
              <w:rPr>
                <w:rFonts w:hint="eastAsia" w:ascii="宋体" w:hAnsi="宋体" w:eastAsiaTheme="minorEastAsia"/>
                <w:sz w:val="24"/>
                <w:lang w:eastAsia="zh-CN"/>
              </w:rPr>
            </w:pPr>
            <w:r>
              <w:rPr>
                <w:rFonts w:hint="eastAsia" w:ascii="宋体" w:hAnsi="宋体"/>
                <w:sz w:val="24"/>
                <w:lang w:val="en-US" w:eastAsia="zh-CN"/>
              </w:rPr>
              <w:t>505</w:t>
            </w:r>
            <w:r>
              <w:rPr>
                <w:rFonts w:hint="eastAsia" w:ascii="宋体" w:hAnsi="宋体"/>
                <w:sz w:val="24"/>
                <w:lang w:eastAsia="zh-CN"/>
              </w:rPr>
              <w:t>.00</w:t>
            </w:r>
          </w:p>
        </w:tc>
        <w:tc>
          <w:tcPr>
            <w:tcW w:w="1304" w:type="dxa"/>
            <w:noWrap w:val="0"/>
            <w:vAlign w:val="center"/>
          </w:tcPr>
          <w:p w14:paraId="1257A2A9">
            <w:pPr>
              <w:spacing w:line="360" w:lineRule="auto"/>
              <w:jc w:val="center"/>
              <w:rPr>
                <w:rFonts w:hint="eastAsia" w:ascii="宋体" w:hAnsi="宋体" w:eastAsiaTheme="minorEastAsia"/>
                <w:sz w:val="24"/>
                <w:lang w:eastAsia="zh-CN"/>
              </w:rPr>
            </w:pPr>
            <w:r>
              <w:rPr>
                <w:rFonts w:hint="eastAsia" w:ascii="宋体" w:hAnsi="宋体"/>
                <w:sz w:val="24"/>
                <w:lang w:val="en-US" w:eastAsia="zh-CN"/>
              </w:rPr>
              <w:t>107</w:t>
            </w:r>
            <w:r>
              <w:rPr>
                <w:rFonts w:hint="eastAsia" w:ascii="宋体" w:hAnsi="宋体"/>
                <w:sz w:val="24"/>
                <w:lang w:eastAsia="zh-CN"/>
              </w:rPr>
              <w:t>.00</w:t>
            </w:r>
          </w:p>
        </w:tc>
        <w:tc>
          <w:tcPr>
            <w:tcW w:w="1304" w:type="dxa"/>
            <w:noWrap w:val="0"/>
            <w:vAlign w:val="center"/>
          </w:tcPr>
          <w:p w14:paraId="4BF65CE5">
            <w:pPr>
              <w:spacing w:line="360" w:lineRule="auto"/>
              <w:jc w:val="center"/>
              <w:rPr>
                <w:rFonts w:hint="eastAsia" w:ascii="宋体" w:hAnsi="宋体" w:eastAsiaTheme="minorEastAsia"/>
                <w:sz w:val="24"/>
                <w:lang w:eastAsia="zh-CN"/>
              </w:rPr>
            </w:pPr>
            <w:r>
              <w:rPr>
                <w:rFonts w:hint="eastAsia" w:ascii="宋体" w:hAnsi="宋体"/>
                <w:sz w:val="24"/>
                <w:lang w:eastAsia="zh-CN"/>
              </w:rPr>
              <w:t>1</w:t>
            </w:r>
            <w:r>
              <w:rPr>
                <w:rFonts w:hint="eastAsia" w:ascii="宋体" w:hAnsi="宋体"/>
                <w:sz w:val="24"/>
                <w:lang w:val="en-US" w:eastAsia="zh-CN"/>
              </w:rPr>
              <w:t>976</w:t>
            </w:r>
            <w:r>
              <w:rPr>
                <w:rFonts w:hint="eastAsia" w:ascii="宋体" w:hAnsi="宋体"/>
                <w:sz w:val="24"/>
                <w:lang w:eastAsia="zh-CN"/>
              </w:rPr>
              <w:t>.00</w:t>
            </w:r>
          </w:p>
        </w:tc>
      </w:tr>
    </w:tbl>
    <w:p w14:paraId="43D47EE0">
      <w:pPr>
        <w:spacing w:line="360" w:lineRule="auto"/>
        <w:ind w:left="0" w:leftChars="0" w:firstLine="301" w:firstLineChars="100"/>
        <w:jc w:val="left"/>
        <w:rPr>
          <w:rFonts w:hint="eastAsia"/>
          <w:b/>
          <w:sz w:val="30"/>
          <w:szCs w:val="30"/>
        </w:rPr>
      </w:pPr>
      <w:r>
        <w:rPr>
          <w:rFonts w:hint="eastAsia"/>
          <w:b/>
          <w:sz w:val="30"/>
          <w:szCs w:val="30"/>
        </w:rPr>
        <w:t>四、塔机基础参数及示意图</w:t>
      </w:r>
    </w:p>
    <w:p w14:paraId="1809846A">
      <w:pPr>
        <w:spacing w:line="360" w:lineRule="auto"/>
        <w:jc w:val="center"/>
        <w:rPr>
          <w:rFonts w:hint="eastAsia"/>
        </w:rPr>
      </w:pPr>
      <w:r>
        <w:drawing>
          <wp:inline distT="0" distB="0" distL="114300" distR="114300">
            <wp:extent cx="2395855" cy="4117975"/>
            <wp:effectExtent l="0" t="0" r="4445" b="15875"/>
            <wp:docPr id="35" name="图片 32" descr="基础示意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descr="基础示意图4"/>
                    <pic:cNvPicPr>
                      <a:picLocks noChangeAspect="1"/>
                    </pic:cNvPicPr>
                  </pic:nvPicPr>
                  <pic:blipFill>
                    <a:blip r:embed="rId69"/>
                    <a:stretch>
                      <a:fillRect/>
                    </a:stretch>
                  </pic:blipFill>
                  <pic:spPr>
                    <a:xfrm>
                      <a:off x="0" y="0"/>
                      <a:ext cx="2395855" cy="4117975"/>
                    </a:xfrm>
                    <a:prstGeom prst="rect">
                      <a:avLst/>
                    </a:prstGeom>
                    <a:noFill/>
                    <a:ln>
                      <a:noFill/>
                    </a:ln>
                  </pic:spPr>
                </pic:pic>
              </a:graphicData>
            </a:graphic>
          </wp:inline>
        </w:drawing>
      </w:r>
    </w:p>
    <w:tbl>
      <w:tblPr>
        <w:tblStyle w:val="40"/>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05"/>
        <w:gridCol w:w="1192"/>
        <w:gridCol w:w="3473"/>
        <w:gridCol w:w="1026"/>
      </w:tblGrid>
      <w:tr w14:paraId="436CC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05" w:type="dxa"/>
            <w:noWrap w:val="0"/>
            <w:vAlign w:val="center"/>
          </w:tcPr>
          <w:p w14:paraId="240E6190">
            <w:pPr>
              <w:spacing w:line="360" w:lineRule="auto"/>
              <w:ind w:left="0" w:leftChars="0" w:firstLine="0" w:firstLineChars="0"/>
              <w:jc w:val="center"/>
              <w:rPr>
                <w:rFonts w:hint="eastAsia"/>
                <w:color w:val="000000"/>
                <w:sz w:val="18"/>
                <w:szCs w:val="18"/>
                <w:lang w:val="zh-CN"/>
              </w:rPr>
            </w:pPr>
            <w:r>
              <w:rPr>
                <w:rFonts w:hint="eastAsia"/>
                <w:color w:val="000000"/>
                <w:sz w:val="18"/>
                <w:szCs w:val="18"/>
                <w:lang w:val="zh-CN"/>
              </w:rPr>
              <w:t>基础底面短边长度b(mm)</w:t>
            </w:r>
          </w:p>
        </w:tc>
        <w:tc>
          <w:tcPr>
            <w:tcW w:w="1192" w:type="dxa"/>
            <w:noWrap w:val="0"/>
            <w:vAlign w:val="center"/>
          </w:tcPr>
          <w:p w14:paraId="3A92A14C">
            <w:pPr>
              <w:spacing w:line="360" w:lineRule="auto"/>
              <w:ind w:left="0" w:leftChars="0" w:firstLine="0" w:firstLineChars="0"/>
              <w:jc w:val="center"/>
              <w:rPr>
                <w:rFonts w:hint="eastAsia" w:ascii="宋体" w:hAnsi="宋体" w:eastAsiaTheme="minorEastAsia"/>
                <w:sz w:val="18"/>
                <w:szCs w:val="18"/>
                <w:lang w:eastAsia="zh-CN"/>
              </w:rPr>
            </w:pPr>
            <w:r>
              <w:rPr>
                <w:rFonts w:hint="eastAsia" w:ascii="宋体" w:hAnsi="宋体"/>
                <w:sz w:val="18"/>
                <w:szCs w:val="18"/>
                <w:lang w:eastAsia="zh-CN"/>
              </w:rPr>
              <w:t>6000</w:t>
            </w:r>
          </w:p>
        </w:tc>
        <w:tc>
          <w:tcPr>
            <w:tcW w:w="3473" w:type="dxa"/>
            <w:noWrap w:val="0"/>
            <w:vAlign w:val="center"/>
          </w:tcPr>
          <w:p w14:paraId="73605897">
            <w:pPr>
              <w:spacing w:line="360" w:lineRule="auto"/>
              <w:ind w:left="0" w:leftChars="0" w:firstLine="0" w:firstLineChars="0"/>
              <w:jc w:val="center"/>
              <w:rPr>
                <w:rFonts w:hint="eastAsia"/>
                <w:color w:val="000000"/>
                <w:sz w:val="18"/>
                <w:szCs w:val="18"/>
                <w:lang w:val="zh-CN"/>
              </w:rPr>
            </w:pPr>
            <w:r>
              <w:rPr>
                <w:rFonts w:hint="eastAsia"/>
                <w:color w:val="000000"/>
                <w:sz w:val="18"/>
                <w:szCs w:val="18"/>
                <w:lang w:val="zh-CN"/>
              </w:rPr>
              <w:t>基础底面长边长度l(mm)</w:t>
            </w:r>
          </w:p>
        </w:tc>
        <w:tc>
          <w:tcPr>
            <w:tcW w:w="1026" w:type="dxa"/>
            <w:noWrap w:val="0"/>
            <w:vAlign w:val="center"/>
          </w:tcPr>
          <w:p w14:paraId="356D98A1">
            <w:pPr>
              <w:spacing w:line="360" w:lineRule="auto"/>
              <w:ind w:left="0" w:leftChars="0" w:firstLine="0" w:firstLineChars="0"/>
              <w:jc w:val="center"/>
              <w:rPr>
                <w:rFonts w:hint="eastAsia" w:ascii="宋体" w:hAnsi="宋体" w:eastAsiaTheme="minorEastAsia"/>
                <w:sz w:val="18"/>
                <w:szCs w:val="18"/>
                <w:lang w:eastAsia="zh-CN"/>
              </w:rPr>
            </w:pPr>
            <w:r>
              <w:rPr>
                <w:rFonts w:hint="eastAsia" w:ascii="宋体" w:hAnsi="宋体"/>
                <w:sz w:val="18"/>
                <w:szCs w:val="18"/>
                <w:lang w:eastAsia="zh-CN"/>
              </w:rPr>
              <w:t>6000</w:t>
            </w:r>
          </w:p>
        </w:tc>
      </w:tr>
      <w:tr w14:paraId="5F476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05" w:type="dxa"/>
            <w:noWrap w:val="0"/>
            <w:vAlign w:val="center"/>
          </w:tcPr>
          <w:p w14:paraId="6DFE34DE">
            <w:pPr>
              <w:spacing w:line="360" w:lineRule="auto"/>
              <w:ind w:left="0" w:leftChars="0" w:firstLine="0" w:firstLineChars="0"/>
              <w:jc w:val="center"/>
              <w:rPr>
                <w:rFonts w:hint="eastAsia"/>
                <w:color w:val="000000"/>
                <w:sz w:val="18"/>
                <w:szCs w:val="18"/>
                <w:lang w:val="zh-CN"/>
              </w:rPr>
            </w:pPr>
            <w:r>
              <w:rPr>
                <w:rFonts w:hint="eastAsia"/>
                <w:color w:val="000000"/>
                <w:sz w:val="18"/>
                <w:szCs w:val="18"/>
                <w:lang w:val="zh-CN"/>
              </w:rPr>
              <w:t>基础厚度h(mm)</w:t>
            </w:r>
          </w:p>
        </w:tc>
        <w:tc>
          <w:tcPr>
            <w:tcW w:w="1192" w:type="dxa"/>
            <w:noWrap w:val="0"/>
            <w:vAlign w:val="center"/>
          </w:tcPr>
          <w:p w14:paraId="423CBCD1">
            <w:pPr>
              <w:spacing w:line="360" w:lineRule="auto"/>
              <w:ind w:left="0" w:leftChars="0" w:firstLine="0" w:firstLineChars="0"/>
              <w:jc w:val="center"/>
              <w:rPr>
                <w:rFonts w:hint="default" w:ascii="宋体" w:hAnsi="宋体" w:eastAsiaTheme="minorEastAsia"/>
                <w:sz w:val="18"/>
                <w:szCs w:val="18"/>
                <w:lang w:val="en-US" w:eastAsia="zh-CN"/>
              </w:rPr>
            </w:pPr>
            <w:r>
              <w:rPr>
                <w:rFonts w:hint="eastAsia" w:ascii="宋体" w:hAnsi="宋体"/>
                <w:sz w:val="18"/>
                <w:szCs w:val="18"/>
                <w:lang w:val="en-US" w:eastAsia="zh-CN"/>
              </w:rPr>
              <w:t>1200</w:t>
            </w:r>
          </w:p>
        </w:tc>
        <w:tc>
          <w:tcPr>
            <w:tcW w:w="3473" w:type="dxa"/>
            <w:noWrap w:val="0"/>
            <w:vAlign w:val="center"/>
          </w:tcPr>
          <w:p w14:paraId="0A150C17">
            <w:pPr>
              <w:spacing w:line="360" w:lineRule="auto"/>
              <w:ind w:left="0" w:leftChars="0" w:firstLine="0" w:firstLineChars="0"/>
              <w:jc w:val="center"/>
              <w:rPr>
                <w:color w:val="000000"/>
                <w:sz w:val="18"/>
                <w:szCs w:val="18"/>
                <w:lang w:val="zh-CN"/>
              </w:rPr>
            </w:pPr>
            <w:r>
              <w:rPr>
                <w:rFonts w:hint="eastAsia"/>
                <w:color w:val="000000"/>
                <w:sz w:val="18"/>
                <w:szCs w:val="18"/>
                <w:lang w:val="zh-CN"/>
              </w:rPr>
              <w:t>塔身横截面边长b</w:t>
            </w:r>
            <w:r>
              <w:rPr>
                <w:rFonts w:hint="eastAsia"/>
                <w:color w:val="000000"/>
                <w:sz w:val="18"/>
                <w:szCs w:val="18"/>
                <w:vertAlign w:val="subscript"/>
                <w:lang w:val="zh-CN"/>
              </w:rPr>
              <w:t>T</w:t>
            </w:r>
            <w:r>
              <w:rPr>
                <w:rFonts w:hint="eastAsia"/>
                <w:color w:val="000000"/>
                <w:sz w:val="18"/>
                <w:szCs w:val="18"/>
                <w:lang w:val="zh-CN"/>
              </w:rPr>
              <w:t>(mm)</w:t>
            </w:r>
          </w:p>
        </w:tc>
        <w:tc>
          <w:tcPr>
            <w:tcW w:w="1026" w:type="dxa"/>
            <w:noWrap w:val="0"/>
            <w:vAlign w:val="center"/>
          </w:tcPr>
          <w:p w14:paraId="2B00D629">
            <w:pPr>
              <w:spacing w:line="360" w:lineRule="auto"/>
              <w:ind w:left="0" w:leftChars="0" w:firstLine="0" w:firstLineChars="0"/>
              <w:jc w:val="center"/>
              <w:rPr>
                <w:rFonts w:ascii="宋体" w:hAnsi="宋体"/>
                <w:color w:val="000000"/>
                <w:sz w:val="18"/>
                <w:szCs w:val="18"/>
                <w:lang w:val="zh-CN"/>
              </w:rPr>
            </w:pPr>
            <w:r>
              <w:rPr>
                <w:rFonts w:hint="eastAsia" w:ascii="宋体" w:hAnsi="宋体"/>
                <w:color w:val="000000"/>
                <w:sz w:val="18"/>
                <w:szCs w:val="18"/>
                <w:lang w:val="zh-CN"/>
              </w:rPr>
              <w:t>1600</w:t>
            </w:r>
          </w:p>
        </w:tc>
      </w:tr>
      <w:tr w14:paraId="0DB4A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2605" w:type="dxa"/>
            <w:noWrap w:val="0"/>
            <w:vAlign w:val="center"/>
          </w:tcPr>
          <w:p w14:paraId="0CF16F89">
            <w:pPr>
              <w:spacing w:line="360" w:lineRule="auto"/>
              <w:ind w:left="0" w:leftChars="0" w:firstLine="0" w:firstLineChars="0"/>
              <w:jc w:val="center"/>
              <w:rPr>
                <w:color w:val="000000"/>
                <w:sz w:val="18"/>
                <w:szCs w:val="18"/>
                <w:lang w:val="zh-CN"/>
              </w:rPr>
            </w:pPr>
            <w:r>
              <w:rPr>
                <w:color w:val="000000"/>
                <w:sz w:val="18"/>
                <w:szCs w:val="18"/>
                <w:lang w:val="zh-CN"/>
              </w:rPr>
              <w:t>基础混凝土强度等级</w:t>
            </w:r>
          </w:p>
        </w:tc>
        <w:tc>
          <w:tcPr>
            <w:tcW w:w="1192" w:type="dxa"/>
            <w:noWrap w:val="0"/>
            <w:vAlign w:val="center"/>
          </w:tcPr>
          <w:p w14:paraId="538C0F19">
            <w:pPr>
              <w:spacing w:line="360" w:lineRule="auto"/>
              <w:ind w:left="0" w:leftChars="0" w:firstLine="0" w:firstLineChars="0"/>
              <w:jc w:val="center"/>
              <w:rPr>
                <w:rFonts w:ascii="宋体" w:hAnsi="宋体"/>
                <w:color w:val="000000"/>
                <w:sz w:val="18"/>
                <w:szCs w:val="18"/>
                <w:lang w:val="zh-CN"/>
              </w:rPr>
            </w:pPr>
            <w:r>
              <w:rPr>
                <w:rFonts w:hint="eastAsia" w:ascii="宋体" w:hAnsi="宋体"/>
                <w:color w:val="000000"/>
                <w:sz w:val="18"/>
                <w:szCs w:val="18"/>
                <w:lang w:val="zh-CN"/>
              </w:rPr>
              <w:t>C35</w:t>
            </w:r>
          </w:p>
        </w:tc>
        <w:tc>
          <w:tcPr>
            <w:tcW w:w="3473" w:type="dxa"/>
            <w:noWrap w:val="0"/>
            <w:vAlign w:val="center"/>
          </w:tcPr>
          <w:p w14:paraId="30DD2AB1">
            <w:pPr>
              <w:spacing w:line="360" w:lineRule="auto"/>
              <w:ind w:left="0" w:leftChars="0" w:firstLine="0" w:firstLineChars="0"/>
              <w:jc w:val="center"/>
              <w:rPr>
                <w:color w:val="000000"/>
                <w:sz w:val="18"/>
                <w:szCs w:val="18"/>
                <w:lang w:val="zh-CN"/>
              </w:rPr>
            </w:pPr>
            <w:r>
              <w:rPr>
                <w:rFonts w:hint="eastAsia"/>
                <w:color w:val="000000"/>
                <w:sz w:val="18"/>
                <w:szCs w:val="18"/>
                <w:lang w:val="zh-CN"/>
              </w:rPr>
              <w:t>混凝土轴心抗拉强度设计值</w:t>
            </w:r>
            <w:r>
              <w:rPr>
                <w:rFonts w:hint="eastAsia"/>
                <w:i/>
                <w:color w:val="000000"/>
                <w:sz w:val="18"/>
                <w:szCs w:val="18"/>
                <w:lang w:val="zh-CN"/>
              </w:rPr>
              <w:t>f</w:t>
            </w:r>
            <w:r>
              <w:rPr>
                <w:rFonts w:hint="eastAsia"/>
                <w:color w:val="000000"/>
                <w:sz w:val="18"/>
                <w:szCs w:val="18"/>
                <w:vertAlign w:val="subscript"/>
                <w:lang w:val="zh-CN"/>
              </w:rPr>
              <w:t>t</w:t>
            </w:r>
            <w:r>
              <w:rPr>
                <w:rFonts w:hint="eastAsia"/>
                <w:color w:val="000000"/>
                <w:sz w:val="18"/>
                <w:szCs w:val="18"/>
                <w:lang w:val="zh-CN"/>
              </w:rPr>
              <w:t xml:space="preserve"> (</w:t>
            </w:r>
            <w:r>
              <w:rPr>
                <w:color w:val="000000"/>
                <w:sz w:val="18"/>
                <w:szCs w:val="18"/>
                <w:lang w:val="zh-CN"/>
              </w:rPr>
              <w:t xml:space="preserve"> N/mm²</w:t>
            </w:r>
            <w:r>
              <w:rPr>
                <w:rFonts w:hint="eastAsia"/>
                <w:color w:val="000000"/>
                <w:sz w:val="18"/>
                <w:szCs w:val="18"/>
                <w:lang w:val="zh-CN"/>
              </w:rPr>
              <w:t>)</w:t>
            </w:r>
          </w:p>
        </w:tc>
        <w:tc>
          <w:tcPr>
            <w:tcW w:w="1026" w:type="dxa"/>
            <w:noWrap w:val="0"/>
            <w:vAlign w:val="center"/>
          </w:tcPr>
          <w:p w14:paraId="304C016D">
            <w:pPr>
              <w:spacing w:line="360" w:lineRule="auto"/>
              <w:ind w:left="0" w:leftChars="0" w:firstLine="0" w:firstLineChars="0"/>
              <w:jc w:val="center"/>
              <w:rPr>
                <w:rFonts w:hint="default" w:ascii="宋体" w:hAnsi="宋体" w:eastAsia="仿宋"/>
                <w:color w:val="000000"/>
                <w:sz w:val="18"/>
                <w:szCs w:val="18"/>
                <w:lang w:val="en-US" w:eastAsia="zh-CN"/>
              </w:rPr>
            </w:pPr>
            <w:r>
              <w:rPr>
                <w:rFonts w:hint="eastAsia" w:ascii="宋体" w:hAnsi="宋体"/>
                <w:color w:val="000000"/>
                <w:sz w:val="18"/>
                <w:szCs w:val="18"/>
                <w:lang w:val="en-US" w:eastAsia="zh-CN"/>
              </w:rPr>
              <w:t>1.43</w:t>
            </w:r>
          </w:p>
        </w:tc>
      </w:tr>
      <w:tr w14:paraId="7EED7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jc w:val="center"/>
        </w:trPr>
        <w:tc>
          <w:tcPr>
            <w:tcW w:w="2605" w:type="dxa"/>
            <w:noWrap w:val="0"/>
            <w:vAlign w:val="center"/>
          </w:tcPr>
          <w:p w14:paraId="52BFA63A">
            <w:pPr>
              <w:spacing w:line="360" w:lineRule="auto"/>
              <w:ind w:left="0" w:leftChars="0" w:firstLine="0" w:firstLineChars="0"/>
              <w:jc w:val="center"/>
              <w:rPr>
                <w:color w:val="000000"/>
                <w:sz w:val="18"/>
                <w:szCs w:val="18"/>
                <w:lang w:val="zh-CN"/>
              </w:rPr>
            </w:pPr>
            <w:r>
              <w:rPr>
                <w:rFonts w:hint="eastAsia"/>
                <w:color w:val="000000"/>
                <w:sz w:val="18"/>
                <w:szCs w:val="18"/>
                <w:lang w:val="zh-CN"/>
              </w:rPr>
              <w:t>钢筋材质型号</w:t>
            </w:r>
          </w:p>
        </w:tc>
        <w:tc>
          <w:tcPr>
            <w:tcW w:w="1192" w:type="dxa"/>
            <w:noWrap w:val="0"/>
            <w:vAlign w:val="center"/>
          </w:tcPr>
          <w:p w14:paraId="08877724">
            <w:pPr>
              <w:spacing w:line="360" w:lineRule="auto"/>
              <w:ind w:left="0" w:leftChars="0" w:firstLine="0" w:firstLineChars="0"/>
              <w:jc w:val="center"/>
              <w:rPr>
                <w:rFonts w:ascii="宋体" w:hAnsi="宋体"/>
                <w:color w:val="000000"/>
                <w:sz w:val="18"/>
                <w:szCs w:val="18"/>
                <w:lang w:val="zh-CN"/>
              </w:rPr>
            </w:pPr>
            <w:r>
              <w:rPr>
                <w:rFonts w:hint="eastAsia" w:ascii="宋体" w:hAnsi="宋体"/>
                <w:color w:val="000000"/>
                <w:sz w:val="18"/>
                <w:szCs w:val="18"/>
                <w:lang w:val="zh-CN"/>
              </w:rPr>
              <w:t>HRB335</w:t>
            </w:r>
          </w:p>
        </w:tc>
        <w:tc>
          <w:tcPr>
            <w:tcW w:w="3473" w:type="dxa"/>
            <w:noWrap w:val="0"/>
            <w:vAlign w:val="center"/>
          </w:tcPr>
          <w:p w14:paraId="77F19C45">
            <w:pPr>
              <w:spacing w:line="360" w:lineRule="auto"/>
              <w:ind w:left="0" w:leftChars="0" w:firstLine="0" w:firstLineChars="0"/>
              <w:jc w:val="center"/>
              <w:rPr>
                <w:color w:val="000000"/>
                <w:sz w:val="18"/>
                <w:szCs w:val="18"/>
                <w:lang w:val="zh-CN"/>
              </w:rPr>
            </w:pPr>
            <w:r>
              <w:rPr>
                <w:rFonts w:hint="eastAsia"/>
                <w:color w:val="000000"/>
                <w:sz w:val="18"/>
                <w:szCs w:val="18"/>
                <w:lang w:val="zh-CN"/>
              </w:rPr>
              <w:t>钢筋抗拉、抗压强度设计值</w:t>
            </w:r>
            <w:r>
              <w:rPr>
                <w:rFonts w:hint="eastAsia"/>
                <w:i/>
                <w:color w:val="000000"/>
                <w:sz w:val="18"/>
                <w:szCs w:val="18"/>
                <w:lang w:val="zh-CN"/>
              </w:rPr>
              <w:t>f</w:t>
            </w:r>
            <w:r>
              <w:rPr>
                <w:rFonts w:hint="eastAsia"/>
                <w:color w:val="000000"/>
                <w:sz w:val="18"/>
                <w:szCs w:val="18"/>
                <w:vertAlign w:val="subscript"/>
                <w:lang w:val="zh-CN"/>
              </w:rPr>
              <w:t>y</w:t>
            </w:r>
            <w:r>
              <w:rPr>
                <w:rFonts w:hint="eastAsia"/>
                <w:color w:val="000000"/>
                <w:sz w:val="18"/>
                <w:szCs w:val="18"/>
                <w:lang w:val="zh-CN"/>
              </w:rPr>
              <w:t xml:space="preserve"> (MPa)</w:t>
            </w:r>
          </w:p>
        </w:tc>
        <w:tc>
          <w:tcPr>
            <w:tcW w:w="1026" w:type="dxa"/>
            <w:noWrap w:val="0"/>
            <w:vAlign w:val="center"/>
          </w:tcPr>
          <w:p w14:paraId="77EC71E4">
            <w:pPr>
              <w:spacing w:line="360" w:lineRule="auto"/>
              <w:ind w:left="0" w:leftChars="0" w:firstLine="0" w:firstLineChars="0"/>
              <w:jc w:val="center"/>
              <w:rPr>
                <w:rFonts w:ascii="宋体" w:hAnsi="宋体"/>
                <w:color w:val="000000"/>
                <w:sz w:val="18"/>
                <w:szCs w:val="18"/>
                <w:lang w:val="zh-CN"/>
              </w:rPr>
            </w:pPr>
            <w:r>
              <w:rPr>
                <w:rFonts w:hint="eastAsia" w:ascii="宋体" w:hAnsi="宋体"/>
                <w:color w:val="000000"/>
                <w:sz w:val="18"/>
                <w:szCs w:val="18"/>
                <w:lang w:val="zh-CN"/>
              </w:rPr>
              <w:t>300</w:t>
            </w:r>
          </w:p>
        </w:tc>
      </w:tr>
      <w:tr w14:paraId="6B4D0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2605" w:type="dxa"/>
            <w:noWrap w:val="0"/>
            <w:vAlign w:val="center"/>
          </w:tcPr>
          <w:p w14:paraId="2B6FC5FD">
            <w:pPr>
              <w:spacing w:line="360" w:lineRule="auto"/>
              <w:ind w:left="0" w:leftChars="0" w:firstLine="0" w:firstLineChars="0"/>
              <w:jc w:val="center"/>
              <w:rPr>
                <w:color w:val="000000"/>
                <w:sz w:val="18"/>
                <w:szCs w:val="18"/>
                <w:lang w:val="zh-CN"/>
              </w:rPr>
            </w:pPr>
            <w:r>
              <w:rPr>
                <w:rFonts w:hint="eastAsia"/>
                <w:color w:val="000000"/>
                <w:sz w:val="18"/>
                <w:szCs w:val="18"/>
                <w:lang w:val="zh-CN"/>
              </w:rPr>
              <w:t>底层钢筋直径d(mm)</w:t>
            </w:r>
          </w:p>
        </w:tc>
        <w:tc>
          <w:tcPr>
            <w:tcW w:w="1192" w:type="dxa"/>
            <w:noWrap w:val="0"/>
            <w:vAlign w:val="center"/>
          </w:tcPr>
          <w:p w14:paraId="3A0D40A5">
            <w:pPr>
              <w:spacing w:line="360" w:lineRule="auto"/>
              <w:ind w:left="0" w:leftChars="0" w:firstLine="0" w:firstLineChars="0"/>
              <w:jc w:val="center"/>
              <w:rPr>
                <w:rFonts w:ascii="宋体" w:hAnsi="宋体"/>
                <w:color w:val="000000"/>
                <w:sz w:val="18"/>
                <w:szCs w:val="18"/>
                <w:lang w:val="zh-CN"/>
              </w:rPr>
            </w:pPr>
            <w:r>
              <w:rPr>
                <w:rFonts w:hint="eastAsia" w:ascii="宋体" w:hAnsi="宋体"/>
                <w:color w:val="000000"/>
                <w:sz w:val="18"/>
                <w:szCs w:val="18"/>
                <w:lang w:val="zh-CN"/>
              </w:rPr>
              <w:t>φ25</w:t>
            </w:r>
          </w:p>
        </w:tc>
        <w:tc>
          <w:tcPr>
            <w:tcW w:w="3473" w:type="dxa"/>
            <w:noWrap w:val="0"/>
            <w:vAlign w:val="center"/>
          </w:tcPr>
          <w:p w14:paraId="515757D1">
            <w:pPr>
              <w:spacing w:line="360" w:lineRule="auto"/>
              <w:ind w:left="0" w:leftChars="0" w:firstLine="0" w:firstLineChars="0"/>
              <w:jc w:val="center"/>
              <w:rPr>
                <w:rFonts w:hint="eastAsia"/>
                <w:color w:val="000000"/>
                <w:sz w:val="18"/>
                <w:szCs w:val="18"/>
                <w:lang w:val="zh-CN"/>
              </w:rPr>
            </w:pPr>
            <w:r>
              <w:rPr>
                <w:rFonts w:hint="eastAsia"/>
                <w:color w:val="000000"/>
                <w:sz w:val="18"/>
                <w:szCs w:val="18"/>
                <w:lang w:val="zh-CN"/>
              </w:rPr>
              <w:t>上层钢筋直径d'(mm)</w:t>
            </w:r>
          </w:p>
        </w:tc>
        <w:tc>
          <w:tcPr>
            <w:tcW w:w="1026" w:type="dxa"/>
            <w:noWrap w:val="0"/>
            <w:vAlign w:val="center"/>
          </w:tcPr>
          <w:p w14:paraId="20B0CFA2">
            <w:pPr>
              <w:spacing w:line="360" w:lineRule="auto"/>
              <w:ind w:left="0" w:leftChars="0" w:firstLine="0" w:firstLineChars="0"/>
              <w:jc w:val="center"/>
              <w:rPr>
                <w:rFonts w:hint="eastAsia" w:ascii="宋体" w:hAnsi="宋体"/>
                <w:color w:val="000000"/>
                <w:sz w:val="18"/>
                <w:szCs w:val="18"/>
                <w:lang w:val="zh-CN"/>
              </w:rPr>
            </w:pPr>
            <w:r>
              <w:rPr>
                <w:rFonts w:hint="eastAsia" w:ascii="宋体" w:hAnsi="宋体"/>
                <w:color w:val="000000"/>
                <w:sz w:val="18"/>
                <w:szCs w:val="18"/>
                <w:lang w:val="zh-CN"/>
              </w:rPr>
              <w:t>φ25</w:t>
            </w:r>
          </w:p>
        </w:tc>
      </w:tr>
      <w:tr w14:paraId="4D3EC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05" w:type="dxa"/>
            <w:noWrap w:val="0"/>
            <w:vAlign w:val="center"/>
          </w:tcPr>
          <w:p w14:paraId="6508FB91">
            <w:pPr>
              <w:spacing w:line="360" w:lineRule="auto"/>
              <w:ind w:left="0" w:leftChars="0" w:firstLine="0" w:firstLineChars="0"/>
              <w:jc w:val="center"/>
              <w:rPr>
                <w:color w:val="000000"/>
                <w:sz w:val="18"/>
                <w:szCs w:val="18"/>
                <w:lang w:val="zh-CN"/>
              </w:rPr>
            </w:pPr>
            <w:r>
              <w:rPr>
                <w:rFonts w:hint="eastAsia"/>
                <w:color w:val="000000"/>
                <w:sz w:val="18"/>
                <w:szCs w:val="18"/>
                <w:lang w:val="zh-CN"/>
              </w:rPr>
              <w:t>长度b向单层钢筋数量n</w:t>
            </w:r>
            <w:r>
              <w:rPr>
                <w:rFonts w:hint="eastAsia"/>
                <w:color w:val="000000"/>
                <w:sz w:val="18"/>
                <w:szCs w:val="18"/>
                <w:vertAlign w:val="subscript"/>
                <w:lang w:val="zh-CN"/>
              </w:rPr>
              <w:t>b</w:t>
            </w:r>
          </w:p>
        </w:tc>
        <w:tc>
          <w:tcPr>
            <w:tcW w:w="1192" w:type="dxa"/>
            <w:noWrap w:val="0"/>
            <w:vAlign w:val="center"/>
          </w:tcPr>
          <w:p w14:paraId="3A2027DB">
            <w:pPr>
              <w:spacing w:line="360" w:lineRule="auto"/>
              <w:ind w:left="0" w:leftChars="0" w:firstLine="0" w:firstLineChars="0"/>
              <w:jc w:val="center"/>
              <w:rPr>
                <w:rFonts w:hint="default" w:ascii="宋体" w:hAnsi="宋体" w:eastAsia="仿宋"/>
                <w:color w:val="000000"/>
                <w:sz w:val="18"/>
                <w:szCs w:val="18"/>
                <w:lang w:val="en-US" w:eastAsia="zh-CN"/>
              </w:rPr>
            </w:pPr>
            <w:r>
              <w:rPr>
                <w:rFonts w:hint="eastAsia" w:ascii="宋体" w:hAnsi="宋体"/>
                <w:color w:val="000000"/>
                <w:sz w:val="18"/>
                <w:szCs w:val="18"/>
                <w:lang w:val="en-US" w:eastAsia="zh-CN"/>
              </w:rPr>
              <w:t>24</w:t>
            </w:r>
          </w:p>
        </w:tc>
        <w:tc>
          <w:tcPr>
            <w:tcW w:w="3473" w:type="dxa"/>
            <w:noWrap w:val="0"/>
            <w:vAlign w:val="center"/>
          </w:tcPr>
          <w:p w14:paraId="3CD89864">
            <w:pPr>
              <w:spacing w:line="360" w:lineRule="auto"/>
              <w:ind w:left="0" w:leftChars="0" w:firstLine="0" w:firstLineChars="0"/>
              <w:jc w:val="center"/>
              <w:rPr>
                <w:rFonts w:hint="eastAsia"/>
                <w:color w:val="000000"/>
                <w:sz w:val="18"/>
                <w:szCs w:val="18"/>
                <w:lang w:val="zh-CN"/>
              </w:rPr>
            </w:pPr>
            <w:r>
              <w:rPr>
                <w:rFonts w:hint="eastAsia"/>
                <w:color w:val="000000"/>
                <w:sz w:val="18"/>
                <w:szCs w:val="18"/>
                <w:lang w:val="zh-CN"/>
              </w:rPr>
              <w:t>宽度l向单层钢筋数量n</w:t>
            </w:r>
            <w:r>
              <w:rPr>
                <w:rFonts w:hint="eastAsia"/>
                <w:color w:val="000000"/>
                <w:sz w:val="18"/>
                <w:szCs w:val="18"/>
                <w:vertAlign w:val="subscript"/>
                <w:lang w:val="zh-CN"/>
              </w:rPr>
              <w:t>l</w:t>
            </w:r>
          </w:p>
        </w:tc>
        <w:tc>
          <w:tcPr>
            <w:tcW w:w="1026" w:type="dxa"/>
            <w:noWrap w:val="0"/>
            <w:vAlign w:val="center"/>
          </w:tcPr>
          <w:p w14:paraId="06FDC31D">
            <w:pPr>
              <w:spacing w:line="360" w:lineRule="auto"/>
              <w:ind w:left="0" w:leftChars="0" w:firstLine="0" w:firstLineChars="0"/>
              <w:jc w:val="center"/>
              <w:rPr>
                <w:rFonts w:hint="default" w:ascii="宋体" w:hAnsi="宋体" w:eastAsia="仿宋"/>
                <w:color w:val="000000"/>
                <w:sz w:val="18"/>
                <w:szCs w:val="18"/>
                <w:lang w:val="en-US" w:eastAsia="zh-CN"/>
              </w:rPr>
            </w:pPr>
            <w:r>
              <w:rPr>
                <w:rFonts w:hint="eastAsia" w:ascii="宋体" w:hAnsi="宋体"/>
                <w:color w:val="000000"/>
                <w:sz w:val="18"/>
                <w:szCs w:val="18"/>
                <w:lang w:val="en-US" w:eastAsia="zh-CN"/>
              </w:rPr>
              <w:t>24</w:t>
            </w:r>
          </w:p>
        </w:tc>
      </w:tr>
      <w:tr w14:paraId="46010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05" w:type="dxa"/>
            <w:noWrap w:val="0"/>
            <w:vAlign w:val="center"/>
          </w:tcPr>
          <w:p w14:paraId="3B92FA4F">
            <w:pPr>
              <w:spacing w:line="360" w:lineRule="auto"/>
              <w:ind w:left="0" w:leftChars="0" w:firstLine="0" w:firstLineChars="0"/>
              <w:jc w:val="center"/>
              <w:rPr>
                <w:rFonts w:hint="eastAsia"/>
                <w:color w:val="000000"/>
                <w:sz w:val="18"/>
                <w:szCs w:val="18"/>
                <w:lang w:val="zh-CN"/>
              </w:rPr>
            </w:pPr>
            <w:r>
              <w:rPr>
                <w:color w:val="000000"/>
                <w:sz w:val="18"/>
                <w:szCs w:val="18"/>
                <w:lang w:val="zh-CN"/>
              </w:rPr>
              <w:t>基础混凝土保护层厚度</w:t>
            </w:r>
            <w:r>
              <w:rPr>
                <w:rFonts w:hint="eastAsia"/>
                <w:color w:val="000000"/>
                <w:sz w:val="18"/>
                <w:szCs w:val="18"/>
                <w:lang w:val="zh-CN"/>
              </w:rPr>
              <w:t>c(mm)</w:t>
            </w:r>
          </w:p>
        </w:tc>
        <w:tc>
          <w:tcPr>
            <w:tcW w:w="1192" w:type="dxa"/>
            <w:noWrap w:val="0"/>
            <w:vAlign w:val="center"/>
          </w:tcPr>
          <w:p w14:paraId="7ABBFB03">
            <w:pPr>
              <w:spacing w:line="360" w:lineRule="auto"/>
              <w:ind w:left="0" w:leftChars="0" w:firstLine="0" w:firstLineChars="0"/>
              <w:jc w:val="center"/>
              <w:rPr>
                <w:rFonts w:hint="eastAsia" w:ascii="宋体" w:hAnsi="宋体"/>
                <w:color w:val="000000"/>
                <w:sz w:val="18"/>
                <w:szCs w:val="18"/>
                <w:lang w:val="zh-CN"/>
              </w:rPr>
            </w:pPr>
            <w:r>
              <w:rPr>
                <w:rFonts w:hint="eastAsia" w:ascii="宋体" w:hAnsi="宋体"/>
                <w:color w:val="000000"/>
                <w:sz w:val="18"/>
                <w:szCs w:val="18"/>
                <w:lang w:val="zh-CN"/>
              </w:rPr>
              <w:t>50</w:t>
            </w:r>
          </w:p>
        </w:tc>
        <w:tc>
          <w:tcPr>
            <w:tcW w:w="3473" w:type="dxa"/>
            <w:noWrap w:val="0"/>
            <w:vAlign w:val="center"/>
          </w:tcPr>
          <w:p w14:paraId="70E9C05E">
            <w:pPr>
              <w:spacing w:line="360" w:lineRule="auto"/>
              <w:ind w:left="0" w:leftChars="0" w:firstLine="0" w:firstLineChars="0"/>
              <w:jc w:val="center"/>
              <w:rPr>
                <w:rFonts w:hint="eastAsia"/>
                <w:color w:val="000000"/>
                <w:sz w:val="18"/>
                <w:szCs w:val="18"/>
                <w:lang w:val="zh-CN"/>
              </w:rPr>
            </w:pPr>
            <w:r>
              <w:rPr>
                <w:rFonts w:hint="eastAsia"/>
                <w:color w:val="000000"/>
                <w:sz w:val="18"/>
                <w:szCs w:val="18"/>
                <w:lang w:val="zh-CN"/>
              </w:rPr>
              <w:t>地基承载能力特征值f</w:t>
            </w:r>
            <w:r>
              <w:rPr>
                <w:rFonts w:hint="eastAsia"/>
                <w:color w:val="000000"/>
                <w:sz w:val="18"/>
                <w:szCs w:val="18"/>
                <w:vertAlign w:val="subscript"/>
                <w:lang w:val="zh-CN"/>
              </w:rPr>
              <w:t>a</w:t>
            </w:r>
            <w:r>
              <w:rPr>
                <w:rFonts w:hint="eastAsia"/>
                <w:color w:val="000000"/>
                <w:sz w:val="18"/>
                <w:szCs w:val="18"/>
                <w:lang w:val="zh-CN"/>
              </w:rPr>
              <w:t>(kPa)</w:t>
            </w:r>
          </w:p>
        </w:tc>
        <w:tc>
          <w:tcPr>
            <w:tcW w:w="1026" w:type="dxa"/>
            <w:noWrap w:val="0"/>
            <w:vAlign w:val="center"/>
          </w:tcPr>
          <w:p w14:paraId="6D91C3C8">
            <w:pPr>
              <w:spacing w:line="360" w:lineRule="auto"/>
              <w:ind w:left="0" w:leftChars="0" w:firstLine="0" w:firstLineChars="0"/>
              <w:jc w:val="center"/>
              <w:rPr>
                <w:rFonts w:hint="default" w:ascii="宋体" w:hAnsi="宋体" w:eastAsia="仿宋"/>
                <w:color w:val="000000"/>
                <w:sz w:val="18"/>
                <w:szCs w:val="18"/>
                <w:lang w:val="en-US" w:eastAsia="zh-CN"/>
              </w:rPr>
            </w:pPr>
            <w:r>
              <w:rPr>
                <w:rFonts w:hint="eastAsia" w:ascii="宋体" w:hAnsi="宋体"/>
                <w:color w:val="000000"/>
                <w:sz w:val="18"/>
                <w:szCs w:val="18"/>
                <w:lang w:val="en-US" w:eastAsia="zh-CN"/>
              </w:rPr>
              <w:t>180</w:t>
            </w:r>
          </w:p>
        </w:tc>
      </w:tr>
      <w:tr w14:paraId="0E10D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05" w:type="dxa"/>
            <w:noWrap w:val="0"/>
            <w:vAlign w:val="center"/>
          </w:tcPr>
          <w:p w14:paraId="7E07DFD0">
            <w:pPr>
              <w:spacing w:line="360" w:lineRule="auto"/>
              <w:ind w:left="0" w:leftChars="0" w:firstLine="0" w:firstLineChars="0"/>
              <w:jc w:val="center"/>
              <w:rPr>
                <w:color w:val="000000"/>
                <w:sz w:val="18"/>
                <w:szCs w:val="18"/>
                <w:lang w:val="zh-CN"/>
              </w:rPr>
            </w:pPr>
            <w:r>
              <w:rPr>
                <w:color w:val="000000"/>
                <w:sz w:val="18"/>
                <w:szCs w:val="18"/>
                <w:lang w:val="zh-CN"/>
              </w:rPr>
              <w:t>基础混凝土自重</w:t>
            </w:r>
            <w:r>
              <w:rPr>
                <w:rFonts w:hint="eastAsia"/>
                <w:color w:val="000000"/>
                <w:sz w:val="18"/>
                <w:szCs w:val="18"/>
                <w:lang w:val="zh-CN"/>
              </w:rPr>
              <w:t>ρ(</w:t>
            </w:r>
            <w:r>
              <w:rPr>
                <w:color w:val="000000"/>
                <w:sz w:val="18"/>
                <w:szCs w:val="18"/>
                <w:lang w:val="zh-CN"/>
              </w:rPr>
              <w:t>kN/m</w:t>
            </w:r>
            <w:r>
              <w:rPr>
                <w:color w:val="000000"/>
                <w:sz w:val="24"/>
                <w:vertAlign w:val="superscript"/>
                <w:lang w:val="zh-CN"/>
              </w:rPr>
              <w:t>3</w:t>
            </w:r>
            <w:r>
              <w:rPr>
                <w:rFonts w:hint="eastAsia"/>
                <w:color w:val="000000"/>
                <w:sz w:val="18"/>
                <w:szCs w:val="18"/>
                <w:lang w:val="zh-CN"/>
              </w:rPr>
              <w:t>)</w:t>
            </w:r>
          </w:p>
        </w:tc>
        <w:tc>
          <w:tcPr>
            <w:tcW w:w="1192" w:type="dxa"/>
            <w:noWrap w:val="0"/>
            <w:vAlign w:val="center"/>
          </w:tcPr>
          <w:p w14:paraId="1B41F6D6">
            <w:pPr>
              <w:spacing w:line="360" w:lineRule="auto"/>
              <w:ind w:left="0" w:leftChars="0" w:firstLine="0" w:firstLineChars="0"/>
              <w:jc w:val="center"/>
              <w:rPr>
                <w:rFonts w:ascii="宋体" w:hAnsi="宋体"/>
                <w:color w:val="000000"/>
                <w:sz w:val="18"/>
                <w:szCs w:val="18"/>
                <w:lang w:val="zh-CN"/>
              </w:rPr>
            </w:pPr>
            <w:r>
              <w:rPr>
                <w:rFonts w:ascii="宋体" w:hAnsi="宋体"/>
                <w:color w:val="000000"/>
                <w:sz w:val="18"/>
                <w:szCs w:val="18"/>
                <w:lang w:val="zh-CN"/>
              </w:rPr>
              <w:t>25</w:t>
            </w:r>
          </w:p>
        </w:tc>
        <w:tc>
          <w:tcPr>
            <w:tcW w:w="3473" w:type="dxa"/>
            <w:noWrap w:val="0"/>
            <w:vAlign w:val="center"/>
          </w:tcPr>
          <w:p w14:paraId="07A6BA34">
            <w:pPr>
              <w:spacing w:line="360" w:lineRule="auto"/>
              <w:ind w:left="0" w:leftChars="0" w:firstLine="0" w:firstLineChars="0"/>
              <w:jc w:val="center"/>
              <w:rPr>
                <w:rFonts w:hint="eastAsia"/>
                <w:color w:val="000000"/>
                <w:sz w:val="18"/>
                <w:szCs w:val="18"/>
                <w:lang w:val="zh-CN"/>
              </w:rPr>
            </w:pPr>
            <w:r>
              <w:rPr>
                <w:rFonts w:hint="eastAsia"/>
                <w:color w:val="000000"/>
                <w:sz w:val="18"/>
                <w:szCs w:val="18"/>
                <w:lang w:val="zh-CN"/>
              </w:rPr>
              <w:t>由标准组合转化为基本组合的分项系数</w:t>
            </w:r>
            <w:r>
              <w:rPr>
                <w:color w:val="000000"/>
                <w:sz w:val="18"/>
                <w:szCs w:val="18"/>
                <w:lang w:val="zh-CN"/>
              </w:rPr>
              <w:t>γ</w:t>
            </w:r>
          </w:p>
        </w:tc>
        <w:tc>
          <w:tcPr>
            <w:tcW w:w="1026" w:type="dxa"/>
            <w:noWrap w:val="0"/>
            <w:vAlign w:val="center"/>
          </w:tcPr>
          <w:p w14:paraId="6BC474E9">
            <w:pPr>
              <w:spacing w:line="360" w:lineRule="auto"/>
              <w:ind w:left="0" w:leftChars="0" w:firstLine="0" w:firstLineChars="0"/>
              <w:jc w:val="center"/>
              <w:rPr>
                <w:rFonts w:hint="eastAsia" w:ascii="宋体" w:hAnsi="宋体"/>
                <w:color w:val="000000"/>
                <w:sz w:val="18"/>
                <w:szCs w:val="18"/>
                <w:lang w:val="zh-CN"/>
              </w:rPr>
            </w:pPr>
            <w:r>
              <w:rPr>
                <w:rFonts w:hint="eastAsia" w:ascii="宋体" w:hAnsi="宋体"/>
                <w:color w:val="000000"/>
                <w:sz w:val="18"/>
                <w:szCs w:val="18"/>
                <w:lang w:val="zh-CN"/>
              </w:rPr>
              <w:t>1.35</w:t>
            </w:r>
          </w:p>
        </w:tc>
      </w:tr>
    </w:tbl>
    <w:p w14:paraId="3302E163">
      <w:pPr>
        <w:spacing w:line="360" w:lineRule="auto"/>
        <w:ind w:left="0" w:leftChars="0" w:firstLine="301" w:firstLineChars="100"/>
        <w:jc w:val="left"/>
        <w:rPr>
          <w:rFonts w:hint="eastAsia"/>
          <w:b/>
          <w:sz w:val="30"/>
          <w:szCs w:val="30"/>
        </w:rPr>
      </w:pPr>
      <w:r>
        <w:rPr>
          <w:rFonts w:hint="eastAsia"/>
          <w:b/>
          <w:sz w:val="30"/>
          <w:szCs w:val="30"/>
        </w:rPr>
        <w:t>五、地基承载力计算</w:t>
      </w:r>
    </w:p>
    <w:p w14:paraId="3B8385FB">
      <w:pPr>
        <w:numPr>
          <w:ilvl w:val="0"/>
          <w:numId w:val="0"/>
        </w:numPr>
        <w:spacing w:line="360" w:lineRule="auto"/>
        <w:ind w:firstLine="480" w:firstLineChars="200"/>
        <w:jc w:val="left"/>
        <w:rPr>
          <w:rFonts w:hint="eastAsia"/>
          <w:sz w:val="24"/>
        </w:rPr>
      </w:pPr>
      <w:r>
        <w:rPr>
          <w:rFonts w:hint="eastAsia"/>
          <w:sz w:val="24"/>
          <w:lang w:val="en-US" w:eastAsia="zh-CN"/>
        </w:rPr>
        <w:t>1.</w:t>
      </w:r>
      <w:r>
        <w:rPr>
          <w:rFonts w:hint="eastAsia"/>
          <w:sz w:val="24"/>
        </w:rPr>
        <w:t>基础自重标准值：</w:t>
      </w:r>
    </w:p>
    <w:p w14:paraId="36D7D1CF">
      <w:pPr>
        <w:spacing w:line="360" w:lineRule="auto"/>
        <w:ind w:left="0" w:leftChars="0" w:firstLine="0" w:firstLineChars="0"/>
        <w:jc w:val="left"/>
        <w:rPr>
          <w:rFonts w:hint="eastAsia"/>
          <w:lang w:eastAsia="zh-CN"/>
        </w:rPr>
      </w:pPr>
      <w:r>
        <w:rPr>
          <w:position w:val="-12"/>
        </w:rPr>
        <w:object>
          <v:shape id="_x0000_i1025" o:spt="75" type="#_x0000_t75" style="height:18pt;width:52pt;" o:ole="t" filled="f" o:preferrelative="t" stroked="f" coordsize="21600,21600">
            <v:path/>
            <v:fill on="f" alignshape="1" focussize="0,0"/>
            <v:stroke on="f"/>
            <v:imagedata r:id="rId71" grayscale="f" bilevel="f" o:title=""/>
            <o:lock v:ext="edit" aspectratio="t"/>
            <w10:wrap type="none"/>
            <w10:anchorlock/>
          </v:shape>
          <o:OLEObject Type="Embed" ProgID="Equation.DSMT4" ShapeID="_x0000_i1025" DrawAspect="Content" ObjectID="_1468075725" r:id="rId70">
            <o:LockedField>false</o:LockedField>
          </o:OLEObject>
        </w:object>
      </w:r>
      <w:r>
        <w:rPr>
          <w:rFonts w:hint="eastAsia"/>
          <w:lang w:eastAsia="zh-CN"/>
        </w:rPr>
        <w:t>=25×6000×6000×</w:t>
      </w:r>
      <w:r>
        <w:rPr>
          <w:rFonts w:hint="eastAsia"/>
          <w:lang w:val="en-US" w:eastAsia="zh-CN"/>
        </w:rPr>
        <w:t>1200</w:t>
      </w:r>
      <w:r>
        <w:rPr>
          <w:rFonts w:hint="eastAsia"/>
          <w:lang w:eastAsia="zh-CN"/>
        </w:rPr>
        <w:t>/1000000000=1800.00 kN</w:t>
      </w:r>
    </w:p>
    <w:p w14:paraId="50C7FF52">
      <w:pPr>
        <w:spacing w:line="360" w:lineRule="auto"/>
        <w:ind w:left="0" w:leftChars="0" w:firstLine="560" w:firstLineChars="200"/>
        <w:jc w:val="left"/>
        <w:rPr>
          <w:rFonts w:hint="eastAsia"/>
          <w:lang w:eastAsia="zh-CN"/>
        </w:rPr>
      </w:pPr>
      <w:r>
        <w:rPr>
          <w:rFonts w:hint="eastAsia"/>
          <w:lang w:eastAsia="zh-CN"/>
        </w:rPr>
        <w:t>2. 基础底面抵抗矩：</w:t>
      </w:r>
    </w:p>
    <w:p w14:paraId="5876F855">
      <w:pPr>
        <w:spacing w:line="360" w:lineRule="auto"/>
        <w:ind w:left="0" w:leftChars="0" w:firstLine="0" w:firstLineChars="0"/>
        <w:jc w:val="left"/>
        <w:rPr>
          <w:rFonts w:hint="eastAsia"/>
          <w:lang w:eastAsia="zh-CN"/>
        </w:rPr>
      </w:pPr>
      <w:r>
        <w:rPr>
          <w:position w:val="-12"/>
        </w:rPr>
        <w:object>
          <v:shape id="_x0000_i1026" o:spt="75" type="#_x0000_t75" style="height:18.8pt;width:58.25pt;" o:ole="t" filled="f" o:preferrelative="t" stroked="f" coordsize="21600,21600">
            <v:path/>
            <v:fill on="f" alignshape="1" focussize="0,0"/>
            <v:stroke on="f"/>
            <v:imagedata r:id="rId73" grayscale="f" bilevel="f" o:title=""/>
            <o:lock v:ext="edit" aspectratio="t"/>
            <w10:wrap type="none"/>
            <w10:anchorlock/>
          </v:shape>
          <o:OLEObject Type="Embed" ProgID="Equation.DSMT4" ShapeID="_x0000_i1026" DrawAspect="Content" ObjectID="_1468075726" r:id="rId72">
            <o:LockedField>false</o:LockedField>
          </o:OLEObject>
        </w:object>
      </w:r>
      <w:r>
        <w:rPr>
          <w:rFonts w:hint="eastAsia"/>
          <w:lang w:eastAsia="zh-CN"/>
        </w:rPr>
        <w:t>=6000×6000×6000/6=36000000000.00 mm^3;</w:t>
      </w:r>
    </w:p>
    <w:p w14:paraId="1EF9F781">
      <w:pPr>
        <w:spacing w:line="360" w:lineRule="auto"/>
        <w:ind w:left="0" w:leftChars="0" w:firstLine="0" w:firstLineChars="0"/>
        <w:jc w:val="left"/>
        <w:rPr>
          <w:rFonts w:hint="eastAsia"/>
          <w:lang w:eastAsia="zh-CN"/>
        </w:rPr>
      </w:pPr>
      <w:r>
        <w:rPr>
          <w:position w:val="-14"/>
        </w:rPr>
        <w:object>
          <v:shape id="_x0000_i1027" o:spt="75" type="#_x0000_t75" style="height:20.05pt;width:56.95pt;" o:ole="t" filled="f" o:preferrelative="t" stroked="f" coordsize="21600,21600">
            <v:path/>
            <v:fill on="f" alignshape="1" focussize="0,0"/>
            <v:stroke on="f"/>
            <v:imagedata r:id="rId75" grayscale="f" bilevel="f" o:title=""/>
            <o:lock v:ext="edit" aspectratio="t"/>
            <w10:wrap type="none"/>
            <w10:anchorlock/>
          </v:shape>
          <o:OLEObject Type="Embed" ProgID="Equation.DSMT4" ShapeID="_x0000_i1027" DrawAspect="Content" ObjectID="_1468075727" r:id="rId74">
            <o:LockedField>false</o:LockedField>
          </o:OLEObject>
        </w:object>
      </w:r>
      <w:r>
        <w:rPr>
          <w:rFonts w:hint="eastAsia"/>
          <w:lang w:eastAsia="zh-CN"/>
        </w:rPr>
        <w:t>=6000×6000×6000/6=36000000000.00 mm^3;</w:t>
      </w:r>
    </w:p>
    <w:p w14:paraId="65D85CD1">
      <w:pPr>
        <w:spacing w:line="360" w:lineRule="auto"/>
        <w:ind w:left="0" w:leftChars="0" w:firstLine="560" w:firstLineChars="200"/>
        <w:jc w:val="left"/>
        <w:rPr>
          <w:rFonts w:hint="eastAsia"/>
          <w:lang w:eastAsia="zh-CN"/>
        </w:rPr>
      </w:pPr>
      <w:r>
        <w:rPr>
          <w:rFonts w:hint="eastAsia"/>
          <w:lang w:eastAsia="zh-CN"/>
        </w:rPr>
        <w:t>3. 基础对地基的平均压力：</w:t>
      </w:r>
    </w:p>
    <w:p w14:paraId="770228F7">
      <w:pPr>
        <w:spacing w:line="360" w:lineRule="auto"/>
        <w:ind w:left="0" w:leftChars="0" w:firstLine="0" w:firstLineChars="0"/>
        <w:jc w:val="left"/>
        <w:rPr>
          <w:rFonts w:hint="eastAsia"/>
          <w:lang w:eastAsia="zh-CN"/>
        </w:rPr>
      </w:pPr>
      <w:r>
        <w:rPr>
          <w:rFonts w:hint="eastAsia"/>
        </w:rPr>
        <w:t>工作状态：</w:t>
      </w:r>
      <w:r>
        <w:rPr>
          <w:position w:val="-24"/>
        </w:rPr>
        <w:object>
          <v:shape id="_x0000_i1028" o:spt="75" type="#_x0000_t75" style="height:31.3pt;width:76.85pt;" o:ole="t" filled="f" o:preferrelative="t" stroked="f" coordsize="21600,21600">
            <v:path/>
            <v:fill on="f" alignshape="1" focussize="0,0"/>
            <v:stroke on="f"/>
            <v:imagedata r:id="rId77" grayscale="f" bilevel="f" o:title=""/>
            <o:lock v:ext="edit" aspectratio="t"/>
            <w10:wrap type="none"/>
            <w10:anchorlock/>
          </v:shape>
          <o:OLEObject Type="Embed" ProgID="Equation.DSMT4" ShapeID="_x0000_i1028" DrawAspect="Content" ObjectID="_1468075728" r:id="rId76">
            <o:LockedField>false</o:LockedField>
          </o:OLEObject>
        </w:object>
      </w:r>
      <w:r>
        <w:rPr>
          <w:rFonts w:hint="eastAsia"/>
          <w:lang w:eastAsia="zh-CN"/>
        </w:rPr>
        <w:t>=(</w:t>
      </w:r>
      <w:r>
        <w:rPr>
          <w:rFonts w:hint="eastAsia"/>
          <w:lang w:val="en-US" w:eastAsia="zh-CN"/>
        </w:rPr>
        <w:t>578.00</w:t>
      </w:r>
      <w:r>
        <w:rPr>
          <w:rFonts w:hint="eastAsia"/>
          <w:lang w:eastAsia="zh-CN"/>
        </w:rPr>
        <w:t>+</w:t>
      </w:r>
      <w:r>
        <w:rPr>
          <w:rFonts w:hint="eastAsia"/>
          <w:lang w:val="en-US" w:eastAsia="zh-CN"/>
        </w:rPr>
        <w:t>1080.00</w:t>
      </w:r>
      <w:r>
        <w:rPr>
          <w:rFonts w:hint="eastAsia"/>
          <w:lang w:eastAsia="zh-CN"/>
        </w:rPr>
        <w:t>)*1000000/(6000×6000)=</w:t>
      </w:r>
      <w:r>
        <w:rPr>
          <w:rFonts w:hint="eastAsia"/>
          <w:lang w:val="en-US" w:eastAsia="zh-CN"/>
        </w:rPr>
        <w:t>46.06</w:t>
      </w:r>
      <w:r>
        <w:rPr>
          <w:rFonts w:hint="eastAsia"/>
          <w:lang w:eastAsia="zh-CN"/>
        </w:rPr>
        <w:t xml:space="preserve"> kPa;</w:t>
      </w:r>
    </w:p>
    <w:p w14:paraId="09EC22F7">
      <w:pPr>
        <w:spacing w:line="360" w:lineRule="auto"/>
        <w:ind w:left="0" w:leftChars="0" w:firstLine="0" w:firstLineChars="0"/>
        <w:jc w:val="left"/>
        <w:rPr>
          <w:rFonts w:hint="eastAsia"/>
          <w:lang w:eastAsia="zh-CN"/>
        </w:rPr>
      </w:pPr>
      <w:r>
        <w:rPr>
          <w:rFonts w:hint="eastAsia"/>
        </w:rPr>
        <w:t>非工作状态：</w:t>
      </w:r>
      <w:r>
        <w:rPr>
          <w:position w:val="-24"/>
        </w:rPr>
        <w:object>
          <v:shape id="_x0000_i1029" o:spt="75" type="#_x0000_t75" style="height:32.25pt;width:76.85pt;" o:ole="t" filled="f" o:preferrelative="t" stroked="f" coordsize="21600,21600">
            <v:path/>
            <v:fill on="f" alignshape="1" focussize="0,0"/>
            <v:stroke on="f"/>
            <v:imagedata r:id="rId79" grayscale="f" bilevel="f" o:title=""/>
            <o:lock v:ext="edit" aspectratio="t"/>
            <w10:wrap type="none"/>
            <w10:anchorlock/>
          </v:shape>
          <o:OLEObject Type="Embed" ProgID="Equation.DSMT4" ShapeID="_x0000_i1029" DrawAspect="Content" ObjectID="_1468075729" r:id="rId78">
            <o:LockedField>false</o:LockedField>
          </o:OLEObject>
        </w:object>
      </w:r>
      <w:r>
        <w:rPr>
          <w:rFonts w:hint="eastAsia"/>
          <w:lang w:eastAsia="zh-CN"/>
        </w:rPr>
        <w:t>=(</w:t>
      </w:r>
      <w:r>
        <w:rPr>
          <w:rFonts w:hint="eastAsia"/>
          <w:lang w:val="en-US" w:eastAsia="zh-CN"/>
        </w:rPr>
        <w:t>505.00</w:t>
      </w:r>
      <w:r>
        <w:rPr>
          <w:rFonts w:hint="eastAsia"/>
          <w:lang w:eastAsia="zh-CN"/>
        </w:rPr>
        <w:t>+</w:t>
      </w:r>
      <w:r>
        <w:rPr>
          <w:rFonts w:hint="eastAsia"/>
          <w:lang w:val="en-US" w:eastAsia="zh-CN"/>
        </w:rPr>
        <w:t>1080.00</w:t>
      </w:r>
      <w:r>
        <w:rPr>
          <w:rFonts w:hint="eastAsia"/>
          <w:lang w:eastAsia="zh-CN"/>
        </w:rPr>
        <w:t>)*1000000/(60006000)=</w:t>
      </w:r>
      <w:r>
        <w:rPr>
          <w:rFonts w:hint="eastAsia"/>
          <w:lang w:val="en-US" w:eastAsia="zh-CN"/>
        </w:rPr>
        <w:t>44.03</w:t>
      </w:r>
      <w:r>
        <w:rPr>
          <w:rFonts w:hint="eastAsia"/>
          <w:lang w:eastAsia="zh-CN"/>
        </w:rPr>
        <w:t>kPa;</w:t>
      </w:r>
    </w:p>
    <w:p w14:paraId="6515E7B9">
      <w:pPr>
        <w:spacing w:line="360" w:lineRule="auto"/>
        <w:ind w:left="0" w:leftChars="0" w:firstLine="560" w:firstLineChars="200"/>
        <w:jc w:val="left"/>
        <w:rPr>
          <w:rFonts w:hint="eastAsia"/>
          <w:lang w:eastAsia="zh-CN"/>
        </w:rPr>
      </w:pPr>
      <w:r>
        <w:rPr>
          <w:rFonts w:hint="eastAsia"/>
          <w:lang w:eastAsia="zh-CN"/>
        </w:rPr>
        <w:t>4. 偏心距：</w:t>
      </w:r>
    </w:p>
    <w:p w14:paraId="50D4B65D">
      <w:pPr>
        <w:spacing w:line="360" w:lineRule="auto"/>
        <w:ind w:left="0" w:leftChars="0" w:firstLine="0" w:firstLineChars="0"/>
        <w:jc w:val="left"/>
        <w:rPr>
          <w:rFonts w:hint="eastAsia"/>
          <w:lang w:eastAsia="zh-CN"/>
        </w:rPr>
      </w:pPr>
      <w:r>
        <w:rPr>
          <w:rFonts w:hint="eastAsia"/>
        </w:rPr>
        <w:t>工作状态：</w:t>
      </w:r>
      <w:r>
        <w:rPr>
          <w:position w:val="-30"/>
        </w:rPr>
        <w:object>
          <v:shape id="_x0000_i1030" o:spt="75" type="#_x0000_t75" style="height:34pt;width:88pt;" o:ole="t" filled="f" o:preferrelative="t" stroked="f" coordsize="21600,21600">
            <v:path/>
            <v:fill on="f" alignshape="1" focussize="0,0"/>
            <v:stroke on="f"/>
            <v:imagedata r:id="rId81" grayscale="f" bilevel="f" o:title=""/>
            <o:lock v:ext="edit" aspectratio="t"/>
            <w10:wrap type="none"/>
            <w10:anchorlock/>
          </v:shape>
          <o:OLEObject Type="Embed" ProgID="Equation.DSMT4" ShapeID="_x0000_i1030" DrawAspect="Content" ObjectID="_1468075730" r:id="rId80">
            <o:LockedField>false</o:LockedField>
          </o:OLEObject>
        </w:object>
      </w:r>
      <w:r>
        <w:rPr>
          <w:rFonts w:hint="eastAsia"/>
          <w:lang w:eastAsia="zh-CN"/>
        </w:rPr>
        <w:t>=(</w:t>
      </w:r>
      <w:r>
        <w:rPr>
          <w:rFonts w:hint="eastAsia"/>
          <w:lang w:val="en-US" w:eastAsia="zh-CN"/>
        </w:rPr>
        <w:t>1842.00</w:t>
      </w:r>
      <w:r>
        <w:rPr>
          <w:rFonts w:hint="eastAsia"/>
          <w:lang w:eastAsia="zh-CN"/>
        </w:rPr>
        <w:t>×1000+2</w:t>
      </w:r>
      <w:r>
        <w:rPr>
          <w:rFonts w:hint="eastAsia"/>
          <w:lang w:val="en-US" w:eastAsia="zh-CN"/>
        </w:rPr>
        <w:t>9.</w:t>
      </w:r>
      <w:r>
        <w:rPr>
          <w:rFonts w:hint="eastAsia"/>
          <w:lang w:eastAsia="zh-CN"/>
        </w:rPr>
        <w:t>00×</w:t>
      </w:r>
      <w:r>
        <w:rPr>
          <w:rFonts w:hint="eastAsia"/>
          <w:lang w:val="en-US" w:eastAsia="zh-CN"/>
        </w:rPr>
        <w:t>12</w:t>
      </w:r>
      <w:r>
        <w:rPr>
          <w:rFonts w:hint="eastAsia"/>
          <w:lang w:eastAsia="zh-CN"/>
        </w:rPr>
        <w:t>00)/(5</w:t>
      </w:r>
      <w:r>
        <w:rPr>
          <w:rFonts w:hint="eastAsia"/>
          <w:lang w:val="en-US" w:eastAsia="zh-CN"/>
        </w:rPr>
        <w:t>78</w:t>
      </w:r>
      <w:r>
        <w:rPr>
          <w:rFonts w:hint="eastAsia"/>
          <w:lang w:eastAsia="zh-CN"/>
        </w:rPr>
        <w:t>.00+1</w:t>
      </w:r>
      <w:r>
        <w:rPr>
          <w:rFonts w:hint="eastAsia"/>
          <w:lang w:val="en-US" w:eastAsia="zh-CN"/>
        </w:rPr>
        <w:t>080</w:t>
      </w:r>
      <w:r>
        <w:rPr>
          <w:rFonts w:hint="eastAsia"/>
          <w:lang w:eastAsia="zh-CN"/>
        </w:rPr>
        <w:t>.00)=</w:t>
      </w:r>
      <w:r>
        <w:rPr>
          <w:rFonts w:hint="eastAsia"/>
          <w:lang w:val="en-US" w:eastAsia="zh-CN"/>
        </w:rPr>
        <w:t>1131.97</w:t>
      </w:r>
      <w:r>
        <w:rPr>
          <w:rFonts w:hint="eastAsia"/>
          <w:lang w:eastAsia="zh-CN"/>
        </w:rPr>
        <w:t>mm;</w:t>
      </w:r>
    </w:p>
    <w:p w14:paraId="1E2B8EF3">
      <w:pPr>
        <w:spacing w:line="360" w:lineRule="auto"/>
        <w:ind w:left="0" w:leftChars="0" w:firstLine="0" w:firstLineChars="0"/>
        <w:jc w:val="left"/>
        <w:rPr>
          <w:rFonts w:hint="eastAsia"/>
          <w:lang w:eastAsia="zh-CN"/>
        </w:rPr>
      </w:pPr>
      <w:r>
        <w:rPr>
          <w:rFonts w:hint="eastAsia"/>
        </w:rPr>
        <w:t>非工作状态：</w:t>
      </w:r>
      <w:r>
        <w:rPr>
          <w:position w:val="-32"/>
        </w:rPr>
        <w:object>
          <v:shape id="_x0000_i1031" o:spt="75" type="#_x0000_t75" style="height:36pt;width:88pt;" o:ole="t" filled="f" o:preferrelative="t" stroked="f" coordsize="21600,21600">
            <v:path/>
            <v:fill on="f" alignshape="1" focussize="0,0"/>
            <v:stroke on="f"/>
            <v:imagedata r:id="rId83" grayscale="f" bilevel="f" o:title=""/>
            <o:lock v:ext="edit" aspectratio="t"/>
            <w10:wrap type="none"/>
            <w10:anchorlock/>
          </v:shape>
          <o:OLEObject Type="Embed" ProgID="Equation.DSMT4" ShapeID="_x0000_i1031" DrawAspect="Content" ObjectID="_1468075731" r:id="rId82">
            <o:LockedField>false</o:LockedField>
          </o:OLEObject>
        </w:object>
      </w:r>
      <w:r>
        <w:rPr>
          <w:rFonts w:hint="eastAsia"/>
          <w:lang w:eastAsia="zh-CN"/>
        </w:rPr>
        <w:t>=(</w:t>
      </w:r>
      <w:r>
        <w:rPr>
          <w:rFonts w:hint="eastAsia"/>
          <w:lang w:val="en-US" w:eastAsia="zh-CN"/>
        </w:rPr>
        <w:t>1976.00</w:t>
      </w:r>
      <w:r>
        <w:rPr>
          <w:rFonts w:hint="eastAsia"/>
          <w:lang w:eastAsia="zh-CN"/>
        </w:rPr>
        <w:t>×1000+</w:t>
      </w:r>
      <w:r>
        <w:rPr>
          <w:rFonts w:hint="eastAsia"/>
          <w:lang w:val="en-US" w:eastAsia="zh-CN"/>
        </w:rPr>
        <w:t>107</w:t>
      </w:r>
      <w:r>
        <w:rPr>
          <w:rFonts w:hint="eastAsia"/>
          <w:lang w:eastAsia="zh-CN"/>
        </w:rPr>
        <w:t>.00×</w:t>
      </w:r>
      <w:r>
        <w:rPr>
          <w:rFonts w:hint="eastAsia"/>
          <w:lang w:val="en-US" w:eastAsia="zh-CN"/>
        </w:rPr>
        <w:t>12</w:t>
      </w:r>
      <w:r>
        <w:rPr>
          <w:rFonts w:hint="eastAsia"/>
          <w:lang w:eastAsia="zh-CN"/>
        </w:rPr>
        <w:t>00)/(</w:t>
      </w:r>
      <w:r>
        <w:rPr>
          <w:rFonts w:hint="eastAsia"/>
          <w:lang w:val="en-US" w:eastAsia="zh-CN"/>
        </w:rPr>
        <w:t>505</w:t>
      </w:r>
      <w:r>
        <w:rPr>
          <w:rFonts w:hint="eastAsia"/>
          <w:lang w:eastAsia="zh-CN"/>
        </w:rPr>
        <w:t>.00+1</w:t>
      </w:r>
      <w:r>
        <w:rPr>
          <w:rFonts w:hint="eastAsia"/>
          <w:lang w:val="en-US" w:eastAsia="zh-CN"/>
        </w:rPr>
        <w:t>080</w:t>
      </w:r>
      <w:r>
        <w:rPr>
          <w:rFonts w:hint="eastAsia"/>
          <w:lang w:eastAsia="zh-CN"/>
        </w:rPr>
        <w:t>.00)=</w:t>
      </w:r>
      <w:r>
        <w:rPr>
          <w:rFonts w:hint="eastAsia"/>
          <w:lang w:val="en-US" w:eastAsia="zh-CN"/>
        </w:rPr>
        <w:t>1327.70</w:t>
      </w:r>
      <w:r>
        <w:rPr>
          <w:rFonts w:hint="eastAsia"/>
          <w:lang w:eastAsia="zh-CN"/>
        </w:rPr>
        <w:t xml:space="preserve"> mm;</w:t>
      </w:r>
    </w:p>
    <w:p w14:paraId="1A776D07">
      <w:pPr>
        <w:spacing w:line="360" w:lineRule="auto"/>
        <w:ind w:left="0" w:leftChars="0" w:firstLine="0" w:firstLineChars="0"/>
        <w:jc w:val="left"/>
        <w:rPr>
          <w:rFonts w:hint="eastAsia"/>
          <w:lang w:eastAsia="zh-CN"/>
        </w:rPr>
      </w:pPr>
      <w:r>
        <w:rPr>
          <w:rFonts w:hint="eastAsia"/>
          <w:lang w:eastAsia="zh-CN"/>
        </w:rPr>
        <w:t>基础边长比≤1.1,按方形基础核算</w:t>
      </w:r>
    </w:p>
    <w:p w14:paraId="6207C36F">
      <w:pPr>
        <w:spacing w:line="360" w:lineRule="auto"/>
        <w:jc w:val="center"/>
        <w:rPr>
          <w:rFonts w:hint="eastAsia"/>
        </w:rPr>
      </w:pPr>
      <w:r>
        <w:drawing>
          <wp:inline distT="0" distB="0" distL="114300" distR="114300">
            <wp:extent cx="4279265" cy="4248150"/>
            <wp:effectExtent l="0" t="0" r="6985" b="0"/>
            <wp:docPr id="33" name="图片 40" descr="基础示意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基础示意图6"/>
                    <pic:cNvPicPr>
                      <a:picLocks noChangeAspect="1"/>
                    </pic:cNvPicPr>
                  </pic:nvPicPr>
                  <pic:blipFill>
                    <a:blip r:embed="rId84"/>
                    <a:stretch>
                      <a:fillRect/>
                    </a:stretch>
                  </pic:blipFill>
                  <pic:spPr>
                    <a:xfrm>
                      <a:off x="0" y="0"/>
                      <a:ext cx="4279265" cy="4248150"/>
                    </a:xfrm>
                    <a:prstGeom prst="rect">
                      <a:avLst/>
                    </a:prstGeom>
                    <a:noFill/>
                    <a:ln>
                      <a:noFill/>
                    </a:ln>
                  </pic:spPr>
                </pic:pic>
              </a:graphicData>
            </a:graphic>
          </wp:inline>
        </w:drawing>
      </w:r>
    </w:p>
    <w:p w14:paraId="5AB7BC60">
      <w:pPr>
        <w:spacing w:line="360" w:lineRule="auto"/>
        <w:ind w:left="0" w:leftChars="0" w:firstLine="560" w:firstLineChars="200"/>
        <w:jc w:val="left"/>
        <w:rPr>
          <w:rFonts w:hint="eastAsia"/>
          <w:lang w:val="en-US" w:eastAsia="zh-CN"/>
        </w:rPr>
      </w:pPr>
      <w:r>
        <w:rPr>
          <w:rFonts w:hint="eastAsia"/>
          <w:lang w:val="en-US" w:eastAsia="zh-CN"/>
        </w:rPr>
        <w:t>5、相应于荷载效应标准组合时，同时作用于基础X、Y方向的倾覆力矩：</w:t>
      </w:r>
    </w:p>
    <w:p w14:paraId="08CEDD79">
      <w:pPr>
        <w:spacing w:line="360" w:lineRule="auto"/>
        <w:ind w:left="0" w:leftChars="0" w:firstLine="0" w:firstLineChars="0"/>
        <w:jc w:val="left"/>
        <w:rPr>
          <w:rFonts w:hint="eastAsia"/>
          <w:lang w:eastAsia="zh-CN"/>
        </w:rPr>
      </w:pPr>
      <w:r>
        <w:t>工作状态</w:t>
      </w:r>
      <w:r>
        <w:rPr>
          <w:rFonts w:hint="eastAsia"/>
        </w:rPr>
        <w:t>：</w:t>
      </w:r>
      <w:r>
        <w:rPr>
          <w:position w:val="-30"/>
        </w:rPr>
        <w:object>
          <v:shape id="_x0000_i1032" o:spt="75" type="#_x0000_t75" style="height:33.8pt;width:82.75pt;" o:ole="t" filled="f" o:preferrelative="t" stroked="f" coordsize="21600,21600">
            <v:path/>
            <v:fill on="f" alignshape="1" focussize="0,0"/>
            <v:stroke on="f"/>
            <v:imagedata r:id="rId86" grayscale="f" bilevel="f" o:title=""/>
            <o:lock v:ext="edit" aspectratio="t"/>
            <w10:wrap type="none"/>
            <w10:anchorlock/>
          </v:shape>
          <o:OLEObject Type="Embed" ProgID="Equation.DSMT4" ShapeID="_x0000_i1032" DrawAspect="Content" ObjectID="_1468075732" r:id="rId85">
            <o:LockedField>false</o:LockedField>
          </o:OLEObject>
        </w:object>
      </w:r>
      <w:r>
        <w:rPr>
          <w:rFonts w:hint="eastAsia"/>
          <w:lang w:eastAsia="zh-CN"/>
        </w:rPr>
        <w:t>=</w:t>
      </w:r>
      <w:r>
        <w:rPr>
          <w:rFonts w:hint="eastAsia"/>
          <w:lang w:val="en-US" w:eastAsia="zh-CN"/>
        </w:rPr>
        <w:t>1842</w:t>
      </w:r>
      <w:r>
        <w:rPr>
          <w:rFonts w:hint="eastAsia"/>
          <w:lang w:eastAsia="zh-CN"/>
        </w:rPr>
        <w:t>.00×6000/√(6000×6000+6000×6000)=</w:t>
      </w:r>
      <w:r>
        <w:rPr>
          <w:rFonts w:hint="eastAsia"/>
          <w:lang w:val="en-US" w:eastAsia="zh-CN"/>
        </w:rPr>
        <w:t>1302.49</w:t>
      </w:r>
      <w:r>
        <w:rPr>
          <w:rFonts w:hint="eastAsia"/>
          <w:lang w:eastAsia="zh-CN"/>
        </w:rPr>
        <w:t>kN.m;</w:t>
      </w:r>
    </w:p>
    <w:p w14:paraId="7D614947">
      <w:pPr>
        <w:spacing w:line="360" w:lineRule="auto"/>
        <w:ind w:left="0" w:leftChars="0" w:firstLine="0" w:firstLineChars="0"/>
        <w:jc w:val="left"/>
        <w:rPr>
          <w:rFonts w:hint="eastAsia"/>
          <w:lang w:eastAsia="zh-CN"/>
        </w:rPr>
      </w:pPr>
      <w:r>
        <w:rPr>
          <w:position w:val="-30"/>
        </w:rPr>
        <w:object>
          <v:shape id="_x0000_i1033" o:spt="75" type="#_x0000_t75" style="height:33.8pt;width:83.75pt;" o:ole="t" filled="f" o:preferrelative="t" stroked="f" coordsize="21600,21600">
            <v:path/>
            <v:fill on="f" alignshape="1" focussize="0,0"/>
            <v:stroke on="f"/>
            <v:imagedata r:id="rId88" grayscale="f" bilevel="f" o:title=""/>
            <o:lock v:ext="edit" aspectratio="t"/>
            <w10:wrap type="none"/>
            <w10:anchorlock/>
          </v:shape>
          <o:OLEObject Type="Embed" ProgID="Equation.DSMT4" ShapeID="_x0000_i1033" DrawAspect="Content" ObjectID="_1468075733" r:id="rId87">
            <o:LockedField>false</o:LockedField>
          </o:OLEObject>
        </w:object>
      </w:r>
      <w:r>
        <w:rPr>
          <w:rFonts w:hint="eastAsia"/>
          <w:lang w:eastAsia="zh-CN"/>
        </w:rPr>
        <w:t>=</w:t>
      </w:r>
      <w:r>
        <w:rPr>
          <w:rFonts w:hint="eastAsia"/>
          <w:lang w:val="en-US" w:eastAsia="zh-CN"/>
        </w:rPr>
        <w:t>1842.00</w:t>
      </w:r>
      <w:r>
        <w:rPr>
          <w:rFonts w:hint="eastAsia"/>
          <w:lang w:eastAsia="zh-CN"/>
        </w:rPr>
        <w:t>×6000/√(6000×6000+6000×6000)=</w:t>
      </w:r>
      <w:r>
        <w:rPr>
          <w:rFonts w:hint="eastAsia"/>
          <w:lang w:val="en-US" w:eastAsia="zh-CN"/>
        </w:rPr>
        <w:t>1302.49</w:t>
      </w:r>
      <w:r>
        <w:rPr>
          <w:rFonts w:hint="eastAsia"/>
          <w:lang w:eastAsia="zh-CN"/>
        </w:rPr>
        <w:t>kN.m;</w:t>
      </w:r>
    </w:p>
    <w:p w14:paraId="7E4A6355">
      <w:pPr>
        <w:ind w:left="0" w:leftChars="0" w:firstLine="0" w:firstLineChars="0"/>
        <w:rPr>
          <w:rFonts w:hint="eastAsia"/>
          <w:lang w:eastAsia="zh-CN"/>
        </w:rPr>
      </w:pPr>
      <w:r>
        <w:t>非工作状态</w:t>
      </w:r>
      <w:r>
        <w:rPr>
          <w:rFonts w:hint="eastAsia"/>
        </w:rPr>
        <w:t>：</w:t>
      </w:r>
      <w:r>
        <w:rPr>
          <w:position w:val="-30"/>
        </w:rPr>
        <w:object>
          <v:shape id="_x0000_i1034" o:spt="75" type="#_x0000_t75" style="height:34.8pt;width:82.75pt;" o:ole="t" filled="f" o:preferrelative="t" stroked="f" coordsize="21600,21600">
            <v:path/>
            <v:fill on="f" alignshape="1" focussize="0,0"/>
            <v:stroke on="f"/>
            <v:imagedata r:id="rId90" grayscale="f" bilevel="f" o:title=""/>
            <o:lock v:ext="edit" aspectratio="t"/>
            <w10:wrap type="none"/>
            <w10:anchorlock/>
          </v:shape>
          <o:OLEObject Type="Embed" ProgID="Equation.DSMT4" ShapeID="_x0000_i1034" DrawAspect="Content" ObjectID="_1468075734" r:id="rId89">
            <o:LockedField>false</o:LockedField>
          </o:OLEObject>
        </w:object>
      </w:r>
      <w:r>
        <w:rPr>
          <w:rFonts w:hint="eastAsia"/>
          <w:lang w:eastAsia="zh-CN"/>
        </w:rPr>
        <w:t>=</w:t>
      </w:r>
      <w:r>
        <w:rPr>
          <w:rFonts w:hint="eastAsia"/>
          <w:lang w:val="en-US" w:eastAsia="zh-CN"/>
        </w:rPr>
        <w:t>1972</w:t>
      </w:r>
      <w:r>
        <w:rPr>
          <w:rFonts w:hint="eastAsia"/>
          <w:lang w:eastAsia="zh-CN"/>
        </w:rPr>
        <w:t>.00×6000/sqrt(6000×6000+6000×6000)=</w:t>
      </w:r>
      <w:r>
        <w:rPr>
          <w:rFonts w:hint="eastAsia"/>
          <w:lang w:val="en-US" w:eastAsia="zh-CN"/>
        </w:rPr>
        <w:t>1397.24</w:t>
      </w:r>
      <w:r>
        <w:rPr>
          <w:rFonts w:hint="eastAsia"/>
          <w:lang w:eastAsia="zh-CN"/>
        </w:rPr>
        <w:t xml:space="preserve"> kN.m;</w:t>
      </w:r>
    </w:p>
    <w:p w14:paraId="409076AF">
      <w:pPr>
        <w:ind w:left="0" w:leftChars="0" w:firstLine="0" w:firstLineChars="0"/>
        <w:rPr>
          <w:rFonts w:hint="eastAsia"/>
          <w:lang w:eastAsia="zh-CN"/>
        </w:rPr>
      </w:pPr>
      <w:r>
        <w:rPr>
          <w:position w:val="-30"/>
        </w:rPr>
        <w:object>
          <v:shape id="_x0000_i1035" o:spt="75" type="#_x0000_t75" style="height:34.8pt;width:83.75pt;" o:ole="t" filled="f" o:preferrelative="t" stroked="f" coordsize="21600,21600">
            <v:path/>
            <v:fill on="f" alignshape="1" focussize="0,0"/>
            <v:stroke on="f"/>
            <v:imagedata r:id="rId92" grayscale="f" bilevel="f" o:title=""/>
            <o:lock v:ext="edit" aspectratio="t"/>
            <w10:wrap type="none"/>
            <w10:anchorlock/>
          </v:shape>
          <o:OLEObject Type="Embed" ProgID="Equation.DSMT4" ShapeID="_x0000_i1035" DrawAspect="Content" ObjectID="_1468075735" r:id="rId91">
            <o:LockedField>false</o:LockedField>
          </o:OLEObject>
        </w:object>
      </w:r>
      <w:r>
        <w:rPr>
          <w:rFonts w:hint="eastAsia"/>
          <w:lang w:eastAsia="zh-CN"/>
        </w:rPr>
        <w:t>=1</w:t>
      </w:r>
      <w:r>
        <w:rPr>
          <w:rFonts w:hint="eastAsia"/>
          <w:lang w:val="en-US" w:eastAsia="zh-CN"/>
        </w:rPr>
        <w:t>976</w:t>
      </w:r>
      <w:r>
        <w:rPr>
          <w:rFonts w:hint="eastAsia"/>
          <w:lang w:eastAsia="zh-CN"/>
        </w:rPr>
        <w:t>.00×6000/√(6000×6000+6000×6000)=</w:t>
      </w:r>
      <w:r>
        <w:rPr>
          <w:rFonts w:hint="eastAsia"/>
          <w:lang w:val="en-US" w:eastAsia="zh-CN"/>
        </w:rPr>
        <w:t>1397.24</w:t>
      </w:r>
      <w:r>
        <w:rPr>
          <w:rFonts w:hint="eastAsia"/>
          <w:lang w:eastAsia="zh-CN"/>
        </w:rPr>
        <w:t xml:space="preserve"> kN.m;</w:t>
      </w:r>
    </w:p>
    <w:p w14:paraId="7796CF06">
      <w:pPr>
        <w:ind w:left="0" w:leftChars="0" w:firstLine="560" w:firstLineChars="200"/>
        <w:rPr>
          <w:rFonts w:hint="eastAsia"/>
          <w:lang w:eastAsia="zh-CN"/>
        </w:rPr>
      </w:pPr>
      <w:r>
        <w:rPr>
          <w:rFonts w:hint="eastAsia"/>
          <w:lang w:eastAsia="zh-CN"/>
        </w:rPr>
        <w:t>6、偏心距在X方向投影长度：</w:t>
      </w:r>
    </w:p>
    <w:p w14:paraId="073E62A4">
      <w:pPr>
        <w:spacing w:line="360" w:lineRule="auto"/>
        <w:ind w:left="0" w:leftChars="0" w:firstLine="0" w:firstLineChars="0"/>
        <w:jc w:val="left"/>
        <w:rPr>
          <w:rFonts w:hint="eastAsia"/>
          <w:lang w:eastAsia="zh-CN"/>
        </w:rPr>
      </w:pPr>
      <w:r>
        <w:t>工作状态</w:t>
      </w:r>
      <w:r>
        <w:rPr>
          <w:rFonts w:hint="eastAsia"/>
        </w:rPr>
        <w:t>：</w:t>
      </w:r>
      <w:r>
        <w:rPr>
          <w:position w:val="-30"/>
        </w:rPr>
        <w:object>
          <v:shape id="_x0000_i1036" o:spt="75" type="#_x0000_t75" style="height:33.8pt;width:73pt;" o:ole="t" filled="f" o:preferrelative="t" stroked="f" coordsize="21600,21600">
            <v:path/>
            <v:fill on="f" alignshape="1" focussize="0,0"/>
            <v:stroke on="f"/>
            <v:imagedata r:id="rId94" grayscale="f" bilevel="f" o:title=""/>
            <o:lock v:ext="edit" aspectratio="t"/>
            <w10:wrap type="none"/>
            <w10:anchorlock/>
          </v:shape>
          <o:OLEObject Type="Embed" ProgID="Equation.DSMT4" ShapeID="_x0000_i1036" DrawAspect="Content" ObjectID="_1468075736" r:id="rId93">
            <o:LockedField>false</o:LockedField>
          </o:OLEObject>
        </w:object>
      </w:r>
      <w:r>
        <w:rPr>
          <w:rFonts w:hint="eastAsia"/>
          <w:lang w:eastAsia="zh-CN"/>
        </w:rPr>
        <w:t>=</w:t>
      </w:r>
      <w:r>
        <w:rPr>
          <w:rFonts w:hint="eastAsia"/>
          <w:lang w:val="en-US" w:eastAsia="zh-CN"/>
        </w:rPr>
        <w:t>1131.97</w:t>
      </w:r>
      <w:r>
        <w:rPr>
          <w:rFonts w:hint="eastAsia"/>
          <w:lang w:eastAsia="zh-CN"/>
        </w:rPr>
        <w:t>×6000/√(6000×6000+6000×6000)=</w:t>
      </w:r>
      <w:r>
        <w:rPr>
          <w:rFonts w:hint="eastAsia"/>
          <w:lang w:val="en-US" w:eastAsia="zh-CN"/>
        </w:rPr>
        <w:t>800.42</w:t>
      </w:r>
      <w:r>
        <w:rPr>
          <w:rFonts w:hint="eastAsia"/>
          <w:lang w:eastAsia="zh-CN"/>
        </w:rPr>
        <w:t xml:space="preserve"> mm;</w:t>
      </w:r>
    </w:p>
    <w:p w14:paraId="2A294A6F">
      <w:pPr>
        <w:spacing w:line="360" w:lineRule="auto"/>
        <w:ind w:left="0" w:leftChars="0" w:firstLine="0" w:firstLineChars="0"/>
        <w:jc w:val="left"/>
        <w:rPr>
          <w:rFonts w:hint="eastAsia"/>
          <w:lang w:eastAsia="zh-CN"/>
        </w:rPr>
      </w:pPr>
      <w:r>
        <w:t>非工作状态</w:t>
      </w:r>
      <w:r>
        <w:rPr>
          <w:rFonts w:hint="eastAsia"/>
        </w:rPr>
        <w:t>：</w:t>
      </w:r>
      <w:r>
        <w:rPr>
          <w:position w:val="-30"/>
        </w:rPr>
        <w:object>
          <v:shape id="_x0000_i1037" o:spt="75" type="#_x0000_t75" style="height:34.8pt;width:73pt;" o:ole="t" filled="f" o:preferrelative="t" stroked="f" coordsize="21600,21600">
            <v:path/>
            <v:fill on="f" alignshape="1" focussize="0,0"/>
            <v:stroke on="f"/>
            <v:imagedata r:id="rId96" grayscale="f" bilevel="f" o:title=""/>
            <o:lock v:ext="edit" aspectratio="t"/>
            <w10:wrap type="none"/>
            <w10:anchorlock/>
          </v:shape>
          <o:OLEObject Type="Embed" ProgID="Equation.DSMT4" ShapeID="_x0000_i1037" DrawAspect="Content" ObjectID="_1468075737" r:id="rId95">
            <o:LockedField>false</o:LockedField>
          </o:OLEObject>
        </w:object>
      </w:r>
      <w:r>
        <w:rPr>
          <w:rFonts w:hint="eastAsia"/>
          <w:lang w:eastAsia="zh-CN"/>
        </w:rPr>
        <w:t>=</w:t>
      </w:r>
      <w:r>
        <w:rPr>
          <w:rFonts w:hint="eastAsia"/>
          <w:lang w:val="en-US" w:eastAsia="zh-CN"/>
        </w:rPr>
        <w:t>1327.70</w:t>
      </w:r>
      <w:r>
        <w:rPr>
          <w:rFonts w:hint="eastAsia"/>
          <w:lang w:eastAsia="zh-CN"/>
        </w:rPr>
        <w:t>×6000/√(6000×6000+6000×6000)=</w:t>
      </w:r>
      <w:r>
        <w:rPr>
          <w:rFonts w:hint="eastAsia"/>
          <w:lang w:val="en-US" w:eastAsia="zh-CN"/>
        </w:rPr>
        <w:t>938.82</w:t>
      </w:r>
      <w:r>
        <w:rPr>
          <w:rFonts w:hint="eastAsia"/>
          <w:lang w:eastAsia="zh-CN"/>
        </w:rPr>
        <w:t>mm;</w:t>
      </w:r>
    </w:p>
    <w:p w14:paraId="7B82C6E8">
      <w:pPr>
        <w:spacing w:line="360" w:lineRule="auto"/>
        <w:ind w:left="0" w:leftChars="0" w:firstLine="560" w:firstLineChars="200"/>
        <w:jc w:val="left"/>
        <w:rPr>
          <w:rFonts w:hint="eastAsia"/>
          <w:lang w:eastAsia="zh-CN"/>
        </w:rPr>
      </w:pPr>
      <w:r>
        <w:rPr>
          <w:rFonts w:hint="eastAsia"/>
          <w:lang w:eastAsia="zh-CN"/>
        </w:rPr>
        <w:t>7、偏心距在Y方向投影长度：</w:t>
      </w:r>
    </w:p>
    <w:p w14:paraId="2F9B0A1D">
      <w:pPr>
        <w:spacing w:line="360" w:lineRule="auto"/>
        <w:ind w:left="0" w:leftChars="0" w:firstLine="0" w:firstLineChars="0"/>
        <w:jc w:val="left"/>
        <w:rPr>
          <w:rFonts w:hint="eastAsia"/>
          <w:lang w:eastAsia="zh-CN"/>
        </w:rPr>
      </w:pPr>
      <w:r>
        <w:t>工作状态</w:t>
      </w:r>
      <w:r>
        <w:rPr>
          <w:rFonts w:hint="eastAsia"/>
        </w:rPr>
        <w:t>：</w:t>
      </w:r>
      <w:r>
        <w:rPr>
          <w:position w:val="-30"/>
        </w:rPr>
        <w:object>
          <v:shape id="_x0000_i1038" o:spt="75" type="#_x0000_t75" style="height:33.8pt;width:72.15pt;" o:ole="t" filled="f" o:preferrelative="t" stroked="f" coordsize="21600,21600">
            <v:path/>
            <v:fill on="f" alignshape="1" focussize="0,0"/>
            <v:stroke on="f"/>
            <v:imagedata r:id="rId98" grayscale="f" bilevel="f" o:title=""/>
            <o:lock v:ext="edit" aspectratio="t"/>
            <w10:wrap type="none"/>
            <w10:anchorlock/>
          </v:shape>
          <o:OLEObject Type="Embed" ProgID="Equation.DSMT4" ShapeID="_x0000_i1038" DrawAspect="Content" ObjectID="_1468075738" r:id="rId97">
            <o:LockedField>false</o:LockedField>
          </o:OLEObject>
        </w:object>
      </w:r>
      <w:r>
        <w:rPr>
          <w:rFonts w:hint="eastAsia"/>
          <w:lang w:eastAsia="zh-CN"/>
        </w:rPr>
        <w:t>=</w:t>
      </w:r>
      <w:r>
        <w:rPr>
          <w:rFonts w:hint="eastAsia"/>
          <w:lang w:val="en-US" w:eastAsia="zh-CN"/>
        </w:rPr>
        <w:t>1131.97</w:t>
      </w:r>
      <w:r>
        <w:rPr>
          <w:rFonts w:hint="eastAsia"/>
          <w:lang w:eastAsia="zh-CN"/>
        </w:rPr>
        <w:t>×6000/√(6000×6000+6000×6000)=</w:t>
      </w:r>
      <w:r>
        <w:rPr>
          <w:rFonts w:hint="eastAsia"/>
          <w:lang w:val="en-US" w:eastAsia="zh-CN"/>
        </w:rPr>
        <w:t>800.42</w:t>
      </w:r>
      <w:r>
        <w:rPr>
          <w:rFonts w:hint="eastAsia"/>
          <w:lang w:eastAsia="zh-CN"/>
        </w:rPr>
        <w:t xml:space="preserve"> mm;</w:t>
      </w:r>
    </w:p>
    <w:p w14:paraId="1C950855">
      <w:pPr>
        <w:spacing w:line="360" w:lineRule="auto"/>
        <w:ind w:left="0" w:leftChars="0" w:firstLine="0" w:firstLineChars="0"/>
        <w:jc w:val="left"/>
        <w:rPr>
          <w:rFonts w:hint="eastAsia"/>
          <w:lang w:eastAsia="zh-CN"/>
        </w:rPr>
      </w:pPr>
      <w:r>
        <w:rPr>
          <w:rFonts w:hint="eastAsia"/>
        </w:rPr>
        <w:t>非工作状态：</w:t>
      </w:r>
      <w:r>
        <w:rPr>
          <w:position w:val="-30"/>
        </w:rPr>
        <w:object>
          <v:shape id="_x0000_i1039" o:spt="75" type="#_x0000_t75" style="height:34.8pt;width:72.15pt;" o:ole="t" filled="f" o:preferrelative="t" stroked="f" coordsize="21600,21600">
            <v:path/>
            <v:fill on="f" alignshape="1" focussize="0,0"/>
            <v:stroke on="f"/>
            <v:imagedata r:id="rId100" grayscale="f" bilevel="f" o:title=""/>
            <o:lock v:ext="edit" aspectratio="t"/>
            <w10:wrap type="none"/>
            <w10:anchorlock/>
          </v:shape>
          <o:OLEObject Type="Embed" ProgID="Equation.DSMT4" ShapeID="_x0000_i1039" DrawAspect="Content" ObjectID="_1468075739" r:id="rId99">
            <o:LockedField>false</o:LockedField>
          </o:OLEObject>
        </w:object>
      </w:r>
      <w:r>
        <w:rPr>
          <w:rFonts w:hint="eastAsia"/>
          <w:lang w:eastAsia="zh-CN"/>
        </w:rPr>
        <w:t>=</w:t>
      </w:r>
      <w:r>
        <w:rPr>
          <w:rFonts w:hint="eastAsia"/>
          <w:lang w:val="en-US" w:eastAsia="zh-CN"/>
        </w:rPr>
        <w:t>1327.70</w:t>
      </w:r>
      <w:r>
        <w:rPr>
          <w:rFonts w:hint="eastAsia"/>
          <w:lang w:eastAsia="zh-CN"/>
        </w:rPr>
        <w:t>×6000/√(6000×6000+6000×6000)=</w:t>
      </w:r>
      <w:r>
        <w:rPr>
          <w:rFonts w:hint="eastAsia"/>
          <w:lang w:val="en-US" w:eastAsia="zh-CN"/>
        </w:rPr>
        <w:t>938.82</w:t>
      </w:r>
      <w:r>
        <w:rPr>
          <w:rFonts w:hint="eastAsia"/>
          <w:lang w:eastAsia="zh-CN"/>
        </w:rPr>
        <w:t>mm;</w:t>
      </w:r>
    </w:p>
    <w:p w14:paraId="50A72FFA">
      <w:pPr>
        <w:spacing w:line="360" w:lineRule="auto"/>
        <w:ind w:left="0" w:leftChars="0" w:firstLine="560" w:firstLineChars="200"/>
        <w:jc w:val="left"/>
        <w:rPr>
          <w:rFonts w:hint="eastAsia"/>
          <w:lang w:eastAsia="zh-CN"/>
        </w:rPr>
      </w:pPr>
      <w:r>
        <w:rPr>
          <w:rFonts w:hint="eastAsia"/>
          <w:lang w:eastAsia="zh-CN"/>
        </w:rPr>
        <w:t>8、偏心荷载合力作用点至eb一侧X方向基础边缘的距离：</w:t>
      </w:r>
    </w:p>
    <w:p w14:paraId="3C9EEDF3">
      <w:pPr>
        <w:spacing w:line="360" w:lineRule="auto"/>
        <w:ind w:left="0" w:leftChars="0" w:firstLine="0" w:firstLineChars="0"/>
        <w:jc w:val="left"/>
        <w:rPr>
          <w:rFonts w:hint="eastAsia"/>
          <w:lang w:eastAsia="zh-CN"/>
        </w:rPr>
      </w:pPr>
      <w:r>
        <w:t>工作状态</w:t>
      </w:r>
      <w:r>
        <w:rPr>
          <w:rFonts w:hint="eastAsia"/>
        </w:rPr>
        <w:t>：</w:t>
      </w:r>
      <w:r>
        <w:rPr>
          <w:position w:val="-24"/>
        </w:rPr>
        <w:object>
          <v:shape id="_x0000_i1040" o:spt="75" type="#_x0000_t75" style="height:31.3pt;width:61.65pt;" o:ole="t" filled="f" o:preferrelative="t" stroked="f" coordsize="21600,21600">
            <v:path/>
            <v:fill on="f" alignshape="1" focussize="0,0"/>
            <v:stroke on="f"/>
            <v:imagedata r:id="rId102" grayscale="f" bilevel="f" o:title=""/>
            <o:lock v:ext="edit" aspectratio="t"/>
            <w10:wrap type="none"/>
            <w10:anchorlock/>
          </v:shape>
          <o:OLEObject Type="Embed" ProgID="Equation.DSMT4" ShapeID="_x0000_i1040" DrawAspect="Content" ObjectID="_1468075740" r:id="rId101">
            <o:LockedField>false</o:LockedField>
          </o:OLEObject>
        </w:object>
      </w:r>
      <w:r>
        <w:rPr>
          <w:rFonts w:hint="eastAsia"/>
          <w:lang w:eastAsia="zh-CN"/>
        </w:rPr>
        <w:t>=6000/2-</w:t>
      </w:r>
      <w:r>
        <w:rPr>
          <w:rFonts w:hint="eastAsia"/>
          <w:lang w:val="en-US" w:eastAsia="zh-CN"/>
        </w:rPr>
        <w:t>800.42</w:t>
      </w:r>
      <w:r>
        <w:rPr>
          <w:rFonts w:hint="eastAsia"/>
          <w:lang w:eastAsia="zh-CN"/>
        </w:rPr>
        <w:t>=</w:t>
      </w:r>
      <w:r>
        <w:rPr>
          <w:rFonts w:hint="eastAsia"/>
          <w:lang w:val="en-US" w:eastAsia="zh-CN"/>
        </w:rPr>
        <w:t>2199.58</w:t>
      </w:r>
      <w:r>
        <w:rPr>
          <w:rFonts w:hint="eastAsia"/>
          <w:lang w:eastAsia="zh-CN"/>
        </w:rPr>
        <w:t xml:space="preserve"> mm;</w:t>
      </w:r>
    </w:p>
    <w:p w14:paraId="0D50ECE7">
      <w:pPr>
        <w:spacing w:line="360" w:lineRule="auto"/>
        <w:ind w:left="0" w:leftChars="0" w:firstLine="0" w:firstLineChars="0"/>
        <w:jc w:val="left"/>
        <w:rPr>
          <w:rFonts w:hint="eastAsia"/>
          <w:lang w:eastAsia="zh-CN"/>
        </w:rPr>
      </w:pPr>
      <w:r>
        <w:rPr>
          <w:rFonts w:hint="eastAsia"/>
        </w:rPr>
        <w:t>非工作</w:t>
      </w:r>
      <w:r>
        <w:t>状态</w:t>
      </w:r>
      <w:r>
        <w:rPr>
          <w:rFonts w:hint="eastAsia"/>
        </w:rPr>
        <w:t>：</w:t>
      </w:r>
      <w:r>
        <w:rPr>
          <w:position w:val="-24"/>
        </w:rPr>
        <w:object>
          <v:shape id="_x0000_i1041" o:spt="75" type="#_x0000_t75" style="height:31.3pt;width:61.65pt;" o:ole="t" filled="f" o:preferrelative="t" stroked="f" coordsize="21600,21600">
            <v:path/>
            <v:fill on="f" alignshape="1" focussize="0,0"/>
            <v:stroke on="f"/>
            <v:imagedata r:id="rId104" grayscale="f" bilevel="f" o:title=""/>
            <o:lock v:ext="edit" aspectratio="t"/>
            <w10:wrap type="none"/>
            <w10:anchorlock/>
          </v:shape>
          <o:OLEObject Type="Embed" ProgID="Equation.DSMT4" ShapeID="_x0000_i1041" DrawAspect="Content" ObjectID="_1468075741" r:id="rId103">
            <o:LockedField>false</o:LockedField>
          </o:OLEObject>
        </w:object>
      </w:r>
      <w:r>
        <w:rPr>
          <w:rFonts w:hint="eastAsia"/>
          <w:lang w:eastAsia="zh-CN"/>
        </w:rPr>
        <w:t>=6000/2-</w:t>
      </w:r>
      <w:r>
        <w:rPr>
          <w:rFonts w:hint="eastAsia"/>
          <w:lang w:val="en-US" w:eastAsia="zh-CN"/>
        </w:rPr>
        <w:t>938.82</w:t>
      </w:r>
      <w:r>
        <w:rPr>
          <w:rFonts w:hint="eastAsia"/>
          <w:lang w:eastAsia="zh-CN"/>
        </w:rPr>
        <w:t>=</w:t>
      </w:r>
      <w:r>
        <w:rPr>
          <w:rFonts w:hint="eastAsia"/>
          <w:lang w:val="en-US" w:eastAsia="zh-CN"/>
        </w:rPr>
        <w:t>2061.18</w:t>
      </w:r>
      <w:r>
        <w:rPr>
          <w:rFonts w:hint="eastAsia"/>
          <w:lang w:eastAsia="zh-CN"/>
        </w:rPr>
        <w:t>mm;</w:t>
      </w:r>
    </w:p>
    <w:p w14:paraId="27FEB439">
      <w:pPr>
        <w:spacing w:line="360" w:lineRule="auto"/>
        <w:ind w:left="0" w:leftChars="0" w:firstLine="560" w:firstLineChars="200"/>
        <w:jc w:val="left"/>
        <w:rPr>
          <w:rFonts w:hint="eastAsia"/>
          <w:lang w:eastAsia="zh-CN"/>
        </w:rPr>
      </w:pPr>
      <w:r>
        <w:rPr>
          <w:rFonts w:hint="eastAsia"/>
          <w:lang w:eastAsia="zh-CN"/>
        </w:rPr>
        <w:t>9、偏心荷载合力作用点至el一侧Y方向基础边缘的距离：</w:t>
      </w:r>
    </w:p>
    <w:p w14:paraId="3E506515">
      <w:pPr>
        <w:spacing w:line="360" w:lineRule="auto"/>
        <w:ind w:left="0" w:leftChars="0" w:firstLine="0" w:firstLineChars="0"/>
        <w:jc w:val="left"/>
        <w:rPr>
          <w:rFonts w:hint="eastAsia"/>
          <w:lang w:eastAsia="zh-CN"/>
        </w:rPr>
      </w:pPr>
      <w:r>
        <w:t>工作状态</w:t>
      </w:r>
      <w:r>
        <w:rPr>
          <w:rFonts w:hint="eastAsia"/>
        </w:rPr>
        <w:t>：</w:t>
      </w:r>
      <w:r>
        <w:rPr>
          <w:position w:val="-24"/>
        </w:rPr>
        <w:object>
          <v:shape id="_x0000_i1042" o:spt="75" type="#_x0000_t75" style="height:31.3pt;width:59.25pt;" o:ole="t" filled="f" o:preferrelative="t" stroked="f" coordsize="21600,21600">
            <v:path/>
            <v:fill on="f" alignshape="1" focussize="0,0"/>
            <v:stroke on="f"/>
            <v:imagedata r:id="rId106" grayscale="f" bilevel="f" o:title=""/>
            <o:lock v:ext="edit" aspectratio="t"/>
            <w10:wrap type="none"/>
            <w10:anchorlock/>
          </v:shape>
          <o:OLEObject Type="Embed" ProgID="Equation.DSMT4" ShapeID="_x0000_i1042" DrawAspect="Content" ObjectID="_1468075742" r:id="rId105">
            <o:LockedField>false</o:LockedField>
          </o:OLEObject>
        </w:object>
      </w:r>
      <w:r>
        <w:rPr>
          <w:rFonts w:hint="eastAsia"/>
          <w:lang w:eastAsia="zh-CN"/>
        </w:rPr>
        <w:t>=6000/2-</w:t>
      </w:r>
      <w:r>
        <w:rPr>
          <w:rFonts w:hint="eastAsia"/>
          <w:lang w:val="en-US" w:eastAsia="zh-CN"/>
        </w:rPr>
        <w:t>800.42</w:t>
      </w:r>
      <w:r>
        <w:rPr>
          <w:rFonts w:hint="eastAsia"/>
          <w:lang w:eastAsia="zh-CN"/>
        </w:rPr>
        <w:t>=</w:t>
      </w:r>
      <w:r>
        <w:rPr>
          <w:rFonts w:hint="eastAsia"/>
          <w:lang w:val="en-US" w:eastAsia="zh-CN"/>
        </w:rPr>
        <w:t>2199.58</w:t>
      </w:r>
      <w:r>
        <w:rPr>
          <w:rFonts w:hint="eastAsia"/>
          <w:lang w:eastAsia="zh-CN"/>
        </w:rPr>
        <w:t xml:space="preserve"> mm;</w:t>
      </w:r>
    </w:p>
    <w:p w14:paraId="6798A54B">
      <w:pPr>
        <w:spacing w:line="360" w:lineRule="auto"/>
        <w:ind w:left="0" w:leftChars="0" w:firstLine="0" w:firstLineChars="0"/>
        <w:jc w:val="left"/>
        <w:rPr>
          <w:rFonts w:hint="eastAsia"/>
          <w:lang w:eastAsia="zh-CN"/>
        </w:rPr>
      </w:pPr>
      <w:r>
        <w:rPr>
          <w:rFonts w:hint="eastAsia"/>
        </w:rPr>
        <w:t>非工作状态：</w:t>
      </w:r>
      <w:r>
        <w:rPr>
          <w:position w:val="-24"/>
        </w:rPr>
        <w:object>
          <v:shape id="_x0000_i1043" o:spt="75" type="#_x0000_t75" style="height:31.3pt;width:59.25pt;" o:ole="t" filled="f" o:preferrelative="t" stroked="f" coordsize="21600,21600">
            <v:path/>
            <v:fill on="f" alignshape="1" focussize="0,0"/>
            <v:stroke on="f"/>
            <v:imagedata r:id="rId108" grayscale="f" bilevel="f" o:title=""/>
            <o:lock v:ext="edit" aspectratio="t"/>
            <w10:wrap type="none"/>
            <w10:anchorlock/>
          </v:shape>
          <o:OLEObject Type="Embed" ProgID="Equation.DSMT4" ShapeID="_x0000_i1043" DrawAspect="Content" ObjectID="_1468075743" r:id="rId107">
            <o:LockedField>false</o:LockedField>
          </o:OLEObject>
        </w:object>
      </w:r>
      <w:r>
        <w:rPr>
          <w:rFonts w:hint="eastAsia"/>
          <w:lang w:eastAsia="zh-CN"/>
        </w:rPr>
        <w:t>=6000/2-</w:t>
      </w:r>
      <w:r>
        <w:rPr>
          <w:rFonts w:hint="eastAsia"/>
          <w:lang w:val="en-US" w:eastAsia="zh-CN"/>
        </w:rPr>
        <w:t>938.82</w:t>
      </w:r>
      <w:r>
        <w:rPr>
          <w:rFonts w:hint="eastAsia"/>
          <w:lang w:eastAsia="zh-CN"/>
        </w:rPr>
        <w:t>=</w:t>
      </w:r>
      <w:r>
        <w:rPr>
          <w:rFonts w:hint="eastAsia"/>
          <w:lang w:val="en-US" w:eastAsia="zh-CN"/>
        </w:rPr>
        <w:t>2061.18</w:t>
      </w:r>
      <w:r>
        <w:rPr>
          <w:rFonts w:hint="eastAsia"/>
          <w:lang w:eastAsia="zh-CN"/>
        </w:rPr>
        <w:t xml:space="preserve"> mm;</w:t>
      </w:r>
    </w:p>
    <w:p w14:paraId="2556EB5D">
      <w:pPr>
        <w:spacing w:line="360" w:lineRule="auto"/>
        <w:ind w:left="0" w:leftChars="0" w:firstLine="560" w:firstLineChars="200"/>
        <w:jc w:val="left"/>
        <w:rPr>
          <w:rFonts w:hint="eastAsia"/>
          <w:lang w:eastAsia="zh-CN"/>
        </w:rPr>
      </w:pPr>
      <w:r>
        <w:rPr>
          <w:rFonts w:hint="eastAsia"/>
          <w:lang w:eastAsia="zh-CN"/>
        </w:rPr>
        <w:t>10、相应于荷载效应标准组合时，基础边缘的最小压力值：</w:t>
      </w:r>
    </w:p>
    <w:p w14:paraId="4FEBC443">
      <w:pPr>
        <w:spacing w:line="360" w:lineRule="auto"/>
        <w:ind w:left="0" w:leftChars="0" w:firstLine="0" w:firstLineChars="0"/>
        <w:jc w:val="left"/>
        <w:rPr>
          <w:rFonts w:hint="eastAsia"/>
          <w:lang w:eastAsia="zh-CN"/>
        </w:rPr>
      </w:pPr>
      <w:r>
        <w:t>工作状态</w:t>
      </w:r>
      <w:r>
        <w:rPr>
          <w:rFonts w:hint="eastAsia"/>
        </w:rPr>
        <w:t>：</w:t>
      </w:r>
      <w:r>
        <w:rPr>
          <w:position w:val="-32"/>
        </w:rPr>
        <w:object>
          <v:shape id="_x0000_i1044" o:spt="75" type="#_x0000_t75" style="height:36.95pt;width:141pt;" o:ole="t" filled="f" o:preferrelative="t" stroked="f" coordsize="21600,21600">
            <v:path/>
            <v:fill on="f" alignshape="1" focussize="0,0"/>
            <v:stroke on="f"/>
            <v:imagedata r:id="rId110" grayscale="f" bilevel="f" o:title=""/>
            <o:lock v:ext="edit" aspectratio="t"/>
            <w10:wrap type="none"/>
            <w10:anchorlock/>
          </v:shape>
          <o:OLEObject Type="Embed" ProgID="Equation.DSMT4" ShapeID="_x0000_i1044" DrawAspect="Content" ObjectID="_1468075744" r:id="rId109">
            <o:LockedField>false</o:LockedField>
          </o:OLEObject>
        </w:object>
      </w:r>
      <w:r>
        <w:rPr>
          <w:rFonts w:hint="eastAsia"/>
          <w:lang w:eastAsia="zh-CN"/>
        </w:rPr>
        <w:t>=</w:t>
      </w:r>
      <w:r>
        <w:rPr>
          <w:rFonts w:hint="eastAsia"/>
          <w:lang w:val="en-US" w:eastAsia="zh-CN"/>
        </w:rPr>
        <w:t>46.06</w:t>
      </w:r>
      <w:r>
        <w:rPr>
          <w:rFonts w:hint="eastAsia"/>
          <w:lang w:eastAsia="zh-CN"/>
        </w:rPr>
        <w:t>-1</w:t>
      </w:r>
      <w:r>
        <w:rPr>
          <w:rFonts w:hint="eastAsia"/>
          <w:lang w:val="en-US" w:eastAsia="zh-CN"/>
        </w:rPr>
        <w:t>302.49</w:t>
      </w:r>
      <w:r>
        <w:rPr>
          <w:rFonts w:hint="eastAsia"/>
          <w:lang w:eastAsia="zh-CN"/>
        </w:rPr>
        <w:t>/(36000000000.00/1000000000)-</w:t>
      </w:r>
      <w:r>
        <w:rPr>
          <w:rFonts w:hint="eastAsia"/>
          <w:lang w:val="en-US" w:eastAsia="zh-CN"/>
        </w:rPr>
        <w:t>1302.49</w:t>
      </w:r>
      <w:r>
        <w:rPr>
          <w:rFonts w:hint="eastAsia"/>
          <w:lang w:eastAsia="zh-CN"/>
        </w:rPr>
        <w:t>/(36000000000.00/1000000000)=-</w:t>
      </w:r>
      <w:r>
        <w:rPr>
          <w:rFonts w:hint="eastAsia"/>
          <w:lang w:val="en-US" w:eastAsia="zh-CN"/>
        </w:rPr>
        <w:t>26.31</w:t>
      </w:r>
      <w:r>
        <w:rPr>
          <w:rFonts w:hint="eastAsia"/>
          <w:lang w:eastAsia="zh-CN"/>
        </w:rPr>
        <w:t xml:space="preserve"> kPa;</w:t>
      </w:r>
    </w:p>
    <w:p w14:paraId="336CD46F">
      <w:pPr>
        <w:spacing w:line="360" w:lineRule="auto"/>
        <w:ind w:left="0" w:leftChars="0" w:firstLine="0" w:firstLineChars="0"/>
        <w:jc w:val="left"/>
        <w:rPr>
          <w:rFonts w:hint="eastAsia"/>
          <w:lang w:eastAsia="zh-CN"/>
        </w:rPr>
      </w:pPr>
      <w:r>
        <w:rPr>
          <w:rFonts w:hint="eastAsia"/>
        </w:rPr>
        <w:t>非工作状态：</w:t>
      </w:r>
      <w:r>
        <w:rPr>
          <w:position w:val="-32"/>
        </w:rPr>
        <w:object>
          <v:shape id="_x0000_i1045" o:spt="75" type="#_x0000_t75" style="height:36.95pt;width:142pt;" o:ole="t" filled="f" o:preferrelative="t" stroked="f" coordsize="21600,21600">
            <v:path/>
            <v:fill on="f" alignshape="1" focussize="0,0"/>
            <v:stroke on="f"/>
            <v:imagedata r:id="rId112" grayscale="f" bilevel="f" o:title=""/>
            <o:lock v:ext="edit" aspectratio="t"/>
            <w10:wrap type="none"/>
            <w10:anchorlock/>
          </v:shape>
          <o:OLEObject Type="Embed" ProgID="Equation.DSMT4" ShapeID="_x0000_i1045" DrawAspect="Content" ObjectID="_1468075745" r:id="rId111">
            <o:LockedField>false</o:LockedField>
          </o:OLEObject>
        </w:object>
      </w:r>
      <w:r>
        <w:rPr>
          <w:rFonts w:hint="eastAsia"/>
          <w:lang w:eastAsia="zh-CN"/>
        </w:rPr>
        <w:t>=</w:t>
      </w:r>
      <w:r>
        <w:rPr>
          <w:rFonts w:hint="eastAsia"/>
          <w:lang w:val="en-US" w:eastAsia="zh-CN"/>
        </w:rPr>
        <w:t>44.03</w:t>
      </w:r>
      <w:r>
        <w:rPr>
          <w:rFonts w:hint="eastAsia"/>
          <w:lang w:eastAsia="zh-CN"/>
        </w:rPr>
        <w:t>-1</w:t>
      </w:r>
      <w:r>
        <w:rPr>
          <w:rFonts w:hint="eastAsia"/>
          <w:lang w:val="en-US" w:eastAsia="zh-CN"/>
        </w:rPr>
        <w:t>397.24</w:t>
      </w:r>
      <w:r>
        <w:rPr>
          <w:rFonts w:hint="eastAsia"/>
          <w:lang w:eastAsia="zh-CN"/>
        </w:rPr>
        <w:t>/(36000000000.00/1000000000)-1</w:t>
      </w:r>
      <w:r>
        <w:rPr>
          <w:rFonts w:hint="eastAsia"/>
          <w:lang w:val="en-US" w:eastAsia="zh-CN"/>
        </w:rPr>
        <w:t>397.24</w:t>
      </w:r>
      <w:r>
        <w:rPr>
          <w:rFonts w:hint="eastAsia"/>
          <w:lang w:eastAsia="zh-CN"/>
        </w:rPr>
        <w:t>/(36000000000.00/1000000000)=-</w:t>
      </w:r>
      <w:r>
        <w:rPr>
          <w:rFonts w:hint="eastAsia"/>
          <w:lang w:val="en-US" w:eastAsia="zh-CN"/>
        </w:rPr>
        <w:t>33.60</w:t>
      </w:r>
      <w:r>
        <w:rPr>
          <w:rFonts w:hint="eastAsia"/>
          <w:lang w:eastAsia="zh-CN"/>
        </w:rPr>
        <w:t xml:space="preserve"> kPa;</w:t>
      </w:r>
    </w:p>
    <w:p w14:paraId="58D49014">
      <w:pPr>
        <w:spacing w:line="360" w:lineRule="auto"/>
        <w:ind w:left="0" w:leftChars="0" w:firstLine="560" w:firstLineChars="200"/>
        <w:jc w:val="left"/>
        <w:rPr>
          <w:rFonts w:hint="eastAsia"/>
          <w:lang w:eastAsia="zh-CN"/>
        </w:rPr>
      </w:pPr>
      <w:r>
        <w:rPr>
          <w:rFonts w:hint="eastAsia"/>
          <w:lang w:eastAsia="zh-CN"/>
        </w:rPr>
        <w:t>11、相应于荷载效应标准组合时，基础边缘的最大压力值：</w:t>
      </w:r>
    </w:p>
    <w:p w14:paraId="53FB0D33">
      <w:pPr>
        <w:spacing w:line="360" w:lineRule="auto"/>
        <w:ind w:left="0" w:leftChars="0" w:firstLine="0" w:firstLineChars="0"/>
        <w:jc w:val="left"/>
        <w:rPr>
          <w:rFonts w:hint="eastAsia"/>
          <w:lang w:eastAsia="zh-CN"/>
        </w:rPr>
      </w:pPr>
      <w:r>
        <w:rPr>
          <w:rFonts w:hint="eastAsia"/>
        </w:rPr>
        <w:t>工作状态：</w:t>
      </w:r>
      <w:r>
        <w:rPr>
          <w:position w:val="-30"/>
        </w:rPr>
        <w:object>
          <v:shape id="_x0000_i1046" o:spt="75" type="#_x0000_t75" style="height:34.35pt;width:89.75pt;" o:ole="t" filled="f" o:preferrelative="t" stroked="f" coordsize="21600,21600">
            <v:path/>
            <v:fill on="f" alignshape="1" focussize="0,0"/>
            <v:stroke on="f"/>
            <v:imagedata r:id="rId114" grayscale="f" bilevel="f" o:title=""/>
            <o:lock v:ext="edit" aspectratio="t"/>
            <w10:wrap type="none"/>
            <w10:anchorlock/>
          </v:shape>
          <o:OLEObject Type="Embed" ProgID="Equation.DSMT4" ShapeID="_x0000_i1046" DrawAspect="Content" ObjectID="_1468075746" r:id="rId113">
            <o:LockedField>false</o:LockedField>
          </o:OLEObject>
        </w:object>
      </w:r>
      <w:r>
        <w:rPr>
          <w:rFonts w:hint="eastAsia"/>
          <w:lang w:eastAsia="zh-CN"/>
        </w:rPr>
        <w:t>=(5</w:t>
      </w:r>
      <w:r>
        <w:rPr>
          <w:rFonts w:hint="eastAsia"/>
          <w:lang w:val="en-US" w:eastAsia="zh-CN"/>
        </w:rPr>
        <w:t>78</w:t>
      </w:r>
      <w:r>
        <w:rPr>
          <w:rFonts w:hint="eastAsia"/>
          <w:lang w:eastAsia="zh-CN"/>
        </w:rPr>
        <w:t>.00+1</w:t>
      </w:r>
      <w:r>
        <w:rPr>
          <w:rFonts w:hint="eastAsia"/>
          <w:lang w:val="en-US" w:eastAsia="zh-CN"/>
        </w:rPr>
        <w:t>08</w:t>
      </w:r>
      <w:r>
        <w:rPr>
          <w:rFonts w:hint="eastAsia"/>
          <w:lang w:eastAsia="zh-CN"/>
        </w:rPr>
        <w:t>0.00)*1000000/(3×</w:t>
      </w:r>
      <w:r>
        <w:rPr>
          <w:rFonts w:hint="eastAsia"/>
          <w:lang w:val="en-US" w:eastAsia="zh-CN"/>
        </w:rPr>
        <w:t>2199.58</w:t>
      </w:r>
      <w:r>
        <w:rPr>
          <w:rFonts w:hint="eastAsia"/>
          <w:lang w:eastAsia="zh-CN"/>
        </w:rPr>
        <w:t>×</w:t>
      </w:r>
      <w:r>
        <w:rPr>
          <w:rFonts w:hint="eastAsia"/>
          <w:lang w:val="en-US" w:eastAsia="zh-CN"/>
        </w:rPr>
        <w:t>2199.58</w:t>
      </w:r>
      <w:r>
        <w:rPr>
          <w:rFonts w:hint="eastAsia"/>
          <w:lang w:eastAsia="zh-CN"/>
        </w:rPr>
        <w:t>)=</w:t>
      </w:r>
      <w:r>
        <w:rPr>
          <w:rFonts w:hint="eastAsia"/>
          <w:lang w:val="en-US" w:eastAsia="zh-CN"/>
        </w:rPr>
        <w:t>114.23</w:t>
      </w:r>
      <w:r>
        <w:rPr>
          <w:rFonts w:hint="eastAsia"/>
          <w:lang w:eastAsia="zh-CN"/>
        </w:rPr>
        <w:t>kPa;</w:t>
      </w:r>
    </w:p>
    <w:p w14:paraId="799E3C17">
      <w:pPr>
        <w:spacing w:line="360" w:lineRule="auto"/>
        <w:ind w:left="0" w:leftChars="0" w:firstLine="0" w:firstLineChars="0"/>
        <w:jc w:val="left"/>
        <w:rPr>
          <w:rFonts w:hint="eastAsia"/>
          <w:lang w:eastAsia="zh-CN"/>
        </w:rPr>
      </w:pPr>
      <w:r>
        <w:rPr>
          <w:rFonts w:hint="eastAsia"/>
        </w:rPr>
        <w:t>非工作状态：</w:t>
      </w:r>
      <w:r>
        <w:rPr>
          <w:position w:val="-32"/>
        </w:rPr>
        <w:object>
          <v:shape id="_x0000_i1047" o:spt="75" type="#_x0000_t75" style="height:36.35pt;width:90.75pt;" o:ole="t" filled="f" o:preferrelative="t" stroked="f" coordsize="21600,21600">
            <v:path/>
            <v:fill on="f" alignshape="1" focussize="0,0"/>
            <v:stroke on="f"/>
            <v:imagedata r:id="rId116" grayscale="f" bilevel="f" o:title=""/>
            <o:lock v:ext="edit" aspectratio="t"/>
            <w10:wrap type="none"/>
            <w10:anchorlock/>
          </v:shape>
          <o:OLEObject Type="Embed" ProgID="Equation.DSMT4" ShapeID="_x0000_i1047" DrawAspect="Content" ObjectID="_1468075747" r:id="rId115">
            <o:LockedField>false</o:LockedField>
          </o:OLEObject>
        </w:object>
      </w:r>
      <w:r>
        <w:rPr>
          <w:rFonts w:hint="eastAsia"/>
          <w:lang w:eastAsia="zh-CN"/>
        </w:rPr>
        <w:t>=(</w:t>
      </w:r>
      <w:r>
        <w:rPr>
          <w:rFonts w:hint="eastAsia"/>
          <w:lang w:val="en-US" w:eastAsia="zh-CN"/>
        </w:rPr>
        <w:t>505</w:t>
      </w:r>
      <w:r>
        <w:rPr>
          <w:rFonts w:hint="eastAsia"/>
          <w:lang w:eastAsia="zh-CN"/>
        </w:rPr>
        <w:t>.00+1</w:t>
      </w:r>
      <w:r>
        <w:rPr>
          <w:rFonts w:hint="eastAsia"/>
          <w:lang w:val="en-US" w:eastAsia="zh-CN"/>
        </w:rPr>
        <w:t>08</w:t>
      </w:r>
      <w:r>
        <w:rPr>
          <w:rFonts w:hint="eastAsia"/>
          <w:lang w:eastAsia="zh-CN"/>
        </w:rPr>
        <w:t>0.00)*1000000/(3×</w:t>
      </w:r>
      <w:r>
        <w:rPr>
          <w:rFonts w:hint="eastAsia"/>
          <w:lang w:val="en-US" w:eastAsia="zh-CN"/>
        </w:rPr>
        <w:t>2061.18</w:t>
      </w:r>
      <w:r>
        <w:rPr>
          <w:rFonts w:hint="eastAsia"/>
          <w:lang w:eastAsia="zh-CN"/>
        </w:rPr>
        <w:t>×</w:t>
      </w:r>
      <w:r>
        <w:rPr>
          <w:rFonts w:hint="eastAsia"/>
          <w:lang w:val="en-US" w:eastAsia="zh-CN"/>
        </w:rPr>
        <w:t>2061.18</w:t>
      </w:r>
      <w:r>
        <w:rPr>
          <w:rFonts w:hint="eastAsia"/>
          <w:lang w:eastAsia="zh-CN"/>
        </w:rPr>
        <w:t>)=</w:t>
      </w:r>
      <w:r>
        <w:rPr>
          <w:rFonts w:hint="eastAsia"/>
          <w:lang w:val="en-US" w:eastAsia="zh-CN"/>
        </w:rPr>
        <w:t>124.36</w:t>
      </w:r>
      <w:r>
        <w:rPr>
          <w:rFonts w:hint="eastAsia"/>
          <w:lang w:eastAsia="zh-CN"/>
        </w:rPr>
        <w:t>kPa;</w:t>
      </w:r>
    </w:p>
    <w:p w14:paraId="119F739B">
      <w:pPr>
        <w:spacing w:line="360" w:lineRule="auto"/>
        <w:ind w:left="0" w:leftChars="0" w:firstLine="0" w:firstLineChars="0"/>
        <w:jc w:val="left"/>
        <w:rPr>
          <w:rFonts w:hint="eastAsia" w:ascii="宋体" w:hAnsi="宋体" w:eastAsia="宋体" w:cs="宋体"/>
          <w:b w:val="0"/>
          <w:i w:val="0"/>
          <w:color w:val="000000"/>
          <w:kern w:val="2"/>
          <w:sz w:val="24"/>
          <w:szCs w:val="24"/>
          <w:u w:val="none"/>
          <w:lang w:val="en-US" w:eastAsia="zh-CN" w:bidi="ar-SA"/>
        </w:rPr>
      </w:pPr>
      <w:r>
        <w:rPr>
          <w:rFonts w:hint="eastAsia" w:ascii="宋体" w:hAnsi="宋体" w:eastAsia="宋体" w:cs="宋体"/>
          <w:b w:val="0"/>
          <w:i w:val="0"/>
          <w:color w:val="000000"/>
          <w:kern w:val="2"/>
          <w:sz w:val="24"/>
          <w:szCs w:val="24"/>
          <w:u w:val="none"/>
          <w:lang w:val="en-US" w:eastAsia="zh-CN" w:bidi="ar-SA"/>
        </w:rPr>
        <w:t>(Pk=46.06kPa)≤(fa=160kPa);</w:t>
      </w:r>
    </w:p>
    <w:p w14:paraId="7B48C195">
      <w:pPr>
        <w:spacing w:line="360" w:lineRule="auto"/>
        <w:ind w:left="0" w:leftChars="0" w:firstLine="0" w:firstLineChars="0"/>
        <w:jc w:val="left"/>
        <w:rPr>
          <w:rFonts w:hint="eastAsia" w:ascii="宋体" w:hAnsi="宋体" w:eastAsia="宋体" w:cs="宋体"/>
          <w:b/>
          <w:i w:val="0"/>
          <w:color w:val="0000C8"/>
          <w:kern w:val="2"/>
          <w:sz w:val="28"/>
          <w:szCs w:val="24"/>
          <w:u w:val="none"/>
          <w:lang w:val="en-US" w:eastAsia="zh-CN" w:bidi="ar-SA"/>
        </w:rPr>
      </w:pPr>
      <w:r>
        <w:rPr>
          <w:rFonts w:hint="eastAsia" w:ascii="宋体" w:hAnsi="宋体" w:eastAsia="宋体" w:cs="宋体"/>
          <w:b/>
          <w:i w:val="0"/>
          <w:color w:val="0000C8"/>
          <w:kern w:val="2"/>
          <w:sz w:val="28"/>
          <w:szCs w:val="24"/>
          <w:u w:val="none"/>
          <w:lang w:val="en-US" w:eastAsia="zh-CN" w:bidi="ar-SA"/>
        </w:rPr>
        <w:t>轴心作用时地基承载力满足要求！</w:t>
      </w:r>
    </w:p>
    <w:p w14:paraId="652F6BDD">
      <w:pPr>
        <w:spacing w:line="360" w:lineRule="auto"/>
        <w:ind w:left="0" w:leftChars="0" w:firstLine="0" w:firstLineChars="0"/>
        <w:jc w:val="left"/>
        <w:rPr>
          <w:rFonts w:hint="eastAsia" w:ascii="宋体" w:hAnsi="宋体" w:eastAsia="宋体" w:cs="宋体"/>
          <w:b w:val="0"/>
          <w:i w:val="0"/>
          <w:color w:val="000000"/>
          <w:kern w:val="2"/>
          <w:sz w:val="24"/>
          <w:szCs w:val="24"/>
          <w:u w:val="none"/>
          <w:lang w:val="en-US" w:eastAsia="zh-CN" w:bidi="ar-SA"/>
        </w:rPr>
      </w:pPr>
      <w:r>
        <w:rPr>
          <w:rFonts w:hint="eastAsia" w:ascii="宋体" w:hAnsi="宋体" w:eastAsia="宋体" w:cs="宋体"/>
          <w:b w:val="0"/>
          <w:i w:val="0"/>
          <w:color w:val="000000"/>
          <w:kern w:val="2"/>
          <w:sz w:val="24"/>
          <w:szCs w:val="24"/>
          <w:u w:val="none"/>
          <w:lang w:val="en-US" w:eastAsia="zh-CN" w:bidi="ar-SA"/>
        </w:rPr>
        <w:t>(Pkmax=124.36kPa)≤(1.2fa=192kPa);</w:t>
      </w:r>
    </w:p>
    <w:p w14:paraId="3E9D3E34">
      <w:pPr>
        <w:spacing w:line="360" w:lineRule="auto"/>
        <w:ind w:left="0" w:leftChars="0" w:firstLine="0" w:firstLineChars="0"/>
        <w:jc w:val="left"/>
        <w:rPr>
          <w:rFonts w:hint="eastAsia" w:ascii="宋体" w:hAnsi="宋体" w:eastAsia="宋体" w:cs="宋体"/>
          <w:b/>
          <w:i w:val="0"/>
          <w:color w:val="0000C8"/>
          <w:kern w:val="2"/>
          <w:sz w:val="28"/>
          <w:szCs w:val="24"/>
          <w:u w:val="none"/>
          <w:lang w:val="en-US" w:eastAsia="zh-CN" w:bidi="ar-SA"/>
        </w:rPr>
      </w:pPr>
      <w:r>
        <w:rPr>
          <w:rFonts w:hint="eastAsia" w:ascii="宋体" w:hAnsi="宋体" w:eastAsia="宋体" w:cs="宋体"/>
          <w:b/>
          <w:i w:val="0"/>
          <w:color w:val="0000C8"/>
          <w:kern w:val="2"/>
          <w:sz w:val="28"/>
          <w:szCs w:val="24"/>
          <w:u w:val="none"/>
          <w:lang w:val="en-US" w:eastAsia="zh-CN" w:bidi="ar-SA"/>
        </w:rPr>
        <w:t>偏心作用时地基承载力满足要求！</w:t>
      </w:r>
    </w:p>
    <w:p w14:paraId="6F698956">
      <w:pPr>
        <w:spacing w:line="360" w:lineRule="auto"/>
        <w:ind w:left="0" w:leftChars="0" w:firstLine="301" w:firstLineChars="100"/>
        <w:jc w:val="left"/>
        <w:rPr>
          <w:rFonts w:hint="eastAsia"/>
          <w:b/>
          <w:sz w:val="30"/>
          <w:szCs w:val="30"/>
        </w:rPr>
      </w:pPr>
      <w:r>
        <w:rPr>
          <w:rFonts w:hint="eastAsia"/>
          <w:b/>
          <w:sz w:val="30"/>
          <w:szCs w:val="30"/>
        </w:rPr>
        <w:t>六、基础抗倾覆稳定性计算</w:t>
      </w:r>
    </w:p>
    <w:p w14:paraId="63883973">
      <w:pPr>
        <w:spacing w:line="360" w:lineRule="auto"/>
        <w:ind w:left="0" w:leftChars="0" w:firstLine="0" w:firstLineChars="0"/>
        <w:jc w:val="left"/>
        <w:rPr>
          <w:rFonts w:hint="eastAsia" w:ascii="宋体" w:hAnsi="宋体" w:eastAsia="宋体" w:cs="宋体"/>
          <w:b w:val="0"/>
          <w:i w:val="0"/>
          <w:color w:val="000000"/>
          <w:kern w:val="2"/>
          <w:sz w:val="24"/>
          <w:szCs w:val="24"/>
          <w:u w:val="none"/>
          <w:lang w:val="en-US" w:eastAsia="zh-CN" w:bidi="ar-SA"/>
        </w:rPr>
      </w:pPr>
      <w:r>
        <w:rPr>
          <w:rFonts w:hint="eastAsia" w:ascii="宋体" w:hAnsi="宋体" w:eastAsia="宋体" w:cs="宋体"/>
          <w:b w:val="0"/>
          <w:i w:val="0"/>
          <w:color w:val="000000"/>
          <w:kern w:val="2"/>
          <w:sz w:val="24"/>
          <w:szCs w:val="24"/>
          <w:u w:val="none"/>
          <w:lang w:val="en-US" w:eastAsia="zh-CN" w:bidi="ar-SA"/>
        </w:rPr>
        <w:t>(l/b=6000.00/6000.00=1.00)≤1.1,按方形基础计算;</w:t>
      </w:r>
    </w:p>
    <w:p w14:paraId="5CD64D84">
      <w:pPr>
        <w:spacing w:line="360" w:lineRule="auto"/>
        <w:ind w:left="0" w:leftChars="0" w:firstLine="0" w:firstLineChars="0"/>
        <w:jc w:val="left"/>
        <w:rPr>
          <w:rFonts w:hint="eastAsia" w:ascii="宋体" w:hAnsi="宋体" w:eastAsia="宋体" w:cs="宋体"/>
          <w:b w:val="0"/>
          <w:i w:val="0"/>
          <w:color w:val="000000"/>
          <w:kern w:val="2"/>
          <w:sz w:val="24"/>
          <w:szCs w:val="24"/>
          <w:u w:val="none"/>
          <w:lang w:val="en-US" w:eastAsia="zh-CN" w:bidi="ar-SA"/>
        </w:rPr>
      </w:pPr>
      <w:r>
        <w:rPr>
          <w:rFonts w:hint="eastAsia" w:ascii="宋体" w:hAnsi="宋体" w:eastAsia="宋体" w:cs="宋体"/>
          <w:b w:val="0"/>
          <w:i w:val="0"/>
          <w:color w:val="000000"/>
          <w:kern w:val="2"/>
          <w:sz w:val="24"/>
          <w:szCs w:val="24"/>
          <w:u w:val="none"/>
          <w:lang w:val="en-US" w:eastAsia="zh-CN" w:bidi="ar-SA"/>
        </w:rPr>
        <w:t>(P</w:t>
      </w:r>
      <w:r>
        <w:rPr>
          <w:rFonts w:hint="eastAsia" w:ascii="宋体" w:hAnsi="宋体" w:eastAsia="宋体" w:cs="宋体"/>
          <w:b w:val="0"/>
          <w:i w:val="0"/>
          <w:color w:val="000000"/>
          <w:kern w:val="2"/>
          <w:sz w:val="16"/>
          <w:szCs w:val="24"/>
          <w:u w:val="none"/>
          <w:lang w:val="en-US" w:eastAsia="zh-CN" w:bidi="ar-SA"/>
        </w:rPr>
        <w:t>k工min</w:t>
      </w:r>
      <w:r>
        <w:rPr>
          <w:rFonts w:hint="eastAsia" w:ascii="宋体" w:hAnsi="宋体" w:eastAsia="宋体" w:cs="宋体"/>
          <w:b w:val="0"/>
          <w:i w:val="0"/>
          <w:color w:val="000000"/>
          <w:kern w:val="2"/>
          <w:sz w:val="24"/>
          <w:szCs w:val="24"/>
          <w:u w:val="none"/>
          <w:lang w:val="en-US" w:eastAsia="zh-CN" w:bidi="ar-SA"/>
        </w:rPr>
        <w:t>=-26.31)&lt;0;</w:t>
      </w:r>
    </w:p>
    <w:p w14:paraId="3D9BF750">
      <w:pPr>
        <w:spacing w:line="360" w:lineRule="auto"/>
        <w:ind w:left="0" w:leftChars="0" w:firstLine="0" w:firstLineChars="0"/>
        <w:jc w:val="left"/>
        <w:rPr>
          <w:rFonts w:hint="eastAsia" w:ascii="宋体" w:hAnsi="宋体" w:eastAsia="宋体" w:cs="宋体"/>
          <w:b w:val="0"/>
          <w:i w:val="0"/>
          <w:color w:val="000000"/>
          <w:kern w:val="2"/>
          <w:sz w:val="24"/>
          <w:szCs w:val="24"/>
          <w:u w:val="none"/>
          <w:lang w:val="en-US" w:eastAsia="zh-CN" w:bidi="ar-SA"/>
        </w:rPr>
      </w:pPr>
      <w:r>
        <w:rPr>
          <w:rFonts w:hint="eastAsia"/>
        </w:rPr>
        <w:t>（</w:t>
      </w:r>
      <w:r>
        <w:rPr>
          <w:position w:val="-12"/>
        </w:rPr>
        <w:object>
          <v:shape id="_x0000_i1048" o:spt="75" type="#_x0000_t75" style="height:19pt;width:27pt;" o:ole="t" filled="f" o:preferrelative="t" stroked="f" coordsize="21600,21600">
            <v:path/>
            <v:fill on="f" alignshape="1" focussize="0,0"/>
            <v:stroke on="f"/>
            <v:imagedata r:id="rId118" grayscale="f" bilevel="f" o:title=""/>
            <o:lock v:ext="edit" aspectratio="t"/>
            <w10:wrap type="none"/>
            <w10:anchorlock/>
          </v:shape>
          <o:OLEObject Type="Embed" ProgID="Equation.DSMT4" ShapeID="_x0000_i1048" DrawAspect="Content" ObjectID="_1468075748" r:id="rId117">
            <o:LockedField>false</o:LockedField>
          </o:OLEObject>
        </w:object>
      </w:r>
      <w:r>
        <w:rPr>
          <w:rFonts w:hint="eastAsia" w:ascii="宋体" w:hAnsi="宋体" w:eastAsia="宋体" w:cs="宋体"/>
          <w:b w:val="0"/>
          <w:i w:val="0"/>
          <w:color w:val="000000"/>
          <w:kern w:val="2"/>
          <w:sz w:val="24"/>
          <w:szCs w:val="24"/>
          <w:u w:val="none"/>
          <w:lang w:val="en-US" w:eastAsia="zh-CN" w:bidi="ar-SA"/>
        </w:rPr>
        <w:t>=2199.58×2199.58=4838147.81)</w:t>
      </w:r>
    </w:p>
    <w:p w14:paraId="6DE95AC3">
      <w:pPr>
        <w:spacing w:line="360" w:lineRule="auto"/>
        <w:ind w:left="0" w:leftChars="0" w:firstLine="0" w:firstLineChars="0"/>
        <w:jc w:val="left"/>
        <w:rPr>
          <w:rFonts w:hint="eastAsia" w:ascii="宋体" w:hAnsi="宋体" w:eastAsia="宋体" w:cs="宋体"/>
          <w:b w:val="0"/>
          <w:i w:val="0"/>
          <w:color w:val="000000"/>
          <w:kern w:val="2"/>
          <w:sz w:val="24"/>
          <w:szCs w:val="24"/>
          <w:u w:val="none"/>
          <w:lang w:val="en-US" w:eastAsia="zh-CN" w:bidi="ar-SA"/>
        </w:rPr>
      </w:pPr>
      <w:r>
        <w:rPr>
          <w:rFonts w:hint="eastAsia" w:ascii="宋体" w:hAnsi="宋体" w:eastAsia="宋体" w:cs="宋体"/>
          <w:b w:val="0"/>
          <w:i w:val="0"/>
          <w:color w:val="000000"/>
          <w:kern w:val="2"/>
          <w:sz w:val="24"/>
          <w:szCs w:val="24"/>
          <w:u w:val="none"/>
          <w:lang w:val="en-US" w:eastAsia="zh-CN" w:bidi="ar-SA"/>
        </w:rPr>
        <w:t>≥(0.125bl=0.125×6000.00×6000.00=4500000.00);</w:t>
      </w:r>
    </w:p>
    <w:p w14:paraId="58D72842">
      <w:pPr>
        <w:spacing w:line="360" w:lineRule="auto"/>
        <w:ind w:left="0" w:leftChars="0" w:firstLine="0" w:firstLineChars="0"/>
        <w:jc w:val="left"/>
        <w:rPr>
          <w:rFonts w:hint="eastAsia" w:ascii="宋体" w:hAnsi="宋体" w:eastAsia="宋体" w:cs="宋体"/>
          <w:b/>
          <w:i w:val="0"/>
          <w:color w:val="0000C8"/>
          <w:kern w:val="2"/>
          <w:sz w:val="28"/>
          <w:szCs w:val="24"/>
          <w:u w:val="none"/>
          <w:lang w:val="en-US" w:eastAsia="zh-CN" w:bidi="ar-SA"/>
        </w:rPr>
      </w:pPr>
      <w:r>
        <w:rPr>
          <w:rFonts w:hint="eastAsia" w:ascii="宋体" w:hAnsi="宋体" w:eastAsia="宋体" w:cs="宋体"/>
          <w:b/>
          <w:i w:val="0"/>
          <w:color w:val="0000C8"/>
          <w:kern w:val="2"/>
          <w:sz w:val="28"/>
          <w:szCs w:val="24"/>
          <w:u w:val="none"/>
          <w:lang w:val="en-US" w:eastAsia="zh-CN" w:bidi="ar-SA"/>
        </w:rPr>
        <w:t>塔机工作状态基础抗倾覆稳定性满足要求！</w:t>
      </w:r>
    </w:p>
    <w:p w14:paraId="68DFAAC0">
      <w:pPr>
        <w:spacing w:line="360" w:lineRule="auto"/>
        <w:ind w:left="0" w:leftChars="0" w:firstLine="0" w:firstLineChars="0"/>
        <w:jc w:val="left"/>
        <w:rPr>
          <w:rFonts w:hint="eastAsia" w:ascii="宋体" w:hAnsi="宋体" w:eastAsia="宋体" w:cs="宋体"/>
          <w:b/>
          <w:i w:val="0"/>
          <w:color w:val="000000"/>
          <w:kern w:val="2"/>
          <w:sz w:val="24"/>
          <w:szCs w:val="24"/>
          <w:u w:val="none"/>
          <w:lang w:val="en-US" w:eastAsia="zh-CN" w:bidi="ar-SA"/>
        </w:rPr>
      </w:pPr>
      <w:r>
        <w:rPr>
          <w:rFonts w:hint="eastAsia" w:ascii="宋体" w:hAnsi="宋体" w:eastAsia="宋体" w:cs="宋体"/>
          <w:b/>
          <w:i w:val="0"/>
          <w:color w:val="0000C8"/>
          <w:kern w:val="2"/>
          <w:sz w:val="28"/>
          <w:szCs w:val="24"/>
          <w:u w:val="none"/>
          <w:lang w:val="en-US" w:eastAsia="zh-CN" w:bidi="ar-SA"/>
        </w:rPr>
        <w:t>(P</w:t>
      </w:r>
      <w:r>
        <w:rPr>
          <w:rFonts w:hint="eastAsia" w:ascii="宋体" w:hAnsi="宋体" w:eastAsia="宋体" w:cs="宋体"/>
          <w:b/>
          <w:i w:val="0"/>
          <w:color w:val="000000"/>
          <w:kern w:val="2"/>
          <w:sz w:val="16"/>
          <w:szCs w:val="24"/>
          <w:u w:val="none"/>
          <w:lang w:val="en-US" w:eastAsia="zh-CN" w:bidi="ar-SA"/>
        </w:rPr>
        <w:t>k非min</w:t>
      </w:r>
      <w:r>
        <w:rPr>
          <w:rFonts w:hint="eastAsia" w:ascii="宋体" w:hAnsi="宋体" w:eastAsia="宋体" w:cs="宋体"/>
          <w:b/>
          <w:i w:val="0"/>
          <w:color w:val="000000"/>
          <w:kern w:val="2"/>
          <w:sz w:val="24"/>
          <w:szCs w:val="24"/>
          <w:u w:val="none"/>
          <w:lang w:val="en-US" w:eastAsia="zh-CN" w:bidi="ar-SA"/>
        </w:rPr>
        <w:t>=-6.20)&lt;0;</w:t>
      </w:r>
    </w:p>
    <w:p w14:paraId="42958667">
      <w:pPr>
        <w:spacing w:line="360" w:lineRule="auto"/>
        <w:ind w:left="0" w:leftChars="0" w:firstLine="0" w:firstLineChars="0"/>
        <w:jc w:val="left"/>
        <w:rPr>
          <w:rFonts w:hint="eastAsia" w:ascii="宋体" w:hAnsi="宋体" w:eastAsia="宋体" w:cs="宋体"/>
          <w:b/>
          <w:i w:val="0"/>
          <w:color w:val="0000C8"/>
          <w:kern w:val="2"/>
          <w:sz w:val="28"/>
          <w:szCs w:val="24"/>
          <w:u w:val="none"/>
          <w:lang w:val="en-US" w:eastAsia="zh-CN" w:bidi="ar-SA"/>
        </w:rPr>
      </w:pPr>
      <w:r>
        <w:drawing>
          <wp:inline distT="0" distB="0" distL="114300" distR="114300">
            <wp:extent cx="4905375" cy="419100"/>
            <wp:effectExtent l="0" t="0" r="9525" b="0"/>
            <wp:docPr id="301"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95"/>
                    <pic:cNvPicPr>
                      <a:picLocks noChangeAspect="1"/>
                    </pic:cNvPicPr>
                  </pic:nvPicPr>
                  <pic:blipFill>
                    <a:blip r:embed="rId119"/>
                    <a:stretch>
                      <a:fillRect/>
                    </a:stretch>
                  </pic:blipFill>
                  <pic:spPr>
                    <a:xfrm>
                      <a:off x="0" y="0"/>
                      <a:ext cx="4905375" cy="419100"/>
                    </a:xfrm>
                    <a:prstGeom prst="rect">
                      <a:avLst/>
                    </a:prstGeom>
                    <a:noFill/>
                    <a:ln>
                      <a:noFill/>
                    </a:ln>
                  </pic:spPr>
                </pic:pic>
              </a:graphicData>
            </a:graphic>
          </wp:inline>
        </w:drawing>
      </w:r>
    </w:p>
    <w:p w14:paraId="7FB70A06">
      <w:pPr>
        <w:keepNext w:val="0"/>
        <w:keepLines w:val="0"/>
        <w:widowControl/>
        <w:suppressLineNumbers w:val="0"/>
        <w:ind w:left="0" w:leftChars="0" w:firstLine="0" w:firstLineChars="0"/>
        <w:jc w:val="left"/>
        <w:rPr>
          <w:rFonts w:hint="eastAsia" w:ascii="宋体" w:hAnsi="宋体" w:eastAsia="宋体" w:cs="宋体"/>
          <w:b/>
          <w:i w:val="0"/>
          <w:color w:val="0000C8"/>
          <w:kern w:val="2"/>
          <w:sz w:val="28"/>
          <w:szCs w:val="24"/>
          <w:u w:val="none"/>
          <w:lang w:val="en-US" w:eastAsia="zh-CN" w:bidi="ar-SA"/>
        </w:rPr>
      </w:pPr>
      <w:r>
        <w:rPr>
          <w:rFonts w:hint="eastAsia" w:ascii="宋体" w:hAnsi="宋体" w:eastAsia="宋体" w:cs="宋体"/>
          <w:color w:val="000000"/>
          <w:kern w:val="0"/>
          <w:sz w:val="24"/>
          <w:szCs w:val="24"/>
          <w:lang w:val="en-US" w:eastAsia="zh-CN" w:bidi="ar"/>
        </w:rPr>
        <w:t>&lt;(b/3=6000.00/3=2000);</w:t>
      </w:r>
    </w:p>
    <w:p w14:paraId="09B57627">
      <w:pPr>
        <w:spacing w:line="360" w:lineRule="auto"/>
        <w:ind w:left="0" w:leftChars="0" w:firstLine="0" w:firstLineChars="0"/>
        <w:jc w:val="left"/>
        <w:rPr>
          <w:rFonts w:hint="eastAsia" w:ascii="宋体" w:hAnsi="宋体" w:eastAsia="宋体" w:cs="宋体"/>
          <w:b/>
          <w:i w:val="0"/>
          <w:color w:val="0000C8"/>
          <w:kern w:val="2"/>
          <w:sz w:val="28"/>
          <w:szCs w:val="24"/>
          <w:u w:val="none"/>
          <w:lang w:val="en-US" w:eastAsia="zh-CN" w:bidi="ar-SA"/>
        </w:rPr>
      </w:pPr>
      <w:r>
        <w:rPr>
          <w:rFonts w:hint="eastAsia" w:ascii="宋体" w:hAnsi="宋体" w:eastAsia="宋体" w:cs="宋体"/>
          <w:b/>
          <w:i w:val="0"/>
          <w:color w:val="0000C8"/>
          <w:kern w:val="2"/>
          <w:sz w:val="28"/>
          <w:szCs w:val="24"/>
          <w:u w:val="none"/>
          <w:lang w:val="en-US" w:eastAsia="zh-CN" w:bidi="ar-SA"/>
        </w:rPr>
        <w:t>塔机非工作状态基础抗倾覆稳定性满足要求！</w:t>
      </w:r>
    </w:p>
    <w:p w14:paraId="508B05CB">
      <w:pPr>
        <w:spacing w:line="360" w:lineRule="auto"/>
        <w:ind w:left="0" w:leftChars="0" w:firstLine="301" w:firstLineChars="100"/>
        <w:jc w:val="left"/>
        <w:rPr>
          <w:rFonts w:hint="eastAsia"/>
          <w:b/>
          <w:sz w:val="30"/>
          <w:szCs w:val="30"/>
        </w:rPr>
      </w:pPr>
      <w:r>
        <w:rPr>
          <w:rFonts w:hint="eastAsia"/>
          <w:b/>
          <w:sz w:val="30"/>
          <w:szCs w:val="30"/>
        </w:rPr>
        <w:t>七、配筋率计算</w:t>
      </w:r>
    </w:p>
    <w:p w14:paraId="451F9F72">
      <w:pPr>
        <w:spacing w:line="360" w:lineRule="auto"/>
        <w:ind w:left="0" w:leftChars="0" w:firstLine="560" w:firstLineChars="200"/>
        <w:jc w:val="left"/>
        <w:rPr>
          <w:rFonts w:hint="eastAsia"/>
          <w:lang w:val="en-US" w:eastAsia="zh-CN"/>
        </w:rPr>
      </w:pPr>
      <w:r>
        <w:rPr>
          <w:rFonts w:hint="eastAsia"/>
          <w:lang w:val="en-US" w:eastAsia="zh-CN"/>
        </w:rPr>
        <w:t>1、底层受拉钢筋合力点至截面近边缘距离：</w:t>
      </w:r>
    </w:p>
    <w:p w14:paraId="66DA9945">
      <w:pPr>
        <w:spacing w:line="360" w:lineRule="auto"/>
        <w:ind w:left="0" w:leftChars="0" w:firstLine="0" w:firstLineChars="0"/>
        <w:jc w:val="left"/>
        <w:rPr>
          <w:rFonts w:hint="eastAsia"/>
          <w:lang w:eastAsia="zh-CN"/>
        </w:rPr>
      </w:pPr>
      <w:r>
        <w:rPr>
          <w:position w:val="-12"/>
        </w:rPr>
        <w:object>
          <v:shape id="_x0000_i1049" o:spt="75" type="#_x0000_t75" style="height:18pt;width:63pt;" o:ole="t" filled="f" o:preferrelative="t" stroked="f" coordsize="21600,21600">
            <v:path/>
            <v:fill on="f" alignshape="1" focussize="0,0"/>
            <v:stroke on="f"/>
            <v:imagedata r:id="rId121" grayscale="f" bilevel="f" o:title=""/>
            <o:lock v:ext="edit" aspectratio="t"/>
            <w10:wrap type="none"/>
            <w10:anchorlock/>
          </v:shape>
          <o:OLEObject Type="Embed" ProgID="Equation.DSMT4" ShapeID="_x0000_i1049" DrawAspect="Content" ObjectID="_1468075749" r:id="rId120">
            <o:LockedField>false</o:LockedField>
          </o:OLEObject>
        </w:object>
      </w:r>
      <w:r>
        <w:rPr>
          <w:rFonts w:hint="eastAsia"/>
          <w:lang w:eastAsia="zh-CN"/>
        </w:rPr>
        <w:t>=50.00+1.5×25.00=87.50 mm;</w:t>
      </w:r>
    </w:p>
    <w:p w14:paraId="28802B96">
      <w:pPr>
        <w:spacing w:line="360" w:lineRule="auto"/>
        <w:ind w:left="0" w:leftChars="0" w:firstLine="560" w:firstLineChars="200"/>
        <w:jc w:val="left"/>
        <w:rPr>
          <w:rFonts w:hint="eastAsia"/>
          <w:lang w:eastAsia="zh-CN"/>
        </w:rPr>
      </w:pPr>
      <w:r>
        <w:rPr>
          <w:rFonts w:hint="eastAsia"/>
          <w:lang w:eastAsia="zh-CN"/>
        </w:rPr>
        <w:t>2、表层受压钢筋合力点至截面近边缘距离：</w:t>
      </w:r>
    </w:p>
    <w:p w14:paraId="3045678A">
      <w:pPr>
        <w:spacing w:line="360" w:lineRule="auto"/>
        <w:ind w:left="0" w:leftChars="0" w:firstLine="0" w:firstLineChars="0"/>
        <w:jc w:val="left"/>
        <w:rPr>
          <w:rFonts w:hint="eastAsia"/>
          <w:lang w:eastAsia="zh-CN"/>
        </w:rPr>
      </w:pPr>
      <w:r>
        <w:rPr>
          <w:position w:val="-12"/>
        </w:rPr>
        <w:object>
          <v:shape id="_x0000_i1050" o:spt="75" type="#_x0000_t75" style="height:19pt;width:65pt;" o:ole="t" filled="f" o:preferrelative="t" stroked="f" coordsize="21600,21600">
            <v:path/>
            <v:fill on="f" alignshape="1" focussize="0,0"/>
            <v:stroke on="f"/>
            <v:imagedata r:id="rId123" grayscale="f" bilevel="f" o:title=""/>
            <o:lock v:ext="edit" aspectratio="t"/>
            <w10:wrap type="none"/>
            <w10:anchorlock/>
          </v:shape>
          <o:OLEObject Type="Embed" ProgID="Equation.DSMT4" ShapeID="_x0000_i1050" DrawAspect="Content" ObjectID="_1468075750" r:id="rId122">
            <o:LockedField>false</o:LockedField>
          </o:OLEObject>
        </w:object>
      </w:r>
      <w:r>
        <w:rPr>
          <w:rFonts w:hint="eastAsia"/>
          <w:lang w:eastAsia="zh-CN"/>
        </w:rPr>
        <w:t>=50.00+1.5×25.00=87.50 mm;</w:t>
      </w:r>
    </w:p>
    <w:p w14:paraId="24DFC499">
      <w:pPr>
        <w:spacing w:line="360" w:lineRule="auto"/>
        <w:ind w:left="0" w:leftChars="0" w:firstLine="560" w:firstLineChars="200"/>
        <w:jc w:val="left"/>
        <w:rPr>
          <w:rFonts w:hint="eastAsia"/>
          <w:lang w:eastAsia="zh-CN"/>
        </w:rPr>
      </w:pPr>
      <w:r>
        <w:rPr>
          <w:rFonts w:hint="eastAsia"/>
          <w:lang w:eastAsia="zh-CN"/>
        </w:rPr>
        <w:t>3、底层受拉钢筋截面积：</w:t>
      </w:r>
    </w:p>
    <w:p w14:paraId="233CDA8A">
      <w:pPr>
        <w:spacing w:line="360" w:lineRule="auto"/>
        <w:ind w:left="0" w:leftChars="0" w:firstLine="0" w:firstLineChars="0"/>
        <w:jc w:val="left"/>
        <w:rPr>
          <w:rFonts w:hint="eastAsia"/>
          <w:lang w:eastAsia="zh-CN"/>
        </w:rPr>
      </w:pPr>
      <w:r>
        <w:rPr>
          <w:rFonts w:hint="eastAsia"/>
        </w:rPr>
        <w:t>X轴(长度b)方向：</w:t>
      </w:r>
      <w:r>
        <w:rPr>
          <w:position w:val="-24"/>
        </w:rPr>
        <w:object>
          <v:shape id="_x0000_i1051" o:spt="75" type="#_x0000_t75" style="height:33pt;width:64pt;" o:ole="t" filled="f" o:preferrelative="t" stroked="f" coordsize="21600,21600">
            <v:path/>
            <v:fill on="f" alignshape="1" focussize="0,0"/>
            <v:stroke on="f"/>
            <v:imagedata r:id="rId125" grayscale="f" bilevel="f" o:title=""/>
            <o:lock v:ext="edit" aspectratio="t"/>
            <w10:wrap type="none"/>
            <w10:anchorlock/>
          </v:shape>
          <o:OLEObject Type="Embed" ProgID="Equation.DSMT4" ShapeID="_x0000_i1051" DrawAspect="Content" ObjectID="_1468075751" r:id="rId124">
            <o:LockedField>false</o:LockedField>
          </o:OLEObject>
        </w:object>
      </w:r>
      <w:r>
        <w:rPr>
          <w:rFonts w:hint="eastAsia"/>
          <w:lang w:eastAsia="zh-CN"/>
        </w:rPr>
        <w:t>=</w:t>
      </w:r>
      <w:r>
        <w:rPr>
          <w:rFonts w:hint="eastAsia"/>
          <w:lang w:val="en-US" w:eastAsia="zh-CN"/>
        </w:rPr>
        <w:t>24</w:t>
      </w:r>
      <w:r>
        <w:rPr>
          <w:rFonts w:hint="eastAsia"/>
          <w:lang w:eastAsia="zh-CN"/>
        </w:rPr>
        <w:t>×3.14×25×25/4=1</w:t>
      </w:r>
      <w:r>
        <w:rPr>
          <w:rFonts w:hint="eastAsia"/>
          <w:lang w:val="en-US" w:eastAsia="zh-CN"/>
        </w:rPr>
        <w:t>1775.00</w:t>
      </w:r>
      <w:r>
        <w:rPr>
          <w:rFonts w:hint="eastAsia"/>
          <w:lang w:eastAsia="zh-CN"/>
        </w:rPr>
        <w:t xml:space="preserve"> mm^2;</w:t>
      </w:r>
    </w:p>
    <w:p w14:paraId="7B52EF2E">
      <w:pPr>
        <w:spacing w:line="360" w:lineRule="auto"/>
        <w:ind w:left="0" w:leftChars="0" w:firstLine="0" w:firstLineChars="0"/>
        <w:jc w:val="left"/>
        <w:rPr>
          <w:rFonts w:hint="eastAsia"/>
          <w:lang w:eastAsia="zh-CN"/>
        </w:rPr>
      </w:pPr>
      <w:r>
        <w:rPr>
          <w:rFonts w:hint="eastAsia"/>
        </w:rPr>
        <w:t>Y轴(长度l)方向：</w:t>
      </w:r>
      <w:r>
        <w:rPr>
          <w:position w:val="-24"/>
        </w:rPr>
        <w:object>
          <v:shape id="_x0000_i1052" o:spt="75" type="#_x0000_t75" style="height:33pt;width:60.95pt;" o:ole="t" filled="f" o:preferrelative="t" stroked="f" coordsize="21600,21600">
            <v:path/>
            <v:fill on="f" alignshape="1" focussize="0,0"/>
            <v:stroke on="f"/>
            <v:imagedata r:id="rId127" grayscale="f" bilevel="f" o:title=""/>
            <o:lock v:ext="edit" aspectratio="t"/>
            <w10:wrap type="none"/>
            <w10:anchorlock/>
          </v:shape>
          <o:OLEObject Type="Embed" ProgID="Equation.DSMT4" ShapeID="_x0000_i1052" DrawAspect="Content" ObjectID="_1468075752" r:id="rId126">
            <o:LockedField>false</o:LockedField>
          </o:OLEObject>
        </w:object>
      </w:r>
      <w:r>
        <w:rPr>
          <w:rFonts w:hint="eastAsia"/>
          <w:lang w:eastAsia="zh-CN"/>
        </w:rPr>
        <w:t>=</w:t>
      </w:r>
      <w:r>
        <w:rPr>
          <w:rFonts w:hint="eastAsia"/>
          <w:lang w:val="en-US" w:eastAsia="zh-CN"/>
        </w:rPr>
        <w:t>24</w:t>
      </w:r>
      <w:r>
        <w:rPr>
          <w:rFonts w:hint="eastAsia"/>
          <w:lang w:eastAsia="zh-CN"/>
        </w:rPr>
        <w:t>×3.14×25×25/4=1</w:t>
      </w:r>
      <w:r>
        <w:rPr>
          <w:rFonts w:hint="eastAsia"/>
          <w:lang w:val="en-US" w:eastAsia="zh-CN"/>
        </w:rPr>
        <w:t>1775.00</w:t>
      </w:r>
      <w:r>
        <w:rPr>
          <w:rFonts w:hint="eastAsia"/>
          <w:lang w:eastAsia="zh-CN"/>
        </w:rPr>
        <w:t xml:space="preserve"> mm^2;</w:t>
      </w:r>
    </w:p>
    <w:p w14:paraId="1DFACDF8">
      <w:pPr>
        <w:spacing w:line="360" w:lineRule="auto"/>
        <w:ind w:left="0" w:leftChars="0" w:firstLine="560" w:firstLineChars="200"/>
        <w:jc w:val="left"/>
        <w:rPr>
          <w:rFonts w:hint="eastAsia"/>
          <w:lang w:eastAsia="zh-CN"/>
        </w:rPr>
      </w:pPr>
      <w:r>
        <w:rPr>
          <w:rFonts w:hint="eastAsia"/>
          <w:lang w:eastAsia="zh-CN"/>
        </w:rPr>
        <w:t>4、配筋率：</w:t>
      </w:r>
    </w:p>
    <w:p w14:paraId="4DBE7C06">
      <w:pPr>
        <w:spacing w:line="360" w:lineRule="auto"/>
        <w:ind w:left="0" w:leftChars="0" w:firstLine="0" w:firstLineChars="0"/>
        <w:jc w:val="left"/>
        <w:rPr>
          <w:rFonts w:hint="eastAsia"/>
          <w:lang w:eastAsia="zh-CN"/>
        </w:rPr>
      </w:pPr>
      <w:r>
        <w:rPr>
          <w:rFonts w:hint="eastAsia"/>
        </w:rPr>
        <w:t>X轴(长度b)方向：</w:t>
      </w:r>
      <w:r>
        <w:rPr>
          <w:position w:val="-32"/>
        </w:rPr>
        <w:object>
          <v:shape id="_x0000_i1053" o:spt="75" type="#_x0000_t75" style="height:35pt;width:110pt;" o:ole="t" filled="f" o:preferrelative="t" stroked="f" coordsize="21600,21600">
            <v:path/>
            <v:fill on="f" alignshape="1" focussize="0,0"/>
            <v:stroke on="f"/>
            <v:imagedata r:id="rId129" grayscale="f" bilevel="f" o:title=""/>
            <o:lock v:ext="edit" aspectratio="t"/>
            <w10:wrap type="none"/>
            <w10:anchorlock/>
          </v:shape>
          <o:OLEObject Type="Embed" ProgID="Equation.DSMT4" ShapeID="_x0000_i1053" DrawAspect="Content" ObjectID="_1468075753" r:id="rId128">
            <o:LockedField>false</o:LockedField>
          </o:OLEObject>
        </w:object>
      </w:r>
      <w:r>
        <w:rPr>
          <w:rFonts w:hint="eastAsia"/>
          <w:lang w:eastAsia="zh-CN"/>
        </w:rPr>
        <w:t>=</w:t>
      </w:r>
      <w:r>
        <w:rPr>
          <w:rFonts w:hint="eastAsia"/>
          <w:lang w:val="en-US" w:eastAsia="zh-CN"/>
        </w:rPr>
        <w:t>11775.00</w:t>
      </w:r>
      <w:r>
        <w:rPr>
          <w:rFonts w:hint="eastAsia"/>
          <w:lang w:eastAsia="zh-CN"/>
        </w:rPr>
        <w:t>/(6000×(</w:t>
      </w:r>
      <w:r>
        <w:rPr>
          <w:rFonts w:hint="eastAsia"/>
          <w:lang w:val="en-US" w:eastAsia="zh-CN"/>
        </w:rPr>
        <w:t>12</w:t>
      </w:r>
      <w:r>
        <w:rPr>
          <w:rFonts w:hint="eastAsia"/>
          <w:lang w:eastAsia="zh-CN"/>
        </w:rPr>
        <w:t>00-87.50))=0.1</w:t>
      </w:r>
      <w:r>
        <w:rPr>
          <w:rFonts w:hint="eastAsia"/>
          <w:lang w:val="en-US" w:eastAsia="zh-CN"/>
        </w:rPr>
        <w:t>8</w:t>
      </w:r>
      <w:r>
        <w:rPr>
          <w:rFonts w:hint="eastAsia"/>
          <w:lang w:eastAsia="zh-CN"/>
        </w:rPr>
        <w:t>%;</w:t>
      </w:r>
    </w:p>
    <w:p w14:paraId="69F1891D">
      <w:pPr>
        <w:spacing w:line="360" w:lineRule="auto"/>
        <w:ind w:left="0" w:leftChars="0" w:firstLine="0" w:firstLineChars="0"/>
        <w:jc w:val="left"/>
        <w:rPr>
          <w:rFonts w:hint="eastAsia"/>
          <w:lang w:eastAsia="zh-CN"/>
        </w:rPr>
      </w:pPr>
      <w:r>
        <w:rPr>
          <w:rFonts w:hint="eastAsia"/>
        </w:rPr>
        <w:t>Y轴(长度l)方向：</w:t>
      </w:r>
      <w:r>
        <w:rPr>
          <w:position w:val="-32"/>
        </w:rPr>
        <w:object>
          <v:shape id="_x0000_i1054" o:spt="75" type="#_x0000_t75" style="height:35pt;width:105pt;" o:ole="t" filled="f" o:preferrelative="t" stroked="f" coordsize="21600,21600">
            <v:path/>
            <v:fill on="f" alignshape="1" focussize="0,0"/>
            <v:stroke on="f"/>
            <v:imagedata r:id="rId131" grayscale="f" bilevel="f" o:title=""/>
            <o:lock v:ext="edit" aspectratio="t"/>
            <w10:wrap type="none"/>
            <w10:anchorlock/>
          </v:shape>
          <o:OLEObject Type="Embed" ProgID="Equation.DSMT4" ShapeID="_x0000_i1054" DrawAspect="Content" ObjectID="_1468075754" r:id="rId130">
            <o:LockedField>false</o:LockedField>
          </o:OLEObject>
        </w:object>
      </w:r>
      <w:r>
        <w:rPr>
          <w:rFonts w:hint="eastAsia"/>
          <w:lang w:eastAsia="zh-CN"/>
        </w:rPr>
        <w:t>=1</w:t>
      </w:r>
      <w:r>
        <w:rPr>
          <w:rFonts w:hint="eastAsia"/>
          <w:lang w:val="en-US" w:eastAsia="zh-CN"/>
        </w:rPr>
        <w:t>1775</w:t>
      </w:r>
      <w:r>
        <w:rPr>
          <w:rFonts w:hint="eastAsia"/>
          <w:lang w:eastAsia="zh-CN"/>
        </w:rPr>
        <w:t>.00/(6000×(</w:t>
      </w:r>
      <w:r>
        <w:rPr>
          <w:rFonts w:hint="eastAsia"/>
          <w:lang w:val="en-US" w:eastAsia="zh-CN"/>
        </w:rPr>
        <w:t>12</w:t>
      </w:r>
      <w:r>
        <w:rPr>
          <w:rFonts w:hint="eastAsia"/>
          <w:lang w:eastAsia="zh-CN"/>
        </w:rPr>
        <w:t>00-87.50))=0.1</w:t>
      </w:r>
      <w:r>
        <w:rPr>
          <w:rFonts w:hint="eastAsia"/>
          <w:lang w:val="en-US" w:eastAsia="zh-CN"/>
        </w:rPr>
        <w:t>8</w:t>
      </w:r>
      <w:r>
        <w:rPr>
          <w:rFonts w:hint="eastAsia"/>
          <w:lang w:eastAsia="zh-CN"/>
        </w:rPr>
        <w:t>%;</w:t>
      </w:r>
    </w:p>
    <w:p w14:paraId="4A27066B">
      <w:pPr>
        <w:spacing w:line="360" w:lineRule="auto"/>
        <w:ind w:left="0" w:leftChars="0" w:firstLine="0" w:firstLineChars="0"/>
        <w:jc w:val="left"/>
        <w:rPr>
          <w:rFonts w:hint="eastAsia"/>
          <w:lang w:eastAsia="zh-CN"/>
        </w:rPr>
      </w:pPr>
      <w:r>
        <w:rPr>
          <w:rFonts w:hint="eastAsia"/>
          <w:lang w:eastAsia="zh-CN"/>
        </w:rPr>
        <w:t>配筋率(ρ=0.17%)≥0.15%,且配筋间距&lt;=200mm</w:t>
      </w:r>
    </w:p>
    <w:p w14:paraId="487ECCAA">
      <w:pPr>
        <w:spacing w:line="360" w:lineRule="auto"/>
        <w:ind w:left="0" w:leftChars="0" w:firstLine="0" w:firstLineChars="0"/>
        <w:jc w:val="left"/>
        <w:rPr>
          <w:rFonts w:hint="eastAsia" w:ascii="宋体" w:hAnsi="宋体" w:eastAsia="宋体" w:cs="宋体"/>
          <w:b/>
          <w:i w:val="0"/>
          <w:color w:val="0000C8"/>
          <w:kern w:val="2"/>
          <w:sz w:val="28"/>
          <w:szCs w:val="24"/>
          <w:u w:val="none"/>
          <w:lang w:val="en-US" w:eastAsia="zh-CN" w:bidi="ar-SA"/>
        </w:rPr>
      </w:pPr>
      <w:r>
        <w:rPr>
          <w:rFonts w:hint="eastAsia" w:ascii="宋体" w:hAnsi="宋体" w:eastAsia="宋体" w:cs="宋体"/>
          <w:b/>
          <w:i w:val="0"/>
          <w:color w:val="0000C8"/>
          <w:kern w:val="2"/>
          <w:sz w:val="28"/>
          <w:szCs w:val="24"/>
          <w:u w:val="none"/>
          <w:lang w:val="en-US" w:eastAsia="zh-CN" w:bidi="ar-SA"/>
        </w:rPr>
        <w:t>塔机基础配筋率满足要求！</w:t>
      </w:r>
    </w:p>
    <w:p w14:paraId="7E9C0C9F">
      <w:pPr>
        <w:spacing w:line="360" w:lineRule="auto"/>
        <w:ind w:left="0" w:leftChars="0" w:firstLine="301" w:firstLineChars="100"/>
        <w:jc w:val="left"/>
        <w:rPr>
          <w:rFonts w:hint="eastAsia"/>
          <w:b/>
          <w:sz w:val="30"/>
          <w:szCs w:val="30"/>
        </w:rPr>
      </w:pPr>
      <w:r>
        <w:rPr>
          <w:rFonts w:hint="eastAsia"/>
          <w:b/>
          <w:sz w:val="30"/>
          <w:szCs w:val="30"/>
        </w:rPr>
        <w:t>八、正截面受弯承载力计算</w:t>
      </w:r>
    </w:p>
    <w:p w14:paraId="4D1161D1">
      <w:pPr>
        <w:spacing w:line="360" w:lineRule="auto"/>
        <w:ind w:left="0" w:leftChars="0" w:firstLine="480" w:firstLineChars="200"/>
        <w:jc w:val="left"/>
        <w:rPr>
          <w:rFonts w:hint="eastAsia" w:ascii="宋体" w:hAnsi="宋体" w:eastAsia="宋体" w:cs="宋体"/>
          <w:b w:val="0"/>
          <w:i w:val="0"/>
          <w:color w:val="000000"/>
          <w:kern w:val="2"/>
          <w:sz w:val="24"/>
          <w:szCs w:val="24"/>
          <w:u w:val="none"/>
          <w:lang w:val="en-US" w:eastAsia="zh-CN" w:bidi="ar-SA"/>
        </w:rPr>
      </w:pPr>
      <w:r>
        <w:rPr>
          <w:rFonts w:hint="eastAsia" w:ascii="宋体" w:hAnsi="宋体" w:eastAsia="宋体" w:cs="宋体"/>
          <w:b w:val="0"/>
          <w:i w:val="0"/>
          <w:color w:val="000000"/>
          <w:kern w:val="2"/>
          <w:sz w:val="24"/>
          <w:szCs w:val="24"/>
          <w:u w:val="none"/>
          <w:lang w:val="en-US" w:eastAsia="zh-CN" w:bidi="ar-SA"/>
        </w:rPr>
        <w:t>1、基础边缘至塔身边缘I-I截面的距离：</w:t>
      </w:r>
    </w:p>
    <w:p w14:paraId="1F908647">
      <w:pPr>
        <w:spacing w:line="360" w:lineRule="auto"/>
        <w:ind w:left="0" w:leftChars="0" w:firstLine="0" w:firstLineChars="0"/>
        <w:jc w:val="left"/>
        <w:rPr>
          <w:rFonts w:hint="eastAsia"/>
          <w:lang w:eastAsia="zh-CN"/>
        </w:rPr>
      </w:pPr>
      <w:r>
        <w:rPr>
          <w:position w:val="-24"/>
        </w:rPr>
        <w:object>
          <v:shape id="_x0000_i1055" o:spt="75" type="#_x0000_t75" style="height:33pt;width:59pt;" o:ole="t" filled="f" o:preferrelative="t" stroked="f" coordsize="21600,21600">
            <v:path/>
            <v:fill on="f" alignshape="1" focussize="0,0"/>
            <v:stroke on="f"/>
            <v:imagedata r:id="rId133" grayscale="f" bilevel="f" o:title=""/>
            <o:lock v:ext="edit" aspectratio="t"/>
            <w10:wrap type="none"/>
            <w10:anchorlock/>
          </v:shape>
          <o:OLEObject Type="Embed" ProgID="Equation.DSMT4" ShapeID="_x0000_i1055" DrawAspect="Content" ObjectID="_1468075755" r:id="rId132">
            <o:LockedField>false</o:LockedField>
          </o:OLEObject>
        </w:object>
      </w:r>
      <w:r>
        <w:rPr>
          <w:rFonts w:hint="eastAsia"/>
          <w:lang w:eastAsia="zh-CN"/>
        </w:rPr>
        <w:t>=(6000.00-1600.00)/2=2200.00 mm;</w:t>
      </w:r>
    </w:p>
    <w:p w14:paraId="1963EC8A">
      <w:pPr>
        <w:spacing w:line="360" w:lineRule="auto"/>
        <w:ind w:left="0" w:leftChars="0" w:firstLine="560" w:firstLineChars="200"/>
        <w:jc w:val="left"/>
        <w:rPr>
          <w:rFonts w:hint="eastAsia"/>
          <w:lang w:eastAsia="zh-CN"/>
        </w:rPr>
      </w:pPr>
      <w:r>
        <w:rPr>
          <w:rFonts w:hint="eastAsia"/>
          <w:lang w:eastAsia="zh-CN"/>
        </w:rPr>
        <w:t>2、I-I截面处的地基净反力：</w:t>
      </w:r>
    </w:p>
    <w:p w14:paraId="5F859133">
      <w:pPr>
        <w:spacing w:line="360" w:lineRule="auto"/>
        <w:ind w:left="0" w:leftChars="0" w:firstLine="0" w:firstLineChars="0"/>
        <w:jc w:val="left"/>
        <w:rPr>
          <w:rFonts w:hint="eastAsia"/>
          <w:lang w:eastAsia="zh-CN"/>
        </w:rPr>
      </w:pPr>
      <w:r>
        <w:rPr>
          <w:rFonts w:hint="eastAsia"/>
          <w:lang w:eastAsia="zh-CN"/>
        </w:rPr>
        <w:t>偏心距e工&lt;=b/6</w:t>
      </w:r>
    </w:p>
    <w:p w14:paraId="6E2C1BC6">
      <w:pPr>
        <w:spacing w:line="360" w:lineRule="auto"/>
        <w:ind w:left="0" w:leftChars="0" w:firstLine="0" w:firstLineChars="0"/>
        <w:jc w:val="left"/>
        <w:rPr>
          <w:rFonts w:hint="eastAsia"/>
          <w:lang w:eastAsia="zh-CN"/>
        </w:rPr>
      </w:pPr>
      <w:r>
        <w:drawing>
          <wp:inline distT="0" distB="0" distL="114300" distR="114300">
            <wp:extent cx="5723890" cy="1002030"/>
            <wp:effectExtent l="0" t="0" r="10160" b="7620"/>
            <wp:docPr id="302"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96"/>
                    <pic:cNvPicPr>
                      <a:picLocks noChangeAspect="1"/>
                    </pic:cNvPicPr>
                  </pic:nvPicPr>
                  <pic:blipFill>
                    <a:blip r:embed="rId134"/>
                    <a:stretch>
                      <a:fillRect/>
                    </a:stretch>
                  </pic:blipFill>
                  <pic:spPr>
                    <a:xfrm>
                      <a:off x="0" y="0"/>
                      <a:ext cx="5723890" cy="1002030"/>
                    </a:xfrm>
                    <a:prstGeom prst="rect">
                      <a:avLst/>
                    </a:prstGeom>
                    <a:noFill/>
                    <a:ln>
                      <a:noFill/>
                    </a:ln>
                  </pic:spPr>
                </pic:pic>
              </a:graphicData>
            </a:graphic>
          </wp:inline>
        </w:drawing>
      </w:r>
      <w:r>
        <w:rPr>
          <w:rFonts w:hint="eastAsia"/>
          <w:lang w:eastAsia="zh-CN"/>
        </w:rPr>
        <w:t>kPa;</w:t>
      </w:r>
    </w:p>
    <w:p w14:paraId="1833D816">
      <w:pPr>
        <w:spacing w:line="360" w:lineRule="auto"/>
        <w:ind w:left="0" w:leftChars="0" w:firstLine="0" w:firstLineChars="0"/>
        <w:jc w:val="left"/>
        <w:rPr>
          <w:rFonts w:hint="eastAsia"/>
          <w:lang w:eastAsia="zh-CN"/>
        </w:rPr>
      </w:pPr>
      <w:r>
        <w:rPr>
          <w:rFonts w:hint="eastAsia"/>
          <w:lang w:eastAsia="zh-CN"/>
        </w:rPr>
        <w:t>偏心距e非&lt;=b/6</w:t>
      </w:r>
    </w:p>
    <w:p w14:paraId="780F5661">
      <w:pPr>
        <w:spacing w:line="360" w:lineRule="auto"/>
        <w:ind w:left="0" w:leftChars="0" w:firstLine="0" w:firstLineChars="0"/>
        <w:jc w:val="left"/>
        <w:rPr>
          <w:rFonts w:hint="eastAsia"/>
        </w:rPr>
      </w:pPr>
      <w:r>
        <w:rPr>
          <w:rFonts w:hint="eastAsia"/>
        </w:rPr>
        <w:t>非工作状态：</w:t>
      </w:r>
    </w:p>
    <w:p w14:paraId="5CC80F60">
      <w:pPr>
        <w:spacing w:line="360" w:lineRule="auto"/>
        <w:ind w:left="0" w:leftChars="0" w:firstLine="0" w:firstLineChars="0"/>
        <w:jc w:val="left"/>
        <w:rPr>
          <w:rFonts w:hint="eastAsia"/>
          <w:lang w:eastAsia="zh-CN"/>
        </w:rPr>
      </w:pPr>
      <w:r>
        <w:drawing>
          <wp:inline distT="0" distB="0" distL="114300" distR="114300">
            <wp:extent cx="5721350" cy="1018540"/>
            <wp:effectExtent l="0" t="0" r="12700" b="10160"/>
            <wp:docPr id="304"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98"/>
                    <pic:cNvPicPr>
                      <a:picLocks noChangeAspect="1"/>
                    </pic:cNvPicPr>
                  </pic:nvPicPr>
                  <pic:blipFill>
                    <a:blip r:embed="rId135"/>
                    <a:stretch>
                      <a:fillRect/>
                    </a:stretch>
                  </pic:blipFill>
                  <pic:spPr>
                    <a:xfrm>
                      <a:off x="0" y="0"/>
                      <a:ext cx="5721350" cy="1018540"/>
                    </a:xfrm>
                    <a:prstGeom prst="rect">
                      <a:avLst/>
                    </a:prstGeom>
                    <a:noFill/>
                    <a:ln>
                      <a:noFill/>
                    </a:ln>
                  </pic:spPr>
                </pic:pic>
              </a:graphicData>
            </a:graphic>
          </wp:inline>
        </w:drawing>
      </w:r>
    </w:p>
    <w:p w14:paraId="54256632">
      <w:pPr>
        <w:spacing w:line="360" w:lineRule="auto"/>
        <w:ind w:left="0" w:leftChars="0" w:firstLine="560" w:firstLineChars="200"/>
        <w:jc w:val="left"/>
        <w:rPr>
          <w:rFonts w:hint="eastAsia"/>
          <w:lang w:eastAsia="zh-CN"/>
        </w:rPr>
      </w:pPr>
      <w:r>
        <w:rPr>
          <w:rFonts w:hint="eastAsia"/>
          <w:lang w:eastAsia="zh-CN"/>
        </w:rPr>
        <w:t>3、作用于I-I截面处的弯矩标准值：</w:t>
      </w:r>
    </w:p>
    <w:p w14:paraId="32299969">
      <w:pPr>
        <w:spacing w:line="360" w:lineRule="auto"/>
        <w:ind w:left="0" w:leftChars="0" w:firstLine="0" w:firstLineChars="0"/>
        <w:jc w:val="left"/>
        <w:rPr>
          <w:rFonts w:hint="eastAsia"/>
          <w:lang w:eastAsia="zh-CN"/>
        </w:rPr>
      </w:pPr>
      <w:r>
        <w:rPr>
          <w:rFonts w:hint="eastAsia"/>
        </w:rPr>
        <w:t>工作状态：</w:t>
      </w:r>
      <w:r>
        <w:rPr>
          <w:position w:val="-28"/>
        </w:rPr>
        <w:object>
          <v:shape id="_x0000_i1056" o:spt="75" type="#_x0000_t75" style="height:35pt;width:156pt;" o:ole="t" filled="f" o:preferrelative="t" stroked="f" coordsize="21600,21600">
            <v:path/>
            <v:fill on="f" alignshape="1" focussize="0,0"/>
            <v:stroke on="f"/>
            <v:imagedata r:id="rId137" grayscale="f" bilevel="f" o:title=""/>
            <o:lock v:ext="edit" aspectratio="t"/>
            <w10:wrap type="none"/>
            <w10:anchorlock/>
          </v:shape>
          <o:OLEObject Type="Embed" ProgID="Equation.DSMT4" ShapeID="_x0000_i1056" DrawAspect="Content" ObjectID="_1468075756" r:id="rId136">
            <o:LockedField>false</o:LockedField>
          </o:OLEObject>
        </w:object>
      </w:r>
      <w:r>
        <w:rPr>
          <w:rFonts w:hint="eastAsia"/>
          <w:lang w:eastAsia="zh-CN"/>
        </w:rPr>
        <w:t>=6000×2200.00×2200.00/1000000000×(</w:t>
      </w:r>
      <w:r>
        <w:rPr>
          <w:rFonts w:hint="eastAsia"/>
          <w:lang w:val="en-US" w:eastAsia="zh-CN"/>
        </w:rPr>
        <w:t>114.23</w:t>
      </w:r>
      <w:r>
        <w:rPr>
          <w:rFonts w:hint="eastAsia"/>
          <w:lang w:eastAsia="zh-CN"/>
        </w:rPr>
        <w:t>+</w:t>
      </w:r>
      <w:r>
        <w:rPr>
          <w:rFonts w:hint="eastAsia"/>
          <w:lang w:val="en-US" w:eastAsia="zh-CN"/>
        </w:rPr>
        <w:t>69.39</w:t>
      </w:r>
      <w:r>
        <w:rPr>
          <w:rFonts w:hint="eastAsia"/>
          <w:lang w:eastAsia="zh-CN"/>
        </w:rPr>
        <w:t>-(2×1</w:t>
      </w:r>
      <w:r>
        <w:rPr>
          <w:rFonts w:hint="eastAsia"/>
          <w:lang w:val="en-US" w:eastAsia="zh-CN"/>
        </w:rPr>
        <w:t>080</w:t>
      </w:r>
      <w:r>
        <w:rPr>
          <w:rFonts w:hint="eastAsia"/>
          <w:lang w:eastAsia="zh-CN"/>
        </w:rPr>
        <w:t>.00)/(6000×6000/1000000))/4=</w:t>
      </w:r>
      <w:r>
        <w:rPr>
          <w:rFonts w:hint="eastAsia"/>
          <w:lang w:val="en-US" w:eastAsia="zh-CN"/>
        </w:rPr>
        <w:t>897.47</w:t>
      </w:r>
      <w:r>
        <w:rPr>
          <w:rFonts w:hint="eastAsia"/>
          <w:lang w:eastAsia="zh-CN"/>
        </w:rPr>
        <w:t xml:space="preserve"> kN.m;</w:t>
      </w:r>
    </w:p>
    <w:p w14:paraId="2E16026B">
      <w:pPr>
        <w:spacing w:line="360" w:lineRule="auto"/>
        <w:ind w:left="0" w:leftChars="0" w:firstLine="0" w:firstLineChars="0"/>
        <w:jc w:val="left"/>
        <w:rPr>
          <w:rFonts w:hint="eastAsia"/>
        </w:rPr>
      </w:pPr>
      <w:r>
        <w:rPr>
          <w:rFonts w:hint="eastAsia"/>
        </w:rPr>
        <w:t>非工作状态：</w:t>
      </w:r>
    </w:p>
    <w:p w14:paraId="1CB87E1E">
      <w:pPr>
        <w:spacing w:line="360" w:lineRule="auto"/>
        <w:ind w:left="0" w:leftChars="0" w:firstLine="0" w:firstLineChars="0"/>
        <w:jc w:val="left"/>
        <w:rPr>
          <w:rFonts w:hint="eastAsia"/>
          <w:lang w:eastAsia="zh-CN"/>
        </w:rPr>
      </w:pPr>
      <w:r>
        <w:rPr>
          <w:position w:val="-28"/>
        </w:rPr>
        <w:object>
          <v:shape id="_x0000_i1057" o:spt="75" type="#_x0000_t75" style="height:35pt;width:156pt;" o:ole="t" filled="f" o:preferrelative="t" stroked="f" coordsize="21600,21600">
            <v:path/>
            <v:fill on="f" alignshape="1" focussize="0,0"/>
            <v:stroke on="f"/>
            <v:imagedata r:id="rId139" grayscale="f" bilevel="f" o:title=""/>
            <o:lock v:ext="edit" aspectratio="t"/>
            <w10:wrap type="none"/>
            <w10:anchorlock/>
          </v:shape>
          <o:OLEObject Type="Embed" ProgID="Equation.DSMT4" ShapeID="_x0000_i1057" DrawAspect="Content" ObjectID="_1468075757" r:id="rId138">
            <o:LockedField>false</o:LockedField>
          </o:OLEObject>
        </w:object>
      </w:r>
      <w:r>
        <w:rPr>
          <w:rFonts w:hint="eastAsia"/>
          <w:lang w:eastAsia="zh-CN"/>
        </w:rPr>
        <w:t>=6000×2200.00×2200.00/1000000000×(</w:t>
      </w:r>
      <w:r>
        <w:rPr>
          <w:rFonts w:hint="eastAsia"/>
          <w:lang w:val="en-US" w:eastAsia="zh-CN"/>
        </w:rPr>
        <w:t>124.36</w:t>
      </w:r>
      <w:r>
        <w:rPr>
          <w:rFonts w:hint="eastAsia"/>
          <w:lang w:eastAsia="zh-CN"/>
        </w:rPr>
        <w:t>+</w:t>
      </w:r>
      <w:r>
        <w:rPr>
          <w:rFonts w:hint="eastAsia"/>
          <w:lang w:val="en-US" w:eastAsia="zh-CN"/>
        </w:rPr>
        <w:t>69.93</w:t>
      </w:r>
      <w:r>
        <w:rPr>
          <w:rFonts w:hint="eastAsia"/>
          <w:lang w:eastAsia="zh-CN"/>
        </w:rPr>
        <w:t>-(2×1</w:t>
      </w:r>
      <w:r>
        <w:rPr>
          <w:rFonts w:hint="eastAsia"/>
          <w:lang w:val="en-US" w:eastAsia="zh-CN"/>
        </w:rPr>
        <w:t>08</w:t>
      </w:r>
      <w:r>
        <w:rPr>
          <w:rFonts w:hint="eastAsia"/>
          <w:lang w:eastAsia="zh-CN"/>
        </w:rPr>
        <w:t>0.00)/(6000×6000/1000000))/4=</w:t>
      </w:r>
      <w:r>
        <w:rPr>
          <w:rFonts w:hint="eastAsia"/>
          <w:lang w:val="en-US" w:eastAsia="zh-CN"/>
        </w:rPr>
        <w:t>974.18</w:t>
      </w:r>
      <w:r>
        <w:rPr>
          <w:rFonts w:hint="eastAsia"/>
          <w:lang w:eastAsia="zh-CN"/>
        </w:rPr>
        <w:t xml:space="preserve"> kN.m;</w:t>
      </w:r>
    </w:p>
    <w:p w14:paraId="1A7EAD5C">
      <w:pPr>
        <w:spacing w:line="360" w:lineRule="auto"/>
        <w:ind w:left="0" w:leftChars="0" w:firstLine="560" w:firstLineChars="200"/>
        <w:jc w:val="left"/>
        <w:rPr>
          <w:rFonts w:hint="eastAsia"/>
          <w:lang w:eastAsia="zh-CN"/>
        </w:rPr>
      </w:pPr>
      <w:r>
        <w:rPr>
          <w:rFonts w:hint="eastAsia"/>
          <w:lang w:eastAsia="zh-CN"/>
        </w:rPr>
        <w:t>4、I-I截面处的弯矩设计值：</w:t>
      </w:r>
    </w:p>
    <w:p w14:paraId="0A23A85D">
      <w:pPr>
        <w:spacing w:line="360" w:lineRule="auto"/>
        <w:ind w:left="0" w:leftChars="0" w:firstLine="0" w:firstLineChars="0"/>
        <w:jc w:val="left"/>
        <w:rPr>
          <w:rFonts w:hint="eastAsia"/>
          <w:lang w:eastAsia="zh-CN"/>
        </w:rPr>
      </w:pPr>
      <w:r>
        <w:rPr>
          <w:rFonts w:hint="eastAsia"/>
        </w:rPr>
        <w:t>工作状态：</w:t>
      </w:r>
      <w:r>
        <w:rPr>
          <w:position w:val="-12"/>
        </w:rPr>
        <w:object>
          <v:shape id="_x0000_i1058" o:spt="75" type="#_x0000_t75" style="height:18pt;width:66pt;" o:ole="t" filled="f" o:preferrelative="t" stroked="f" coordsize="21600,21600">
            <v:path/>
            <v:fill on="f" alignshape="1" focussize="0,0"/>
            <v:stroke on="f"/>
            <v:imagedata r:id="rId141" grayscale="f" bilevel="f" o:title=""/>
            <o:lock v:ext="edit" aspectratio="t"/>
            <w10:wrap type="none"/>
            <w10:anchorlock/>
          </v:shape>
          <o:OLEObject Type="Embed" ProgID="Equation.DSMT4" ShapeID="_x0000_i1058" DrawAspect="Content" ObjectID="_1468075758" r:id="rId140">
            <o:LockedField>false</o:LockedField>
          </o:OLEObject>
        </w:object>
      </w:r>
      <w:r>
        <w:rPr>
          <w:rFonts w:hint="eastAsia"/>
          <w:lang w:eastAsia="zh-CN"/>
        </w:rPr>
        <w:t>=1.35×</w:t>
      </w:r>
      <w:r>
        <w:rPr>
          <w:rFonts w:hint="eastAsia"/>
          <w:lang w:val="en-US" w:eastAsia="zh-CN"/>
        </w:rPr>
        <w:t>897.47</w:t>
      </w:r>
      <w:r>
        <w:rPr>
          <w:rFonts w:hint="eastAsia"/>
          <w:lang w:eastAsia="zh-CN"/>
        </w:rPr>
        <w:t>=1</w:t>
      </w:r>
      <w:r>
        <w:rPr>
          <w:rFonts w:hint="eastAsia"/>
          <w:lang w:val="en-US" w:eastAsia="zh-CN"/>
        </w:rPr>
        <w:t>211.58</w:t>
      </w:r>
      <w:r>
        <w:rPr>
          <w:rFonts w:hint="eastAsia"/>
          <w:lang w:eastAsia="zh-CN"/>
        </w:rPr>
        <w:t xml:space="preserve"> kN.m;</w:t>
      </w:r>
    </w:p>
    <w:p w14:paraId="7E648502">
      <w:pPr>
        <w:spacing w:line="360" w:lineRule="auto"/>
        <w:ind w:left="0" w:leftChars="0" w:firstLine="0" w:firstLineChars="0"/>
        <w:jc w:val="left"/>
        <w:rPr>
          <w:rFonts w:hint="eastAsia"/>
          <w:lang w:eastAsia="zh-CN"/>
        </w:rPr>
      </w:pPr>
      <w:r>
        <w:rPr>
          <w:rFonts w:hint="eastAsia"/>
        </w:rPr>
        <w:t>非工作状态：</w:t>
      </w:r>
      <w:r>
        <w:rPr>
          <w:position w:val="-14"/>
        </w:rPr>
        <w:object>
          <v:shape id="_x0000_i1059" o:spt="75" type="#_x0000_t75" style="height:19pt;width:66pt;" o:ole="t" filled="f" o:preferrelative="t" stroked="f" coordsize="21600,21600">
            <v:path/>
            <v:fill on="f" alignshape="1" focussize="0,0"/>
            <v:stroke on="f"/>
            <v:imagedata r:id="rId143" grayscale="f" bilevel="f" o:title=""/>
            <o:lock v:ext="edit" aspectratio="t"/>
            <w10:wrap type="none"/>
            <w10:anchorlock/>
          </v:shape>
          <o:OLEObject Type="Embed" ProgID="Equation.DSMT4" ShapeID="_x0000_i1059" DrawAspect="Content" ObjectID="_1468075759" r:id="rId142">
            <o:LockedField>false</o:LockedField>
          </o:OLEObject>
        </w:object>
      </w:r>
      <w:r>
        <w:rPr>
          <w:rFonts w:hint="eastAsia"/>
          <w:lang w:eastAsia="zh-CN"/>
        </w:rPr>
        <w:t>=1.35×</w:t>
      </w:r>
      <w:r>
        <w:rPr>
          <w:rFonts w:hint="eastAsia"/>
          <w:lang w:val="en-US" w:eastAsia="zh-CN"/>
        </w:rPr>
        <w:t>974.18</w:t>
      </w:r>
      <w:r>
        <w:rPr>
          <w:rFonts w:hint="eastAsia"/>
          <w:lang w:eastAsia="zh-CN"/>
        </w:rPr>
        <w:t>=1</w:t>
      </w:r>
      <w:r>
        <w:rPr>
          <w:rFonts w:hint="eastAsia"/>
          <w:lang w:val="en-US" w:eastAsia="zh-CN"/>
        </w:rPr>
        <w:t>315.14</w:t>
      </w:r>
      <w:r>
        <w:rPr>
          <w:rFonts w:hint="eastAsia"/>
          <w:lang w:eastAsia="zh-CN"/>
        </w:rPr>
        <w:t xml:space="preserve"> kN.m;</w:t>
      </w:r>
    </w:p>
    <w:p w14:paraId="30CE66A2">
      <w:pPr>
        <w:spacing w:line="360" w:lineRule="auto"/>
        <w:ind w:left="0" w:leftChars="0" w:firstLine="560" w:firstLineChars="200"/>
        <w:jc w:val="left"/>
        <w:rPr>
          <w:rFonts w:hint="eastAsia"/>
          <w:lang w:eastAsia="zh-CN"/>
        </w:rPr>
      </w:pPr>
      <w:r>
        <w:rPr>
          <w:rFonts w:hint="eastAsia"/>
          <w:lang w:eastAsia="zh-CN"/>
        </w:rPr>
        <w:t>5、I-I截面处的许用弯矩：</w:t>
      </w:r>
    </w:p>
    <w:p w14:paraId="2C63BC7C">
      <w:pPr>
        <w:spacing w:line="360" w:lineRule="auto"/>
        <w:ind w:left="0" w:leftChars="0" w:firstLine="0" w:firstLineChars="0"/>
        <w:jc w:val="left"/>
        <w:rPr>
          <w:rFonts w:hint="eastAsia"/>
          <w:lang w:eastAsia="zh-CN"/>
        </w:rPr>
      </w:pPr>
      <w:r>
        <w:rPr>
          <w:position w:val="-16"/>
        </w:rPr>
        <w:object>
          <v:shape id="_x0000_i1060" o:spt="75" type="#_x0000_t75" style="height:22pt;width:117pt;" o:ole="t" filled="f" o:preferrelative="t" stroked="f" coordsize="21600,21600">
            <v:path/>
            <v:fill on="f" alignshape="1" focussize="0,0"/>
            <v:stroke on="f"/>
            <v:imagedata r:id="rId145" grayscale="f" bilevel="f" o:title=""/>
            <o:lock v:ext="edit" aspectratio="t"/>
            <w10:wrap type="none"/>
            <w10:anchorlock/>
          </v:shape>
          <o:OLEObject Type="Embed" ProgID="Equation.DSMT4" ShapeID="_x0000_i1060" DrawAspect="Content" ObjectID="_1468075760" r:id="rId144">
            <o:LockedField>false</o:LockedField>
          </o:OLEObject>
        </w:object>
      </w:r>
      <w:r>
        <w:rPr>
          <w:rFonts w:hint="eastAsia"/>
          <w:lang w:eastAsia="zh-CN"/>
        </w:rPr>
        <w:t>=300.00×1</w:t>
      </w:r>
      <w:r>
        <w:rPr>
          <w:rFonts w:hint="eastAsia"/>
          <w:lang w:val="en-US" w:eastAsia="zh-CN"/>
        </w:rPr>
        <w:t>1775.00</w:t>
      </w:r>
      <w:r>
        <w:rPr>
          <w:rFonts w:hint="eastAsia"/>
          <w:lang w:eastAsia="zh-CN"/>
        </w:rPr>
        <w:t>×(</w:t>
      </w:r>
      <w:r>
        <w:rPr>
          <w:rFonts w:hint="eastAsia"/>
          <w:lang w:val="en-US" w:eastAsia="zh-CN"/>
        </w:rPr>
        <w:t>12</w:t>
      </w:r>
      <w:r>
        <w:rPr>
          <w:rFonts w:hint="eastAsia"/>
          <w:lang w:eastAsia="zh-CN"/>
        </w:rPr>
        <w:t>00-87.50-87.50)=</w:t>
      </w:r>
      <w:r>
        <w:rPr>
          <w:rFonts w:hint="eastAsia"/>
          <w:lang w:val="en-US" w:eastAsia="zh-CN"/>
        </w:rPr>
        <w:t>3620.81</w:t>
      </w:r>
      <w:r>
        <w:rPr>
          <w:rFonts w:hint="eastAsia"/>
          <w:lang w:eastAsia="zh-CN"/>
        </w:rPr>
        <w:t>kN.m;</w:t>
      </w:r>
    </w:p>
    <w:p w14:paraId="69C7A3E0">
      <w:pPr>
        <w:spacing w:line="360" w:lineRule="auto"/>
        <w:ind w:left="0" w:leftChars="0" w:firstLine="0" w:firstLineChars="0"/>
        <w:jc w:val="left"/>
        <w:rPr>
          <w:rFonts w:hint="eastAsia"/>
          <w:lang w:eastAsia="zh-CN"/>
        </w:rPr>
      </w:pPr>
      <w:r>
        <w:rPr>
          <w:rFonts w:hint="eastAsia"/>
          <w:lang w:eastAsia="zh-CN"/>
        </w:rPr>
        <w:t>I-I截面弯矩设计值(Ms=</w:t>
      </w:r>
      <w:r>
        <w:rPr>
          <w:rFonts w:hint="eastAsia"/>
          <w:lang w:val="en-US" w:eastAsia="zh-CN"/>
        </w:rPr>
        <w:t>947.18</w:t>
      </w:r>
      <w:r>
        <w:rPr>
          <w:rFonts w:hint="eastAsia"/>
          <w:lang w:eastAsia="zh-CN"/>
        </w:rPr>
        <w:t>kN.m)≤([M]=</w:t>
      </w:r>
      <w:r>
        <w:rPr>
          <w:rFonts w:hint="eastAsia"/>
          <w:lang w:val="en-US" w:eastAsia="zh-CN"/>
        </w:rPr>
        <w:t>3620.81</w:t>
      </w:r>
      <w:r>
        <w:rPr>
          <w:rFonts w:hint="eastAsia"/>
          <w:lang w:eastAsia="zh-CN"/>
        </w:rPr>
        <w:t>kN.m);</w:t>
      </w:r>
    </w:p>
    <w:p w14:paraId="5B9C60FF">
      <w:pPr>
        <w:spacing w:line="360" w:lineRule="auto"/>
        <w:ind w:left="0" w:leftChars="0" w:firstLine="0" w:firstLineChars="0"/>
        <w:jc w:val="left"/>
        <w:rPr>
          <w:rFonts w:hint="eastAsia" w:ascii="宋体" w:hAnsi="宋体" w:eastAsia="宋体" w:cs="宋体"/>
          <w:b/>
          <w:i w:val="0"/>
          <w:color w:val="0000C8"/>
          <w:kern w:val="2"/>
          <w:sz w:val="28"/>
          <w:szCs w:val="24"/>
          <w:u w:val="none"/>
          <w:lang w:val="en-US" w:eastAsia="zh-CN" w:bidi="ar-SA"/>
        </w:rPr>
      </w:pPr>
      <w:r>
        <w:rPr>
          <w:rFonts w:hint="eastAsia" w:ascii="宋体" w:hAnsi="宋体" w:eastAsia="宋体" w:cs="宋体"/>
          <w:b/>
          <w:i w:val="0"/>
          <w:color w:val="0000C8"/>
          <w:kern w:val="2"/>
          <w:sz w:val="28"/>
          <w:szCs w:val="24"/>
          <w:u w:val="none"/>
          <w:lang w:val="en-US" w:eastAsia="zh-CN" w:bidi="ar-SA"/>
        </w:rPr>
        <w:t>塔机基础正截面抗弯满足要求！</w:t>
      </w:r>
    </w:p>
    <w:p w14:paraId="53EEB781">
      <w:pPr>
        <w:spacing w:line="360" w:lineRule="auto"/>
        <w:ind w:left="0" w:leftChars="0" w:firstLine="301" w:firstLineChars="100"/>
        <w:jc w:val="left"/>
        <w:rPr>
          <w:rFonts w:hint="eastAsia"/>
          <w:b/>
          <w:sz w:val="30"/>
          <w:szCs w:val="30"/>
        </w:rPr>
      </w:pPr>
      <w:r>
        <w:rPr>
          <w:rFonts w:hint="eastAsia"/>
          <w:b/>
          <w:sz w:val="30"/>
          <w:szCs w:val="30"/>
        </w:rPr>
        <w:t>九、受冲切承载力计算</w:t>
      </w:r>
    </w:p>
    <w:p w14:paraId="051ED61A">
      <w:pPr>
        <w:spacing w:line="360" w:lineRule="auto"/>
        <w:ind w:left="0" w:leftChars="0" w:firstLine="560" w:firstLineChars="200"/>
        <w:jc w:val="left"/>
        <w:rPr>
          <w:rFonts w:hint="eastAsia"/>
          <w:lang w:val="en-US" w:eastAsia="zh-CN"/>
        </w:rPr>
      </w:pPr>
      <w:r>
        <w:rPr>
          <w:rFonts w:hint="eastAsia"/>
          <w:lang w:val="en-US" w:eastAsia="zh-CN"/>
        </w:rPr>
        <w:t>1、截面高度影响系数：</w:t>
      </w:r>
    </w:p>
    <w:p w14:paraId="61D9F4C0">
      <w:pPr>
        <w:spacing w:line="360" w:lineRule="auto"/>
        <w:ind w:left="0" w:leftChars="0" w:firstLine="0" w:firstLineChars="0"/>
        <w:jc w:val="left"/>
        <w:rPr>
          <w:rFonts w:hint="eastAsia" w:ascii="宋体" w:hAnsi="宋体" w:eastAsia="宋体" w:cs="宋体"/>
          <w:b w:val="0"/>
          <w:i w:val="0"/>
          <w:color w:val="000000"/>
          <w:kern w:val="2"/>
          <w:sz w:val="24"/>
          <w:szCs w:val="24"/>
          <w:u w:val="none"/>
          <w:lang w:val="en-US" w:eastAsia="zh-CN" w:bidi="ar-SA"/>
        </w:rPr>
      </w:pPr>
      <w:r>
        <w:drawing>
          <wp:inline distT="0" distB="0" distL="114300" distR="114300">
            <wp:extent cx="3667125" cy="200025"/>
            <wp:effectExtent l="0" t="0" r="9525" b="9525"/>
            <wp:docPr id="305"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99"/>
                    <pic:cNvPicPr>
                      <a:picLocks noChangeAspect="1"/>
                    </pic:cNvPicPr>
                  </pic:nvPicPr>
                  <pic:blipFill>
                    <a:blip r:embed="rId146"/>
                    <a:stretch>
                      <a:fillRect/>
                    </a:stretch>
                  </pic:blipFill>
                  <pic:spPr>
                    <a:xfrm>
                      <a:off x="0" y="0"/>
                      <a:ext cx="3667125" cy="200025"/>
                    </a:xfrm>
                    <a:prstGeom prst="rect">
                      <a:avLst/>
                    </a:prstGeom>
                    <a:noFill/>
                    <a:ln>
                      <a:noFill/>
                    </a:ln>
                  </pic:spPr>
                </pic:pic>
              </a:graphicData>
            </a:graphic>
          </wp:inline>
        </w:drawing>
      </w:r>
    </w:p>
    <w:p w14:paraId="709F0BC8">
      <w:pPr>
        <w:spacing w:line="360" w:lineRule="auto"/>
        <w:ind w:left="0" w:leftChars="0" w:firstLine="560" w:firstLineChars="200"/>
        <w:jc w:val="left"/>
        <w:rPr>
          <w:rFonts w:hint="eastAsia"/>
          <w:lang w:val="en-US" w:eastAsia="zh-CN"/>
        </w:rPr>
      </w:pPr>
      <w:r>
        <w:rPr>
          <w:rFonts w:hint="eastAsia"/>
          <w:lang w:val="en-US" w:eastAsia="zh-CN"/>
        </w:rPr>
        <w:t>2、冲切破坏锥体有效高度：</w:t>
      </w:r>
    </w:p>
    <w:p w14:paraId="0309B701">
      <w:pPr>
        <w:spacing w:line="360" w:lineRule="auto"/>
        <w:ind w:left="0" w:leftChars="0" w:firstLine="0" w:firstLineChars="0"/>
        <w:jc w:val="left"/>
        <w:rPr>
          <w:rFonts w:hint="eastAsia"/>
          <w:lang w:eastAsia="zh-CN"/>
        </w:rPr>
      </w:pPr>
      <w:r>
        <w:rPr>
          <w:position w:val="-12"/>
        </w:rPr>
        <w:object>
          <v:shape id="_x0000_i1061" o:spt="75" type="#_x0000_t75" style="height:18pt;width:52pt;" o:ole="t" filled="f" o:preferrelative="t" stroked="f" coordsize="21600,21600">
            <v:path/>
            <v:fill on="f" alignshape="1" focussize="0,0"/>
            <v:stroke on="f"/>
            <v:imagedata r:id="rId148" grayscale="f" bilevel="f" o:title=""/>
            <o:lock v:ext="edit" aspectratio="t"/>
            <w10:wrap type="none"/>
            <w10:anchorlock/>
          </v:shape>
          <o:OLEObject Type="Embed" ProgID="Equation.DSMT4" ShapeID="_x0000_i1061" DrawAspect="Content" ObjectID="_1468075761" r:id="rId147">
            <o:LockedField>false</o:LockedField>
          </o:OLEObject>
        </w:object>
      </w:r>
      <w:r>
        <w:rPr>
          <w:rFonts w:hint="eastAsia"/>
          <w:lang w:eastAsia="zh-CN"/>
        </w:rPr>
        <w:t>=</w:t>
      </w:r>
      <w:r>
        <w:rPr>
          <w:rFonts w:hint="eastAsia"/>
          <w:lang w:val="en-US" w:eastAsia="zh-CN"/>
        </w:rPr>
        <w:t>12</w:t>
      </w:r>
      <w:r>
        <w:rPr>
          <w:rFonts w:hint="eastAsia"/>
          <w:lang w:eastAsia="zh-CN"/>
        </w:rPr>
        <w:t>00-87.50=</w:t>
      </w:r>
      <w:r>
        <w:rPr>
          <w:rFonts w:hint="eastAsia"/>
          <w:lang w:val="en-US" w:eastAsia="zh-CN"/>
        </w:rPr>
        <w:t>1112.50</w:t>
      </w:r>
      <w:r>
        <w:rPr>
          <w:rFonts w:hint="eastAsia"/>
          <w:lang w:eastAsia="zh-CN"/>
        </w:rPr>
        <w:t xml:space="preserve"> mm;</w:t>
      </w:r>
    </w:p>
    <w:p w14:paraId="18772BD6">
      <w:pPr>
        <w:spacing w:line="360" w:lineRule="auto"/>
        <w:ind w:left="0" w:leftChars="0" w:firstLine="560" w:firstLineChars="200"/>
        <w:jc w:val="left"/>
        <w:rPr>
          <w:rFonts w:hint="eastAsia"/>
          <w:lang w:eastAsia="zh-CN"/>
        </w:rPr>
      </w:pPr>
      <w:r>
        <w:rPr>
          <w:rFonts w:hint="eastAsia"/>
          <w:lang w:eastAsia="zh-CN"/>
        </w:rPr>
        <w:t>3、冲切锥体最不利一侧计算长度：</w:t>
      </w:r>
    </w:p>
    <w:p w14:paraId="517F1C69">
      <w:pPr>
        <w:spacing w:line="360" w:lineRule="auto"/>
        <w:ind w:left="0" w:leftChars="0" w:firstLine="0" w:firstLineChars="0"/>
        <w:jc w:val="left"/>
        <w:rPr>
          <w:rFonts w:hint="eastAsia"/>
          <w:lang w:eastAsia="zh-CN"/>
        </w:rPr>
      </w:pPr>
      <w:r>
        <w:rPr>
          <w:position w:val="-12"/>
        </w:rPr>
        <w:object>
          <v:shape id="_x0000_i1062" o:spt="75" type="#_x0000_t75" style="height:18pt;width:58pt;" o:ole="t" filled="f" o:preferrelative="t" stroked="f" coordsize="21600,21600">
            <v:path/>
            <v:fill on="f" alignshape="1" focussize="0,0"/>
            <v:stroke on="f"/>
            <v:imagedata r:id="rId150" grayscale="f" bilevel="f" o:title=""/>
            <o:lock v:ext="edit" aspectratio="t"/>
            <w10:wrap type="none"/>
            <w10:anchorlock/>
          </v:shape>
          <o:OLEObject Type="Embed" ProgID="Equation.DSMT4" ShapeID="_x0000_i1062" DrawAspect="Content" ObjectID="_1468075762" r:id="rId149">
            <o:LockedField>false</o:LockedField>
          </o:OLEObject>
        </w:object>
      </w:r>
      <w:r>
        <w:rPr>
          <w:rFonts w:hint="eastAsia"/>
          <w:lang w:eastAsia="zh-CN"/>
        </w:rPr>
        <w:t>=1600+</w:t>
      </w:r>
      <w:r>
        <w:rPr>
          <w:rFonts w:hint="eastAsia"/>
          <w:lang w:val="en-US" w:eastAsia="zh-CN"/>
        </w:rPr>
        <w:t>1112.50</w:t>
      </w:r>
      <w:r>
        <w:rPr>
          <w:rFonts w:hint="eastAsia"/>
          <w:lang w:eastAsia="zh-CN"/>
        </w:rPr>
        <w:t>=</w:t>
      </w:r>
      <w:r>
        <w:rPr>
          <w:rFonts w:hint="eastAsia"/>
          <w:lang w:val="en-US" w:eastAsia="zh-CN"/>
        </w:rPr>
        <w:t>2712.50</w:t>
      </w:r>
      <w:r>
        <w:rPr>
          <w:rFonts w:hint="eastAsia"/>
          <w:lang w:eastAsia="zh-CN"/>
        </w:rPr>
        <w:t xml:space="preserve"> mm;</w:t>
      </w:r>
    </w:p>
    <w:p w14:paraId="0A0C0B96">
      <w:pPr>
        <w:spacing w:line="360" w:lineRule="auto"/>
        <w:ind w:left="0" w:leftChars="0" w:firstLine="560" w:firstLineChars="200"/>
        <w:jc w:val="left"/>
        <w:rPr>
          <w:rFonts w:hint="eastAsia"/>
          <w:lang w:eastAsia="zh-CN"/>
        </w:rPr>
      </w:pPr>
      <w:r>
        <w:rPr>
          <w:rFonts w:hint="eastAsia"/>
          <w:lang w:eastAsia="zh-CN"/>
        </w:rPr>
        <w:t>4、冲切锥体最不利一侧斜截面下边长：</w:t>
      </w:r>
    </w:p>
    <w:p w14:paraId="3CE38F86">
      <w:pPr>
        <w:spacing w:line="360" w:lineRule="auto"/>
        <w:ind w:left="0" w:leftChars="0" w:firstLine="0" w:firstLineChars="0"/>
        <w:jc w:val="left"/>
        <w:rPr>
          <w:rFonts w:hint="eastAsia"/>
          <w:lang w:eastAsia="zh-CN"/>
        </w:rPr>
      </w:pPr>
      <w:r>
        <w:rPr>
          <w:position w:val="-12"/>
        </w:rPr>
        <w:object>
          <v:shape id="_x0000_i1063" o:spt="75" type="#_x0000_t75" style="height:18pt;width:62pt;" o:ole="t" filled="f" o:preferrelative="t" stroked="f" coordsize="21600,21600">
            <v:path/>
            <v:fill on="f" alignshape="1" focussize="0,0"/>
            <v:stroke on="f"/>
            <v:imagedata r:id="rId152" grayscale="f" bilevel="f" o:title=""/>
            <o:lock v:ext="edit" aspectratio="t"/>
            <w10:wrap type="none"/>
            <w10:anchorlock/>
          </v:shape>
          <o:OLEObject Type="Embed" ProgID="Equation.DSMT4" ShapeID="_x0000_i1063" DrawAspect="Content" ObjectID="_1468075763" r:id="rId151">
            <o:LockedField>false</o:LockedField>
          </o:OLEObject>
        </w:object>
      </w:r>
      <w:r>
        <w:rPr>
          <w:rFonts w:hint="eastAsia"/>
          <w:lang w:eastAsia="zh-CN"/>
        </w:rPr>
        <w:t>=1600+2×</w:t>
      </w:r>
      <w:r>
        <w:rPr>
          <w:rFonts w:hint="eastAsia"/>
          <w:lang w:val="en-US" w:eastAsia="zh-CN"/>
        </w:rPr>
        <w:t>1112.50</w:t>
      </w:r>
      <w:r>
        <w:rPr>
          <w:rFonts w:hint="eastAsia"/>
          <w:lang w:eastAsia="zh-CN"/>
        </w:rPr>
        <w:t>=</w:t>
      </w:r>
      <w:r>
        <w:rPr>
          <w:rFonts w:hint="eastAsia"/>
          <w:lang w:val="en-US" w:eastAsia="zh-CN"/>
        </w:rPr>
        <w:t>3825.00</w:t>
      </w:r>
      <w:r>
        <w:rPr>
          <w:rFonts w:hint="eastAsia"/>
          <w:lang w:eastAsia="zh-CN"/>
        </w:rPr>
        <w:t xml:space="preserve"> mm;</w:t>
      </w:r>
    </w:p>
    <w:p w14:paraId="33BFB132">
      <w:pPr>
        <w:spacing w:line="360" w:lineRule="auto"/>
        <w:ind w:left="0" w:leftChars="0" w:firstLine="560" w:firstLineChars="200"/>
        <w:jc w:val="left"/>
        <w:rPr>
          <w:rFonts w:hint="eastAsia"/>
          <w:lang w:eastAsia="zh-CN"/>
        </w:rPr>
      </w:pPr>
      <w:r>
        <w:rPr>
          <w:rFonts w:hint="eastAsia"/>
          <w:lang w:eastAsia="zh-CN"/>
        </w:rPr>
        <w:t>5、冲切验算时取用的基底面积：</w:t>
      </w:r>
    </w:p>
    <w:p w14:paraId="290974FF">
      <w:pPr>
        <w:keepNext w:val="0"/>
        <w:keepLines w:val="0"/>
        <w:widowControl/>
        <w:suppressLineNumbers w:val="0"/>
        <w:ind w:left="0" w:leftChars="0" w:firstLine="0" w:firstLineChars="0"/>
        <w:jc w:val="left"/>
        <w:rPr>
          <w:rFonts w:hint="eastAsia"/>
          <w:lang w:eastAsia="zh-CN"/>
        </w:rPr>
      </w:pPr>
      <w:r>
        <w:rPr>
          <w:position w:val="-24"/>
        </w:rPr>
        <w:object>
          <v:shape id="_x0000_i1064" o:spt="75" type="#_x0000_t75" style="height:33pt;width:80pt;" o:ole="t" filled="f" o:preferrelative="t" stroked="f" coordsize="21600,21600">
            <v:path/>
            <v:fill on="f" alignshape="1" focussize="0,0"/>
            <v:stroke on="f"/>
            <v:imagedata r:id="rId154" grayscale="f" bilevel="f" o:title=""/>
            <o:lock v:ext="edit" aspectratio="t"/>
            <w10:wrap type="none"/>
            <w10:anchorlock/>
          </v:shape>
          <o:OLEObject Type="Embed" ProgID="Equation.DSMT4" ShapeID="_x0000_i1064" DrawAspect="Content" ObjectID="_1468075764" r:id="rId153">
            <o:LockedField>false</o:LockedField>
          </o:OLEObject>
        </w:object>
      </w:r>
      <w:r>
        <w:rPr>
          <w:rFonts w:hint="eastAsia"/>
          <w:lang w:eastAsia="zh-CN"/>
        </w:rPr>
        <w:t>=(2×6000×6000-6000×6000-</w:t>
      </w:r>
      <w:r>
        <w:rPr>
          <w:rFonts w:hint="eastAsia"/>
          <w:lang w:val="en-US" w:eastAsia="zh-CN"/>
        </w:rPr>
        <w:t>3825.00</w:t>
      </w:r>
      <w:r>
        <w:rPr>
          <w:rFonts w:hint="eastAsia"/>
          <w:lang w:eastAsia="zh-CN"/>
        </w:rPr>
        <w:t>×</w:t>
      </w:r>
      <w:r>
        <w:rPr>
          <w:rFonts w:hint="eastAsia"/>
          <w:lang w:val="en-US" w:eastAsia="zh-CN"/>
        </w:rPr>
        <w:t>3825.00</w:t>
      </w:r>
      <w:r>
        <w:rPr>
          <w:rFonts w:hint="eastAsia"/>
          <w:lang w:eastAsia="zh-CN"/>
        </w:rPr>
        <w:t>)/4=</w:t>
      </w:r>
      <w:r>
        <w:rPr>
          <w:rFonts w:hint="eastAsia"/>
          <w:lang w:val="en-US" w:eastAsia="zh-CN"/>
        </w:rPr>
        <w:t>5342343.75</w:t>
      </w:r>
      <w:r>
        <w:rPr>
          <w:rFonts w:hint="eastAsia"/>
          <w:lang w:eastAsia="zh-CN"/>
        </w:rPr>
        <w:t>mm^2;</w:t>
      </w:r>
    </w:p>
    <w:p w14:paraId="07B943D4">
      <w:pPr>
        <w:spacing w:line="360" w:lineRule="auto"/>
        <w:ind w:left="0" w:leftChars="0" w:firstLine="560" w:firstLineChars="200"/>
        <w:jc w:val="left"/>
        <w:rPr>
          <w:rFonts w:hint="eastAsia"/>
          <w:lang w:eastAsia="zh-CN"/>
        </w:rPr>
      </w:pPr>
      <w:r>
        <w:rPr>
          <w:rFonts w:hint="eastAsia"/>
          <w:lang w:eastAsia="zh-CN"/>
        </w:rPr>
        <w:t>6、地基土净反力设计值：</w:t>
      </w:r>
    </w:p>
    <w:p w14:paraId="28241942">
      <w:pPr>
        <w:spacing w:line="360" w:lineRule="auto"/>
        <w:ind w:left="0" w:leftChars="0" w:firstLine="0" w:firstLineChars="0"/>
        <w:jc w:val="left"/>
        <w:rPr>
          <w:rFonts w:hint="eastAsia"/>
          <w:lang w:eastAsia="zh-CN"/>
        </w:rPr>
      </w:pPr>
      <w:r>
        <w:rPr>
          <w:rFonts w:hint="eastAsia"/>
        </w:rPr>
        <w:t>工作状态：</w:t>
      </w:r>
      <w:r>
        <w:rPr>
          <w:position w:val="-28"/>
        </w:rPr>
        <w:object>
          <v:shape id="_x0000_i1065" o:spt="75" type="#_x0000_t75" style="height:34pt;width:119pt;" o:ole="t" filled="f" o:preferrelative="t" stroked="f" coordsize="21600,21600">
            <v:path/>
            <v:fill on="f" alignshape="1" focussize="0,0"/>
            <v:stroke on="f"/>
            <v:imagedata r:id="rId156" grayscale="f" bilevel="f" o:title=""/>
            <o:lock v:ext="edit" aspectratio="t"/>
            <w10:wrap type="none"/>
            <w10:anchorlock/>
          </v:shape>
          <o:OLEObject Type="Embed" ProgID="Equation.DSMT4" ShapeID="_x0000_i1065" DrawAspect="Content" ObjectID="_1468075765" r:id="rId155">
            <o:LockedField>false</o:LockedField>
          </o:OLEObject>
        </w:object>
      </w:r>
      <w:r>
        <w:rPr>
          <w:rFonts w:hint="eastAsia"/>
          <w:lang w:eastAsia="zh-CN"/>
        </w:rPr>
        <w:t>=1.35×(114.23-1080.00×1000000/(6000×6000))×5342343.75/1000000=607.49 kN;</w:t>
      </w:r>
    </w:p>
    <w:p w14:paraId="3758860E">
      <w:pPr>
        <w:spacing w:line="360" w:lineRule="auto"/>
        <w:ind w:left="0" w:leftChars="0" w:firstLine="0" w:firstLineChars="0"/>
        <w:jc w:val="left"/>
        <w:rPr>
          <w:rFonts w:hint="eastAsia"/>
          <w:lang w:eastAsia="zh-CN"/>
        </w:rPr>
      </w:pPr>
      <w:r>
        <w:rPr>
          <w:rFonts w:hint="eastAsia"/>
        </w:rPr>
        <w:t>非工作状态：</w:t>
      </w:r>
      <w:r>
        <w:rPr>
          <w:position w:val="-28"/>
        </w:rPr>
        <w:object>
          <v:shape id="_x0000_i1066" o:spt="75" type="#_x0000_t75" style="height:34pt;width:119pt;" o:ole="t" filled="f" o:preferrelative="t" stroked="f" coordsize="21600,21600">
            <v:path/>
            <v:fill on="f" alignshape="1" focussize="0,0"/>
            <v:stroke on="f"/>
            <v:imagedata r:id="rId158" grayscale="f" bilevel="f" o:title=""/>
            <o:lock v:ext="edit" aspectratio="t"/>
            <w10:wrap type="none"/>
            <w10:anchorlock/>
          </v:shape>
          <o:OLEObject Type="Embed" ProgID="Equation.DSMT4" ShapeID="_x0000_i1066" DrawAspect="Content" ObjectID="_1468075766" r:id="rId157">
            <o:LockedField>false</o:LockedField>
          </o:OLEObject>
        </w:object>
      </w:r>
      <w:r>
        <w:rPr>
          <w:rFonts w:hint="eastAsia"/>
          <w:lang w:eastAsia="zh-CN"/>
        </w:rPr>
        <w:t>=1.35×(124.36-1080.00×1000000/(6000×6000))×5342343.75/1000000=680.53 kN;</w:t>
      </w:r>
    </w:p>
    <w:p w14:paraId="07B508E7">
      <w:pPr>
        <w:spacing w:line="360" w:lineRule="auto"/>
        <w:ind w:left="0" w:leftChars="0" w:firstLine="560" w:firstLineChars="200"/>
        <w:jc w:val="left"/>
        <w:rPr>
          <w:rFonts w:hint="eastAsia"/>
          <w:lang w:eastAsia="zh-CN"/>
        </w:rPr>
      </w:pPr>
      <w:r>
        <w:rPr>
          <w:rFonts w:hint="eastAsia"/>
          <w:lang w:eastAsia="zh-CN"/>
        </w:rPr>
        <w:t>7、基本载荷时地基土净反力许用值：</w:t>
      </w:r>
    </w:p>
    <w:p w14:paraId="52B5E129">
      <w:pPr>
        <w:spacing w:line="360" w:lineRule="auto"/>
        <w:ind w:left="0" w:leftChars="0" w:firstLine="0" w:firstLineChars="0"/>
        <w:jc w:val="left"/>
        <w:rPr>
          <w:rFonts w:hint="eastAsia"/>
          <w:lang w:eastAsia="zh-CN"/>
        </w:rPr>
      </w:pPr>
      <w:r>
        <w:rPr>
          <w:position w:val="-14"/>
        </w:rPr>
        <w:object>
          <v:shape id="_x0000_i1067" o:spt="75" type="#_x0000_t75" style="height:19pt;width:92pt;" o:ole="t" filled="f" o:preferrelative="t" stroked="f" coordsize="21600,21600">
            <v:path/>
            <v:fill on="f" alignshape="1" focussize="0,0"/>
            <v:stroke on="f"/>
            <v:imagedata r:id="rId160" grayscale="f" bilevel="f" o:title=""/>
            <o:lock v:ext="edit" aspectratio="t"/>
            <w10:wrap type="none"/>
            <w10:anchorlock/>
          </v:shape>
          <o:OLEObject Type="Embed" ProgID="Equation.DSMT4" ShapeID="_x0000_i1067" DrawAspect="Content" ObjectID="_1468075767" r:id="rId159">
            <o:LockedField>false</o:LockedField>
          </o:OLEObject>
        </w:object>
      </w:r>
      <w:r>
        <w:rPr>
          <w:rFonts w:hint="eastAsia"/>
          <w:lang w:eastAsia="zh-CN"/>
        </w:rPr>
        <w:t>=0.7×0.97×1.43×2712.50×1112.50/1000=2919.98 kN;</w:t>
      </w:r>
    </w:p>
    <w:p w14:paraId="055D20CA">
      <w:pPr>
        <w:spacing w:line="360" w:lineRule="auto"/>
        <w:ind w:left="0" w:leftChars="0" w:firstLine="0" w:firstLineChars="0"/>
        <w:jc w:val="left"/>
        <w:rPr>
          <w:rFonts w:hint="eastAsia"/>
          <w:lang w:eastAsia="zh-CN"/>
        </w:rPr>
      </w:pPr>
      <w:r>
        <w:rPr>
          <w:rFonts w:hint="eastAsia"/>
          <w:lang w:eastAsia="zh-CN"/>
        </w:rPr>
        <w:t>基本载荷时地基土净反力设计值(Fl=680.53kN)≤([Fl]=2919.98kN);</w:t>
      </w:r>
    </w:p>
    <w:p w14:paraId="28652216">
      <w:pPr>
        <w:spacing w:line="360" w:lineRule="auto"/>
        <w:ind w:left="0" w:leftChars="0" w:firstLine="0" w:firstLineChars="0"/>
        <w:jc w:val="left"/>
        <w:rPr>
          <w:rFonts w:hint="eastAsia"/>
          <w:lang w:val="en-US" w:eastAsia="zh-CN"/>
        </w:rPr>
      </w:pPr>
      <w:r>
        <w:rPr>
          <w:rFonts w:hint="eastAsia" w:ascii="宋体" w:hAnsi="宋体" w:eastAsia="宋体" w:cs="宋体"/>
          <w:b/>
          <w:i w:val="0"/>
          <w:color w:val="0000C8"/>
          <w:kern w:val="2"/>
          <w:sz w:val="28"/>
          <w:szCs w:val="24"/>
          <w:u w:val="none"/>
          <w:lang w:val="en-US" w:eastAsia="zh-CN" w:bidi="ar-SA"/>
        </w:rPr>
        <w:t>塔机基础抗冲切满足要求！</w:t>
      </w:r>
    </w:p>
    <w:p w14:paraId="75C0E70A">
      <w:pPr>
        <w:pStyle w:val="11"/>
        <w:spacing w:before="229" w:line="449" w:lineRule="auto"/>
        <w:ind w:left="0" w:leftChars="0" w:right="4023" w:firstLine="0" w:firstLineChars="0"/>
        <w:rPr>
          <w:rFonts w:hint="default"/>
          <w:spacing w:val="5"/>
          <w:sz w:val="20"/>
          <w:szCs w:val="20"/>
        </w:rPr>
      </w:pPr>
    </w:p>
    <w:sectPr>
      <w:footerReference r:id="rId8" w:type="default"/>
      <w:pgSz w:w="11906" w:h="16838"/>
      <w:pgMar w:top="1417" w:right="1304" w:bottom="1417" w:left="1587" w:header="850" w:footer="992" w:gutter="0"/>
      <w:pgBorders>
        <w:top w:val="none" w:sz="0" w:space="0"/>
        <w:left w:val="none" w:sz="0" w:space="0"/>
        <w:bottom w:val="none" w:sz="0" w:space="0"/>
        <w:right w:val="none" w:sz="0" w:space="0"/>
      </w:pgBorders>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64E73C0-BC50-45B6-BF36-036A23D8AE2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21EEC3B3-B5BC-43AA-B495-8F3F4BF75276}"/>
  </w:font>
  <w:font w:name="仿宋">
    <w:panose1 w:val="02010609060101010101"/>
    <w:charset w:val="86"/>
    <w:family w:val="modern"/>
    <w:pitch w:val="default"/>
    <w:sig w:usb0="800002BF" w:usb1="38CF7CFA" w:usb2="00000016" w:usb3="00000000" w:csb0="00040001" w:csb1="00000000"/>
    <w:embedRegular r:id="rId3" w:fontKey="{3F797070-7C27-4854-9D14-7BBD9299BCF9}"/>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auto"/>
    <w:pitch w:val="default"/>
    <w:sig w:usb0="00000000" w:usb1="00000000" w:usb2="0000003F" w:usb3="00000000" w:csb0="603F01FF" w:csb1="FFFF0000"/>
  </w:font>
  <w:font w:name="方正小标宋简体">
    <w:altName w:val="仿宋_GB2312"/>
    <w:panose1 w:val="02000000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056FA9CB-C83C-45A2-AE77-7693D8D17945}"/>
  </w:font>
  <w:font w:name="Dutch801 Rm BT">
    <w:altName w:val="Times New Roman"/>
    <w:panose1 w:val="02020603060505020304"/>
    <w:charset w:val="00"/>
    <w:family w:val="roman"/>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embedRegular r:id="rId5" w:fontKey="{C4A28EDA-15FF-4B57-94AE-2E556F460040}"/>
  </w:font>
  <w:font w:name="Tahoma">
    <w:panose1 w:val="020B0604030504040204"/>
    <w:charset w:val="00"/>
    <w:family w:val="swiss"/>
    <w:pitch w:val="default"/>
    <w:sig w:usb0="E1002EFF" w:usb1="C000605B" w:usb2="00000029" w:usb3="00000000" w:csb0="200101FF" w:csb1="20280000"/>
    <w:embedRegular r:id="rId6" w:fontKey="{EFADAEE5-AACA-4FA8-AB65-AC784E55A580}"/>
  </w:font>
  <w:font w:name="微软雅黑">
    <w:panose1 w:val="020B0503020204020204"/>
    <w:charset w:val="86"/>
    <w:family w:val="swiss"/>
    <w:pitch w:val="default"/>
    <w:sig w:usb0="80000287" w:usb1="280F3C52" w:usb2="00000016" w:usb3="00000000" w:csb0="0004001F" w:csb1="00000000"/>
    <w:embedRegular r:id="rId7" w:fontKey="{CA9CB2F0-0791-474D-865A-3389C5D876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F7A94">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636A2">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BB86B">
    <w:pPr>
      <w:pStyle w:val="25"/>
    </w:pPr>
    <w:r>
      <mc:AlternateContent>
        <mc:Choice Requires="wps">
          <w:drawing>
            <wp:anchor distT="0" distB="0" distL="114300" distR="114300" simplePos="0" relativeHeight="251663360" behindDoc="0" locked="0" layoutInCell="1" allowOverlap="1">
              <wp:simplePos x="0" y="0"/>
              <wp:positionH relativeFrom="margin">
                <wp:posOffset>2714625</wp:posOffset>
              </wp:positionH>
              <wp:positionV relativeFrom="paragraph">
                <wp:posOffset>-1905</wp:posOffset>
              </wp:positionV>
              <wp:extent cx="685800" cy="533400"/>
              <wp:effectExtent l="0" t="0" r="0" b="0"/>
              <wp:wrapNone/>
              <wp:docPr id="314" name="文本框 314"/>
              <wp:cNvGraphicFramePr/>
              <a:graphic xmlns:a="http://schemas.openxmlformats.org/drawingml/2006/main">
                <a:graphicData uri="http://schemas.microsoft.com/office/word/2010/wordprocessingShape">
                  <wps:wsp>
                    <wps:cNvSpPr txBox="1"/>
                    <wps:spPr>
                      <a:xfrm>
                        <a:off x="0" y="0"/>
                        <a:ext cx="685800" cy="533400"/>
                      </a:xfrm>
                      <a:prstGeom prst="rect">
                        <a:avLst/>
                      </a:prstGeom>
                      <a:noFill/>
                      <a:ln w="6350">
                        <a:noFill/>
                      </a:ln>
                      <a:effectLst/>
                    </wps:spPr>
                    <wps:txbx>
                      <w:txbxContent>
                        <w:sdt>
                          <w:sdtPr>
                            <w:id w:val="147467639"/>
                          </w:sdtPr>
                          <w:sdtContent>
                            <w:p w14:paraId="489A9731">
                              <w:pPr>
                                <w:pStyle w:val="25"/>
                              </w:pPr>
                              <w:r>
                                <w:fldChar w:fldCharType="begin"/>
                              </w:r>
                              <w:r>
                                <w:instrText xml:space="preserve">PAGE   \* MERGEFORMAT</w:instrText>
                              </w:r>
                              <w:r>
                                <w:fldChar w:fldCharType="separate"/>
                              </w:r>
                              <w:r>
                                <w:rPr>
                                  <w:lang w:val="zh-CN"/>
                                </w:rPr>
                                <w:t>36</w:t>
                              </w:r>
                              <w:r>
                                <w:rPr>
                                  <w:lang w:val="zh-CN"/>
                                </w:rPr>
                                <w:fldChar w:fldCharType="end"/>
                              </w:r>
                            </w:p>
                          </w:sdtContent>
                        </w:sdt>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3.75pt;margin-top:-0.15pt;height:42pt;width:54pt;mso-position-horizontal-relative:margin;z-index:251663360;mso-width-relative:page;mso-height-relative:page;" filled="f" stroked="f" coordsize="21600,21600" o:gfxdata="UEsDBAoAAAAAAIdO4kAAAAAAAAAAAAAAAAAEAAAAZHJzL1BLAwQUAAAACACHTuJATM31ldcAAAAI&#10;AQAADwAAAGRycy9kb3ducmV2LnhtbE2Py07DMBRE90j8g3WR2LV2GkKrkJsueOyAQgEJdk58SSL8&#10;iGwnLX+PWcFyNKOZM9X2aDSbyYfBWYRsKYCRbZ0abIfw+nK32AALUVoltbOE8E0BtvXpSSVL5Q72&#10;meZ97FgqsaGUCH2MY8l5aHsyMizdSDZ5n84bGZP0HVdeHlK50XwlxCU3crBpoZcjXffUfu0ng6Df&#10;g79vRPyYb7qH+LTj09tt9oh4fpaJK2CRjvEvDL/4CR3qxNS4yarANMLFal2kKMIiB5b8Ii+SbhA2&#10;+Rp4XfH/B+ofUEsDBBQAAAAIAIdO4kBrKU/3OAIAAGcEAAAOAAAAZHJzL2Uyb0RvYy54bWytVMFu&#10;EzEQvSPxD5bvdJOmraqomyo0KkKqaKWCODteb3Yl22Nsp7vlA+APOHHpne/qd/DszaaocOiBi/M8&#10;M/tm5s04Z+e90exO+dCSLfn0YMKZspKq1m5K/unj5ZtTzkIUthKarCr5vQr8fPH61Vnn5uqQGtKV&#10;8gwkNsw7V/ImRjcviiAbZUQ4IKcsnDV5IyKuflNUXnRgN7o4nExOio585TxJFQKsq8HJd4z+JYRU&#10;161UK5Jbo2wcWL3SIqKl0LQu8EWutq6VjNd1HVRkuuToNOYTSYDX6SwWZ2K+8cI1rdyVIF5SwrOe&#10;jGgtku6pViIKtvXtX1SmlZ4C1fFAkimGRrIi6GI6eabNbSOcyr1A6uD2oof/Rys/3N141lYln02P&#10;OLPCYOSPP74//vz1+PCNJSMk6lyYI/LWITb2b6nH4oz2AGPqvK+9Sb/oicEPge/3Aqs+Mgnjyenx&#10;6QQeCdfxbHYEDPbi6WPnQ3ynyLAESu4xvyyruLsKcQgdQ1IuS5et1nmG2rIOCWbHk/zB3gNybVOs&#10;ytuwo0kNDYUnFPt1v+tyTdU9mvQ0bEpw8rJFKVcixBvhsRqoHo8nXuOoNSEl7RBnDfmv/7KneEwM&#10;Xs46rFrJw5et8Ioz/d5ilqCMI/AjWI/Abs0FYXuneJZOZogPfNQjrD2Zz3hTy5QFLmElcpU8jvAi&#10;DguPNynVcpmDsH1OxCt762SiHsRcbiPVbdY5yTJogfmkC/YvT2r3VtKC/3nPUU//D4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M31ldcAAAAIAQAADwAAAAAAAAABACAAAAAiAAAAZHJzL2Rvd25y&#10;ZXYueG1sUEsBAhQAFAAAAAgAh07iQGspT/c4AgAAZwQAAA4AAAAAAAAAAQAgAAAAJgEAAGRycy9l&#10;Mm9Eb2MueG1sUEsFBgAAAAAGAAYAWQEAANAFAAAAAA==&#10;">
              <v:fill on="f" focussize="0,0"/>
              <v:stroke on="f" weight="0.5pt"/>
              <v:imagedata o:title=""/>
              <o:lock v:ext="edit" aspectratio="f"/>
              <v:textbox inset="0mm,0mm,0mm,0mm">
                <w:txbxContent>
                  <w:sdt>
                    <w:sdtPr>
                      <w:id w:val="147467639"/>
                    </w:sdtPr>
                    <w:sdtContent>
                      <w:p w14:paraId="489A9731">
                        <w:pPr>
                          <w:pStyle w:val="25"/>
                        </w:pPr>
                        <w:r>
                          <w:fldChar w:fldCharType="begin"/>
                        </w:r>
                        <w:r>
                          <w:instrText xml:space="preserve">PAGE   \* MERGEFORMAT</w:instrText>
                        </w:r>
                        <w:r>
                          <w:fldChar w:fldCharType="separate"/>
                        </w:r>
                        <w:r>
                          <w:rPr>
                            <w:lang w:val="zh-CN"/>
                          </w:rPr>
                          <w:t>36</w:t>
                        </w:r>
                        <w:r>
                          <w:rPr>
                            <w:lang w:val="zh-CN"/>
                          </w:rPr>
                          <w:fldChar w:fldCharType="end"/>
                        </w:r>
                      </w:p>
                    </w:sdtContent>
                  </w:sdt>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EC71D">
    <w:pPr>
      <w:pStyle w:val="26"/>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9E9A60"/>
    <w:multiLevelType w:val="singleLevel"/>
    <w:tmpl w:val="109E9A60"/>
    <w:lvl w:ilvl="0" w:tentative="0">
      <w:start w:val="1"/>
      <w:numFmt w:val="decimal"/>
      <w:lvlText w:val="(%1)"/>
      <w:lvlJc w:val="left"/>
      <w:pPr>
        <w:ind w:left="425" w:hanging="425"/>
      </w:pPr>
      <w:rPr>
        <w:rFonts w:hint="default"/>
      </w:rPr>
    </w:lvl>
  </w:abstractNum>
  <w:abstractNum w:abstractNumId="1">
    <w:nsid w:val="1FC6B92C"/>
    <w:multiLevelType w:val="singleLevel"/>
    <w:tmpl w:val="1FC6B92C"/>
    <w:lvl w:ilvl="0" w:tentative="0">
      <w:start w:val="1"/>
      <w:numFmt w:val="decimal"/>
      <w:suff w:val="nothing"/>
      <w:lvlText w:val="（%1）"/>
      <w:lvlJc w:val="left"/>
    </w:lvl>
  </w:abstractNum>
  <w:abstractNum w:abstractNumId="2">
    <w:nsid w:val="22303B1A"/>
    <w:multiLevelType w:val="multilevel"/>
    <w:tmpl w:val="22303B1A"/>
    <w:lvl w:ilvl="0" w:tentative="0">
      <w:start w:val="1"/>
      <w:numFmt w:val="decimal"/>
      <w:lvlText w:val="%1."/>
      <w:lvlJc w:val="left"/>
      <w:pPr>
        <w:ind w:left="425" w:hanging="425"/>
      </w:pPr>
      <w:rPr>
        <w:rFonts w:hint="eastAsia"/>
      </w:rPr>
    </w:lvl>
    <w:lvl w:ilvl="1" w:tentative="0">
      <w:start w:val="1"/>
      <w:numFmt w:val="decimal"/>
      <w:lvlText w:val="%1.%2."/>
      <w:lvlJc w:val="left"/>
      <w:pPr>
        <w:ind w:left="284" w:firstLine="0"/>
      </w:pPr>
      <w:rPr>
        <w:rFonts w:hint="eastAsia"/>
      </w:rPr>
    </w:lvl>
    <w:lvl w:ilvl="2" w:tentative="0">
      <w:start w:val="1"/>
      <w:numFmt w:val="decimal"/>
      <w:pStyle w:val="159"/>
      <w:lvlText w:val="%1.%2.%3."/>
      <w:lvlJc w:val="left"/>
      <w:pPr>
        <w:ind w:left="993"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
    <w:nsid w:val="2C1E2400"/>
    <w:multiLevelType w:val="multilevel"/>
    <w:tmpl w:val="2C1E2400"/>
    <w:lvl w:ilvl="0" w:tentative="0">
      <w:start w:val="1"/>
      <w:numFmt w:val="decimal"/>
      <w:pStyle w:val="158"/>
      <w:lvlText w:val="表%1"/>
      <w:lvlJc w:val="left"/>
      <w:pPr>
        <w:ind w:left="704" w:hanging="42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EE64154"/>
    <w:multiLevelType w:val="multilevel"/>
    <w:tmpl w:val="3EE64154"/>
    <w:lvl w:ilvl="0" w:tentative="0">
      <w:start w:val="1"/>
      <w:numFmt w:val="decimal"/>
      <w:lvlText w:val="%1 "/>
      <w:lvlJc w:val="left"/>
      <w:pPr>
        <w:ind w:left="665" w:hanging="425"/>
      </w:pPr>
      <w:rPr>
        <w:rFonts w:hint="eastAsia"/>
      </w:rPr>
    </w:lvl>
    <w:lvl w:ilvl="1" w:tentative="0">
      <w:start w:val="1"/>
      <w:numFmt w:val="decimal"/>
      <w:suff w:val="space"/>
      <w:lvlText w:val="%1.%2"/>
      <w:lvlJc w:val="left"/>
      <w:pPr>
        <w:ind w:left="425" w:hanging="425"/>
      </w:pPr>
      <w:rPr>
        <w:rFonts w:hint="eastAsia"/>
      </w:rPr>
    </w:lvl>
    <w:lvl w:ilvl="2" w:tentative="0">
      <w:start w:val="1"/>
      <w:numFmt w:val="decimal"/>
      <w:suff w:val="space"/>
      <w:lvlText w:val="%1.%2.%3"/>
      <w:lvlJc w:val="left"/>
      <w:pPr>
        <w:ind w:left="425" w:hanging="42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Restart w:val="1"/>
      <w:pStyle w:val="7"/>
      <w:suff w:val="space"/>
      <w:lvlText w:val="表%1-%8"/>
      <w:lvlJc w:val="center"/>
      <w:pPr>
        <w:ind w:left="0" w:firstLine="0"/>
      </w:pPr>
      <w:rPr>
        <w:rFonts w:hint="eastAsia"/>
      </w:rPr>
    </w:lvl>
    <w:lvl w:ilvl="8" w:tentative="0">
      <w:start w:val="1"/>
      <w:numFmt w:val="decimal"/>
      <w:lvlRestart w:val="1"/>
      <w:suff w:val="space"/>
      <w:lvlText w:val="图%1-%9"/>
      <w:lvlJc w:val="center"/>
      <w:pPr>
        <w:ind w:left="0" w:firstLine="0"/>
      </w:pPr>
      <w:rPr>
        <w:rFonts w:hint="eastAsia"/>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jNTQxMzI5N2U2YmJmZjM0ZmIzYTE2OWQ0MTYxNjAifQ=="/>
  </w:docVars>
  <w:rsids>
    <w:rsidRoot w:val="00724879"/>
    <w:rsid w:val="00000644"/>
    <w:rsid w:val="00000883"/>
    <w:rsid w:val="00001995"/>
    <w:rsid w:val="000041D0"/>
    <w:rsid w:val="000049C8"/>
    <w:rsid w:val="00005368"/>
    <w:rsid w:val="00005715"/>
    <w:rsid w:val="000138A4"/>
    <w:rsid w:val="00016781"/>
    <w:rsid w:val="000218F7"/>
    <w:rsid w:val="00023935"/>
    <w:rsid w:val="00031268"/>
    <w:rsid w:val="00031A13"/>
    <w:rsid w:val="000328CC"/>
    <w:rsid w:val="00035F91"/>
    <w:rsid w:val="00040D97"/>
    <w:rsid w:val="00042B3D"/>
    <w:rsid w:val="00046330"/>
    <w:rsid w:val="00052C6F"/>
    <w:rsid w:val="00054923"/>
    <w:rsid w:val="00055C5B"/>
    <w:rsid w:val="000563C8"/>
    <w:rsid w:val="00056E79"/>
    <w:rsid w:val="00062E21"/>
    <w:rsid w:val="000632D6"/>
    <w:rsid w:val="0006478A"/>
    <w:rsid w:val="00066A76"/>
    <w:rsid w:val="000713A0"/>
    <w:rsid w:val="00073B9A"/>
    <w:rsid w:val="00075508"/>
    <w:rsid w:val="000900E7"/>
    <w:rsid w:val="000944D7"/>
    <w:rsid w:val="000955A2"/>
    <w:rsid w:val="0009641E"/>
    <w:rsid w:val="00096567"/>
    <w:rsid w:val="000978EB"/>
    <w:rsid w:val="000A0062"/>
    <w:rsid w:val="000A0BBC"/>
    <w:rsid w:val="000A2A98"/>
    <w:rsid w:val="000A3315"/>
    <w:rsid w:val="000A3388"/>
    <w:rsid w:val="000A540E"/>
    <w:rsid w:val="000A5B84"/>
    <w:rsid w:val="000B4B88"/>
    <w:rsid w:val="000B745B"/>
    <w:rsid w:val="000C02C3"/>
    <w:rsid w:val="000C0CC4"/>
    <w:rsid w:val="000C4320"/>
    <w:rsid w:val="000C469C"/>
    <w:rsid w:val="000D0E12"/>
    <w:rsid w:val="000D3A0B"/>
    <w:rsid w:val="000D3D42"/>
    <w:rsid w:val="000D470F"/>
    <w:rsid w:val="000D608B"/>
    <w:rsid w:val="000D6872"/>
    <w:rsid w:val="000D6A7A"/>
    <w:rsid w:val="000D7C1D"/>
    <w:rsid w:val="000D7D75"/>
    <w:rsid w:val="000E110C"/>
    <w:rsid w:val="000F2B67"/>
    <w:rsid w:val="000F514B"/>
    <w:rsid w:val="000F517C"/>
    <w:rsid w:val="00100878"/>
    <w:rsid w:val="001010B6"/>
    <w:rsid w:val="00104DA4"/>
    <w:rsid w:val="00106683"/>
    <w:rsid w:val="00106744"/>
    <w:rsid w:val="0011643E"/>
    <w:rsid w:val="0012049D"/>
    <w:rsid w:val="001243E5"/>
    <w:rsid w:val="0012520E"/>
    <w:rsid w:val="00127581"/>
    <w:rsid w:val="001277B7"/>
    <w:rsid w:val="00127B91"/>
    <w:rsid w:val="00134AB0"/>
    <w:rsid w:val="00136186"/>
    <w:rsid w:val="001377C9"/>
    <w:rsid w:val="00140FF8"/>
    <w:rsid w:val="001414B6"/>
    <w:rsid w:val="00147584"/>
    <w:rsid w:val="00147C64"/>
    <w:rsid w:val="00150A98"/>
    <w:rsid w:val="00155273"/>
    <w:rsid w:val="0016081B"/>
    <w:rsid w:val="001609F7"/>
    <w:rsid w:val="00160AAD"/>
    <w:rsid w:val="00160B4F"/>
    <w:rsid w:val="0016210B"/>
    <w:rsid w:val="0016581B"/>
    <w:rsid w:val="001704B2"/>
    <w:rsid w:val="00170B51"/>
    <w:rsid w:val="00171B6B"/>
    <w:rsid w:val="00172913"/>
    <w:rsid w:val="00174392"/>
    <w:rsid w:val="00174799"/>
    <w:rsid w:val="00182FF9"/>
    <w:rsid w:val="001864E1"/>
    <w:rsid w:val="00187856"/>
    <w:rsid w:val="00193EA5"/>
    <w:rsid w:val="00195848"/>
    <w:rsid w:val="001A2D6D"/>
    <w:rsid w:val="001A3340"/>
    <w:rsid w:val="001A483D"/>
    <w:rsid w:val="001A57CD"/>
    <w:rsid w:val="001A6938"/>
    <w:rsid w:val="001A7B9E"/>
    <w:rsid w:val="001B0482"/>
    <w:rsid w:val="001B266A"/>
    <w:rsid w:val="001B3166"/>
    <w:rsid w:val="001B5472"/>
    <w:rsid w:val="001B6005"/>
    <w:rsid w:val="001C0475"/>
    <w:rsid w:val="001C3FFC"/>
    <w:rsid w:val="001C53C8"/>
    <w:rsid w:val="001C5CF7"/>
    <w:rsid w:val="001D1894"/>
    <w:rsid w:val="001D2C3E"/>
    <w:rsid w:val="001D3611"/>
    <w:rsid w:val="001E0782"/>
    <w:rsid w:val="001E15EE"/>
    <w:rsid w:val="001E16CA"/>
    <w:rsid w:val="001E4A16"/>
    <w:rsid w:val="002022D1"/>
    <w:rsid w:val="00203D3A"/>
    <w:rsid w:val="002050D8"/>
    <w:rsid w:val="00210400"/>
    <w:rsid w:val="00211465"/>
    <w:rsid w:val="00211A06"/>
    <w:rsid w:val="00211FE7"/>
    <w:rsid w:val="00214CD6"/>
    <w:rsid w:val="002151C6"/>
    <w:rsid w:val="00216FE5"/>
    <w:rsid w:val="00222EAA"/>
    <w:rsid w:val="00224618"/>
    <w:rsid w:val="002257DC"/>
    <w:rsid w:val="00233B57"/>
    <w:rsid w:val="00240C6B"/>
    <w:rsid w:val="00243502"/>
    <w:rsid w:val="00243895"/>
    <w:rsid w:val="002468D6"/>
    <w:rsid w:val="00252075"/>
    <w:rsid w:val="00252982"/>
    <w:rsid w:val="00252F7F"/>
    <w:rsid w:val="00254E40"/>
    <w:rsid w:val="0025717E"/>
    <w:rsid w:val="00261890"/>
    <w:rsid w:val="0026526D"/>
    <w:rsid w:val="00266A5C"/>
    <w:rsid w:val="002718A5"/>
    <w:rsid w:val="00274D2A"/>
    <w:rsid w:val="002818FC"/>
    <w:rsid w:val="0028232B"/>
    <w:rsid w:val="00282F04"/>
    <w:rsid w:val="00282F83"/>
    <w:rsid w:val="002879C4"/>
    <w:rsid w:val="00287B95"/>
    <w:rsid w:val="00287E0C"/>
    <w:rsid w:val="0029104B"/>
    <w:rsid w:val="00293D75"/>
    <w:rsid w:val="002A1E4D"/>
    <w:rsid w:val="002A2102"/>
    <w:rsid w:val="002A2300"/>
    <w:rsid w:val="002A2651"/>
    <w:rsid w:val="002A5A7B"/>
    <w:rsid w:val="002B0703"/>
    <w:rsid w:val="002B0DFE"/>
    <w:rsid w:val="002B0F24"/>
    <w:rsid w:val="002B3948"/>
    <w:rsid w:val="002B584E"/>
    <w:rsid w:val="002B5EEC"/>
    <w:rsid w:val="002B6755"/>
    <w:rsid w:val="002B7B60"/>
    <w:rsid w:val="002C2AE0"/>
    <w:rsid w:val="002C7EC9"/>
    <w:rsid w:val="002D2191"/>
    <w:rsid w:val="002D231D"/>
    <w:rsid w:val="002D4493"/>
    <w:rsid w:val="002E0C65"/>
    <w:rsid w:val="002E1AC1"/>
    <w:rsid w:val="002E23B5"/>
    <w:rsid w:val="002E24A3"/>
    <w:rsid w:val="002E3579"/>
    <w:rsid w:val="002E7986"/>
    <w:rsid w:val="002F18A9"/>
    <w:rsid w:val="002F484B"/>
    <w:rsid w:val="002F77BE"/>
    <w:rsid w:val="00310125"/>
    <w:rsid w:val="0031131E"/>
    <w:rsid w:val="00312CEC"/>
    <w:rsid w:val="00315B02"/>
    <w:rsid w:val="00317074"/>
    <w:rsid w:val="00317CA1"/>
    <w:rsid w:val="00322BBE"/>
    <w:rsid w:val="003251E1"/>
    <w:rsid w:val="00325BD7"/>
    <w:rsid w:val="003261DE"/>
    <w:rsid w:val="0032627E"/>
    <w:rsid w:val="003266F0"/>
    <w:rsid w:val="003274C9"/>
    <w:rsid w:val="00327D16"/>
    <w:rsid w:val="00335CB9"/>
    <w:rsid w:val="00337508"/>
    <w:rsid w:val="003417F9"/>
    <w:rsid w:val="00343737"/>
    <w:rsid w:val="003439DA"/>
    <w:rsid w:val="00344FFF"/>
    <w:rsid w:val="00346ACF"/>
    <w:rsid w:val="00347C6F"/>
    <w:rsid w:val="00351898"/>
    <w:rsid w:val="003522F3"/>
    <w:rsid w:val="00352A46"/>
    <w:rsid w:val="00352D2E"/>
    <w:rsid w:val="00353F25"/>
    <w:rsid w:val="003557D5"/>
    <w:rsid w:val="0035754C"/>
    <w:rsid w:val="00360F54"/>
    <w:rsid w:val="0036192F"/>
    <w:rsid w:val="00364EE0"/>
    <w:rsid w:val="003653EF"/>
    <w:rsid w:val="003655F2"/>
    <w:rsid w:val="00371095"/>
    <w:rsid w:val="00374B25"/>
    <w:rsid w:val="003813F8"/>
    <w:rsid w:val="00384114"/>
    <w:rsid w:val="00384594"/>
    <w:rsid w:val="00384668"/>
    <w:rsid w:val="00386FCB"/>
    <w:rsid w:val="003905A6"/>
    <w:rsid w:val="00393210"/>
    <w:rsid w:val="0039362D"/>
    <w:rsid w:val="003936F6"/>
    <w:rsid w:val="00395549"/>
    <w:rsid w:val="00395A1D"/>
    <w:rsid w:val="00395CBE"/>
    <w:rsid w:val="00397A60"/>
    <w:rsid w:val="00397C8A"/>
    <w:rsid w:val="00397F10"/>
    <w:rsid w:val="003A1B3B"/>
    <w:rsid w:val="003A2344"/>
    <w:rsid w:val="003A2DFE"/>
    <w:rsid w:val="003A4EAC"/>
    <w:rsid w:val="003A6519"/>
    <w:rsid w:val="003A6902"/>
    <w:rsid w:val="003B1B71"/>
    <w:rsid w:val="003B7062"/>
    <w:rsid w:val="003C095E"/>
    <w:rsid w:val="003C44F5"/>
    <w:rsid w:val="003C5CB7"/>
    <w:rsid w:val="003C6403"/>
    <w:rsid w:val="003C796D"/>
    <w:rsid w:val="003D168F"/>
    <w:rsid w:val="003E0314"/>
    <w:rsid w:val="003E0E43"/>
    <w:rsid w:val="003E22FC"/>
    <w:rsid w:val="003E33D1"/>
    <w:rsid w:val="003E566B"/>
    <w:rsid w:val="003E6B53"/>
    <w:rsid w:val="003F3E44"/>
    <w:rsid w:val="003F444E"/>
    <w:rsid w:val="003F452B"/>
    <w:rsid w:val="003F4DDB"/>
    <w:rsid w:val="003F578C"/>
    <w:rsid w:val="003F6641"/>
    <w:rsid w:val="00401A81"/>
    <w:rsid w:val="004025BB"/>
    <w:rsid w:val="00403E93"/>
    <w:rsid w:val="00405934"/>
    <w:rsid w:val="00405F3A"/>
    <w:rsid w:val="004108F5"/>
    <w:rsid w:val="00411BFC"/>
    <w:rsid w:val="00415470"/>
    <w:rsid w:val="00415DC1"/>
    <w:rsid w:val="00417FBD"/>
    <w:rsid w:val="004221D8"/>
    <w:rsid w:val="0042275D"/>
    <w:rsid w:val="00425D69"/>
    <w:rsid w:val="00427B0D"/>
    <w:rsid w:val="00434580"/>
    <w:rsid w:val="00436F64"/>
    <w:rsid w:val="004427AA"/>
    <w:rsid w:val="00444185"/>
    <w:rsid w:val="00444D07"/>
    <w:rsid w:val="0044725B"/>
    <w:rsid w:val="00447E9A"/>
    <w:rsid w:val="00453FCA"/>
    <w:rsid w:val="0045480C"/>
    <w:rsid w:val="0046206F"/>
    <w:rsid w:val="004666D1"/>
    <w:rsid w:val="004750F6"/>
    <w:rsid w:val="00475404"/>
    <w:rsid w:val="00481AD8"/>
    <w:rsid w:val="00482871"/>
    <w:rsid w:val="0048509A"/>
    <w:rsid w:val="004873BB"/>
    <w:rsid w:val="00487BF3"/>
    <w:rsid w:val="00487D57"/>
    <w:rsid w:val="00487F19"/>
    <w:rsid w:val="0049181D"/>
    <w:rsid w:val="004931D0"/>
    <w:rsid w:val="00494386"/>
    <w:rsid w:val="00494DAA"/>
    <w:rsid w:val="00494DF0"/>
    <w:rsid w:val="00494EC4"/>
    <w:rsid w:val="00494F18"/>
    <w:rsid w:val="004A1008"/>
    <w:rsid w:val="004A2FB4"/>
    <w:rsid w:val="004A4EA8"/>
    <w:rsid w:val="004B1800"/>
    <w:rsid w:val="004C01EC"/>
    <w:rsid w:val="004C1D84"/>
    <w:rsid w:val="004C78D4"/>
    <w:rsid w:val="004D1CFD"/>
    <w:rsid w:val="004E0C35"/>
    <w:rsid w:val="004E2CCA"/>
    <w:rsid w:val="004E44E8"/>
    <w:rsid w:val="004E4675"/>
    <w:rsid w:val="004E7DA2"/>
    <w:rsid w:val="004F1233"/>
    <w:rsid w:val="004F4266"/>
    <w:rsid w:val="00503C16"/>
    <w:rsid w:val="00503C79"/>
    <w:rsid w:val="00511163"/>
    <w:rsid w:val="00523D95"/>
    <w:rsid w:val="00524330"/>
    <w:rsid w:val="005245AA"/>
    <w:rsid w:val="0052586D"/>
    <w:rsid w:val="00526CB5"/>
    <w:rsid w:val="0053001E"/>
    <w:rsid w:val="0053126E"/>
    <w:rsid w:val="00531F9D"/>
    <w:rsid w:val="00532A55"/>
    <w:rsid w:val="00533D4F"/>
    <w:rsid w:val="00535727"/>
    <w:rsid w:val="00546652"/>
    <w:rsid w:val="0055351C"/>
    <w:rsid w:val="00554787"/>
    <w:rsid w:val="00561AE1"/>
    <w:rsid w:val="005721A3"/>
    <w:rsid w:val="00572459"/>
    <w:rsid w:val="0057451A"/>
    <w:rsid w:val="00574661"/>
    <w:rsid w:val="005749D7"/>
    <w:rsid w:val="0058230B"/>
    <w:rsid w:val="00584743"/>
    <w:rsid w:val="00584F68"/>
    <w:rsid w:val="005900ED"/>
    <w:rsid w:val="00591870"/>
    <w:rsid w:val="00592654"/>
    <w:rsid w:val="00596D4D"/>
    <w:rsid w:val="005A096A"/>
    <w:rsid w:val="005A1854"/>
    <w:rsid w:val="005A240A"/>
    <w:rsid w:val="005A39B6"/>
    <w:rsid w:val="005A3C17"/>
    <w:rsid w:val="005A4FE6"/>
    <w:rsid w:val="005B0C6A"/>
    <w:rsid w:val="005B17D7"/>
    <w:rsid w:val="005B3796"/>
    <w:rsid w:val="005B3CC8"/>
    <w:rsid w:val="005B5D65"/>
    <w:rsid w:val="005C16C4"/>
    <w:rsid w:val="005C3AF7"/>
    <w:rsid w:val="005C61B2"/>
    <w:rsid w:val="005C7EF8"/>
    <w:rsid w:val="005D08C6"/>
    <w:rsid w:val="005D0B80"/>
    <w:rsid w:val="005D2BC7"/>
    <w:rsid w:val="005D2FB3"/>
    <w:rsid w:val="005D7EA9"/>
    <w:rsid w:val="005E4F19"/>
    <w:rsid w:val="005F0331"/>
    <w:rsid w:val="005F082D"/>
    <w:rsid w:val="005F3A13"/>
    <w:rsid w:val="00600E39"/>
    <w:rsid w:val="006033F0"/>
    <w:rsid w:val="006036D7"/>
    <w:rsid w:val="00604E1A"/>
    <w:rsid w:val="006052B0"/>
    <w:rsid w:val="00607D2A"/>
    <w:rsid w:val="00610A45"/>
    <w:rsid w:val="00611596"/>
    <w:rsid w:val="00611911"/>
    <w:rsid w:val="00616542"/>
    <w:rsid w:val="00616BEC"/>
    <w:rsid w:val="006173A6"/>
    <w:rsid w:val="00620F88"/>
    <w:rsid w:val="00621869"/>
    <w:rsid w:val="00623438"/>
    <w:rsid w:val="00624C09"/>
    <w:rsid w:val="00624F9C"/>
    <w:rsid w:val="006257CF"/>
    <w:rsid w:val="00626F18"/>
    <w:rsid w:val="00626FD0"/>
    <w:rsid w:val="00635413"/>
    <w:rsid w:val="00636542"/>
    <w:rsid w:val="0064498E"/>
    <w:rsid w:val="00647AE5"/>
    <w:rsid w:val="00647BD7"/>
    <w:rsid w:val="006507D4"/>
    <w:rsid w:val="00652AD7"/>
    <w:rsid w:val="00652B59"/>
    <w:rsid w:val="00654C7C"/>
    <w:rsid w:val="00657B0D"/>
    <w:rsid w:val="00660E55"/>
    <w:rsid w:val="006721EE"/>
    <w:rsid w:val="0067448F"/>
    <w:rsid w:val="00675491"/>
    <w:rsid w:val="00677B0F"/>
    <w:rsid w:val="00682617"/>
    <w:rsid w:val="00684627"/>
    <w:rsid w:val="00687066"/>
    <w:rsid w:val="00687E02"/>
    <w:rsid w:val="006919C4"/>
    <w:rsid w:val="0069372B"/>
    <w:rsid w:val="00697D3E"/>
    <w:rsid w:val="006A123D"/>
    <w:rsid w:val="006A3F1D"/>
    <w:rsid w:val="006A532D"/>
    <w:rsid w:val="006B01F6"/>
    <w:rsid w:val="006B1CB8"/>
    <w:rsid w:val="006B5391"/>
    <w:rsid w:val="006B6712"/>
    <w:rsid w:val="006C1774"/>
    <w:rsid w:val="006C237C"/>
    <w:rsid w:val="006C24BB"/>
    <w:rsid w:val="006C4780"/>
    <w:rsid w:val="006C7395"/>
    <w:rsid w:val="006D2FE9"/>
    <w:rsid w:val="006D3A56"/>
    <w:rsid w:val="006D4005"/>
    <w:rsid w:val="006D6F93"/>
    <w:rsid w:val="006E03C6"/>
    <w:rsid w:val="006E0B56"/>
    <w:rsid w:val="006E31D5"/>
    <w:rsid w:val="006E3274"/>
    <w:rsid w:val="006E376B"/>
    <w:rsid w:val="006E4292"/>
    <w:rsid w:val="006E4822"/>
    <w:rsid w:val="006E4A0C"/>
    <w:rsid w:val="006E6537"/>
    <w:rsid w:val="006F0E82"/>
    <w:rsid w:val="006F79EF"/>
    <w:rsid w:val="007024CD"/>
    <w:rsid w:val="007028FC"/>
    <w:rsid w:val="00704473"/>
    <w:rsid w:val="00715A7C"/>
    <w:rsid w:val="0072028F"/>
    <w:rsid w:val="00723B11"/>
    <w:rsid w:val="00724879"/>
    <w:rsid w:val="00726856"/>
    <w:rsid w:val="00726C9B"/>
    <w:rsid w:val="00727A79"/>
    <w:rsid w:val="007331E0"/>
    <w:rsid w:val="00734C1D"/>
    <w:rsid w:val="007402E7"/>
    <w:rsid w:val="00742050"/>
    <w:rsid w:val="0074483C"/>
    <w:rsid w:val="00747CE8"/>
    <w:rsid w:val="00754FEB"/>
    <w:rsid w:val="007628AE"/>
    <w:rsid w:val="00763741"/>
    <w:rsid w:val="007648A9"/>
    <w:rsid w:val="0076595A"/>
    <w:rsid w:val="00773355"/>
    <w:rsid w:val="0077381D"/>
    <w:rsid w:val="0077391D"/>
    <w:rsid w:val="007747FB"/>
    <w:rsid w:val="00776A4F"/>
    <w:rsid w:val="00782EC7"/>
    <w:rsid w:val="007837A2"/>
    <w:rsid w:val="00787337"/>
    <w:rsid w:val="0078752C"/>
    <w:rsid w:val="00787ED5"/>
    <w:rsid w:val="0079676F"/>
    <w:rsid w:val="0079767C"/>
    <w:rsid w:val="00797D6E"/>
    <w:rsid w:val="007A11D4"/>
    <w:rsid w:val="007B209A"/>
    <w:rsid w:val="007B2E06"/>
    <w:rsid w:val="007B44D8"/>
    <w:rsid w:val="007B5353"/>
    <w:rsid w:val="007C7E63"/>
    <w:rsid w:val="007D061B"/>
    <w:rsid w:val="007D1470"/>
    <w:rsid w:val="007D23AC"/>
    <w:rsid w:val="007D2A22"/>
    <w:rsid w:val="007E1248"/>
    <w:rsid w:val="007E64B4"/>
    <w:rsid w:val="007E6C38"/>
    <w:rsid w:val="007E7B97"/>
    <w:rsid w:val="007F1D95"/>
    <w:rsid w:val="007F67D9"/>
    <w:rsid w:val="0080188F"/>
    <w:rsid w:val="008034CF"/>
    <w:rsid w:val="00805644"/>
    <w:rsid w:val="0081186C"/>
    <w:rsid w:val="008122EB"/>
    <w:rsid w:val="008127E8"/>
    <w:rsid w:val="0081339A"/>
    <w:rsid w:val="0081424F"/>
    <w:rsid w:val="00820AB5"/>
    <w:rsid w:val="008213C9"/>
    <w:rsid w:val="00822F94"/>
    <w:rsid w:val="00824008"/>
    <w:rsid w:val="0082716C"/>
    <w:rsid w:val="008273CB"/>
    <w:rsid w:val="00830543"/>
    <w:rsid w:val="008308F8"/>
    <w:rsid w:val="008319EC"/>
    <w:rsid w:val="0083295E"/>
    <w:rsid w:val="00832CC4"/>
    <w:rsid w:val="00833E49"/>
    <w:rsid w:val="008357B3"/>
    <w:rsid w:val="00837876"/>
    <w:rsid w:val="0083796F"/>
    <w:rsid w:val="00837F0C"/>
    <w:rsid w:val="00840308"/>
    <w:rsid w:val="00844FFF"/>
    <w:rsid w:val="008465C6"/>
    <w:rsid w:val="00850C2B"/>
    <w:rsid w:val="0085243F"/>
    <w:rsid w:val="0085280E"/>
    <w:rsid w:val="00853E23"/>
    <w:rsid w:val="00856679"/>
    <w:rsid w:val="0085696C"/>
    <w:rsid w:val="00860B4F"/>
    <w:rsid w:val="00861F6F"/>
    <w:rsid w:val="00862570"/>
    <w:rsid w:val="00862C03"/>
    <w:rsid w:val="008657CD"/>
    <w:rsid w:val="00871092"/>
    <w:rsid w:val="00871331"/>
    <w:rsid w:val="00874034"/>
    <w:rsid w:val="00876B1C"/>
    <w:rsid w:val="00876C9D"/>
    <w:rsid w:val="008827AA"/>
    <w:rsid w:val="00884337"/>
    <w:rsid w:val="00886334"/>
    <w:rsid w:val="0089091E"/>
    <w:rsid w:val="00890E52"/>
    <w:rsid w:val="008917C3"/>
    <w:rsid w:val="0089437A"/>
    <w:rsid w:val="008971A0"/>
    <w:rsid w:val="008A068B"/>
    <w:rsid w:val="008B1629"/>
    <w:rsid w:val="008B7D73"/>
    <w:rsid w:val="008C185C"/>
    <w:rsid w:val="008C4321"/>
    <w:rsid w:val="008C6815"/>
    <w:rsid w:val="008D11C6"/>
    <w:rsid w:val="008D501F"/>
    <w:rsid w:val="008D7A9A"/>
    <w:rsid w:val="008E1768"/>
    <w:rsid w:val="008E5D4B"/>
    <w:rsid w:val="008F08B2"/>
    <w:rsid w:val="008F3FCB"/>
    <w:rsid w:val="0090087D"/>
    <w:rsid w:val="00900C09"/>
    <w:rsid w:val="00906AD5"/>
    <w:rsid w:val="00907D61"/>
    <w:rsid w:val="00911741"/>
    <w:rsid w:val="00912200"/>
    <w:rsid w:val="0091411A"/>
    <w:rsid w:val="00915428"/>
    <w:rsid w:val="009163EA"/>
    <w:rsid w:val="00916561"/>
    <w:rsid w:val="009172A8"/>
    <w:rsid w:val="00921AD7"/>
    <w:rsid w:val="00925181"/>
    <w:rsid w:val="00925531"/>
    <w:rsid w:val="009259D6"/>
    <w:rsid w:val="00927722"/>
    <w:rsid w:val="00934A79"/>
    <w:rsid w:val="00934B61"/>
    <w:rsid w:val="00940801"/>
    <w:rsid w:val="00942125"/>
    <w:rsid w:val="009433E1"/>
    <w:rsid w:val="00950176"/>
    <w:rsid w:val="0095019A"/>
    <w:rsid w:val="00953378"/>
    <w:rsid w:val="00954F16"/>
    <w:rsid w:val="00957456"/>
    <w:rsid w:val="00957E4D"/>
    <w:rsid w:val="009611EB"/>
    <w:rsid w:val="00962121"/>
    <w:rsid w:val="00962B7B"/>
    <w:rsid w:val="009639FC"/>
    <w:rsid w:val="00964761"/>
    <w:rsid w:val="00964A6D"/>
    <w:rsid w:val="0097246F"/>
    <w:rsid w:val="00975C0F"/>
    <w:rsid w:val="00976A0F"/>
    <w:rsid w:val="0098323A"/>
    <w:rsid w:val="00993E38"/>
    <w:rsid w:val="00994B56"/>
    <w:rsid w:val="00994BC9"/>
    <w:rsid w:val="009958BE"/>
    <w:rsid w:val="00997B69"/>
    <w:rsid w:val="009A1B32"/>
    <w:rsid w:val="009A4569"/>
    <w:rsid w:val="009A6B9F"/>
    <w:rsid w:val="009A6C2B"/>
    <w:rsid w:val="009B461C"/>
    <w:rsid w:val="009B4A15"/>
    <w:rsid w:val="009B4A33"/>
    <w:rsid w:val="009B5FAA"/>
    <w:rsid w:val="009B6442"/>
    <w:rsid w:val="009B7970"/>
    <w:rsid w:val="009D226B"/>
    <w:rsid w:val="009D59A2"/>
    <w:rsid w:val="009E48CE"/>
    <w:rsid w:val="009E61F0"/>
    <w:rsid w:val="009E7CBC"/>
    <w:rsid w:val="009F050D"/>
    <w:rsid w:val="009F674C"/>
    <w:rsid w:val="009F67BF"/>
    <w:rsid w:val="009F70B5"/>
    <w:rsid w:val="00A01E68"/>
    <w:rsid w:val="00A03439"/>
    <w:rsid w:val="00A0425A"/>
    <w:rsid w:val="00A0512F"/>
    <w:rsid w:val="00A128F9"/>
    <w:rsid w:val="00A12911"/>
    <w:rsid w:val="00A12919"/>
    <w:rsid w:val="00A12B09"/>
    <w:rsid w:val="00A17F20"/>
    <w:rsid w:val="00A205AF"/>
    <w:rsid w:val="00A21799"/>
    <w:rsid w:val="00A22979"/>
    <w:rsid w:val="00A234F0"/>
    <w:rsid w:val="00A24381"/>
    <w:rsid w:val="00A26074"/>
    <w:rsid w:val="00A31C7A"/>
    <w:rsid w:val="00A33FA1"/>
    <w:rsid w:val="00A40403"/>
    <w:rsid w:val="00A44F1D"/>
    <w:rsid w:val="00A45F19"/>
    <w:rsid w:val="00A46715"/>
    <w:rsid w:val="00A46748"/>
    <w:rsid w:val="00A46BB3"/>
    <w:rsid w:val="00A50FC9"/>
    <w:rsid w:val="00A62BEF"/>
    <w:rsid w:val="00A63A7B"/>
    <w:rsid w:val="00A70B92"/>
    <w:rsid w:val="00A8020D"/>
    <w:rsid w:val="00A807DB"/>
    <w:rsid w:val="00A8133B"/>
    <w:rsid w:val="00A82AA2"/>
    <w:rsid w:val="00A83413"/>
    <w:rsid w:val="00A84609"/>
    <w:rsid w:val="00A8525F"/>
    <w:rsid w:val="00A85505"/>
    <w:rsid w:val="00A92ACF"/>
    <w:rsid w:val="00A94AB6"/>
    <w:rsid w:val="00A94C30"/>
    <w:rsid w:val="00A94E0E"/>
    <w:rsid w:val="00A95152"/>
    <w:rsid w:val="00A96D46"/>
    <w:rsid w:val="00AA08AA"/>
    <w:rsid w:val="00AA0B54"/>
    <w:rsid w:val="00AA23D6"/>
    <w:rsid w:val="00AA2D91"/>
    <w:rsid w:val="00AA5FD5"/>
    <w:rsid w:val="00AA7408"/>
    <w:rsid w:val="00AB268E"/>
    <w:rsid w:val="00AB5AC6"/>
    <w:rsid w:val="00AB70BD"/>
    <w:rsid w:val="00AB73F7"/>
    <w:rsid w:val="00AC461A"/>
    <w:rsid w:val="00AD2CF8"/>
    <w:rsid w:val="00AD47A2"/>
    <w:rsid w:val="00AD4BD8"/>
    <w:rsid w:val="00AD4CC5"/>
    <w:rsid w:val="00AD5AB3"/>
    <w:rsid w:val="00AD5C3B"/>
    <w:rsid w:val="00AD7338"/>
    <w:rsid w:val="00AE2350"/>
    <w:rsid w:val="00AE242F"/>
    <w:rsid w:val="00AE43B9"/>
    <w:rsid w:val="00AE5BDD"/>
    <w:rsid w:val="00AE6837"/>
    <w:rsid w:val="00AE766F"/>
    <w:rsid w:val="00AF3DA7"/>
    <w:rsid w:val="00AF5BC0"/>
    <w:rsid w:val="00B04845"/>
    <w:rsid w:val="00B051FA"/>
    <w:rsid w:val="00B05BD1"/>
    <w:rsid w:val="00B069DF"/>
    <w:rsid w:val="00B11BBB"/>
    <w:rsid w:val="00B142BD"/>
    <w:rsid w:val="00B15848"/>
    <w:rsid w:val="00B15AB1"/>
    <w:rsid w:val="00B23845"/>
    <w:rsid w:val="00B23D27"/>
    <w:rsid w:val="00B24E6A"/>
    <w:rsid w:val="00B2520F"/>
    <w:rsid w:val="00B26B3F"/>
    <w:rsid w:val="00B33114"/>
    <w:rsid w:val="00B33EEA"/>
    <w:rsid w:val="00B34445"/>
    <w:rsid w:val="00B35253"/>
    <w:rsid w:val="00B35C33"/>
    <w:rsid w:val="00B3687F"/>
    <w:rsid w:val="00B4045B"/>
    <w:rsid w:val="00B454B4"/>
    <w:rsid w:val="00B454C6"/>
    <w:rsid w:val="00B45541"/>
    <w:rsid w:val="00B637D3"/>
    <w:rsid w:val="00B663EC"/>
    <w:rsid w:val="00B70479"/>
    <w:rsid w:val="00B70A11"/>
    <w:rsid w:val="00B720EB"/>
    <w:rsid w:val="00B74B03"/>
    <w:rsid w:val="00B80E41"/>
    <w:rsid w:val="00B81DA4"/>
    <w:rsid w:val="00B82651"/>
    <w:rsid w:val="00B84C85"/>
    <w:rsid w:val="00B92CF8"/>
    <w:rsid w:val="00B92D1A"/>
    <w:rsid w:val="00B9563B"/>
    <w:rsid w:val="00B95FD1"/>
    <w:rsid w:val="00BA1F6B"/>
    <w:rsid w:val="00BA48D0"/>
    <w:rsid w:val="00BB0517"/>
    <w:rsid w:val="00BB495E"/>
    <w:rsid w:val="00BC37B6"/>
    <w:rsid w:val="00BC5130"/>
    <w:rsid w:val="00BD0869"/>
    <w:rsid w:val="00BD2C35"/>
    <w:rsid w:val="00BD4133"/>
    <w:rsid w:val="00BD4185"/>
    <w:rsid w:val="00BD4507"/>
    <w:rsid w:val="00BD5B66"/>
    <w:rsid w:val="00BD642C"/>
    <w:rsid w:val="00BD7EDB"/>
    <w:rsid w:val="00BE2D25"/>
    <w:rsid w:val="00BE3250"/>
    <w:rsid w:val="00BE4547"/>
    <w:rsid w:val="00BE5D37"/>
    <w:rsid w:val="00BE761C"/>
    <w:rsid w:val="00BE793A"/>
    <w:rsid w:val="00BF1588"/>
    <w:rsid w:val="00BF3BDE"/>
    <w:rsid w:val="00C01396"/>
    <w:rsid w:val="00C03B9C"/>
    <w:rsid w:val="00C1398C"/>
    <w:rsid w:val="00C16A76"/>
    <w:rsid w:val="00C17D7A"/>
    <w:rsid w:val="00C20904"/>
    <w:rsid w:val="00C22E00"/>
    <w:rsid w:val="00C26261"/>
    <w:rsid w:val="00C3241B"/>
    <w:rsid w:val="00C33ECE"/>
    <w:rsid w:val="00C3698C"/>
    <w:rsid w:val="00C407E6"/>
    <w:rsid w:val="00C40DCA"/>
    <w:rsid w:val="00C42AAE"/>
    <w:rsid w:val="00C449B7"/>
    <w:rsid w:val="00C45545"/>
    <w:rsid w:val="00C466CC"/>
    <w:rsid w:val="00C47225"/>
    <w:rsid w:val="00C509CB"/>
    <w:rsid w:val="00C51045"/>
    <w:rsid w:val="00C52E8E"/>
    <w:rsid w:val="00C548A1"/>
    <w:rsid w:val="00C55083"/>
    <w:rsid w:val="00C55ECA"/>
    <w:rsid w:val="00C61073"/>
    <w:rsid w:val="00C634F7"/>
    <w:rsid w:val="00C63E92"/>
    <w:rsid w:val="00C6590B"/>
    <w:rsid w:val="00C677EE"/>
    <w:rsid w:val="00C7019B"/>
    <w:rsid w:val="00C70B4C"/>
    <w:rsid w:val="00C74D76"/>
    <w:rsid w:val="00C75BF7"/>
    <w:rsid w:val="00C773EC"/>
    <w:rsid w:val="00C778FE"/>
    <w:rsid w:val="00C7792C"/>
    <w:rsid w:val="00C86C5C"/>
    <w:rsid w:val="00C87F97"/>
    <w:rsid w:val="00C902AF"/>
    <w:rsid w:val="00C929F5"/>
    <w:rsid w:val="00C96955"/>
    <w:rsid w:val="00CA0D76"/>
    <w:rsid w:val="00CA1F65"/>
    <w:rsid w:val="00CA5623"/>
    <w:rsid w:val="00CB0821"/>
    <w:rsid w:val="00CB0E1C"/>
    <w:rsid w:val="00CB27AC"/>
    <w:rsid w:val="00CB6139"/>
    <w:rsid w:val="00CC1A1C"/>
    <w:rsid w:val="00CC27CF"/>
    <w:rsid w:val="00CC621C"/>
    <w:rsid w:val="00CC6D0B"/>
    <w:rsid w:val="00CD1456"/>
    <w:rsid w:val="00CD2580"/>
    <w:rsid w:val="00CD2815"/>
    <w:rsid w:val="00CE2845"/>
    <w:rsid w:val="00CF02F5"/>
    <w:rsid w:val="00CF7315"/>
    <w:rsid w:val="00CF7C15"/>
    <w:rsid w:val="00D03387"/>
    <w:rsid w:val="00D041ED"/>
    <w:rsid w:val="00D05A81"/>
    <w:rsid w:val="00D06432"/>
    <w:rsid w:val="00D07670"/>
    <w:rsid w:val="00D10473"/>
    <w:rsid w:val="00D11220"/>
    <w:rsid w:val="00D20906"/>
    <w:rsid w:val="00D21731"/>
    <w:rsid w:val="00D24304"/>
    <w:rsid w:val="00D27503"/>
    <w:rsid w:val="00D27707"/>
    <w:rsid w:val="00D3125E"/>
    <w:rsid w:val="00D36B1E"/>
    <w:rsid w:val="00D36C00"/>
    <w:rsid w:val="00D37B04"/>
    <w:rsid w:val="00D41FEC"/>
    <w:rsid w:val="00D45078"/>
    <w:rsid w:val="00D45929"/>
    <w:rsid w:val="00D4760E"/>
    <w:rsid w:val="00D47B69"/>
    <w:rsid w:val="00D51E50"/>
    <w:rsid w:val="00D51F61"/>
    <w:rsid w:val="00D52560"/>
    <w:rsid w:val="00D54E77"/>
    <w:rsid w:val="00D55BBF"/>
    <w:rsid w:val="00D55F10"/>
    <w:rsid w:val="00D57F0E"/>
    <w:rsid w:val="00D618EF"/>
    <w:rsid w:val="00D65365"/>
    <w:rsid w:val="00D70B4D"/>
    <w:rsid w:val="00D81425"/>
    <w:rsid w:val="00D83E26"/>
    <w:rsid w:val="00D8724C"/>
    <w:rsid w:val="00D90AE7"/>
    <w:rsid w:val="00D9271B"/>
    <w:rsid w:val="00D929E5"/>
    <w:rsid w:val="00D944FD"/>
    <w:rsid w:val="00D94A95"/>
    <w:rsid w:val="00D94B49"/>
    <w:rsid w:val="00DA164A"/>
    <w:rsid w:val="00DB35C0"/>
    <w:rsid w:val="00DB4118"/>
    <w:rsid w:val="00DC3B71"/>
    <w:rsid w:val="00DC4283"/>
    <w:rsid w:val="00DD2105"/>
    <w:rsid w:val="00DD3DC9"/>
    <w:rsid w:val="00DD5C8B"/>
    <w:rsid w:val="00DD6015"/>
    <w:rsid w:val="00DD6197"/>
    <w:rsid w:val="00DD7531"/>
    <w:rsid w:val="00DE0D83"/>
    <w:rsid w:val="00DE57D3"/>
    <w:rsid w:val="00DE6151"/>
    <w:rsid w:val="00DE7C2E"/>
    <w:rsid w:val="00DF215B"/>
    <w:rsid w:val="00DF438C"/>
    <w:rsid w:val="00E015F1"/>
    <w:rsid w:val="00E03E55"/>
    <w:rsid w:val="00E07AE0"/>
    <w:rsid w:val="00E11BA8"/>
    <w:rsid w:val="00E1261D"/>
    <w:rsid w:val="00E144CB"/>
    <w:rsid w:val="00E16D1D"/>
    <w:rsid w:val="00E20353"/>
    <w:rsid w:val="00E2526F"/>
    <w:rsid w:val="00E26F57"/>
    <w:rsid w:val="00E30169"/>
    <w:rsid w:val="00E31F44"/>
    <w:rsid w:val="00E32FA0"/>
    <w:rsid w:val="00E331F5"/>
    <w:rsid w:val="00E3641E"/>
    <w:rsid w:val="00E417AA"/>
    <w:rsid w:val="00E42A06"/>
    <w:rsid w:val="00E45AAB"/>
    <w:rsid w:val="00E45BFF"/>
    <w:rsid w:val="00E604BC"/>
    <w:rsid w:val="00E67991"/>
    <w:rsid w:val="00E7141E"/>
    <w:rsid w:val="00E731C3"/>
    <w:rsid w:val="00E80908"/>
    <w:rsid w:val="00E80AD9"/>
    <w:rsid w:val="00E82984"/>
    <w:rsid w:val="00E82D03"/>
    <w:rsid w:val="00E84ECD"/>
    <w:rsid w:val="00E84FD4"/>
    <w:rsid w:val="00E86014"/>
    <w:rsid w:val="00E8714C"/>
    <w:rsid w:val="00E958EB"/>
    <w:rsid w:val="00EA023F"/>
    <w:rsid w:val="00EA0A16"/>
    <w:rsid w:val="00EA30F0"/>
    <w:rsid w:val="00EA4CC3"/>
    <w:rsid w:val="00EA67E4"/>
    <w:rsid w:val="00EB4008"/>
    <w:rsid w:val="00EB4572"/>
    <w:rsid w:val="00EB51A1"/>
    <w:rsid w:val="00EB6C63"/>
    <w:rsid w:val="00EC3C6E"/>
    <w:rsid w:val="00EC45C3"/>
    <w:rsid w:val="00EC74F2"/>
    <w:rsid w:val="00ED5395"/>
    <w:rsid w:val="00ED675C"/>
    <w:rsid w:val="00EF229C"/>
    <w:rsid w:val="00EF27EB"/>
    <w:rsid w:val="00EF35AA"/>
    <w:rsid w:val="00EF4EDF"/>
    <w:rsid w:val="00EF5035"/>
    <w:rsid w:val="00EF74D1"/>
    <w:rsid w:val="00EF76A0"/>
    <w:rsid w:val="00F0074B"/>
    <w:rsid w:val="00F01443"/>
    <w:rsid w:val="00F0696D"/>
    <w:rsid w:val="00F07415"/>
    <w:rsid w:val="00F10A21"/>
    <w:rsid w:val="00F13BFD"/>
    <w:rsid w:val="00F13E34"/>
    <w:rsid w:val="00F15658"/>
    <w:rsid w:val="00F17CD4"/>
    <w:rsid w:val="00F20AA1"/>
    <w:rsid w:val="00F2164B"/>
    <w:rsid w:val="00F312DC"/>
    <w:rsid w:val="00F3314F"/>
    <w:rsid w:val="00F37D6B"/>
    <w:rsid w:val="00F40E7F"/>
    <w:rsid w:val="00F41BB0"/>
    <w:rsid w:val="00F465C3"/>
    <w:rsid w:val="00F50C13"/>
    <w:rsid w:val="00F526AB"/>
    <w:rsid w:val="00F53040"/>
    <w:rsid w:val="00F53ECE"/>
    <w:rsid w:val="00F56946"/>
    <w:rsid w:val="00F60B14"/>
    <w:rsid w:val="00F651BB"/>
    <w:rsid w:val="00F65862"/>
    <w:rsid w:val="00F661C8"/>
    <w:rsid w:val="00F667A0"/>
    <w:rsid w:val="00F66E9F"/>
    <w:rsid w:val="00F70EB9"/>
    <w:rsid w:val="00F72341"/>
    <w:rsid w:val="00F72949"/>
    <w:rsid w:val="00F766CD"/>
    <w:rsid w:val="00F77FBF"/>
    <w:rsid w:val="00F87CD1"/>
    <w:rsid w:val="00F911FA"/>
    <w:rsid w:val="00F93E04"/>
    <w:rsid w:val="00F94E1C"/>
    <w:rsid w:val="00F9704C"/>
    <w:rsid w:val="00FA032E"/>
    <w:rsid w:val="00FA098F"/>
    <w:rsid w:val="00FA1EF9"/>
    <w:rsid w:val="00FA34D8"/>
    <w:rsid w:val="00FA78F0"/>
    <w:rsid w:val="00FA7E4E"/>
    <w:rsid w:val="00FB464E"/>
    <w:rsid w:val="00FC23D5"/>
    <w:rsid w:val="00FC3131"/>
    <w:rsid w:val="00FC31F3"/>
    <w:rsid w:val="00FC49A2"/>
    <w:rsid w:val="00FC790D"/>
    <w:rsid w:val="00FD0316"/>
    <w:rsid w:val="00FD0910"/>
    <w:rsid w:val="00FD0C6D"/>
    <w:rsid w:val="00FD124D"/>
    <w:rsid w:val="00FD4CEB"/>
    <w:rsid w:val="00FD7F63"/>
    <w:rsid w:val="00FE0ABD"/>
    <w:rsid w:val="00FE1CCB"/>
    <w:rsid w:val="00FE2D1F"/>
    <w:rsid w:val="00FE3AB9"/>
    <w:rsid w:val="00FE48F7"/>
    <w:rsid w:val="00FE4A59"/>
    <w:rsid w:val="00FE4CFB"/>
    <w:rsid w:val="00FE5073"/>
    <w:rsid w:val="00FE7167"/>
    <w:rsid w:val="00FF27B0"/>
    <w:rsid w:val="00FF51D9"/>
    <w:rsid w:val="01050F22"/>
    <w:rsid w:val="011F7B62"/>
    <w:rsid w:val="012449C1"/>
    <w:rsid w:val="013E3C69"/>
    <w:rsid w:val="016B3AB9"/>
    <w:rsid w:val="017309C2"/>
    <w:rsid w:val="01804A4C"/>
    <w:rsid w:val="01842DFD"/>
    <w:rsid w:val="019D6AB9"/>
    <w:rsid w:val="01B70159"/>
    <w:rsid w:val="022B147B"/>
    <w:rsid w:val="02473B64"/>
    <w:rsid w:val="024E68F9"/>
    <w:rsid w:val="026034A4"/>
    <w:rsid w:val="026B1259"/>
    <w:rsid w:val="027F559A"/>
    <w:rsid w:val="028D07AE"/>
    <w:rsid w:val="029F19F6"/>
    <w:rsid w:val="02A82A5A"/>
    <w:rsid w:val="02AA3C0C"/>
    <w:rsid w:val="03013B6D"/>
    <w:rsid w:val="031C1E88"/>
    <w:rsid w:val="034A66A9"/>
    <w:rsid w:val="035954C6"/>
    <w:rsid w:val="036C58F1"/>
    <w:rsid w:val="037C3925"/>
    <w:rsid w:val="038D16A3"/>
    <w:rsid w:val="03A04F32"/>
    <w:rsid w:val="03B35954"/>
    <w:rsid w:val="03D754CE"/>
    <w:rsid w:val="03F77431"/>
    <w:rsid w:val="04310077"/>
    <w:rsid w:val="04B75C12"/>
    <w:rsid w:val="04C17856"/>
    <w:rsid w:val="05621708"/>
    <w:rsid w:val="056A0193"/>
    <w:rsid w:val="057463BE"/>
    <w:rsid w:val="05B747B5"/>
    <w:rsid w:val="05F257ED"/>
    <w:rsid w:val="06077EDF"/>
    <w:rsid w:val="06687665"/>
    <w:rsid w:val="066E1B3F"/>
    <w:rsid w:val="069F5975"/>
    <w:rsid w:val="06AB702E"/>
    <w:rsid w:val="06C63DCA"/>
    <w:rsid w:val="06E72E78"/>
    <w:rsid w:val="06ED4932"/>
    <w:rsid w:val="06FE57E9"/>
    <w:rsid w:val="0722574C"/>
    <w:rsid w:val="074B6EE2"/>
    <w:rsid w:val="07635FCF"/>
    <w:rsid w:val="07952355"/>
    <w:rsid w:val="07993CD2"/>
    <w:rsid w:val="079B438E"/>
    <w:rsid w:val="07C00E4E"/>
    <w:rsid w:val="07E21FBD"/>
    <w:rsid w:val="07F05134"/>
    <w:rsid w:val="07F43A9E"/>
    <w:rsid w:val="080413FB"/>
    <w:rsid w:val="08236132"/>
    <w:rsid w:val="082A7B12"/>
    <w:rsid w:val="082D13CD"/>
    <w:rsid w:val="08910D3A"/>
    <w:rsid w:val="08EB55E1"/>
    <w:rsid w:val="092E38AA"/>
    <w:rsid w:val="094840A2"/>
    <w:rsid w:val="09AB2883"/>
    <w:rsid w:val="09D956DD"/>
    <w:rsid w:val="0A144128"/>
    <w:rsid w:val="0A740EC6"/>
    <w:rsid w:val="0A93759F"/>
    <w:rsid w:val="0A94204F"/>
    <w:rsid w:val="0B094001"/>
    <w:rsid w:val="0B1129A9"/>
    <w:rsid w:val="0B226094"/>
    <w:rsid w:val="0B3348DE"/>
    <w:rsid w:val="0B51492D"/>
    <w:rsid w:val="0B5F6C33"/>
    <w:rsid w:val="0B6A29E8"/>
    <w:rsid w:val="0BEB6927"/>
    <w:rsid w:val="0BF441D0"/>
    <w:rsid w:val="0C0555AD"/>
    <w:rsid w:val="0C1B7CB9"/>
    <w:rsid w:val="0C6A5DB6"/>
    <w:rsid w:val="0CA5180B"/>
    <w:rsid w:val="0CB44F3B"/>
    <w:rsid w:val="0D042A38"/>
    <w:rsid w:val="0D06420C"/>
    <w:rsid w:val="0D411DDA"/>
    <w:rsid w:val="0D5B63A5"/>
    <w:rsid w:val="0D5F5E5E"/>
    <w:rsid w:val="0D7039A8"/>
    <w:rsid w:val="0D76383F"/>
    <w:rsid w:val="0D8C4BF5"/>
    <w:rsid w:val="0D95362E"/>
    <w:rsid w:val="0DAA6A9C"/>
    <w:rsid w:val="0DB072E2"/>
    <w:rsid w:val="0E6E51A7"/>
    <w:rsid w:val="0E76520D"/>
    <w:rsid w:val="0F11511A"/>
    <w:rsid w:val="0F742663"/>
    <w:rsid w:val="0F87270E"/>
    <w:rsid w:val="0FD35905"/>
    <w:rsid w:val="1016261D"/>
    <w:rsid w:val="101A5DC2"/>
    <w:rsid w:val="102137F8"/>
    <w:rsid w:val="102742DA"/>
    <w:rsid w:val="10421E41"/>
    <w:rsid w:val="10A1053B"/>
    <w:rsid w:val="10A569D5"/>
    <w:rsid w:val="10CC24D4"/>
    <w:rsid w:val="10E13477"/>
    <w:rsid w:val="10ED236B"/>
    <w:rsid w:val="11005262"/>
    <w:rsid w:val="110E3A9D"/>
    <w:rsid w:val="11401B02"/>
    <w:rsid w:val="118F09DB"/>
    <w:rsid w:val="11977F42"/>
    <w:rsid w:val="11DE5657"/>
    <w:rsid w:val="11E63867"/>
    <w:rsid w:val="12107727"/>
    <w:rsid w:val="121C431D"/>
    <w:rsid w:val="123D3828"/>
    <w:rsid w:val="12583692"/>
    <w:rsid w:val="126729B3"/>
    <w:rsid w:val="12702CBF"/>
    <w:rsid w:val="1286695D"/>
    <w:rsid w:val="12D645A8"/>
    <w:rsid w:val="13815D2A"/>
    <w:rsid w:val="13A02D2C"/>
    <w:rsid w:val="13EB21F9"/>
    <w:rsid w:val="141334FE"/>
    <w:rsid w:val="141718F3"/>
    <w:rsid w:val="14367166"/>
    <w:rsid w:val="14384B85"/>
    <w:rsid w:val="147B7EA8"/>
    <w:rsid w:val="14912DB8"/>
    <w:rsid w:val="14D33FD6"/>
    <w:rsid w:val="15083B80"/>
    <w:rsid w:val="15704420"/>
    <w:rsid w:val="1573694A"/>
    <w:rsid w:val="159A73CA"/>
    <w:rsid w:val="159B37AB"/>
    <w:rsid w:val="15AE0893"/>
    <w:rsid w:val="15C3541D"/>
    <w:rsid w:val="16092F9E"/>
    <w:rsid w:val="161902B1"/>
    <w:rsid w:val="16265A17"/>
    <w:rsid w:val="163E343B"/>
    <w:rsid w:val="16C87BC4"/>
    <w:rsid w:val="170161DF"/>
    <w:rsid w:val="172A3808"/>
    <w:rsid w:val="178B5123"/>
    <w:rsid w:val="17BF29C5"/>
    <w:rsid w:val="17DC3B1F"/>
    <w:rsid w:val="18626607"/>
    <w:rsid w:val="186D5E50"/>
    <w:rsid w:val="18740854"/>
    <w:rsid w:val="188D0F93"/>
    <w:rsid w:val="18B41B21"/>
    <w:rsid w:val="18CE050C"/>
    <w:rsid w:val="18D6083C"/>
    <w:rsid w:val="18DE39CE"/>
    <w:rsid w:val="19170A30"/>
    <w:rsid w:val="197E58BE"/>
    <w:rsid w:val="19B25CAA"/>
    <w:rsid w:val="19B74495"/>
    <w:rsid w:val="1A6F5517"/>
    <w:rsid w:val="1A84767D"/>
    <w:rsid w:val="1AA40DB0"/>
    <w:rsid w:val="1ABB2312"/>
    <w:rsid w:val="1ABB4B41"/>
    <w:rsid w:val="1AD532F2"/>
    <w:rsid w:val="1ADF3AB2"/>
    <w:rsid w:val="1B1E1106"/>
    <w:rsid w:val="1B3754CA"/>
    <w:rsid w:val="1B431D5E"/>
    <w:rsid w:val="1B675B6A"/>
    <w:rsid w:val="1B753136"/>
    <w:rsid w:val="1B917C60"/>
    <w:rsid w:val="1BC4186F"/>
    <w:rsid w:val="1BD712B5"/>
    <w:rsid w:val="1BDF5B2E"/>
    <w:rsid w:val="1BF1662C"/>
    <w:rsid w:val="1C18527A"/>
    <w:rsid w:val="1C2362A8"/>
    <w:rsid w:val="1C533032"/>
    <w:rsid w:val="1C750D55"/>
    <w:rsid w:val="1C9F6B22"/>
    <w:rsid w:val="1CD92ABF"/>
    <w:rsid w:val="1CEA0A84"/>
    <w:rsid w:val="1CF278EF"/>
    <w:rsid w:val="1D1502E7"/>
    <w:rsid w:val="1D5200E6"/>
    <w:rsid w:val="1D6F5C49"/>
    <w:rsid w:val="1D77357B"/>
    <w:rsid w:val="1D8334A3"/>
    <w:rsid w:val="1DB037B1"/>
    <w:rsid w:val="1E384765"/>
    <w:rsid w:val="1E6037E4"/>
    <w:rsid w:val="1E6E5F01"/>
    <w:rsid w:val="1E747140"/>
    <w:rsid w:val="1EC31060"/>
    <w:rsid w:val="1EC66636"/>
    <w:rsid w:val="1EE53480"/>
    <w:rsid w:val="1F09750E"/>
    <w:rsid w:val="1F0B14D8"/>
    <w:rsid w:val="1F4E7AE0"/>
    <w:rsid w:val="1F777037"/>
    <w:rsid w:val="1FA22A40"/>
    <w:rsid w:val="1FED6F19"/>
    <w:rsid w:val="203F51A4"/>
    <w:rsid w:val="20675EC0"/>
    <w:rsid w:val="20A151FA"/>
    <w:rsid w:val="20BE0430"/>
    <w:rsid w:val="20DF4E94"/>
    <w:rsid w:val="211F7121"/>
    <w:rsid w:val="21343AEF"/>
    <w:rsid w:val="21441968"/>
    <w:rsid w:val="21630098"/>
    <w:rsid w:val="21650DA9"/>
    <w:rsid w:val="21806D02"/>
    <w:rsid w:val="218E1CF5"/>
    <w:rsid w:val="21932099"/>
    <w:rsid w:val="21A41C3A"/>
    <w:rsid w:val="21E77118"/>
    <w:rsid w:val="22162FAB"/>
    <w:rsid w:val="22317971"/>
    <w:rsid w:val="2245212B"/>
    <w:rsid w:val="22816978"/>
    <w:rsid w:val="22AB2C71"/>
    <w:rsid w:val="22AD1941"/>
    <w:rsid w:val="22BC6E8E"/>
    <w:rsid w:val="22D0011A"/>
    <w:rsid w:val="22F909E6"/>
    <w:rsid w:val="22FC3C77"/>
    <w:rsid w:val="230A659F"/>
    <w:rsid w:val="233A4603"/>
    <w:rsid w:val="23E353C7"/>
    <w:rsid w:val="23E54F04"/>
    <w:rsid w:val="23F46D37"/>
    <w:rsid w:val="240D3AC6"/>
    <w:rsid w:val="24975A86"/>
    <w:rsid w:val="24C8172F"/>
    <w:rsid w:val="25210786"/>
    <w:rsid w:val="2521226E"/>
    <w:rsid w:val="25380364"/>
    <w:rsid w:val="255114C8"/>
    <w:rsid w:val="25A85A48"/>
    <w:rsid w:val="25E550B1"/>
    <w:rsid w:val="26127823"/>
    <w:rsid w:val="26355609"/>
    <w:rsid w:val="26761685"/>
    <w:rsid w:val="26BF7019"/>
    <w:rsid w:val="26C87581"/>
    <w:rsid w:val="271D1426"/>
    <w:rsid w:val="27373A96"/>
    <w:rsid w:val="277C422A"/>
    <w:rsid w:val="279C1684"/>
    <w:rsid w:val="279F537D"/>
    <w:rsid w:val="28942A08"/>
    <w:rsid w:val="289E3630"/>
    <w:rsid w:val="28D50016"/>
    <w:rsid w:val="28E74668"/>
    <w:rsid w:val="290A11FB"/>
    <w:rsid w:val="292D7DED"/>
    <w:rsid w:val="295C08D5"/>
    <w:rsid w:val="296C5733"/>
    <w:rsid w:val="2978116E"/>
    <w:rsid w:val="297F5AE7"/>
    <w:rsid w:val="2998076B"/>
    <w:rsid w:val="29F94BCD"/>
    <w:rsid w:val="2A001015"/>
    <w:rsid w:val="2A17569E"/>
    <w:rsid w:val="2A341386"/>
    <w:rsid w:val="2A3C0E89"/>
    <w:rsid w:val="2ACD2201"/>
    <w:rsid w:val="2AF14141"/>
    <w:rsid w:val="2B255788"/>
    <w:rsid w:val="2B3844C7"/>
    <w:rsid w:val="2B4D50F0"/>
    <w:rsid w:val="2B7D3C27"/>
    <w:rsid w:val="2BC6774D"/>
    <w:rsid w:val="2BD15B8F"/>
    <w:rsid w:val="2BEC7C7F"/>
    <w:rsid w:val="2BF57C61"/>
    <w:rsid w:val="2BF7102B"/>
    <w:rsid w:val="2BFC5B71"/>
    <w:rsid w:val="2C191714"/>
    <w:rsid w:val="2C347E8F"/>
    <w:rsid w:val="2C471B3F"/>
    <w:rsid w:val="2C864D5D"/>
    <w:rsid w:val="2CEA065B"/>
    <w:rsid w:val="2D3D6F20"/>
    <w:rsid w:val="2D656E6C"/>
    <w:rsid w:val="2D823CB1"/>
    <w:rsid w:val="2DE127F3"/>
    <w:rsid w:val="2E81053F"/>
    <w:rsid w:val="2E861045"/>
    <w:rsid w:val="2E9F2A9A"/>
    <w:rsid w:val="2EF2089D"/>
    <w:rsid w:val="2F0A1F67"/>
    <w:rsid w:val="2F624FE4"/>
    <w:rsid w:val="2F682CE1"/>
    <w:rsid w:val="2F6B528D"/>
    <w:rsid w:val="2F755393"/>
    <w:rsid w:val="2FE33874"/>
    <w:rsid w:val="300470CD"/>
    <w:rsid w:val="30295295"/>
    <w:rsid w:val="302E7063"/>
    <w:rsid w:val="30302CF0"/>
    <w:rsid w:val="30527173"/>
    <w:rsid w:val="307C27A2"/>
    <w:rsid w:val="30A026C7"/>
    <w:rsid w:val="30C45E54"/>
    <w:rsid w:val="30D13D5C"/>
    <w:rsid w:val="30E468D3"/>
    <w:rsid w:val="31240E7F"/>
    <w:rsid w:val="31A66B54"/>
    <w:rsid w:val="31AC317A"/>
    <w:rsid w:val="31DF77E5"/>
    <w:rsid w:val="31F938DC"/>
    <w:rsid w:val="32014E85"/>
    <w:rsid w:val="325102FD"/>
    <w:rsid w:val="325A65CE"/>
    <w:rsid w:val="325F4087"/>
    <w:rsid w:val="32672F3B"/>
    <w:rsid w:val="328861ED"/>
    <w:rsid w:val="32D17C89"/>
    <w:rsid w:val="32DD33F0"/>
    <w:rsid w:val="32DE0457"/>
    <w:rsid w:val="32ED7014"/>
    <w:rsid w:val="32F03C6A"/>
    <w:rsid w:val="33022814"/>
    <w:rsid w:val="33207530"/>
    <w:rsid w:val="33365593"/>
    <w:rsid w:val="336B3B2C"/>
    <w:rsid w:val="337D36DE"/>
    <w:rsid w:val="33AD7BD2"/>
    <w:rsid w:val="33B62270"/>
    <w:rsid w:val="33C61EE3"/>
    <w:rsid w:val="33E81E5A"/>
    <w:rsid w:val="33F23FBB"/>
    <w:rsid w:val="34357FFF"/>
    <w:rsid w:val="34612644"/>
    <w:rsid w:val="346B34F2"/>
    <w:rsid w:val="34B025C2"/>
    <w:rsid w:val="34CE6CB1"/>
    <w:rsid w:val="34D262F0"/>
    <w:rsid w:val="34DB7DEB"/>
    <w:rsid w:val="34DC42B0"/>
    <w:rsid w:val="351E5DA3"/>
    <w:rsid w:val="352D194B"/>
    <w:rsid w:val="35371F6A"/>
    <w:rsid w:val="353D23CD"/>
    <w:rsid w:val="3588021D"/>
    <w:rsid w:val="35EE60E8"/>
    <w:rsid w:val="35FC0F9C"/>
    <w:rsid w:val="36397E1F"/>
    <w:rsid w:val="36730100"/>
    <w:rsid w:val="368B6332"/>
    <w:rsid w:val="368D01D3"/>
    <w:rsid w:val="36CB5494"/>
    <w:rsid w:val="36D14E27"/>
    <w:rsid w:val="36F668DB"/>
    <w:rsid w:val="36F71EED"/>
    <w:rsid w:val="37327D18"/>
    <w:rsid w:val="374C2700"/>
    <w:rsid w:val="37591E60"/>
    <w:rsid w:val="37702892"/>
    <w:rsid w:val="377F2AD5"/>
    <w:rsid w:val="377F3076"/>
    <w:rsid w:val="379F3BC9"/>
    <w:rsid w:val="37A67A64"/>
    <w:rsid w:val="37C2777B"/>
    <w:rsid w:val="37D927A8"/>
    <w:rsid w:val="380213A2"/>
    <w:rsid w:val="38077B76"/>
    <w:rsid w:val="385374D9"/>
    <w:rsid w:val="38DD6884"/>
    <w:rsid w:val="392C7F2E"/>
    <w:rsid w:val="39392D21"/>
    <w:rsid w:val="394549EE"/>
    <w:rsid w:val="39785A2E"/>
    <w:rsid w:val="3980674F"/>
    <w:rsid w:val="39BA3337"/>
    <w:rsid w:val="39E53F50"/>
    <w:rsid w:val="39E76710"/>
    <w:rsid w:val="39F11255"/>
    <w:rsid w:val="39F974B6"/>
    <w:rsid w:val="3A351B95"/>
    <w:rsid w:val="3A385B75"/>
    <w:rsid w:val="3A711E44"/>
    <w:rsid w:val="3AAF0705"/>
    <w:rsid w:val="3AD21575"/>
    <w:rsid w:val="3B05678F"/>
    <w:rsid w:val="3B381CFE"/>
    <w:rsid w:val="3B397075"/>
    <w:rsid w:val="3B781DA2"/>
    <w:rsid w:val="3BC339AE"/>
    <w:rsid w:val="3BC433C4"/>
    <w:rsid w:val="3BCA7C0B"/>
    <w:rsid w:val="3BCF3250"/>
    <w:rsid w:val="3BD1255F"/>
    <w:rsid w:val="3C0356A1"/>
    <w:rsid w:val="3C086CF8"/>
    <w:rsid w:val="3C365228"/>
    <w:rsid w:val="3C7D6FA4"/>
    <w:rsid w:val="3CA1672C"/>
    <w:rsid w:val="3CD75A09"/>
    <w:rsid w:val="3D023F8C"/>
    <w:rsid w:val="3D685AD3"/>
    <w:rsid w:val="3D7546D4"/>
    <w:rsid w:val="3D7E75D8"/>
    <w:rsid w:val="3D883804"/>
    <w:rsid w:val="3DD62AA6"/>
    <w:rsid w:val="3E183655"/>
    <w:rsid w:val="3E6776D1"/>
    <w:rsid w:val="3E6B0E07"/>
    <w:rsid w:val="3EA679BB"/>
    <w:rsid w:val="3F2A5A1C"/>
    <w:rsid w:val="3F2D2E17"/>
    <w:rsid w:val="3F4D5D5C"/>
    <w:rsid w:val="3F600A17"/>
    <w:rsid w:val="3F987513"/>
    <w:rsid w:val="3FB12FC1"/>
    <w:rsid w:val="400B3B35"/>
    <w:rsid w:val="400D3374"/>
    <w:rsid w:val="404D19C2"/>
    <w:rsid w:val="40B05AAD"/>
    <w:rsid w:val="40B97638"/>
    <w:rsid w:val="40CF687B"/>
    <w:rsid w:val="40F7781A"/>
    <w:rsid w:val="40FF08CA"/>
    <w:rsid w:val="411B4789"/>
    <w:rsid w:val="412A2C1A"/>
    <w:rsid w:val="4136266A"/>
    <w:rsid w:val="416A5251"/>
    <w:rsid w:val="41931657"/>
    <w:rsid w:val="41CB7F5F"/>
    <w:rsid w:val="41E87BA7"/>
    <w:rsid w:val="41EA3241"/>
    <w:rsid w:val="41EB0411"/>
    <w:rsid w:val="41F94E5F"/>
    <w:rsid w:val="41FA52CC"/>
    <w:rsid w:val="42280188"/>
    <w:rsid w:val="42480AAB"/>
    <w:rsid w:val="429D17C3"/>
    <w:rsid w:val="42D8208A"/>
    <w:rsid w:val="42D83AB5"/>
    <w:rsid w:val="42DA0EF4"/>
    <w:rsid w:val="430361AE"/>
    <w:rsid w:val="431E1EAC"/>
    <w:rsid w:val="433230F1"/>
    <w:rsid w:val="4381008F"/>
    <w:rsid w:val="43B81900"/>
    <w:rsid w:val="43BB2059"/>
    <w:rsid w:val="43CD640F"/>
    <w:rsid w:val="43E043E7"/>
    <w:rsid w:val="43EE4A68"/>
    <w:rsid w:val="441B3B85"/>
    <w:rsid w:val="44516656"/>
    <w:rsid w:val="44581532"/>
    <w:rsid w:val="445E0CFF"/>
    <w:rsid w:val="44770E38"/>
    <w:rsid w:val="450B3BFA"/>
    <w:rsid w:val="453815E9"/>
    <w:rsid w:val="454327B4"/>
    <w:rsid w:val="4550160D"/>
    <w:rsid w:val="45640D96"/>
    <w:rsid w:val="456865A2"/>
    <w:rsid w:val="45904030"/>
    <w:rsid w:val="459C5C4D"/>
    <w:rsid w:val="45B54A90"/>
    <w:rsid w:val="45C156DD"/>
    <w:rsid w:val="45D85916"/>
    <w:rsid w:val="460014D0"/>
    <w:rsid w:val="46040D75"/>
    <w:rsid w:val="46120993"/>
    <w:rsid w:val="462207C0"/>
    <w:rsid w:val="463217D3"/>
    <w:rsid w:val="4645703E"/>
    <w:rsid w:val="467C7431"/>
    <w:rsid w:val="469A3487"/>
    <w:rsid w:val="46B170F3"/>
    <w:rsid w:val="46BB0903"/>
    <w:rsid w:val="474169EC"/>
    <w:rsid w:val="47676E22"/>
    <w:rsid w:val="47A85730"/>
    <w:rsid w:val="47B910FD"/>
    <w:rsid w:val="47D00388"/>
    <w:rsid w:val="47EB386F"/>
    <w:rsid w:val="47F82D44"/>
    <w:rsid w:val="484E555F"/>
    <w:rsid w:val="485C05C3"/>
    <w:rsid w:val="4904108C"/>
    <w:rsid w:val="49542C5D"/>
    <w:rsid w:val="4969702A"/>
    <w:rsid w:val="49A02D6D"/>
    <w:rsid w:val="4A0330F2"/>
    <w:rsid w:val="4A2F3EE7"/>
    <w:rsid w:val="4A5139D3"/>
    <w:rsid w:val="4A5C53EB"/>
    <w:rsid w:val="4AB668F2"/>
    <w:rsid w:val="4AF1415C"/>
    <w:rsid w:val="4B0215FB"/>
    <w:rsid w:val="4B054C48"/>
    <w:rsid w:val="4B9C55AC"/>
    <w:rsid w:val="4B9F6E4A"/>
    <w:rsid w:val="4BB027A9"/>
    <w:rsid w:val="4BC17910"/>
    <w:rsid w:val="4BC475A2"/>
    <w:rsid w:val="4BD25472"/>
    <w:rsid w:val="4C2C2DD4"/>
    <w:rsid w:val="4C3B7D39"/>
    <w:rsid w:val="4CB2063E"/>
    <w:rsid w:val="4CCF2069"/>
    <w:rsid w:val="4CF53C2B"/>
    <w:rsid w:val="4D0D1214"/>
    <w:rsid w:val="4D7A36CB"/>
    <w:rsid w:val="4D7F0CE1"/>
    <w:rsid w:val="4DE2147D"/>
    <w:rsid w:val="4E0B39B2"/>
    <w:rsid w:val="4E5C70C5"/>
    <w:rsid w:val="4E9F0072"/>
    <w:rsid w:val="4EC51267"/>
    <w:rsid w:val="4EC71589"/>
    <w:rsid w:val="4EC76DE4"/>
    <w:rsid w:val="4EF1052E"/>
    <w:rsid w:val="4EFB1495"/>
    <w:rsid w:val="4F205884"/>
    <w:rsid w:val="4F2B78F1"/>
    <w:rsid w:val="4F710579"/>
    <w:rsid w:val="4FA806FF"/>
    <w:rsid w:val="50250266"/>
    <w:rsid w:val="504B6577"/>
    <w:rsid w:val="50514D49"/>
    <w:rsid w:val="507C59AC"/>
    <w:rsid w:val="50973D80"/>
    <w:rsid w:val="509F3025"/>
    <w:rsid w:val="50A14AF6"/>
    <w:rsid w:val="50AF1599"/>
    <w:rsid w:val="50F32B6A"/>
    <w:rsid w:val="5108372E"/>
    <w:rsid w:val="511B1FB9"/>
    <w:rsid w:val="5137401E"/>
    <w:rsid w:val="51387B25"/>
    <w:rsid w:val="51477D68"/>
    <w:rsid w:val="51B7313F"/>
    <w:rsid w:val="51B80C66"/>
    <w:rsid w:val="51C13FBE"/>
    <w:rsid w:val="51D80B5D"/>
    <w:rsid w:val="51E101BC"/>
    <w:rsid w:val="51EF032B"/>
    <w:rsid w:val="51F2372E"/>
    <w:rsid w:val="523825AC"/>
    <w:rsid w:val="52666914"/>
    <w:rsid w:val="529C2335"/>
    <w:rsid w:val="52A03BD4"/>
    <w:rsid w:val="52AB58C1"/>
    <w:rsid w:val="52C8137C"/>
    <w:rsid w:val="53020733"/>
    <w:rsid w:val="532205E6"/>
    <w:rsid w:val="532B3B64"/>
    <w:rsid w:val="534E193B"/>
    <w:rsid w:val="539A63C4"/>
    <w:rsid w:val="53A92F73"/>
    <w:rsid w:val="544133ED"/>
    <w:rsid w:val="54792C9E"/>
    <w:rsid w:val="54A30B71"/>
    <w:rsid w:val="551408A9"/>
    <w:rsid w:val="55222ED8"/>
    <w:rsid w:val="55394C0C"/>
    <w:rsid w:val="5550126A"/>
    <w:rsid w:val="556E7FB9"/>
    <w:rsid w:val="55741347"/>
    <w:rsid w:val="55802B56"/>
    <w:rsid w:val="55986E84"/>
    <w:rsid w:val="559C7E4A"/>
    <w:rsid w:val="55CA4BAF"/>
    <w:rsid w:val="55DB2097"/>
    <w:rsid w:val="55F2570C"/>
    <w:rsid w:val="5602396B"/>
    <w:rsid w:val="56033C16"/>
    <w:rsid w:val="56550F9C"/>
    <w:rsid w:val="565B702F"/>
    <w:rsid w:val="56693043"/>
    <w:rsid w:val="56BA4761"/>
    <w:rsid w:val="56C71FF0"/>
    <w:rsid w:val="56D007FF"/>
    <w:rsid w:val="56DA167E"/>
    <w:rsid w:val="56F62496"/>
    <w:rsid w:val="571A0B7B"/>
    <w:rsid w:val="577B0FB6"/>
    <w:rsid w:val="577B2EC4"/>
    <w:rsid w:val="578223FB"/>
    <w:rsid w:val="578A700B"/>
    <w:rsid w:val="5798756F"/>
    <w:rsid w:val="579E7811"/>
    <w:rsid w:val="57BE3253"/>
    <w:rsid w:val="58704048"/>
    <w:rsid w:val="589A030F"/>
    <w:rsid w:val="58C051FD"/>
    <w:rsid w:val="58E97E41"/>
    <w:rsid w:val="58EB2142"/>
    <w:rsid w:val="59307226"/>
    <w:rsid w:val="59543905"/>
    <w:rsid w:val="599B4D17"/>
    <w:rsid w:val="59AA6FA9"/>
    <w:rsid w:val="59D658C2"/>
    <w:rsid w:val="59F829AE"/>
    <w:rsid w:val="5A4A2677"/>
    <w:rsid w:val="5A601268"/>
    <w:rsid w:val="5AA83147"/>
    <w:rsid w:val="5AF357FA"/>
    <w:rsid w:val="5B1A473F"/>
    <w:rsid w:val="5B882075"/>
    <w:rsid w:val="5BA842F6"/>
    <w:rsid w:val="5BBE1C1E"/>
    <w:rsid w:val="5C0257BE"/>
    <w:rsid w:val="5C904B4E"/>
    <w:rsid w:val="5C9B7CEB"/>
    <w:rsid w:val="5CD220E1"/>
    <w:rsid w:val="5CDF79EE"/>
    <w:rsid w:val="5D02548B"/>
    <w:rsid w:val="5DD07EC1"/>
    <w:rsid w:val="5DD26970"/>
    <w:rsid w:val="5DF534E4"/>
    <w:rsid w:val="5E153E1E"/>
    <w:rsid w:val="5E2F4E1C"/>
    <w:rsid w:val="5E4203B1"/>
    <w:rsid w:val="5E503FE7"/>
    <w:rsid w:val="5E5A241C"/>
    <w:rsid w:val="5E713C9A"/>
    <w:rsid w:val="5EA45CB3"/>
    <w:rsid w:val="5EAC538E"/>
    <w:rsid w:val="5EE344C5"/>
    <w:rsid w:val="5EF105BD"/>
    <w:rsid w:val="5EF552A7"/>
    <w:rsid w:val="5EF5694A"/>
    <w:rsid w:val="5EFF2CC1"/>
    <w:rsid w:val="5F010AFA"/>
    <w:rsid w:val="5F092790"/>
    <w:rsid w:val="5F0B0A36"/>
    <w:rsid w:val="5F2B0CC9"/>
    <w:rsid w:val="5F417AF8"/>
    <w:rsid w:val="5F4E7745"/>
    <w:rsid w:val="5F525B95"/>
    <w:rsid w:val="5FAB3156"/>
    <w:rsid w:val="5FC35F7B"/>
    <w:rsid w:val="5FF91DDC"/>
    <w:rsid w:val="6004676E"/>
    <w:rsid w:val="60063D12"/>
    <w:rsid w:val="60123C37"/>
    <w:rsid w:val="603D3843"/>
    <w:rsid w:val="60583159"/>
    <w:rsid w:val="607E307A"/>
    <w:rsid w:val="60CF6128"/>
    <w:rsid w:val="61161505"/>
    <w:rsid w:val="613208D9"/>
    <w:rsid w:val="61377FE2"/>
    <w:rsid w:val="6160437C"/>
    <w:rsid w:val="61911D4A"/>
    <w:rsid w:val="61FF4E5E"/>
    <w:rsid w:val="62277716"/>
    <w:rsid w:val="62976475"/>
    <w:rsid w:val="63001DEA"/>
    <w:rsid w:val="6328604A"/>
    <w:rsid w:val="6333639E"/>
    <w:rsid w:val="63360FCC"/>
    <w:rsid w:val="63586C4E"/>
    <w:rsid w:val="637A1B2F"/>
    <w:rsid w:val="64091D58"/>
    <w:rsid w:val="64462101"/>
    <w:rsid w:val="64566C6D"/>
    <w:rsid w:val="64685FFD"/>
    <w:rsid w:val="64741836"/>
    <w:rsid w:val="64A80F6D"/>
    <w:rsid w:val="64D82FC8"/>
    <w:rsid w:val="65302769"/>
    <w:rsid w:val="654151AE"/>
    <w:rsid w:val="655A40B6"/>
    <w:rsid w:val="657C13D6"/>
    <w:rsid w:val="65934AA6"/>
    <w:rsid w:val="65FD1678"/>
    <w:rsid w:val="66190CA1"/>
    <w:rsid w:val="66230554"/>
    <w:rsid w:val="667016B7"/>
    <w:rsid w:val="66CE5350"/>
    <w:rsid w:val="66CF4630"/>
    <w:rsid w:val="66E06A6A"/>
    <w:rsid w:val="66E17344"/>
    <w:rsid w:val="675E48A3"/>
    <w:rsid w:val="67746F85"/>
    <w:rsid w:val="67A01A6C"/>
    <w:rsid w:val="67C34C57"/>
    <w:rsid w:val="67C4640D"/>
    <w:rsid w:val="67D14257"/>
    <w:rsid w:val="67F578D6"/>
    <w:rsid w:val="682A34D4"/>
    <w:rsid w:val="68624A44"/>
    <w:rsid w:val="68660C16"/>
    <w:rsid w:val="68920E84"/>
    <w:rsid w:val="694516F6"/>
    <w:rsid w:val="697E6745"/>
    <w:rsid w:val="698D42DB"/>
    <w:rsid w:val="69977538"/>
    <w:rsid w:val="69C443F5"/>
    <w:rsid w:val="69D17CBF"/>
    <w:rsid w:val="69F30A14"/>
    <w:rsid w:val="69FD3B5B"/>
    <w:rsid w:val="69FD5DCB"/>
    <w:rsid w:val="6A4924BB"/>
    <w:rsid w:val="6AED6227"/>
    <w:rsid w:val="6AF6662F"/>
    <w:rsid w:val="6B122370"/>
    <w:rsid w:val="6B1C1E0E"/>
    <w:rsid w:val="6B361121"/>
    <w:rsid w:val="6B3F371F"/>
    <w:rsid w:val="6B9765C4"/>
    <w:rsid w:val="6B9C0022"/>
    <w:rsid w:val="6C4405BB"/>
    <w:rsid w:val="6C775F53"/>
    <w:rsid w:val="6C90660F"/>
    <w:rsid w:val="6CAF0778"/>
    <w:rsid w:val="6CBA65FD"/>
    <w:rsid w:val="6CC22541"/>
    <w:rsid w:val="6CF5456C"/>
    <w:rsid w:val="6D0449A2"/>
    <w:rsid w:val="6D7E0B5E"/>
    <w:rsid w:val="6D8D384D"/>
    <w:rsid w:val="6D9503C4"/>
    <w:rsid w:val="6D9F3AE8"/>
    <w:rsid w:val="6DA0787D"/>
    <w:rsid w:val="6DB874E1"/>
    <w:rsid w:val="6DCD749D"/>
    <w:rsid w:val="6DED6479"/>
    <w:rsid w:val="6E597B85"/>
    <w:rsid w:val="6E85086A"/>
    <w:rsid w:val="6F4D2493"/>
    <w:rsid w:val="6F547DC8"/>
    <w:rsid w:val="6F5E1D4C"/>
    <w:rsid w:val="6F5F72BB"/>
    <w:rsid w:val="6F8C4DB8"/>
    <w:rsid w:val="6FCA73BC"/>
    <w:rsid w:val="702A612A"/>
    <w:rsid w:val="7038392F"/>
    <w:rsid w:val="7042692B"/>
    <w:rsid w:val="707D5C10"/>
    <w:rsid w:val="709A5B0D"/>
    <w:rsid w:val="70A1528F"/>
    <w:rsid w:val="70B83290"/>
    <w:rsid w:val="70C51FBD"/>
    <w:rsid w:val="70CE7706"/>
    <w:rsid w:val="710A4633"/>
    <w:rsid w:val="71173E25"/>
    <w:rsid w:val="711D243B"/>
    <w:rsid w:val="712C1933"/>
    <w:rsid w:val="71651E9F"/>
    <w:rsid w:val="71692481"/>
    <w:rsid w:val="71BB31C5"/>
    <w:rsid w:val="71D74D30"/>
    <w:rsid w:val="71F16AFB"/>
    <w:rsid w:val="722E2F6D"/>
    <w:rsid w:val="723807EA"/>
    <w:rsid w:val="72A41061"/>
    <w:rsid w:val="72BD72B5"/>
    <w:rsid w:val="733C4DFB"/>
    <w:rsid w:val="73497518"/>
    <w:rsid w:val="736B5B4D"/>
    <w:rsid w:val="737064CF"/>
    <w:rsid w:val="73883693"/>
    <w:rsid w:val="73D131E3"/>
    <w:rsid w:val="73DF029A"/>
    <w:rsid w:val="73EF4854"/>
    <w:rsid w:val="743C01A9"/>
    <w:rsid w:val="743D707D"/>
    <w:rsid w:val="745769FE"/>
    <w:rsid w:val="748E226B"/>
    <w:rsid w:val="74CF090A"/>
    <w:rsid w:val="74D437E0"/>
    <w:rsid w:val="74DA48CB"/>
    <w:rsid w:val="74E21F0E"/>
    <w:rsid w:val="74E602FA"/>
    <w:rsid w:val="750000AA"/>
    <w:rsid w:val="75427FD2"/>
    <w:rsid w:val="759D030E"/>
    <w:rsid w:val="75A60C51"/>
    <w:rsid w:val="75CF7CEC"/>
    <w:rsid w:val="75DB4D9F"/>
    <w:rsid w:val="760957C3"/>
    <w:rsid w:val="764A5A81"/>
    <w:rsid w:val="76D01393"/>
    <w:rsid w:val="77016B13"/>
    <w:rsid w:val="772B5562"/>
    <w:rsid w:val="773B361B"/>
    <w:rsid w:val="775070C7"/>
    <w:rsid w:val="77650DC8"/>
    <w:rsid w:val="77BE31C2"/>
    <w:rsid w:val="77EE3B00"/>
    <w:rsid w:val="780C16CD"/>
    <w:rsid w:val="78300CA6"/>
    <w:rsid w:val="78515BD6"/>
    <w:rsid w:val="785D4FB4"/>
    <w:rsid w:val="78732FE4"/>
    <w:rsid w:val="78876C1E"/>
    <w:rsid w:val="789631FF"/>
    <w:rsid w:val="78B57E42"/>
    <w:rsid w:val="78F135EE"/>
    <w:rsid w:val="79090B02"/>
    <w:rsid w:val="79122E8B"/>
    <w:rsid w:val="7929789D"/>
    <w:rsid w:val="793D51A9"/>
    <w:rsid w:val="795F3441"/>
    <w:rsid w:val="797A48CF"/>
    <w:rsid w:val="79A427DF"/>
    <w:rsid w:val="79AD6A52"/>
    <w:rsid w:val="79B6033E"/>
    <w:rsid w:val="79E01D6F"/>
    <w:rsid w:val="7A077BBF"/>
    <w:rsid w:val="7A2219DF"/>
    <w:rsid w:val="7A3B0E99"/>
    <w:rsid w:val="7A9329E8"/>
    <w:rsid w:val="7AB12451"/>
    <w:rsid w:val="7AD45B3A"/>
    <w:rsid w:val="7AFF1AF2"/>
    <w:rsid w:val="7B191935"/>
    <w:rsid w:val="7B32794C"/>
    <w:rsid w:val="7B3A7913"/>
    <w:rsid w:val="7B623D1A"/>
    <w:rsid w:val="7B83241F"/>
    <w:rsid w:val="7B915F00"/>
    <w:rsid w:val="7B9478D9"/>
    <w:rsid w:val="7BBD6CF5"/>
    <w:rsid w:val="7C0C6AF1"/>
    <w:rsid w:val="7C2823C0"/>
    <w:rsid w:val="7C7C5310"/>
    <w:rsid w:val="7C8C63C5"/>
    <w:rsid w:val="7CAD0B17"/>
    <w:rsid w:val="7CB623A6"/>
    <w:rsid w:val="7CD275C3"/>
    <w:rsid w:val="7CE85E9D"/>
    <w:rsid w:val="7DC30630"/>
    <w:rsid w:val="7E106B8E"/>
    <w:rsid w:val="7E2708CC"/>
    <w:rsid w:val="7E3B205A"/>
    <w:rsid w:val="7E645664"/>
    <w:rsid w:val="7EF55F93"/>
    <w:rsid w:val="7F1C356D"/>
    <w:rsid w:val="7F440FF9"/>
    <w:rsid w:val="7FA94EF3"/>
    <w:rsid w:val="7FCC7507"/>
    <w:rsid w:val="7FFE7AD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nhideWhenUsed="0" w:uiPriority="9" w:semiHidden="0" w:name="heading 4"/>
    <w:lsdException w:qFormat="1" w:uiPriority="9" w:semiHidden="0" w:name="heading 5"/>
    <w:lsdException w:qFormat="1" w:uiPriority="9" w:name="heading 6"/>
    <w:lsdException w:qFormat="1" w:uiPriority="9" w:name="heading 7"/>
    <w:lsdException w:qFormat="1" w:unhideWhenUsed="0" w:uiPriority="9" w:semiHidden="0"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iPriority="99" w:semiHidden="0"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0"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qFormat="1"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qFormat="1"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ind w:firstLine="1080" w:firstLineChars="200"/>
      <w:jc w:val="both"/>
    </w:pPr>
    <w:rPr>
      <w:rFonts w:ascii="Times New Roman" w:hAnsi="Times New Roman" w:eastAsia="仿宋" w:cs="Times New Roman"/>
      <w:kern w:val="2"/>
      <w:sz w:val="28"/>
      <w:szCs w:val="21"/>
      <w:lang w:val="en-US" w:eastAsia="zh-CN" w:bidi="ar-SA"/>
    </w:rPr>
  </w:style>
  <w:style w:type="paragraph" w:styleId="2">
    <w:name w:val="heading 1"/>
    <w:basedOn w:val="1"/>
    <w:next w:val="1"/>
    <w:link w:val="176"/>
    <w:qFormat/>
    <w:uiPriority w:val="0"/>
    <w:pPr>
      <w:keepNext/>
      <w:keepLines/>
      <w:pageBreakBefore/>
      <w:ind w:firstLine="0" w:firstLineChars="0"/>
      <w:jc w:val="center"/>
      <w:outlineLvl w:val="0"/>
    </w:pPr>
    <w:rPr>
      <w:rFonts w:ascii="黑体" w:hAnsi="黑体" w:eastAsia="黑体" w:cs="仿宋"/>
      <w:kern w:val="44"/>
      <w:sz w:val="32"/>
      <w:szCs w:val="28"/>
    </w:rPr>
  </w:style>
  <w:style w:type="paragraph" w:styleId="3">
    <w:name w:val="heading 2"/>
    <w:basedOn w:val="1"/>
    <w:next w:val="1"/>
    <w:link w:val="56"/>
    <w:autoRedefine/>
    <w:unhideWhenUsed/>
    <w:qFormat/>
    <w:uiPriority w:val="0"/>
    <w:pPr>
      <w:keepLines/>
      <w:ind w:firstLine="0" w:firstLineChars="0"/>
      <w:outlineLvl w:val="1"/>
    </w:pPr>
    <w:rPr>
      <w:rFonts w:ascii="黑体" w:hAnsi="黑体" w:eastAsia="黑体"/>
      <w:bCs/>
      <w:sz w:val="30"/>
      <w:szCs w:val="32"/>
    </w:rPr>
  </w:style>
  <w:style w:type="paragraph" w:styleId="4">
    <w:name w:val="heading 3"/>
    <w:basedOn w:val="1"/>
    <w:next w:val="1"/>
    <w:link w:val="57"/>
    <w:autoRedefine/>
    <w:unhideWhenUsed/>
    <w:qFormat/>
    <w:uiPriority w:val="9"/>
    <w:pPr>
      <w:keepNext/>
      <w:ind w:firstLine="281" w:firstLineChars="100"/>
      <w:outlineLvl w:val="2"/>
    </w:pPr>
    <w:rPr>
      <w:rFonts w:eastAsia="黑体" w:cs="仿宋"/>
      <w:b/>
      <w:szCs w:val="28"/>
    </w:rPr>
  </w:style>
  <w:style w:type="paragraph" w:styleId="5">
    <w:name w:val="heading 4"/>
    <w:basedOn w:val="1"/>
    <w:next w:val="1"/>
    <w:link w:val="58"/>
    <w:autoRedefine/>
    <w:qFormat/>
    <w:uiPriority w:val="9"/>
    <w:pPr>
      <w:spacing w:line="240" w:lineRule="auto"/>
      <w:ind w:firstLine="720"/>
      <w:outlineLvl w:val="3"/>
    </w:pPr>
    <w:rPr>
      <w:b/>
      <w:bCs/>
      <w:szCs w:val="28"/>
    </w:rPr>
  </w:style>
  <w:style w:type="paragraph" w:styleId="6">
    <w:name w:val="heading 5"/>
    <w:basedOn w:val="1"/>
    <w:next w:val="1"/>
    <w:link w:val="59"/>
    <w:autoRedefine/>
    <w:unhideWhenUsed/>
    <w:qFormat/>
    <w:uiPriority w:val="9"/>
    <w:pPr>
      <w:keepNext/>
      <w:keepLines/>
      <w:spacing w:before="280" w:after="290" w:line="376" w:lineRule="atLeast"/>
      <w:outlineLvl w:val="4"/>
    </w:pPr>
    <w:rPr>
      <w:b/>
      <w:bCs/>
      <w:szCs w:val="28"/>
    </w:rPr>
  </w:style>
  <w:style w:type="paragraph" w:styleId="7">
    <w:name w:val="heading 8"/>
    <w:basedOn w:val="1"/>
    <w:next w:val="1"/>
    <w:autoRedefine/>
    <w:qFormat/>
    <w:uiPriority w:val="9"/>
    <w:pPr>
      <w:keepNext/>
      <w:keepLines/>
      <w:numPr>
        <w:ilvl w:val="7"/>
        <w:numId w:val="1"/>
      </w:numPr>
      <w:adjustRightInd w:val="0"/>
      <w:ind w:firstLineChars="0"/>
      <w:jc w:val="center"/>
      <w:outlineLvl w:val="7"/>
    </w:pPr>
    <w:rPr>
      <w:rFonts w:ascii="Cambria" w:hAnsi="Cambria"/>
      <w:b/>
      <w:sz w:val="21"/>
      <w:szCs w:val="24"/>
    </w:rPr>
  </w:style>
  <w:style w:type="character" w:default="1" w:styleId="47">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link w:val="60"/>
    <w:autoRedefine/>
    <w:unhideWhenUsed/>
    <w:qFormat/>
    <w:uiPriority w:val="39"/>
    <w:pPr>
      <w:spacing w:line="240" w:lineRule="auto"/>
      <w:ind w:left="2520" w:leftChars="1200" w:firstLine="0" w:firstLineChars="0"/>
    </w:pPr>
    <w:rPr>
      <w:rFonts w:ascii="等线" w:hAnsi="等线" w:eastAsia="等线"/>
      <w:sz w:val="21"/>
      <w:szCs w:val="28"/>
    </w:rPr>
  </w:style>
  <w:style w:type="paragraph" w:styleId="9">
    <w:name w:val="Normal Indent"/>
    <w:basedOn w:val="1"/>
    <w:next w:val="10"/>
    <w:autoRedefine/>
    <w:qFormat/>
    <w:uiPriority w:val="0"/>
    <w:pPr>
      <w:tabs>
        <w:tab w:val="left" w:pos="630"/>
      </w:tabs>
      <w:adjustRightInd w:val="0"/>
      <w:snapToGrid w:val="0"/>
      <w:spacing w:line="360" w:lineRule="auto"/>
      <w:ind w:firstLine="442"/>
    </w:pPr>
    <w:rPr>
      <w:sz w:val="24"/>
      <w:szCs w:val="20"/>
    </w:rPr>
  </w:style>
  <w:style w:type="paragraph" w:styleId="10">
    <w:name w:val="Body Text First Indent"/>
    <w:basedOn w:val="11"/>
    <w:autoRedefine/>
    <w:unhideWhenUsed/>
    <w:qFormat/>
    <w:uiPriority w:val="99"/>
    <w:pPr>
      <w:spacing w:before="154"/>
      <w:ind w:left="121" w:firstLine="420" w:firstLineChars="100"/>
    </w:pPr>
    <w:rPr>
      <w:rFonts w:ascii="仿宋" w:hAnsi="仿宋"/>
      <w:szCs w:val="21"/>
    </w:rPr>
  </w:style>
  <w:style w:type="paragraph" w:styleId="11">
    <w:name w:val="Body Text"/>
    <w:basedOn w:val="1"/>
    <w:link w:val="54"/>
    <w:autoRedefine/>
    <w:qFormat/>
    <w:uiPriority w:val="0"/>
    <w:pPr>
      <w:spacing w:after="120"/>
      <w:ind w:firstLine="200"/>
    </w:pPr>
    <w:rPr>
      <w:rFonts w:hint="eastAsia" w:ascii="宋体" w:hAnsi="Courier New"/>
      <w:szCs w:val="20"/>
    </w:rPr>
  </w:style>
  <w:style w:type="paragraph" w:styleId="12">
    <w:name w:val="caption"/>
    <w:basedOn w:val="1"/>
    <w:next w:val="1"/>
    <w:autoRedefine/>
    <w:qFormat/>
    <w:uiPriority w:val="35"/>
    <w:pPr>
      <w:ind w:firstLine="200"/>
    </w:pPr>
    <w:rPr>
      <w:rFonts w:ascii="Cambria" w:hAnsi="Cambria" w:eastAsia="黑体"/>
      <w:sz w:val="20"/>
      <w:szCs w:val="20"/>
    </w:rPr>
  </w:style>
  <w:style w:type="paragraph" w:styleId="13">
    <w:name w:val="Document Map"/>
    <w:basedOn w:val="1"/>
    <w:link w:val="61"/>
    <w:autoRedefine/>
    <w:unhideWhenUsed/>
    <w:qFormat/>
    <w:uiPriority w:val="0"/>
    <w:rPr>
      <w:rFonts w:ascii="宋体" w:eastAsia="宋体"/>
      <w:sz w:val="18"/>
      <w:szCs w:val="18"/>
    </w:rPr>
  </w:style>
  <w:style w:type="paragraph" w:styleId="14">
    <w:name w:val="annotation text"/>
    <w:basedOn w:val="1"/>
    <w:link w:val="62"/>
    <w:autoRedefine/>
    <w:unhideWhenUsed/>
    <w:qFormat/>
    <w:uiPriority w:val="0"/>
    <w:pPr>
      <w:jc w:val="left"/>
    </w:pPr>
  </w:style>
  <w:style w:type="paragraph" w:styleId="15">
    <w:name w:val="Body Text 3"/>
    <w:basedOn w:val="1"/>
    <w:link w:val="63"/>
    <w:autoRedefine/>
    <w:qFormat/>
    <w:uiPriority w:val="0"/>
    <w:pPr>
      <w:spacing w:after="120"/>
      <w:ind w:firstLine="200"/>
    </w:pPr>
    <w:rPr>
      <w:sz w:val="16"/>
      <w:szCs w:val="16"/>
    </w:rPr>
  </w:style>
  <w:style w:type="paragraph" w:styleId="16">
    <w:name w:val="Body Text Indent"/>
    <w:basedOn w:val="1"/>
    <w:link w:val="64"/>
    <w:qFormat/>
    <w:uiPriority w:val="99"/>
    <w:pPr>
      <w:spacing w:before="120" w:beforeLines="50" w:line="240" w:lineRule="auto"/>
      <w:ind w:firstLine="0" w:firstLineChars="0"/>
      <w:jc w:val="center"/>
    </w:pPr>
    <w:rPr>
      <w:rFonts w:ascii="宋体" w:hAnsi="宋体" w:eastAsia="宋体"/>
      <w:b/>
      <w:kern w:val="0"/>
      <w:sz w:val="52"/>
      <w:szCs w:val="52"/>
    </w:rPr>
  </w:style>
  <w:style w:type="paragraph" w:styleId="17">
    <w:name w:val="Block Text"/>
    <w:basedOn w:val="1"/>
    <w:autoRedefine/>
    <w:unhideWhenUsed/>
    <w:qFormat/>
    <w:uiPriority w:val="99"/>
    <w:pPr>
      <w:spacing w:after="120"/>
      <w:ind w:left="1440" w:leftChars="700" w:right="700" w:rightChars="700"/>
    </w:pPr>
  </w:style>
  <w:style w:type="paragraph" w:styleId="18">
    <w:name w:val="toc 5"/>
    <w:basedOn w:val="1"/>
    <w:next w:val="1"/>
    <w:autoRedefine/>
    <w:unhideWhenUsed/>
    <w:qFormat/>
    <w:uiPriority w:val="39"/>
    <w:pPr>
      <w:spacing w:line="240" w:lineRule="auto"/>
      <w:ind w:left="1680" w:leftChars="800" w:firstLine="0" w:firstLineChars="0"/>
    </w:pPr>
    <w:rPr>
      <w:rFonts w:ascii="等线" w:hAnsi="等线" w:eastAsia="等线"/>
      <w:sz w:val="21"/>
      <w:szCs w:val="28"/>
    </w:rPr>
  </w:style>
  <w:style w:type="paragraph" w:styleId="19">
    <w:name w:val="toc 3"/>
    <w:basedOn w:val="1"/>
    <w:next w:val="1"/>
    <w:autoRedefine/>
    <w:unhideWhenUsed/>
    <w:qFormat/>
    <w:uiPriority w:val="39"/>
    <w:pPr>
      <w:ind w:left="840" w:leftChars="400"/>
    </w:pPr>
  </w:style>
  <w:style w:type="paragraph" w:styleId="20">
    <w:name w:val="Plain Text"/>
    <w:basedOn w:val="1"/>
    <w:link w:val="65"/>
    <w:autoRedefine/>
    <w:qFormat/>
    <w:uiPriority w:val="0"/>
    <w:pPr>
      <w:spacing w:line="360" w:lineRule="auto"/>
      <w:ind w:firstLine="480"/>
    </w:pPr>
    <w:rPr>
      <w:rFonts w:ascii="宋体" w:hAnsi="Courier New"/>
      <w:sz w:val="21"/>
    </w:rPr>
  </w:style>
  <w:style w:type="paragraph" w:styleId="21">
    <w:name w:val="toc 8"/>
    <w:basedOn w:val="1"/>
    <w:next w:val="1"/>
    <w:autoRedefine/>
    <w:unhideWhenUsed/>
    <w:qFormat/>
    <w:uiPriority w:val="39"/>
    <w:pPr>
      <w:spacing w:line="240" w:lineRule="auto"/>
      <w:ind w:left="2940" w:leftChars="1400" w:firstLine="0" w:firstLineChars="0"/>
    </w:pPr>
    <w:rPr>
      <w:rFonts w:ascii="等线" w:hAnsi="等线" w:eastAsia="等线"/>
      <w:sz w:val="21"/>
      <w:szCs w:val="28"/>
    </w:rPr>
  </w:style>
  <w:style w:type="paragraph" w:styleId="22">
    <w:name w:val="Date"/>
    <w:basedOn w:val="1"/>
    <w:next w:val="1"/>
    <w:link w:val="66"/>
    <w:autoRedefine/>
    <w:qFormat/>
    <w:uiPriority w:val="0"/>
    <w:pPr>
      <w:ind w:left="100" w:leftChars="2500" w:firstLine="200"/>
    </w:pPr>
    <w:rPr>
      <w:szCs w:val="28"/>
    </w:rPr>
  </w:style>
  <w:style w:type="paragraph" w:styleId="23">
    <w:name w:val="Body Text Indent 2"/>
    <w:basedOn w:val="1"/>
    <w:link w:val="67"/>
    <w:autoRedefine/>
    <w:unhideWhenUsed/>
    <w:qFormat/>
    <w:uiPriority w:val="0"/>
    <w:pPr>
      <w:spacing w:line="560" w:lineRule="exact"/>
      <w:ind w:firstLine="557" w:firstLineChars="199"/>
    </w:pPr>
  </w:style>
  <w:style w:type="paragraph" w:styleId="24">
    <w:name w:val="Balloon Text"/>
    <w:basedOn w:val="1"/>
    <w:link w:val="68"/>
    <w:autoRedefine/>
    <w:unhideWhenUsed/>
    <w:qFormat/>
    <w:uiPriority w:val="0"/>
    <w:rPr>
      <w:sz w:val="18"/>
      <w:szCs w:val="18"/>
    </w:rPr>
  </w:style>
  <w:style w:type="paragraph" w:styleId="25">
    <w:name w:val="footer"/>
    <w:basedOn w:val="1"/>
    <w:link w:val="69"/>
    <w:autoRedefine/>
    <w:unhideWhenUsed/>
    <w:qFormat/>
    <w:uiPriority w:val="99"/>
    <w:pPr>
      <w:tabs>
        <w:tab w:val="center" w:pos="4153"/>
        <w:tab w:val="right" w:pos="8306"/>
      </w:tabs>
      <w:snapToGrid w:val="0"/>
      <w:ind w:firstLine="360"/>
    </w:pPr>
    <w:rPr>
      <w:sz w:val="18"/>
      <w:szCs w:val="18"/>
    </w:rPr>
  </w:style>
  <w:style w:type="paragraph" w:styleId="26">
    <w:name w:val="header"/>
    <w:basedOn w:val="1"/>
    <w:link w:val="7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autoRedefine/>
    <w:unhideWhenUsed/>
    <w:qFormat/>
    <w:uiPriority w:val="39"/>
  </w:style>
  <w:style w:type="paragraph" w:styleId="28">
    <w:name w:val="toc 4"/>
    <w:basedOn w:val="1"/>
    <w:next w:val="1"/>
    <w:autoRedefine/>
    <w:unhideWhenUsed/>
    <w:qFormat/>
    <w:uiPriority w:val="39"/>
    <w:pPr>
      <w:spacing w:line="240" w:lineRule="auto"/>
      <w:ind w:left="1260" w:leftChars="600" w:firstLine="0" w:firstLineChars="0"/>
    </w:pPr>
    <w:rPr>
      <w:rFonts w:ascii="等线" w:hAnsi="等线" w:eastAsia="等线"/>
      <w:sz w:val="21"/>
      <w:szCs w:val="28"/>
    </w:rPr>
  </w:style>
  <w:style w:type="paragraph" w:styleId="29">
    <w:name w:val="Subtitle"/>
    <w:basedOn w:val="1"/>
    <w:next w:val="1"/>
    <w:link w:val="71"/>
    <w:autoRedefine/>
    <w:qFormat/>
    <w:uiPriority w:val="11"/>
    <w:pPr>
      <w:spacing w:line="240" w:lineRule="auto"/>
      <w:ind w:firstLine="0" w:firstLineChars="0"/>
      <w:jc w:val="center"/>
      <w:outlineLvl w:val="4"/>
    </w:pPr>
    <w:rPr>
      <w:rFonts w:ascii="Cambria" w:hAnsi="Cambria" w:eastAsia="黑体"/>
      <w:b/>
      <w:bCs/>
      <w:kern w:val="28"/>
      <w:sz w:val="24"/>
      <w:szCs w:val="32"/>
    </w:rPr>
  </w:style>
  <w:style w:type="paragraph" w:styleId="30">
    <w:name w:val="toc 6"/>
    <w:basedOn w:val="1"/>
    <w:next w:val="1"/>
    <w:autoRedefine/>
    <w:unhideWhenUsed/>
    <w:qFormat/>
    <w:uiPriority w:val="39"/>
    <w:pPr>
      <w:spacing w:line="240" w:lineRule="auto"/>
      <w:ind w:left="2100" w:leftChars="1000" w:firstLine="0" w:firstLineChars="0"/>
    </w:pPr>
    <w:rPr>
      <w:rFonts w:ascii="等线" w:hAnsi="等线" w:eastAsia="等线"/>
      <w:sz w:val="21"/>
      <w:szCs w:val="28"/>
    </w:rPr>
  </w:style>
  <w:style w:type="paragraph" w:styleId="31">
    <w:name w:val="Body Text Indent 3"/>
    <w:basedOn w:val="1"/>
    <w:link w:val="72"/>
    <w:autoRedefine/>
    <w:qFormat/>
    <w:uiPriority w:val="0"/>
    <w:pPr>
      <w:spacing w:after="120" w:line="360" w:lineRule="auto"/>
      <w:ind w:left="420" w:leftChars="200" w:firstLine="480"/>
    </w:pPr>
    <w:rPr>
      <w:rFonts w:ascii="Arial" w:hAnsi="Arial"/>
      <w:sz w:val="16"/>
      <w:szCs w:val="16"/>
    </w:rPr>
  </w:style>
  <w:style w:type="paragraph" w:styleId="32">
    <w:name w:val="toc 2"/>
    <w:basedOn w:val="1"/>
    <w:next w:val="1"/>
    <w:autoRedefine/>
    <w:unhideWhenUsed/>
    <w:qFormat/>
    <w:uiPriority w:val="39"/>
    <w:pPr>
      <w:ind w:left="420" w:leftChars="200"/>
    </w:pPr>
  </w:style>
  <w:style w:type="paragraph" w:styleId="33">
    <w:name w:val="toc 9"/>
    <w:basedOn w:val="1"/>
    <w:next w:val="1"/>
    <w:autoRedefine/>
    <w:unhideWhenUsed/>
    <w:qFormat/>
    <w:uiPriority w:val="39"/>
    <w:pPr>
      <w:spacing w:line="240" w:lineRule="auto"/>
      <w:ind w:left="3360" w:leftChars="1600" w:firstLine="0" w:firstLineChars="0"/>
    </w:pPr>
    <w:rPr>
      <w:rFonts w:ascii="等线" w:hAnsi="等线" w:eastAsia="等线"/>
      <w:sz w:val="21"/>
      <w:szCs w:val="28"/>
    </w:rPr>
  </w:style>
  <w:style w:type="paragraph" w:styleId="34">
    <w:name w:val="Body Text 2"/>
    <w:basedOn w:val="1"/>
    <w:link w:val="73"/>
    <w:autoRedefine/>
    <w:qFormat/>
    <w:uiPriority w:val="0"/>
    <w:pPr>
      <w:ind w:firstLine="200"/>
    </w:pPr>
    <w:rPr>
      <w:rFonts w:eastAsia="宋体"/>
      <w:sz w:val="24"/>
      <w:szCs w:val="24"/>
    </w:rPr>
  </w:style>
  <w:style w:type="paragraph" w:styleId="35">
    <w:name w:val="Normal (Web)"/>
    <w:basedOn w:val="1"/>
    <w:link w:val="74"/>
    <w:autoRedefine/>
    <w:unhideWhenUsed/>
    <w:qFormat/>
    <w:uiPriority w:val="0"/>
    <w:pPr>
      <w:spacing w:beforeAutospacing="1" w:afterAutospacing="1"/>
      <w:jc w:val="left"/>
    </w:pPr>
    <w:rPr>
      <w:rFonts w:ascii="仿宋" w:hAnsi="仿宋"/>
      <w:kern w:val="0"/>
      <w:sz w:val="24"/>
    </w:rPr>
  </w:style>
  <w:style w:type="paragraph" w:styleId="36">
    <w:name w:val="index 1"/>
    <w:basedOn w:val="1"/>
    <w:next w:val="1"/>
    <w:autoRedefine/>
    <w:qFormat/>
    <w:uiPriority w:val="0"/>
  </w:style>
  <w:style w:type="paragraph" w:styleId="37">
    <w:name w:val="Title"/>
    <w:basedOn w:val="1"/>
    <w:next w:val="1"/>
    <w:link w:val="75"/>
    <w:autoRedefine/>
    <w:qFormat/>
    <w:uiPriority w:val="10"/>
    <w:pPr>
      <w:spacing w:before="240" w:after="60"/>
      <w:ind w:firstLine="200"/>
      <w:jc w:val="center"/>
      <w:outlineLvl w:val="0"/>
    </w:pPr>
    <w:rPr>
      <w:rFonts w:ascii="Cambria" w:hAnsi="Cambria"/>
      <w:b/>
      <w:bCs/>
      <w:kern w:val="0"/>
      <w:sz w:val="32"/>
      <w:szCs w:val="32"/>
    </w:rPr>
  </w:style>
  <w:style w:type="paragraph" w:styleId="38">
    <w:name w:val="annotation subject"/>
    <w:basedOn w:val="14"/>
    <w:next w:val="14"/>
    <w:link w:val="76"/>
    <w:autoRedefine/>
    <w:qFormat/>
    <w:uiPriority w:val="0"/>
    <w:pPr>
      <w:ind w:firstLine="200"/>
    </w:pPr>
    <w:rPr>
      <w:b/>
      <w:bCs/>
      <w:szCs w:val="28"/>
    </w:rPr>
  </w:style>
  <w:style w:type="paragraph" w:styleId="39">
    <w:name w:val="Body Text First Indent 2"/>
    <w:basedOn w:val="16"/>
    <w:link w:val="77"/>
    <w:autoRedefine/>
    <w:qFormat/>
    <w:uiPriority w:val="0"/>
    <w:pPr>
      <w:widowControl/>
      <w:spacing w:after="120" w:line="240" w:lineRule="exact"/>
      <w:ind w:left="420" w:leftChars="200" w:firstLine="420"/>
      <w:textAlignment w:val="baseline"/>
    </w:pPr>
    <w:rPr>
      <w:snapToGrid w:val="0"/>
      <w:szCs w:val="20"/>
    </w:rPr>
  </w:style>
  <w:style w:type="table" w:styleId="41">
    <w:name w:val="Table Grid"/>
    <w:basedOn w:val="4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2">
    <w:name w:val="Medium Shading 1 Accent 6"/>
    <w:basedOn w:val="40"/>
    <w:autoRedefine/>
    <w:qFormat/>
    <w:uiPriority w:val="63"/>
    <w:tblPr>
      <w:tblBorders>
        <w:top w:val="single" w:color="93C571" w:sz="8" w:space="0"/>
        <w:left w:val="single" w:color="93C571" w:sz="8" w:space="0"/>
        <w:bottom w:val="single" w:color="93C571" w:sz="8" w:space="0"/>
        <w:right w:val="single" w:color="93C571" w:sz="8" w:space="0"/>
        <w:insideH w:val="single" w:color="93C571" w:sz="8" w:space="0"/>
      </w:tblBorders>
    </w:tblPr>
    <w:tblStylePr w:type="firstRow">
      <w:pPr>
        <w:spacing w:before="0" w:after="0" w:line="240" w:lineRule="auto"/>
      </w:pPr>
      <w:rPr>
        <w:b/>
        <w:bCs/>
        <w:color w:val="FFFFFF"/>
      </w:rPr>
      <w:tblPr/>
      <w:tcPr>
        <w:tcBorders>
          <w:top w:val="single" w:color="93C571" w:sz="8" w:space="0"/>
          <w:left w:val="single" w:color="93C571" w:sz="8" w:space="0"/>
          <w:bottom w:val="single" w:color="93C571" w:sz="8" w:space="0"/>
          <w:right w:val="single" w:color="93C571" w:sz="8" w:space="0"/>
          <w:insideH w:val="nil"/>
          <w:insideV w:val="nil"/>
          <w:tl2br w:val="nil"/>
          <w:tr2bl w:val="nil"/>
        </w:tcBorders>
        <w:shd w:val="clear" w:color="auto" w:fill="70AD47"/>
      </w:tcPr>
    </w:tblStylePr>
    <w:tblStylePr w:type="lastRow">
      <w:pPr>
        <w:spacing w:before="0" w:after="0" w:line="240" w:lineRule="auto"/>
      </w:pPr>
      <w:rPr>
        <w:b/>
        <w:bCs/>
      </w:rPr>
      <w:tblPr/>
      <w:tcPr>
        <w:tcBorders>
          <w:top w:val="double" w:color="93C571" w:sz="6" w:space="0"/>
          <w:left w:val="single" w:color="93C571" w:sz="8" w:space="0"/>
          <w:bottom w:val="single" w:color="93C571" w:sz="8" w:space="0"/>
          <w:right w:val="single" w:color="93C571" w:sz="8" w:space="0"/>
          <w:insideH w:val="nil"/>
          <w:insideV w:val="nil"/>
          <w:tl2br w:val="nil"/>
          <w:tr2bl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top w:val="nil"/>
          <w:left w:val="nil"/>
          <w:bottom w:val="nil"/>
          <w:right w:val="nil"/>
          <w:insideH w:val="nil"/>
          <w:insideV w:val="nil"/>
          <w:tl2br w:val="nil"/>
          <w:tr2bl w:val="nil"/>
        </w:tcBorders>
        <w:shd w:val="clear" w:color="auto" w:fill="DBEBD0"/>
      </w:tcPr>
    </w:tblStylePr>
    <w:tblStylePr w:type="band2Horz">
      <w:tblPr/>
      <w:tcPr>
        <w:tcBorders>
          <w:top w:val="nil"/>
          <w:left w:val="nil"/>
          <w:bottom w:val="nil"/>
          <w:right w:val="nil"/>
          <w:insideH w:val="nil"/>
          <w:insideV w:val="nil"/>
          <w:tl2br w:val="nil"/>
          <w:tr2bl w:val="nil"/>
        </w:tcBorders>
      </w:tcPr>
    </w:tblStylePr>
  </w:style>
  <w:style w:type="table" w:styleId="43">
    <w:name w:val="Medium Grid 3 Accent 5"/>
    <w:basedOn w:val="40"/>
    <w:autoRedefine/>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6E6F4"/>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5B9BD5"/>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5B9BD5"/>
      </w:tcPr>
    </w:tblStylePr>
    <w:tblStylePr w:type="firstCol">
      <w:rPr>
        <w:b/>
        <w:bCs/>
        <w:i w:val="0"/>
        <w:iCs w:val="0"/>
        <w:color w:val="FFFFFF"/>
      </w:rPr>
      <w:tblPr/>
      <w:tcPr>
        <w:tcBorders>
          <w:top w:val="nil"/>
          <w:left w:val="nil"/>
          <w:bottom w:val="single" w:color="FFFFFF" w:sz="8" w:space="0"/>
          <w:right w:val="single" w:color="FFFFFF" w:sz="24" w:space="0"/>
          <w:insideH w:val="nil"/>
          <w:insideV w:val="nil"/>
          <w:tl2br w:val="nil"/>
          <w:tr2bl w:val="nil"/>
        </w:tcBorders>
        <w:shd w:val="clear" w:color="auto" w:fill="5B9BD5"/>
      </w:tcPr>
    </w:tblStylePr>
    <w:tblStylePr w:type="lastCol">
      <w:rPr>
        <w:b/>
        <w:bCs/>
        <w:i w:val="0"/>
        <w:iCs w:val="0"/>
        <w:color w:val="FFFFFF"/>
      </w:rPr>
      <w:tblPr/>
      <w:tcPr>
        <w:tcBorders>
          <w:top w:val="nil"/>
          <w:left w:val="nil"/>
          <w:bottom w:val="single" w:color="FFFFFF" w:sz="24" w:space="0"/>
          <w:right w:val="nil"/>
          <w:insideH w:val="nil"/>
          <w:insideV w:val="nil"/>
          <w:tl2br w:val="nil"/>
          <w:tr2bl w:val="nil"/>
        </w:tcBorders>
        <w:shd w:val="clear" w:color="auto" w:fill="5B9BD5"/>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DCCEA"/>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DCCEA"/>
      </w:tcPr>
    </w:tblStylePr>
  </w:style>
  <w:style w:type="table" w:styleId="44">
    <w:name w:val="Medium Grid 3 Accent 6"/>
    <w:basedOn w:val="40"/>
    <w:autoRedefine/>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BEB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70AD47"/>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70AD47"/>
      </w:tcPr>
    </w:tblStylePr>
    <w:tblStylePr w:type="firstCol">
      <w:rPr>
        <w:b/>
        <w:bCs/>
        <w:i w:val="0"/>
        <w:iCs w:val="0"/>
        <w:color w:val="FFFFFF"/>
      </w:rPr>
      <w:tblPr/>
      <w:tcPr>
        <w:tcBorders>
          <w:top w:val="nil"/>
          <w:left w:val="nil"/>
          <w:bottom w:val="single" w:color="FFFFFF" w:sz="8" w:space="0"/>
          <w:right w:val="single" w:color="FFFFFF" w:sz="24" w:space="0"/>
          <w:insideH w:val="nil"/>
          <w:insideV w:val="nil"/>
          <w:tl2br w:val="nil"/>
          <w:tr2bl w:val="nil"/>
        </w:tcBorders>
        <w:shd w:val="clear" w:color="auto" w:fill="70AD47"/>
      </w:tcPr>
    </w:tblStylePr>
    <w:tblStylePr w:type="lastCol">
      <w:rPr>
        <w:b/>
        <w:bCs/>
        <w:i w:val="0"/>
        <w:iCs w:val="0"/>
        <w:color w:val="FFFFFF"/>
      </w:rPr>
      <w:tblPr/>
      <w:tcPr>
        <w:tcBorders>
          <w:top w:val="nil"/>
          <w:left w:val="nil"/>
          <w:bottom w:val="single" w:color="FFFFFF" w:sz="24" w:space="0"/>
          <w:right w:val="nil"/>
          <w:insideH w:val="nil"/>
          <w:insideV w:val="nil"/>
          <w:tl2br w:val="nil"/>
          <w:tr2bl w:val="nil"/>
        </w:tcBorders>
        <w:shd w:val="clear" w:color="auto" w:fill="70AD47"/>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7D8A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B7D8A0"/>
      </w:tcPr>
    </w:tblStylePr>
  </w:style>
  <w:style w:type="table" w:styleId="45">
    <w:name w:val="Colorful Shading Accent 3"/>
    <w:basedOn w:val="40"/>
    <w:autoRedefine/>
    <w:qFormat/>
    <w:uiPriority w:val="71"/>
    <w:rPr>
      <w:color w:val="000000"/>
    </w:rPr>
    <w:tblPr>
      <w:tblBorders>
        <w:top w:val="single" w:color="FFC000" w:sz="24" w:space="0"/>
        <w:left w:val="single" w:color="A5A5A5" w:sz="4" w:space="0"/>
        <w:bottom w:val="single" w:color="A5A5A5" w:sz="4" w:space="0"/>
        <w:right w:val="single" w:color="A5A5A5" w:sz="4" w:space="0"/>
        <w:insideH w:val="single" w:color="FFFFFF" w:sz="4" w:space="0"/>
        <w:insideV w:val="single" w:color="FFFFFF" w:sz="4" w:space="0"/>
      </w:tblBorders>
    </w:tblPr>
    <w:tcPr>
      <w:shd w:val="clear" w:color="auto" w:fill="F6F6F6"/>
    </w:tcPr>
    <w:tblStylePr w:type="firstRow">
      <w:rPr>
        <w:b/>
        <w:bCs/>
      </w:rPr>
      <w:tblPr/>
      <w:tcPr>
        <w:tcBorders>
          <w:top w:val="nil"/>
          <w:left w:val="single" w:color="FFC000" w:sz="24" w:space="0"/>
          <w:bottom w:val="nil"/>
          <w:right w:val="nil"/>
          <w:insideH w:val="nil"/>
          <w:insideV w:val="nil"/>
          <w:tl2br w:val="nil"/>
          <w:tr2bl w:val="nil"/>
        </w:tcBorders>
        <w:shd w:val="clear" w:color="auto" w:fill="FFFFFF"/>
      </w:tcPr>
    </w:tblStylePr>
    <w:tblStylePr w:type="lastRow">
      <w:rPr>
        <w:b/>
        <w:bCs/>
        <w:color w:val="FFFFFF"/>
      </w:rPr>
      <w:tblPr/>
      <w:tcPr>
        <w:tcBorders>
          <w:top w:val="single" w:color="FFFFFF" w:sz="6" w:space="0"/>
          <w:left w:val="nil"/>
          <w:bottom w:val="nil"/>
          <w:right w:val="nil"/>
          <w:insideH w:val="nil"/>
          <w:insideV w:val="nil"/>
          <w:tl2br w:val="nil"/>
          <w:tr2bl w:val="nil"/>
        </w:tcBorders>
        <w:shd w:val="clear" w:color="auto" w:fill="636363"/>
      </w:tcPr>
    </w:tblStylePr>
    <w:tblStylePr w:type="firstCol">
      <w:rPr>
        <w:color w:val="FFFFFF"/>
      </w:rPr>
      <w:tblPr/>
      <w:tcPr>
        <w:tcBorders>
          <w:top w:val="nil"/>
          <w:left w:val="nil"/>
          <w:bottom w:val="nil"/>
          <w:right w:val="nil"/>
          <w:insideH w:val="single" w:sz="4" w:space="0"/>
          <w:insideV w:val="nil"/>
          <w:tl2br w:val="nil"/>
          <w:tr2bl w:val="nil"/>
        </w:tcBorders>
        <w:shd w:val="clear" w:color="auto" w:fill="636363"/>
      </w:tcPr>
    </w:tblStylePr>
    <w:tblStylePr w:type="lastCol">
      <w:rPr>
        <w:color w:val="FFFFFF"/>
      </w:rPr>
      <w:tblPr/>
      <w:tcPr>
        <w:tcBorders>
          <w:top w:val="nil"/>
          <w:left w:val="nil"/>
          <w:bottom w:val="nil"/>
          <w:right w:val="nil"/>
          <w:insideH w:val="nil"/>
          <w:insideV w:val="nil"/>
          <w:tl2br w:val="nil"/>
          <w:tr2bl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46">
    <w:name w:val="Colorful List Accent 5"/>
    <w:basedOn w:val="40"/>
    <w:autoRedefine/>
    <w:qFormat/>
    <w:uiPriority w:val="72"/>
    <w:rPr>
      <w:color w:val="000000"/>
    </w:rPr>
    <w:tblPr>
      <w:tblStyleRowBandSize w:val="1"/>
      <w:tblStyleColBandSize w:val="1"/>
    </w:tblPr>
    <w:tcPr>
      <w:shd w:val="clear" w:color="auto" w:fill="EEF5FB"/>
    </w:tcPr>
    <w:tblStylePr w:type="firstRow">
      <w:rPr>
        <w:b/>
        <w:bCs/>
        <w:color w:val="FFFFFF"/>
      </w:rPr>
      <w:tblPr/>
      <w:tcPr>
        <w:tcBorders>
          <w:top w:val="nil"/>
          <w:left w:val="single" w:color="FFFFFF" w:sz="12" w:space="0"/>
          <w:bottom w:val="nil"/>
          <w:right w:val="nil"/>
          <w:insideH w:val="nil"/>
          <w:insideV w:val="nil"/>
          <w:tl2br w:val="nil"/>
          <w:tr2bl w:val="nil"/>
        </w:tcBorders>
        <w:shd w:val="clear" w:color="auto" w:fill="598A38"/>
      </w:tcPr>
    </w:tblStylePr>
    <w:tblStylePr w:type="lastRow">
      <w:rPr>
        <w:b/>
        <w:bCs/>
        <w:color w:val="598A38"/>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shd w:val="clear" w:color="auto" w:fill="DEEAF6"/>
      </w:tcPr>
    </w:tblStylePr>
  </w:style>
  <w:style w:type="character" w:styleId="48">
    <w:name w:val="Strong"/>
    <w:autoRedefine/>
    <w:qFormat/>
    <w:uiPriority w:val="22"/>
    <w:rPr>
      <w:b/>
      <w:bCs/>
    </w:rPr>
  </w:style>
  <w:style w:type="character" w:styleId="49">
    <w:name w:val="page number"/>
    <w:autoRedefine/>
    <w:qFormat/>
    <w:uiPriority w:val="0"/>
  </w:style>
  <w:style w:type="character" w:styleId="50">
    <w:name w:val="Emphasis"/>
    <w:autoRedefine/>
    <w:qFormat/>
    <w:uiPriority w:val="0"/>
    <w:rPr>
      <w:rFonts w:ascii="Cambria" w:hAnsi="Cambria" w:eastAsia="黑体"/>
      <w:b/>
      <w:iCs/>
      <w:sz w:val="24"/>
    </w:rPr>
  </w:style>
  <w:style w:type="character" w:styleId="51">
    <w:name w:val="line number"/>
    <w:autoRedefine/>
    <w:qFormat/>
    <w:uiPriority w:val="0"/>
  </w:style>
  <w:style w:type="character" w:styleId="52">
    <w:name w:val="Hyperlink"/>
    <w:basedOn w:val="47"/>
    <w:autoRedefine/>
    <w:unhideWhenUsed/>
    <w:qFormat/>
    <w:uiPriority w:val="99"/>
    <w:rPr>
      <w:color w:val="0563C1"/>
      <w:u w:val="single"/>
    </w:rPr>
  </w:style>
  <w:style w:type="character" w:styleId="53">
    <w:name w:val="annotation reference"/>
    <w:basedOn w:val="47"/>
    <w:autoRedefine/>
    <w:unhideWhenUsed/>
    <w:qFormat/>
    <w:uiPriority w:val="0"/>
    <w:rPr>
      <w:sz w:val="21"/>
      <w:szCs w:val="21"/>
    </w:rPr>
  </w:style>
  <w:style w:type="character" w:customStyle="1" w:styleId="54">
    <w:name w:val="正文文本 字符"/>
    <w:basedOn w:val="47"/>
    <w:link w:val="11"/>
    <w:autoRedefine/>
    <w:qFormat/>
    <w:uiPriority w:val="0"/>
    <w:rPr>
      <w:rFonts w:ascii="宋体" w:hAnsi="Courier New" w:eastAsia="仿宋" w:cs="Times New Roman"/>
      <w:sz w:val="28"/>
      <w:szCs w:val="20"/>
    </w:rPr>
  </w:style>
  <w:style w:type="character" w:customStyle="1" w:styleId="55">
    <w:name w:val="标题 1 字符"/>
    <w:basedOn w:val="47"/>
    <w:autoRedefine/>
    <w:qFormat/>
    <w:uiPriority w:val="0"/>
    <w:rPr>
      <w:rFonts w:ascii="黑体" w:hAnsi="黑体" w:eastAsia="黑体" w:cs="仿宋"/>
      <w:kern w:val="44"/>
      <w:sz w:val="32"/>
      <w:szCs w:val="28"/>
    </w:rPr>
  </w:style>
  <w:style w:type="character" w:customStyle="1" w:styleId="56">
    <w:name w:val="标题 2 字符"/>
    <w:basedOn w:val="47"/>
    <w:link w:val="3"/>
    <w:autoRedefine/>
    <w:qFormat/>
    <w:uiPriority w:val="0"/>
    <w:rPr>
      <w:rFonts w:ascii="黑体" w:hAnsi="黑体" w:eastAsia="黑体" w:cs="Times New Roman"/>
      <w:bCs/>
      <w:sz w:val="30"/>
      <w:szCs w:val="32"/>
    </w:rPr>
  </w:style>
  <w:style w:type="character" w:customStyle="1" w:styleId="57">
    <w:name w:val="标题 3 字符"/>
    <w:basedOn w:val="47"/>
    <w:link w:val="4"/>
    <w:autoRedefine/>
    <w:qFormat/>
    <w:uiPriority w:val="9"/>
    <w:rPr>
      <w:rFonts w:eastAsia="黑体" w:cs="仿宋"/>
      <w:b/>
      <w:kern w:val="2"/>
      <w:sz w:val="28"/>
      <w:szCs w:val="28"/>
    </w:rPr>
  </w:style>
  <w:style w:type="character" w:customStyle="1" w:styleId="58">
    <w:name w:val="标题 4 字符"/>
    <w:basedOn w:val="47"/>
    <w:link w:val="5"/>
    <w:autoRedefine/>
    <w:qFormat/>
    <w:uiPriority w:val="9"/>
    <w:rPr>
      <w:rFonts w:eastAsia="仿宋" w:cs="Times New Roman"/>
      <w:b/>
      <w:bCs/>
      <w:kern w:val="2"/>
      <w:sz w:val="28"/>
      <w:szCs w:val="28"/>
    </w:rPr>
  </w:style>
  <w:style w:type="character" w:customStyle="1" w:styleId="59">
    <w:name w:val="标题 5 字符"/>
    <w:basedOn w:val="47"/>
    <w:link w:val="6"/>
    <w:autoRedefine/>
    <w:qFormat/>
    <w:uiPriority w:val="9"/>
    <w:rPr>
      <w:rFonts w:ascii="仿宋" w:hAnsi="仿宋" w:eastAsia="仿宋"/>
      <w:b/>
      <w:bCs/>
      <w:sz w:val="28"/>
      <w:szCs w:val="28"/>
    </w:rPr>
  </w:style>
  <w:style w:type="character" w:customStyle="1" w:styleId="60">
    <w:name w:val="TOC 7 字符"/>
    <w:link w:val="8"/>
    <w:autoRedefine/>
    <w:qFormat/>
    <w:uiPriority w:val="39"/>
    <w:rPr>
      <w:rFonts w:ascii="等线" w:hAnsi="等线" w:eastAsia="等线" w:cs="Times New Roman"/>
      <w:sz w:val="21"/>
      <w:szCs w:val="28"/>
    </w:rPr>
  </w:style>
  <w:style w:type="character" w:customStyle="1" w:styleId="61">
    <w:name w:val="文档结构图 字符"/>
    <w:basedOn w:val="47"/>
    <w:link w:val="13"/>
    <w:autoRedefine/>
    <w:qFormat/>
    <w:uiPriority w:val="0"/>
    <w:rPr>
      <w:rFonts w:ascii="宋体" w:hAnsi="仿宋" w:eastAsia="宋体"/>
      <w:sz w:val="18"/>
      <w:szCs w:val="18"/>
    </w:rPr>
  </w:style>
  <w:style w:type="character" w:customStyle="1" w:styleId="62">
    <w:name w:val="批注文字 字符"/>
    <w:basedOn w:val="47"/>
    <w:link w:val="14"/>
    <w:autoRedefine/>
    <w:qFormat/>
    <w:uiPriority w:val="0"/>
    <w:rPr>
      <w:rFonts w:ascii="仿宋" w:hAnsi="仿宋" w:eastAsia="仿宋"/>
      <w:sz w:val="28"/>
      <w:szCs w:val="21"/>
    </w:rPr>
  </w:style>
  <w:style w:type="character" w:customStyle="1" w:styleId="63">
    <w:name w:val="正文文本 3 字符"/>
    <w:basedOn w:val="47"/>
    <w:link w:val="15"/>
    <w:autoRedefine/>
    <w:qFormat/>
    <w:uiPriority w:val="0"/>
    <w:rPr>
      <w:rFonts w:ascii="Times New Roman" w:hAnsi="Times New Roman" w:eastAsia="仿宋" w:cs="Times New Roman"/>
      <w:sz w:val="16"/>
      <w:szCs w:val="16"/>
    </w:rPr>
  </w:style>
  <w:style w:type="character" w:customStyle="1" w:styleId="64">
    <w:name w:val="正文文本缩进 字符"/>
    <w:basedOn w:val="47"/>
    <w:link w:val="16"/>
    <w:autoRedefine/>
    <w:qFormat/>
    <w:uiPriority w:val="99"/>
    <w:rPr>
      <w:rFonts w:ascii="宋体" w:hAnsi="宋体"/>
      <w:b/>
      <w:sz w:val="52"/>
      <w:szCs w:val="52"/>
    </w:rPr>
  </w:style>
  <w:style w:type="character" w:customStyle="1" w:styleId="65">
    <w:name w:val="纯文本 字符"/>
    <w:basedOn w:val="47"/>
    <w:link w:val="20"/>
    <w:autoRedefine/>
    <w:qFormat/>
    <w:uiPriority w:val="0"/>
    <w:rPr>
      <w:rFonts w:ascii="宋体" w:hAnsi="Courier New" w:eastAsia="仿宋" w:cs="Times New Roman"/>
      <w:szCs w:val="21"/>
    </w:rPr>
  </w:style>
  <w:style w:type="character" w:customStyle="1" w:styleId="66">
    <w:name w:val="日期 字符"/>
    <w:basedOn w:val="47"/>
    <w:link w:val="22"/>
    <w:autoRedefine/>
    <w:qFormat/>
    <w:uiPriority w:val="0"/>
    <w:rPr>
      <w:rFonts w:ascii="Times New Roman" w:hAnsi="Times New Roman" w:eastAsia="仿宋" w:cs="Times New Roman"/>
      <w:sz w:val="28"/>
      <w:szCs w:val="28"/>
    </w:rPr>
  </w:style>
  <w:style w:type="character" w:customStyle="1" w:styleId="67">
    <w:name w:val="正文文本缩进 2 字符"/>
    <w:basedOn w:val="47"/>
    <w:link w:val="23"/>
    <w:autoRedefine/>
    <w:qFormat/>
    <w:uiPriority w:val="0"/>
    <w:rPr>
      <w:rFonts w:ascii="仿宋" w:hAnsi="仿宋" w:eastAsia="仿宋"/>
      <w:sz w:val="28"/>
      <w:szCs w:val="21"/>
    </w:rPr>
  </w:style>
  <w:style w:type="character" w:customStyle="1" w:styleId="68">
    <w:name w:val="批注框文本 字符"/>
    <w:basedOn w:val="47"/>
    <w:link w:val="24"/>
    <w:autoRedefine/>
    <w:qFormat/>
    <w:uiPriority w:val="0"/>
    <w:rPr>
      <w:rFonts w:ascii="仿宋" w:hAnsi="仿宋" w:eastAsia="仿宋"/>
      <w:sz w:val="18"/>
      <w:szCs w:val="18"/>
    </w:rPr>
  </w:style>
  <w:style w:type="character" w:customStyle="1" w:styleId="69">
    <w:name w:val="页脚 字符"/>
    <w:basedOn w:val="47"/>
    <w:link w:val="25"/>
    <w:autoRedefine/>
    <w:qFormat/>
    <w:uiPriority w:val="99"/>
    <w:rPr>
      <w:rFonts w:eastAsia="仿宋"/>
      <w:kern w:val="2"/>
      <w:sz w:val="18"/>
      <w:szCs w:val="18"/>
    </w:rPr>
  </w:style>
  <w:style w:type="character" w:customStyle="1" w:styleId="70">
    <w:name w:val="页眉 字符"/>
    <w:basedOn w:val="47"/>
    <w:link w:val="26"/>
    <w:autoRedefine/>
    <w:qFormat/>
    <w:uiPriority w:val="99"/>
    <w:rPr>
      <w:rFonts w:ascii="仿宋" w:hAnsi="仿宋" w:eastAsia="仿宋"/>
      <w:sz w:val="18"/>
      <w:szCs w:val="18"/>
    </w:rPr>
  </w:style>
  <w:style w:type="character" w:customStyle="1" w:styleId="71">
    <w:name w:val="副标题 字符1"/>
    <w:link w:val="29"/>
    <w:autoRedefine/>
    <w:qFormat/>
    <w:uiPriority w:val="11"/>
    <w:rPr>
      <w:rFonts w:ascii="Cambria" w:hAnsi="Cambria" w:eastAsia="黑体"/>
      <w:b/>
      <w:bCs/>
      <w:kern w:val="28"/>
      <w:sz w:val="24"/>
      <w:szCs w:val="32"/>
    </w:rPr>
  </w:style>
  <w:style w:type="character" w:customStyle="1" w:styleId="72">
    <w:name w:val="正文文本缩进 3 字符"/>
    <w:basedOn w:val="47"/>
    <w:link w:val="31"/>
    <w:autoRedefine/>
    <w:qFormat/>
    <w:uiPriority w:val="0"/>
    <w:rPr>
      <w:rFonts w:ascii="Arial" w:hAnsi="Arial" w:eastAsia="仿宋" w:cs="Times New Roman"/>
      <w:sz w:val="16"/>
      <w:szCs w:val="16"/>
    </w:rPr>
  </w:style>
  <w:style w:type="character" w:customStyle="1" w:styleId="73">
    <w:name w:val="正文文本 2 字符"/>
    <w:basedOn w:val="47"/>
    <w:link w:val="34"/>
    <w:autoRedefine/>
    <w:qFormat/>
    <w:uiPriority w:val="0"/>
    <w:rPr>
      <w:rFonts w:ascii="Times New Roman" w:hAnsi="Times New Roman" w:eastAsia="宋体" w:cs="Times New Roman"/>
      <w:sz w:val="24"/>
      <w:szCs w:val="24"/>
    </w:rPr>
  </w:style>
  <w:style w:type="character" w:customStyle="1" w:styleId="74">
    <w:name w:val="普通(网站) 字符"/>
    <w:link w:val="35"/>
    <w:autoRedefine/>
    <w:qFormat/>
    <w:uiPriority w:val="0"/>
    <w:rPr>
      <w:rFonts w:ascii="仿宋" w:hAnsi="仿宋" w:eastAsia="仿宋"/>
      <w:sz w:val="24"/>
      <w:szCs w:val="21"/>
    </w:rPr>
  </w:style>
  <w:style w:type="character" w:customStyle="1" w:styleId="75">
    <w:name w:val="标题 字符"/>
    <w:basedOn w:val="47"/>
    <w:link w:val="37"/>
    <w:autoRedefine/>
    <w:qFormat/>
    <w:uiPriority w:val="10"/>
    <w:rPr>
      <w:rFonts w:ascii="Cambria" w:hAnsi="Cambria" w:eastAsia="仿宋" w:cs="Times New Roman"/>
      <w:b/>
      <w:bCs/>
      <w:kern w:val="0"/>
      <w:sz w:val="32"/>
      <w:szCs w:val="32"/>
    </w:rPr>
  </w:style>
  <w:style w:type="character" w:customStyle="1" w:styleId="76">
    <w:name w:val="批注主题 字符"/>
    <w:basedOn w:val="62"/>
    <w:link w:val="38"/>
    <w:autoRedefine/>
    <w:qFormat/>
    <w:uiPriority w:val="0"/>
    <w:rPr>
      <w:rFonts w:ascii="Times New Roman" w:hAnsi="Times New Roman" w:eastAsia="仿宋" w:cs="Times New Roman"/>
      <w:b/>
      <w:bCs/>
      <w:sz w:val="28"/>
      <w:szCs w:val="28"/>
    </w:rPr>
  </w:style>
  <w:style w:type="character" w:customStyle="1" w:styleId="77">
    <w:name w:val="正文文本首行缩进 2 字符"/>
    <w:basedOn w:val="64"/>
    <w:link w:val="39"/>
    <w:autoRedefine/>
    <w:qFormat/>
    <w:uiPriority w:val="0"/>
    <w:rPr>
      <w:rFonts w:ascii="Times New Roman" w:hAnsi="Times New Roman" w:eastAsia="仿宋" w:cs="Times New Roman"/>
      <w:snapToGrid w:val="0"/>
      <w:kern w:val="0"/>
      <w:sz w:val="28"/>
      <w:szCs w:val="20"/>
    </w:rPr>
  </w:style>
  <w:style w:type="table" w:customStyle="1" w:styleId="78">
    <w:name w:val="浅色列表 - 强调文字颜色 11"/>
    <w:basedOn w:val="40"/>
    <w:autoRedefine/>
    <w:qFormat/>
    <w:uiPriority w:val="61"/>
    <w:tblPr>
      <w:tblBorders>
        <w:top w:val="single" w:color="4472C4" w:sz="8" w:space="0"/>
        <w:left w:val="single" w:color="4472C4" w:sz="8" w:space="0"/>
        <w:bottom w:val="single" w:color="4472C4" w:sz="8" w:space="0"/>
        <w:right w:val="single" w:color="4472C4" w:sz="8" w:space="0"/>
      </w:tblBorders>
    </w:tblPr>
    <w:tblStylePr w:type="firstRow">
      <w:pPr>
        <w:spacing w:before="0" w:after="0" w:line="240" w:lineRule="auto"/>
      </w:pPr>
      <w:rPr>
        <w:b/>
        <w:bCs/>
        <w:color w:val="FFFFFF"/>
      </w:rPr>
      <w:tcPr>
        <w:shd w:val="clear" w:color="auto" w:fill="4472C4"/>
      </w:tcPr>
    </w:tblStylePr>
    <w:tblStylePr w:type="lastRow">
      <w:pPr>
        <w:spacing w:before="0" w:after="0" w:line="240" w:lineRule="auto"/>
      </w:pPr>
      <w:rPr>
        <w:b/>
        <w:bCs/>
      </w:rPr>
      <w:tcPr>
        <w:tcBorders>
          <w:top w:val="double" w:color="4472C4" w:sz="6" w:space="0"/>
          <w:left w:val="single" w:color="4472C4" w:sz="8" w:space="0"/>
          <w:bottom w:val="single" w:color="4472C4" w:sz="8" w:space="0"/>
          <w:right w:val="single" w:color="4472C4"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472C4" w:sz="8" w:space="0"/>
          <w:left w:val="single" w:color="4472C4" w:sz="8" w:space="0"/>
          <w:bottom w:val="single" w:color="4472C4" w:sz="8" w:space="0"/>
          <w:right w:val="single" w:color="4472C4" w:sz="8" w:space="0"/>
          <w:insideH w:val="nil"/>
          <w:insideV w:val="nil"/>
          <w:tl2br w:val="nil"/>
          <w:tr2bl w:val="nil"/>
        </w:tcBorders>
      </w:tcPr>
    </w:tblStylePr>
    <w:tblStylePr w:type="band1Horz">
      <w:tcPr>
        <w:tcBorders>
          <w:top w:val="single" w:color="4472C4" w:sz="8" w:space="0"/>
          <w:left w:val="single" w:color="4472C4" w:sz="8" w:space="0"/>
          <w:bottom w:val="single" w:color="4472C4" w:sz="8" w:space="0"/>
          <w:right w:val="single" w:color="4472C4" w:sz="8" w:space="0"/>
          <w:insideH w:val="nil"/>
          <w:insideV w:val="nil"/>
          <w:tl2br w:val="nil"/>
          <w:tr2bl w:val="nil"/>
        </w:tcBorders>
      </w:tcPr>
    </w:tblStylePr>
  </w:style>
  <w:style w:type="paragraph" w:customStyle="1" w:styleId="79">
    <w:name w:val="正文缩进两字符"/>
    <w:basedOn w:val="1"/>
    <w:autoRedefine/>
    <w:unhideWhenUsed/>
    <w:qFormat/>
    <w:uiPriority w:val="0"/>
    <w:pPr>
      <w:spacing w:line="280" w:lineRule="exact"/>
    </w:pPr>
    <w:rPr>
      <w:sz w:val="18"/>
    </w:rPr>
  </w:style>
  <w:style w:type="paragraph" w:customStyle="1" w:styleId="80">
    <w:name w:val="图名表名"/>
    <w:basedOn w:val="81"/>
    <w:link w:val="82"/>
    <w:autoRedefine/>
    <w:qFormat/>
    <w:uiPriority w:val="0"/>
    <w:pPr>
      <w:spacing w:after="0" w:line="240" w:lineRule="auto"/>
      <w:outlineLvl w:val="3"/>
    </w:pPr>
    <w:rPr>
      <w:rFonts w:ascii="仿宋" w:hAnsi="仿宋"/>
      <w:kern w:val="0"/>
    </w:rPr>
  </w:style>
  <w:style w:type="paragraph" w:customStyle="1" w:styleId="81">
    <w:name w:val="02图名"/>
    <w:basedOn w:val="1"/>
    <w:autoRedefine/>
    <w:qFormat/>
    <w:uiPriority w:val="0"/>
    <w:pPr>
      <w:autoSpaceDE w:val="0"/>
      <w:spacing w:after="120"/>
      <w:ind w:firstLine="0" w:firstLineChars="0"/>
      <w:jc w:val="center"/>
    </w:pPr>
    <w:rPr>
      <w:rFonts w:ascii="宋体" w:hAnsi="宋体"/>
      <w:b/>
      <w:szCs w:val="30"/>
    </w:rPr>
  </w:style>
  <w:style w:type="character" w:customStyle="1" w:styleId="82">
    <w:name w:val="图名表名 Char"/>
    <w:link w:val="80"/>
    <w:autoRedefine/>
    <w:qFormat/>
    <w:uiPriority w:val="0"/>
    <w:rPr>
      <w:rFonts w:ascii="仿宋" w:hAnsi="仿宋" w:eastAsia="仿宋"/>
      <w:b/>
      <w:sz w:val="28"/>
      <w:szCs w:val="30"/>
    </w:rPr>
  </w:style>
  <w:style w:type="paragraph" w:customStyle="1" w:styleId="83">
    <w:name w:val="图表小标题"/>
    <w:basedOn w:val="1"/>
    <w:next w:val="13"/>
    <w:link w:val="84"/>
    <w:autoRedefine/>
    <w:qFormat/>
    <w:uiPriority w:val="99"/>
    <w:pPr>
      <w:ind w:firstLine="0" w:firstLineChars="0"/>
      <w:jc w:val="center"/>
    </w:pPr>
    <w:rPr>
      <w:rFonts w:ascii="黑体" w:hAnsi="仿宋" w:eastAsia="黑体"/>
      <w:b/>
      <w:kern w:val="0"/>
      <w:sz w:val="20"/>
    </w:rPr>
  </w:style>
  <w:style w:type="character" w:customStyle="1" w:styleId="84">
    <w:name w:val="图表小标题 Char"/>
    <w:link w:val="83"/>
    <w:autoRedefine/>
    <w:qFormat/>
    <w:uiPriority w:val="99"/>
    <w:rPr>
      <w:rFonts w:ascii="黑体" w:hAnsi="仿宋" w:eastAsia="黑体"/>
      <w:b/>
      <w:szCs w:val="21"/>
    </w:rPr>
  </w:style>
  <w:style w:type="paragraph" w:customStyle="1" w:styleId="85">
    <w:name w:val="一级"/>
    <w:basedOn w:val="2"/>
    <w:autoRedefine/>
    <w:qFormat/>
    <w:uiPriority w:val="0"/>
    <w:pPr>
      <w:keepNext w:val="0"/>
    </w:pPr>
  </w:style>
  <w:style w:type="paragraph" w:styleId="86">
    <w:name w:val="List Paragraph"/>
    <w:basedOn w:val="1"/>
    <w:autoRedefine/>
    <w:qFormat/>
    <w:uiPriority w:val="34"/>
    <w:pPr>
      <w:ind w:firstLine="420"/>
    </w:pPr>
  </w:style>
  <w:style w:type="paragraph" w:customStyle="1" w:styleId="87">
    <w:name w:val="表格内容-1"/>
    <w:next w:val="1"/>
    <w:link w:val="88"/>
    <w:autoRedefine/>
    <w:qFormat/>
    <w:uiPriority w:val="0"/>
    <w:pPr>
      <w:jc w:val="center"/>
    </w:pPr>
    <w:rPr>
      <w:rFonts w:ascii="仿宋" w:hAnsi="仿宋" w:eastAsia="仿宋" w:cs="Times New Roman"/>
      <w:bCs/>
      <w:sz w:val="24"/>
      <w:szCs w:val="21"/>
      <w:lang w:val="en-US" w:eastAsia="zh-CN" w:bidi="ar-SA"/>
    </w:rPr>
  </w:style>
  <w:style w:type="character" w:customStyle="1" w:styleId="88">
    <w:name w:val="表格内容-1 Char"/>
    <w:link w:val="87"/>
    <w:autoRedefine/>
    <w:qFormat/>
    <w:uiPriority w:val="0"/>
    <w:rPr>
      <w:rFonts w:ascii="仿宋" w:hAnsi="仿宋" w:eastAsia="仿宋"/>
      <w:bCs/>
      <w:sz w:val="24"/>
      <w:szCs w:val="21"/>
      <w:lang w:bidi="ar-SA"/>
    </w:rPr>
  </w:style>
  <w:style w:type="paragraph" w:customStyle="1" w:styleId="89">
    <w:name w:val="表内文字"/>
    <w:basedOn w:val="90"/>
    <w:link w:val="91"/>
    <w:autoRedefine/>
    <w:qFormat/>
    <w:uiPriority w:val="0"/>
    <w:rPr>
      <w:rFonts w:ascii="Times New Roman" w:hAnsi="Times New Roman" w:cs="Times New Roman"/>
      <w:b w:val="0"/>
      <w:sz w:val="20"/>
      <w:szCs w:val="20"/>
    </w:rPr>
  </w:style>
  <w:style w:type="paragraph" w:customStyle="1" w:styleId="90">
    <w:name w:val="图表 Char"/>
    <w:autoRedefine/>
    <w:semiHidden/>
    <w:qFormat/>
    <w:uiPriority w:val="0"/>
    <w:pPr>
      <w:adjustRightInd w:val="0"/>
      <w:spacing w:line="360" w:lineRule="auto"/>
      <w:jc w:val="center"/>
      <w:textAlignment w:val="center"/>
    </w:pPr>
    <w:rPr>
      <w:rFonts w:ascii="宋体" w:hAnsi="宋体" w:eastAsia="宋体" w:cs="Calibri"/>
      <w:b/>
      <w:sz w:val="21"/>
      <w:szCs w:val="10"/>
      <w:lang w:val="en-US" w:eastAsia="zh-CN" w:bidi="ar-SA"/>
    </w:rPr>
  </w:style>
  <w:style w:type="character" w:customStyle="1" w:styleId="91">
    <w:name w:val="表内文字 Char Char"/>
    <w:link w:val="89"/>
    <w:autoRedefine/>
    <w:qFormat/>
    <w:uiPriority w:val="0"/>
    <w:rPr>
      <w:rFonts w:ascii="Times New Roman" w:hAnsi="Times New Roman" w:eastAsia="宋体" w:cs="Times New Roman"/>
      <w:kern w:val="0"/>
      <w:szCs w:val="20"/>
    </w:rPr>
  </w:style>
  <w:style w:type="paragraph" w:customStyle="1" w:styleId="92">
    <w:name w:val="图名图表"/>
    <w:basedOn w:val="1"/>
    <w:next w:val="1"/>
    <w:link w:val="93"/>
    <w:autoRedefine/>
    <w:qFormat/>
    <w:uiPriority w:val="0"/>
    <w:pPr>
      <w:ind w:firstLine="0" w:firstLineChars="0"/>
      <w:jc w:val="center"/>
      <w:outlineLvl w:val="3"/>
    </w:pPr>
    <w:rPr>
      <w:rFonts w:ascii="仿宋" w:hAnsi="仿宋"/>
      <w:b/>
      <w:kern w:val="0"/>
    </w:rPr>
  </w:style>
  <w:style w:type="character" w:customStyle="1" w:styleId="93">
    <w:name w:val="图名图表 Char"/>
    <w:link w:val="92"/>
    <w:autoRedefine/>
    <w:qFormat/>
    <w:uiPriority w:val="0"/>
    <w:rPr>
      <w:rFonts w:ascii="仿宋" w:hAnsi="仿宋" w:eastAsia="仿宋"/>
      <w:b/>
      <w:sz w:val="28"/>
      <w:szCs w:val="21"/>
    </w:rPr>
  </w:style>
  <w:style w:type="paragraph" w:customStyle="1" w:styleId="94">
    <w:name w:val="表格内文字"/>
    <w:basedOn w:val="1"/>
    <w:autoRedefine/>
    <w:qFormat/>
    <w:uiPriority w:val="0"/>
    <w:pPr>
      <w:widowControl/>
      <w:spacing w:line="240" w:lineRule="auto"/>
      <w:ind w:firstLine="0" w:firstLineChars="0"/>
      <w:contextualSpacing/>
      <w:jc w:val="center"/>
    </w:pPr>
    <w:rPr>
      <w:sz w:val="24"/>
      <w:szCs w:val="20"/>
    </w:rPr>
  </w:style>
  <w:style w:type="paragraph" w:customStyle="1" w:styleId="95">
    <w:name w:val="正文02"/>
    <w:basedOn w:val="2"/>
    <w:next w:val="1"/>
    <w:link w:val="96"/>
    <w:autoRedefine/>
    <w:qFormat/>
    <w:uiPriority w:val="0"/>
    <w:pPr>
      <w:ind w:firstLine="1080" w:firstLineChars="200"/>
      <w:jc w:val="left"/>
    </w:pPr>
    <w:rPr>
      <w:rFonts w:ascii="仿宋" w:hAnsi="仿宋" w:eastAsia="仿宋" w:cs="Times New Roman"/>
      <w:sz w:val="28"/>
    </w:rPr>
  </w:style>
  <w:style w:type="character" w:customStyle="1" w:styleId="96">
    <w:name w:val="正文02 Char"/>
    <w:link w:val="95"/>
    <w:autoRedefine/>
    <w:qFormat/>
    <w:uiPriority w:val="0"/>
    <w:rPr>
      <w:rFonts w:ascii="仿宋" w:hAnsi="仿宋" w:eastAsia="仿宋" w:cs="仿宋"/>
      <w:kern w:val="44"/>
      <w:sz w:val="28"/>
      <w:szCs w:val="28"/>
    </w:rPr>
  </w:style>
  <w:style w:type="paragraph" w:customStyle="1" w:styleId="97">
    <w:name w:val="WPSOffice手动目录 1"/>
    <w:autoRedefine/>
    <w:qFormat/>
    <w:uiPriority w:val="0"/>
    <w:rPr>
      <w:rFonts w:ascii="方正小标宋简体" w:hAnsi="等线" w:eastAsia="方正小标宋简体" w:cs="Times New Roman"/>
      <w:lang w:val="en-US" w:eastAsia="zh-CN" w:bidi="ar-SA"/>
    </w:rPr>
  </w:style>
  <w:style w:type="paragraph" w:customStyle="1" w:styleId="98">
    <w:name w:val="WPSOffice手动目录 2"/>
    <w:autoRedefine/>
    <w:qFormat/>
    <w:uiPriority w:val="0"/>
    <w:pPr>
      <w:ind w:left="200" w:leftChars="200"/>
    </w:pPr>
    <w:rPr>
      <w:rFonts w:ascii="方正小标宋简体" w:hAnsi="等线" w:eastAsia="方正小标宋简体" w:cs="Times New Roman"/>
      <w:lang w:val="en-US" w:eastAsia="zh-CN" w:bidi="ar-SA"/>
    </w:rPr>
  </w:style>
  <w:style w:type="character" w:customStyle="1" w:styleId="99">
    <w:name w:val="表内文字 Char"/>
    <w:autoRedefine/>
    <w:qFormat/>
    <w:uiPriority w:val="0"/>
    <w:rPr>
      <w:rFonts w:hAnsi="仿宋_GB2312" w:eastAsia="仿宋"/>
      <w:sz w:val="24"/>
      <w:szCs w:val="22"/>
    </w:rPr>
  </w:style>
  <w:style w:type="paragraph" w:styleId="100">
    <w:name w:val="No Spacing"/>
    <w:link w:val="101"/>
    <w:autoRedefine/>
    <w:qFormat/>
    <w:uiPriority w:val="0"/>
    <w:pPr>
      <w:widowControl w:val="0"/>
      <w:jc w:val="both"/>
    </w:pPr>
    <w:rPr>
      <w:rFonts w:ascii="宋体" w:hAnsi="Calibri" w:eastAsia="仿宋_GB2312" w:cs="Times New Roman"/>
      <w:szCs w:val="28"/>
      <w:lang w:val="en-US" w:eastAsia="zh-CN" w:bidi="ar-SA"/>
    </w:rPr>
  </w:style>
  <w:style w:type="character" w:customStyle="1" w:styleId="101">
    <w:name w:val="无间隔 字符"/>
    <w:link w:val="100"/>
    <w:autoRedefine/>
    <w:qFormat/>
    <w:uiPriority w:val="0"/>
    <w:rPr>
      <w:rFonts w:ascii="宋体" w:hAnsi="Calibri" w:eastAsia="仿宋_GB2312"/>
      <w:szCs w:val="28"/>
      <w:lang w:bidi="ar-SA"/>
    </w:rPr>
  </w:style>
  <w:style w:type="paragraph" w:customStyle="1" w:styleId="102">
    <w:name w:val="01正文"/>
    <w:basedOn w:val="1"/>
    <w:autoRedefine/>
    <w:qFormat/>
    <w:uiPriority w:val="0"/>
    <w:pPr>
      <w:snapToGrid w:val="0"/>
      <w:ind w:firstLine="420"/>
      <w:jc w:val="left"/>
    </w:pPr>
    <w:rPr>
      <w:rFonts w:ascii="宋体" w:hAnsi="宋体"/>
      <w:sz w:val="24"/>
    </w:rPr>
  </w:style>
  <w:style w:type="paragraph" w:customStyle="1" w:styleId="103">
    <w:name w:val="岳阳正文"/>
    <w:basedOn w:val="1"/>
    <w:autoRedefine/>
    <w:qFormat/>
    <w:uiPriority w:val="0"/>
    <w:pPr>
      <w:spacing w:line="460" w:lineRule="exact"/>
      <w:ind w:firstLine="560"/>
    </w:pPr>
    <w:rPr>
      <w:rFonts w:ascii="黑体" w:hAnsi="黑体" w:eastAsia="仿宋_GB2312"/>
      <w:kern w:val="32"/>
      <w:szCs w:val="30"/>
    </w:rPr>
  </w:style>
  <w:style w:type="paragraph" w:customStyle="1" w:styleId="104">
    <w:name w:val="表头"/>
    <w:basedOn w:val="1"/>
    <w:autoRedefine/>
    <w:qFormat/>
    <w:uiPriority w:val="0"/>
    <w:pPr>
      <w:spacing w:line="480" w:lineRule="exact"/>
      <w:ind w:firstLine="0" w:firstLineChars="0"/>
      <w:jc w:val="center"/>
    </w:pPr>
    <w:rPr>
      <w:rFonts w:hint="eastAsia" w:ascii="黑体" w:hAnsi="黑体" w:eastAsia="黑体"/>
      <w:b/>
      <w:kern w:val="0"/>
      <w:sz w:val="21"/>
    </w:rPr>
  </w:style>
  <w:style w:type="paragraph" w:customStyle="1" w:styleId="105">
    <w:name w:val="插图插表名称"/>
    <w:basedOn w:val="1"/>
    <w:autoRedefine/>
    <w:qFormat/>
    <w:uiPriority w:val="0"/>
    <w:pPr>
      <w:spacing w:line="240" w:lineRule="auto"/>
      <w:ind w:firstLine="0" w:firstLineChars="0"/>
      <w:jc w:val="center"/>
    </w:pPr>
    <w:rPr>
      <w:rFonts w:cs="宋体"/>
      <w:b/>
    </w:rPr>
  </w:style>
  <w:style w:type="paragraph" w:customStyle="1" w:styleId="106">
    <w:name w:val="插图、插表名称"/>
    <w:basedOn w:val="1"/>
    <w:link w:val="107"/>
    <w:autoRedefine/>
    <w:qFormat/>
    <w:uiPriority w:val="0"/>
    <w:pPr>
      <w:spacing w:line="240" w:lineRule="auto"/>
      <w:ind w:firstLine="0" w:firstLineChars="0"/>
      <w:jc w:val="center"/>
    </w:pPr>
    <w:rPr>
      <w:b/>
      <w:sz w:val="21"/>
    </w:rPr>
  </w:style>
  <w:style w:type="character" w:customStyle="1" w:styleId="107">
    <w:name w:val="插图、插表名称 Char"/>
    <w:link w:val="106"/>
    <w:autoRedefine/>
    <w:qFormat/>
    <w:uiPriority w:val="0"/>
    <w:rPr>
      <w:rFonts w:eastAsia="仿宋" w:cs="Times New Roman"/>
      <w:b/>
      <w:kern w:val="2"/>
      <w:sz w:val="21"/>
      <w:szCs w:val="21"/>
    </w:rPr>
  </w:style>
  <w:style w:type="paragraph" w:customStyle="1" w:styleId="108">
    <w:name w:val="图表标题"/>
    <w:link w:val="109"/>
    <w:autoRedefine/>
    <w:qFormat/>
    <w:uiPriority w:val="11"/>
    <w:pPr>
      <w:widowControl w:val="0"/>
      <w:spacing w:line="360" w:lineRule="auto"/>
      <w:jc w:val="center"/>
      <w:outlineLvl w:val="3"/>
    </w:pPr>
    <w:rPr>
      <w:rFonts w:ascii="仿宋" w:hAnsi="仿宋" w:eastAsia="仿宋" w:cs="Times New Roman"/>
      <w:b/>
      <w:bCs/>
      <w:color w:val="000000"/>
      <w:sz w:val="24"/>
      <w:szCs w:val="28"/>
      <w:lang w:val="en-US" w:eastAsia="zh-CN" w:bidi="ar-SA"/>
    </w:rPr>
  </w:style>
  <w:style w:type="character" w:customStyle="1" w:styleId="109">
    <w:name w:val="图表标题 Char"/>
    <w:link w:val="108"/>
    <w:autoRedefine/>
    <w:qFormat/>
    <w:uiPriority w:val="11"/>
    <w:rPr>
      <w:rFonts w:ascii="仿宋" w:hAnsi="仿宋" w:eastAsia="仿宋"/>
      <w:b/>
      <w:bCs/>
      <w:color w:val="000000"/>
      <w:sz w:val="24"/>
      <w:szCs w:val="28"/>
      <w:lang w:bidi="ar-SA"/>
    </w:rPr>
  </w:style>
  <w:style w:type="character" w:customStyle="1" w:styleId="110">
    <w:name w:val="副标题 字符"/>
    <w:basedOn w:val="47"/>
    <w:autoRedefine/>
    <w:qFormat/>
    <w:uiPriority w:val="11"/>
    <w:rPr>
      <w:b/>
      <w:bCs/>
      <w:kern w:val="28"/>
      <w:sz w:val="32"/>
      <w:szCs w:val="32"/>
    </w:rPr>
  </w:style>
  <w:style w:type="paragraph" w:customStyle="1" w:styleId="111">
    <w:name w:val="居中"/>
    <w:basedOn w:val="1"/>
    <w:autoRedefine/>
    <w:qFormat/>
    <w:uiPriority w:val="0"/>
    <w:pPr>
      <w:spacing w:line="360" w:lineRule="auto"/>
      <w:ind w:firstLine="0" w:firstLineChars="0"/>
      <w:jc w:val="center"/>
    </w:pPr>
    <w:rPr>
      <w:rFonts w:ascii="宋体" w:hAnsi="宋体" w:eastAsia="宋体" w:cs="Calibri"/>
      <w:sz w:val="24"/>
      <w:szCs w:val="22"/>
    </w:rPr>
  </w:style>
  <w:style w:type="character" w:customStyle="1" w:styleId="112">
    <w:name w:val="font31"/>
    <w:basedOn w:val="47"/>
    <w:autoRedefine/>
    <w:qFormat/>
    <w:uiPriority w:val="0"/>
    <w:rPr>
      <w:rFonts w:hint="eastAsia" w:ascii="仿宋" w:hAnsi="仿宋" w:eastAsia="仿宋" w:cs="仿宋"/>
      <w:color w:val="000000"/>
      <w:sz w:val="24"/>
      <w:szCs w:val="24"/>
      <w:u w:val="none"/>
    </w:rPr>
  </w:style>
  <w:style w:type="table" w:customStyle="1" w:styleId="113">
    <w:name w:val="网格表 5 深色 - 着色 11"/>
    <w:basedOn w:val="40"/>
    <w:autoRedefine/>
    <w:qFormat/>
    <w:uiPriority w:val="50"/>
    <w:pPr>
      <w:adjustRightInd w:val="0"/>
      <w:snapToGrid w:val="0"/>
      <w:jc w:val="center"/>
    </w:pPr>
    <w:rPr>
      <w:rFonts w:ascii="宋体" w:hAnsi="宋体" w:cs="宋体"/>
      <w:snapToGrid w:val="0"/>
      <w:szCs w:val="28"/>
    </w:rPr>
    <w:tblPr>
      <w:tblBorders>
        <w:top w:val="single" w:color="E7E6E6" w:sz="4" w:space="0"/>
        <w:left w:val="single" w:color="E7E6E6" w:sz="4" w:space="0"/>
        <w:bottom w:val="single" w:color="E7E6E6" w:sz="4" w:space="0"/>
        <w:right w:val="single" w:color="E7E6E6" w:sz="4" w:space="0"/>
        <w:insideH w:val="single" w:color="E7E6E6" w:sz="4" w:space="0"/>
        <w:insideV w:val="single" w:color="E7E6E6" w:sz="4" w:space="0"/>
      </w:tblBorders>
    </w:tblPr>
    <w:tcPr>
      <w:shd w:val="clear" w:color="auto" w:fill="D9E2F3"/>
      <w:vAlign w:val="center"/>
    </w:tcPr>
    <w:tblStylePr w:type="firstRow">
      <w:pPr>
        <w:jc w:val="center"/>
      </w:pPr>
      <w:rPr>
        <w:b/>
        <w:bCs/>
        <w:color w:val="FFFFFF"/>
      </w: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l2br w:val="nil"/>
          <w:tr2bl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472C4"/>
      </w:tcPr>
    </w:tblStylePr>
    <w:tblStylePr w:type="lastCol">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114">
    <w:name w:val="表格五号"/>
    <w:basedOn w:val="1"/>
    <w:next w:val="1"/>
    <w:autoRedefine/>
    <w:qFormat/>
    <w:uiPriority w:val="0"/>
    <w:pPr>
      <w:spacing w:line="240" w:lineRule="auto"/>
      <w:ind w:firstLine="0" w:firstLineChars="0"/>
      <w:jc w:val="center"/>
    </w:pPr>
    <w:rPr>
      <w:rFonts w:hAnsi="Calibri"/>
      <w:bCs/>
      <w:snapToGrid w:val="0"/>
      <w:color w:val="000000"/>
      <w:kern w:val="0"/>
      <w:sz w:val="21"/>
      <w:szCs w:val="15"/>
    </w:rPr>
  </w:style>
  <w:style w:type="table" w:customStyle="1" w:styleId="115">
    <w:name w:val="表格样式111"/>
    <w:basedOn w:val="40"/>
    <w:autoRedefine/>
    <w:qFormat/>
    <w:uiPriority w:val="50"/>
    <w:pPr>
      <w:adjustRightInd w:val="0"/>
      <w:snapToGrid w:val="0"/>
      <w:jc w:val="center"/>
    </w:pPr>
    <w:rPr>
      <w:rFonts w:ascii="宋体" w:hAnsi="宋体" w:cs="宋体"/>
      <w:snapToGrid w:val="0"/>
    </w:rPr>
    <w:tblPr>
      <w:jc w:val="center"/>
      <w:tblBorders>
        <w:top w:val="single" w:color="E7E6E6" w:sz="4" w:space="0"/>
        <w:left w:val="single" w:color="E7E6E6" w:sz="4" w:space="0"/>
        <w:bottom w:val="single" w:color="E7E6E6" w:sz="4" w:space="0"/>
        <w:right w:val="single" w:color="E7E6E6" w:sz="4" w:space="0"/>
        <w:insideH w:val="single" w:color="E7E6E6" w:sz="4" w:space="0"/>
        <w:insideV w:val="single" w:color="E7E6E6" w:sz="4" w:space="0"/>
      </w:tblBorders>
    </w:tblPr>
    <w:trPr>
      <w:jc w:val="center"/>
    </w:trPr>
    <w:tcPr>
      <w:shd w:val="clear" w:color="auto" w:fill="D9E2F3"/>
      <w:vAlign w:val="center"/>
    </w:tcPr>
    <w:tblStylePr w:type="firstRow">
      <w:pPr>
        <w:jc w:val="center"/>
      </w:pPr>
      <w:rPr>
        <w:rFonts w:ascii="Dutch801 Rm BT" w:hAnsi="Dutch801 Rm BT" w:eastAsia="Dutch801 Rm BT"/>
        <w:b/>
        <w:bCs/>
        <w:i w:val="0"/>
        <w:color w:val="F8F8F8"/>
        <w:sz w:val="21"/>
      </w: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l2br w:val="nil"/>
          <w:tr2bl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472C4"/>
      </w:tcPr>
    </w:tblStylePr>
    <w:tblStylePr w:type="lastCol">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116">
    <w:name w:val="图片段落"/>
    <w:basedOn w:val="1"/>
    <w:autoRedefine/>
    <w:qFormat/>
    <w:uiPriority w:val="0"/>
    <w:pPr>
      <w:ind w:firstLine="0" w:firstLineChars="0"/>
      <w:contextualSpacing/>
      <w:jc w:val="center"/>
    </w:pPr>
    <w:rPr>
      <w:rFonts w:hAnsi="Calibri"/>
      <w:kern w:val="0"/>
      <w:szCs w:val="22"/>
    </w:rPr>
  </w:style>
  <w:style w:type="paragraph" w:customStyle="1" w:styleId="117">
    <w:name w:val="表格内容"/>
    <w:basedOn w:val="1"/>
    <w:link w:val="118"/>
    <w:autoRedefine/>
    <w:qFormat/>
    <w:uiPriority w:val="0"/>
    <w:pPr>
      <w:spacing w:line="240" w:lineRule="auto"/>
      <w:ind w:firstLine="0" w:firstLineChars="0"/>
      <w:jc w:val="center"/>
    </w:pPr>
    <w:rPr>
      <w:rFonts w:ascii="宋体" w:hAnsi="宋体"/>
      <w:kern w:val="0"/>
      <w:sz w:val="20"/>
      <w:szCs w:val="24"/>
    </w:rPr>
  </w:style>
  <w:style w:type="character" w:customStyle="1" w:styleId="118">
    <w:name w:val="表格内容 Char"/>
    <w:link w:val="117"/>
    <w:autoRedefine/>
    <w:qFormat/>
    <w:uiPriority w:val="0"/>
    <w:rPr>
      <w:rFonts w:ascii="宋体" w:hAnsi="宋体" w:eastAsia="仿宋" w:cs="宋体"/>
      <w:szCs w:val="24"/>
    </w:rPr>
  </w:style>
  <w:style w:type="paragraph" w:customStyle="1" w:styleId="119">
    <w:name w:val="样式 首行缩进:  2 字符"/>
    <w:basedOn w:val="1"/>
    <w:autoRedefine/>
    <w:qFormat/>
    <w:uiPriority w:val="0"/>
    <w:pPr>
      <w:spacing w:line="360" w:lineRule="auto"/>
      <w:ind w:firstLine="480"/>
    </w:pPr>
    <w:rPr>
      <w:rFonts w:ascii="Calibri" w:hAnsi="Calibri" w:eastAsia="宋体" w:cs="宋体"/>
      <w:sz w:val="24"/>
      <w:szCs w:val="20"/>
    </w:rPr>
  </w:style>
  <w:style w:type="character" w:customStyle="1" w:styleId="120">
    <w:name w:val="标题3 Char"/>
    <w:link w:val="121"/>
    <w:autoRedefine/>
    <w:qFormat/>
    <w:uiPriority w:val="0"/>
    <w:rPr>
      <w:rFonts w:eastAsia="仿宋" w:cs="Times New Roman"/>
      <w:b/>
      <w:kern w:val="2"/>
      <w:sz w:val="28"/>
      <w:szCs w:val="24"/>
    </w:rPr>
  </w:style>
  <w:style w:type="paragraph" w:customStyle="1" w:styleId="121">
    <w:name w:val="标题3"/>
    <w:basedOn w:val="4"/>
    <w:next w:val="1"/>
    <w:link w:val="120"/>
    <w:autoRedefine/>
    <w:qFormat/>
    <w:uiPriority w:val="0"/>
    <w:rPr>
      <w:rFonts w:eastAsia="仿宋" w:cs="Times New Roman"/>
      <w:szCs w:val="24"/>
    </w:rPr>
  </w:style>
  <w:style w:type="paragraph" w:customStyle="1" w:styleId="122">
    <w:name w:val="方案图名"/>
    <w:basedOn w:val="1"/>
    <w:next w:val="1"/>
    <w:link w:val="123"/>
    <w:autoRedefine/>
    <w:qFormat/>
    <w:uiPriority w:val="0"/>
    <w:pPr>
      <w:spacing w:line="240" w:lineRule="auto"/>
      <w:ind w:firstLine="562" w:firstLineChars="0"/>
      <w:jc w:val="center"/>
      <w:outlineLvl w:val="4"/>
    </w:pPr>
    <w:rPr>
      <w:rFonts w:ascii="黑体" w:hAnsi="黑体" w:eastAsia="黑体" w:cs="黑体"/>
      <w:b/>
      <w:color w:val="000000"/>
      <w:sz w:val="21"/>
    </w:rPr>
  </w:style>
  <w:style w:type="character" w:customStyle="1" w:styleId="123">
    <w:name w:val="图名 字符"/>
    <w:link w:val="122"/>
    <w:autoRedefine/>
    <w:qFormat/>
    <w:uiPriority w:val="0"/>
    <w:rPr>
      <w:rFonts w:ascii="黑体" w:hAnsi="黑体" w:eastAsia="黑体" w:cs="黑体"/>
      <w:b/>
      <w:color w:val="000000"/>
      <w:kern w:val="2"/>
      <w:sz w:val="21"/>
      <w:szCs w:val="21"/>
    </w:rPr>
  </w:style>
  <w:style w:type="character" w:customStyle="1" w:styleId="124">
    <w:name w:val="未处理的提及1"/>
    <w:autoRedefine/>
    <w:unhideWhenUsed/>
    <w:qFormat/>
    <w:uiPriority w:val="99"/>
    <w:rPr>
      <w:color w:val="605E5C"/>
      <w:shd w:val="clear" w:color="auto" w:fill="E1DFDD"/>
    </w:rPr>
  </w:style>
  <w:style w:type="paragraph" w:customStyle="1" w:styleId="125">
    <w:name w:val="TOC 标题1"/>
    <w:basedOn w:val="2"/>
    <w:next w:val="1"/>
    <w:autoRedefine/>
    <w:qFormat/>
    <w:uiPriority w:val="39"/>
    <w:pPr>
      <w:keepNext w:val="0"/>
      <w:outlineLvl w:val="9"/>
    </w:pPr>
    <w:rPr>
      <w:rFonts w:ascii="Times New Roman" w:hAnsi="Times New Roman" w:cs="Times New Roman"/>
      <w:bCs/>
      <w:szCs w:val="32"/>
    </w:rPr>
  </w:style>
  <w:style w:type="paragraph" w:customStyle="1" w:styleId="126">
    <w:name w:val="图表图名（刘强））"/>
    <w:autoRedefine/>
    <w:qFormat/>
    <w:uiPriority w:val="0"/>
    <w:pPr>
      <w:jc w:val="center"/>
    </w:pPr>
    <w:rPr>
      <w:rFonts w:ascii="Times New Roman" w:hAnsi="Times New Roman" w:eastAsia="宋体" w:cs="Times New Roman"/>
      <w:b/>
      <w:sz w:val="21"/>
      <w:szCs w:val="21"/>
      <w:lang w:val="en-US" w:eastAsia="zh-CN" w:bidi="ar-SA"/>
    </w:rPr>
  </w:style>
  <w:style w:type="paragraph" w:customStyle="1" w:styleId="127">
    <w:name w:val="z-窗体底端1"/>
    <w:basedOn w:val="1"/>
    <w:next w:val="1"/>
    <w:link w:val="128"/>
    <w:autoRedefine/>
    <w:qFormat/>
    <w:uiPriority w:val="0"/>
    <w:pPr>
      <w:widowControl/>
      <w:pBdr>
        <w:top w:val="single" w:color="auto" w:sz="6" w:space="1"/>
      </w:pBdr>
      <w:ind w:firstLine="200"/>
      <w:jc w:val="center"/>
    </w:pPr>
    <w:rPr>
      <w:rFonts w:ascii="Arial" w:hAnsi="Arial" w:cs="Arial"/>
      <w:vanish/>
      <w:kern w:val="0"/>
      <w:sz w:val="16"/>
      <w:szCs w:val="16"/>
    </w:rPr>
  </w:style>
  <w:style w:type="character" w:customStyle="1" w:styleId="128">
    <w:name w:val="z-窗体底端 字符"/>
    <w:basedOn w:val="47"/>
    <w:link w:val="127"/>
    <w:autoRedefine/>
    <w:qFormat/>
    <w:uiPriority w:val="0"/>
    <w:rPr>
      <w:rFonts w:ascii="Arial" w:hAnsi="Arial" w:eastAsia="仿宋" w:cs="Arial"/>
      <w:vanish/>
      <w:kern w:val="0"/>
      <w:sz w:val="16"/>
      <w:szCs w:val="16"/>
    </w:rPr>
  </w:style>
  <w:style w:type="paragraph" w:customStyle="1" w:styleId="129">
    <w:name w:val="样式 标题 3 + Arial 小四 非加粗 左侧:  0.92 厘米"/>
    <w:basedOn w:val="4"/>
    <w:autoRedefine/>
    <w:qFormat/>
    <w:uiPriority w:val="0"/>
    <w:pPr>
      <w:ind w:left="519" w:firstLine="320"/>
    </w:pPr>
    <w:rPr>
      <w:rFonts w:ascii="Arial" w:hAnsi="Arial" w:cs="宋体"/>
      <w:b w:val="0"/>
      <w:kern w:val="0"/>
      <w:sz w:val="24"/>
      <w:szCs w:val="20"/>
    </w:rPr>
  </w:style>
  <w:style w:type="paragraph" w:customStyle="1" w:styleId="130">
    <w:name w:val="表格标题 Char Char"/>
    <w:basedOn w:val="1"/>
    <w:autoRedefine/>
    <w:qFormat/>
    <w:uiPriority w:val="0"/>
    <w:pPr>
      <w:spacing w:beforeLines="50" w:afterLines="30" w:line="320" w:lineRule="exact"/>
      <w:ind w:firstLine="200"/>
      <w:jc w:val="center"/>
    </w:pPr>
    <w:rPr>
      <w:rFonts w:eastAsia="黑体"/>
      <w:sz w:val="24"/>
    </w:rPr>
  </w:style>
  <w:style w:type="paragraph" w:customStyle="1" w:styleId="131">
    <w:name w:val="深中正文"/>
    <w:autoRedefine/>
    <w:qFormat/>
    <w:uiPriority w:val="0"/>
    <w:pPr>
      <w:overflowPunct w:val="0"/>
      <w:spacing w:line="360" w:lineRule="auto"/>
      <w:ind w:firstLine="200" w:firstLineChars="200"/>
      <w:jc w:val="both"/>
    </w:pPr>
    <w:rPr>
      <w:rFonts w:ascii="仿宋" w:hAnsi="宋体" w:eastAsia="仿宋_GB2312" w:cs="Times New Roman"/>
      <w:kern w:val="2"/>
      <w:sz w:val="24"/>
      <w:szCs w:val="28"/>
      <w:lang w:val="en-US" w:eastAsia="zh-CN" w:bidi="ar-SA"/>
    </w:rPr>
  </w:style>
  <w:style w:type="paragraph" w:customStyle="1" w:styleId="132">
    <w:name w:val="表格中"/>
    <w:basedOn w:val="1"/>
    <w:autoRedefine/>
    <w:qFormat/>
    <w:uiPriority w:val="0"/>
    <w:pPr>
      <w:spacing w:line="360" w:lineRule="auto"/>
      <w:ind w:firstLine="0" w:firstLineChars="0"/>
      <w:jc w:val="center"/>
    </w:pPr>
    <w:rPr>
      <w:rFonts w:eastAsia="宋体"/>
      <w:sz w:val="21"/>
      <w:szCs w:val="28"/>
    </w:rPr>
  </w:style>
  <w:style w:type="paragraph" w:customStyle="1" w:styleId="133">
    <w:name w:val="p0"/>
    <w:basedOn w:val="1"/>
    <w:autoRedefine/>
    <w:qFormat/>
    <w:uiPriority w:val="0"/>
    <w:pPr>
      <w:widowControl/>
      <w:ind w:firstLine="200"/>
    </w:pPr>
    <w:rPr>
      <w:rFonts w:ascii="Calibri" w:hAnsi="Calibri" w:cs="宋体"/>
      <w:kern w:val="0"/>
    </w:rPr>
  </w:style>
  <w:style w:type="paragraph" w:customStyle="1" w:styleId="134">
    <w:name w:val="Table Paragraph"/>
    <w:basedOn w:val="1"/>
    <w:autoRedefine/>
    <w:qFormat/>
    <w:uiPriority w:val="1"/>
    <w:pPr>
      <w:autoSpaceDE w:val="0"/>
      <w:autoSpaceDN w:val="0"/>
      <w:spacing w:line="240" w:lineRule="auto"/>
      <w:ind w:firstLine="0" w:firstLineChars="0"/>
      <w:jc w:val="left"/>
    </w:pPr>
    <w:rPr>
      <w:rFonts w:ascii="宋体" w:hAnsi="宋体" w:eastAsia="宋体" w:cs="宋体"/>
      <w:kern w:val="0"/>
      <w:sz w:val="22"/>
      <w:szCs w:val="22"/>
      <w:lang w:eastAsia="en-US"/>
    </w:rPr>
  </w:style>
  <w:style w:type="paragraph" w:customStyle="1" w:styleId="135">
    <w:name w:val="表内文字（刘强）"/>
    <w:autoRedefine/>
    <w:qFormat/>
    <w:uiPriority w:val="0"/>
    <w:pPr>
      <w:jc w:val="center"/>
    </w:pPr>
    <w:rPr>
      <w:rFonts w:ascii="Times New Roman" w:hAnsi="Times New Roman" w:eastAsia="宋体" w:cs="Times New Roman"/>
      <w:sz w:val="21"/>
      <w:szCs w:val="21"/>
      <w:lang w:val="en-US" w:eastAsia="zh-CN" w:bidi="ar-SA"/>
    </w:rPr>
  </w:style>
  <w:style w:type="paragraph" w:customStyle="1" w:styleId="136">
    <w:name w:val="08图名"/>
    <w:basedOn w:val="1"/>
    <w:autoRedefine/>
    <w:qFormat/>
    <w:uiPriority w:val="0"/>
    <w:pPr>
      <w:overflowPunct w:val="0"/>
      <w:spacing w:line="360" w:lineRule="auto"/>
      <w:ind w:firstLine="0" w:firstLineChars="0"/>
      <w:jc w:val="center"/>
    </w:pPr>
    <w:rPr>
      <w:rFonts w:hAnsi="Calibri" w:eastAsia="黑体"/>
      <w:sz w:val="21"/>
    </w:rPr>
  </w:style>
  <w:style w:type="paragraph" w:customStyle="1" w:styleId="137">
    <w:name w:val="正文缩进二"/>
    <w:basedOn w:val="9"/>
    <w:autoRedefine/>
    <w:qFormat/>
    <w:uiPriority w:val="0"/>
    <w:pPr>
      <w:tabs>
        <w:tab w:val="clear" w:pos="630"/>
      </w:tabs>
      <w:adjustRightInd/>
      <w:ind w:firstLine="567"/>
    </w:pPr>
    <w:rPr>
      <w:rFonts w:ascii="Arial" w:hAnsi="Arial" w:cs="Arial"/>
      <w:sz w:val="28"/>
    </w:rPr>
  </w:style>
  <w:style w:type="paragraph" w:customStyle="1" w:styleId="138">
    <w:name w:val="标题4"/>
    <w:basedOn w:val="3"/>
    <w:link w:val="139"/>
    <w:autoRedefine/>
    <w:qFormat/>
    <w:uiPriority w:val="0"/>
    <w:pPr>
      <w:keepNext/>
      <w:spacing w:line="360" w:lineRule="auto"/>
    </w:pPr>
    <w:rPr>
      <w:rFonts w:ascii="Times New Roman" w:hAnsi="Times New Roman"/>
      <w:kern w:val="0"/>
      <w:szCs w:val="30"/>
    </w:rPr>
  </w:style>
  <w:style w:type="character" w:customStyle="1" w:styleId="139">
    <w:name w:val="标题4 字符"/>
    <w:link w:val="138"/>
    <w:autoRedefine/>
    <w:qFormat/>
    <w:uiPriority w:val="0"/>
    <w:rPr>
      <w:rFonts w:ascii="Times New Roman" w:hAnsi="Times New Roman" w:eastAsia="黑体" w:cs="Times New Roman"/>
      <w:bCs/>
      <w:sz w:val="30"/>
      <w:szCs w:val="30"/>
    </w:rPr>
  </w:style>
  <w:style w:type="character" w:customStyle="1" w:styleId="140">
    <w:name w:val="图名图表 字符"/>
    <w:autoRedefine/>
    <w:qFormat/>
    <w:uiPriority w:val="0"/>
    <w:rPr>
      <w:rFonts w:ascii="仿宋" w:hAnsi="仿宋" w:eastAsia="仿宋"/>
      <w:b/>
      <w:kern w:val="2"/>
      <w:sz w:val="28"/>
      <w:szCs w:val="28"/>
    </w:rPr>
  </w:style>
  <w:style w:type="paragraph" w:customStyle="1" w:styleId="141">
    <w:name w:val="09表中文字"/>
    <w:basedOn w:val="142"/>
    <w:next w:val="142"/>
    <w:autoRedefine/>
    <w:qFormat/>
    <w:uiPriority w:val="0"/>
    <w:pPr>
      <w:spacing w:line="240" w:lineRule="auto"/>
      <w:ind w:firstLine="0" w:firstLineChars="0"/>
      <w:jc w:val="center"/>
      <w:textAlignment w:val="center"/>
    </w:pPr>
    <w:rPr>
      <w:sz w:val="21"/>
    </w:rPr>
  </w:style>
  <w:style w:type="paragraph" w:customStyle="1" w:styleId="142">
    <w:name w:val="06正文"/>
    <w:autoRedefine/>
    <w:qFormat/>
    <w:uiPriority w:val="0"/>
    <w:pPr>
      <w:spacing w:line="360" w:lineRule="auto"/>
      <w:ind w:firstLine="200" w:firstLineChars="200"/>
    </w:pPr>
    <w:rPr>
      <w:rFonts w:ascii="Times New Roman" w:hAnsi="Times New Roman" w:eastAsia="宋体" w:cs="Times New Roman"/>
      <w:kern w:val="2"/>
      <w:sz w:val="24"/>
      <w:szCs w:val="30"/>
      <w:lang w:val="en-US" w:eastAsia="zh-CN" w:bidi="ar-SA"/>
    </w:rPr>
  </w:style>
  <w:style w:type="paragraph" w:customStyle="1" w:styleId="143">
    <w:name w:val="表内字"/>
    <w:basedOn w:val="1"/>
    <w:link w:val="144"/>
    <w:autoRedefine/>
    <w:qFormat/>
    <w:uiPriority w:val="0"/>
    <w:pPr>
      <w:spacing w:line="240" w:lineRule="auto"/>
      <w:ind w:firstLine="0" w:firstLineChars="0"/>
      <w:contextualSpacing/>
      <w:jc w:val="center"/>
    </w:pPr>
    <w:rPr>
      <w:kern w:val="0"/>
      <w:sz w:val="20"/>
    </w:rPr>
  </w:style>
  <w:style w:type="character" w:customStyle="1" w:styleId="144">
    <w:name w:val="表内字 字符"/>
    <w:link w:val="143"/>
    <w:autoRedefine/>
    <w:qFormat/>
    <w:uiPriority w:val="0"/>
    <w:rPr>
      <w:rFonts w:ascii="Times New Roman" w:hAnsi="Times New Roman" w:eastAsia="仿宋" w:cs="Times New Roman"/>
      <w:szCs w:val="21"/>
    </w:rPr>
  </w:style>
  <w:style w:type="paragraph" w:customStyle="1" w:styleId="145">
    <w:name w:val="李奇 正文"/>
    <w:basedOn w:val="1"/>
    <w:autoRedefine/>
    <w:qFormat/>
    <w:uiPriority w:val="0"/>
    <w:pPr>
      <w:spacing w:line="360" w:lineRule="auto"/>
      <w:ind w:firstLine="480"/>
    </w:pPr>
    <w:rPr>
      <w:rFonts w:ascii="宋体" w:hAnsi="宋体" w:eastAsia="宋体" w:cs="宋体"/>
      <w:sz w:val="24"/>
      <w:szCs w:val="20"/>
    </w:rPr>
  </w:style>
  <w:style w:type="character" w:customStyle="1" w:styleId="146">
    <w:name w:val="font21"/>
    <w:autoRedefine/>
    <w:qFormat/>
    <w:uiPriority w:val="0"/>
    <w:rPr>
      <w:rFonts w:hint="eastAsia" w:ascii="仿宋" w:hAnsi="仿宋" w:eastAsia="仿宋" w:cs="仿宋"/>
      <w:color w:val="000000"/>
      <w:sz w:val="22"/>
      <w:szCs w:val="22"/>
      <w:u w:val="none"/>
    </w:rPr>
  </w:style>
  <w:style w:type="paragraph" w:customStyle="1" w:styleId="147">
    <w:name w:val="标题4."/>
    <w:basedOn w:val="138"/>
    <w:next w:val="1"/>
    <w:link w:val="148"/>
    <w:autoRedefine/>
    <w:qFormat/>
    <w:uiPriority w:val="0"/>
    <w:pPr>
      <w:spacing w:line="500" w:lineRule="exact"/>
      <w:ind w:firstLine="200" w:firstLineChars="200"/>
      <w:jc w:val="left"/>
      <w:outlineLvl w:val="3"/>
    </w:pPr>
    <w:rPr>
      <w:sz w:val="28"/>
    </w:rPr>
  </w:style>
  <w:style w:type="character" w:customStyle="1" w:styleId="148">
    <w:name w:val="标题4. 字符"/>
    <w:link w:val="147"/>
    <w:autoRedefine/>
    <w:qFormat/>
    <w:uiPriority w:val="0"/>
    <w:rPr>
      <w:rFonts w:ascii="Times New Roman" w:hAnsi="Times New Roman" w:eastAsia="黑体" w:cs="Times New Roman"/>
      <w:bCs/>
      <w:sz w:val="28"/>
      <w:szCs w:val="30"/>
    </w:rPr>
  </w:style>
  <w:style w:type="paragraph" w:customStyle="1" w:styleId="149">
    <w:name w:val="_Style 132"/>
    <w:basedOn w:val="1"/>
    <w:next w:val="86"/>
    <w:autoRedefine/>
    <w:qFormat/>
    <w:uiPriority w:val="99"/>
    <w:pPr>
      <w:ind w:firstLine="420"/>
    </w:pPr>
    <w:rPr>
      <w:rFonts w:ascii="Calibri" w:hAnsi="Calibri"/>
      <w:sz w:val="21"/>
      <w:szCs w:val="22"/>
    </w:rPr>
  </w:style>
  <w:style w:type="character" w:customStyle="1" w:styleId="150">
    <w:name w:val="font11"/>
    <w:basedOn w:val="47"/>
    <w:autoRedefine/>
    <w:qFormat/>
    <w:uiPriority w:val="0"/>
    <w:rPr>
      <w:rFonts w:hint="eastAsia" w:ascii="仿宋" w:hAnsi="仿宋" w:eastAsia="仿宋" w:cs="仿宋"/>
      <w:color w:val="000000"/>
      <w:sz w:val="21"/>
      <w:szCs w:val="21"/>
      <w:u w:val="none"/>
    </w:rPr>
  </w:style>
  <w:style w:type="paragraph" w:customStyle="1" w:styleId="151">
    <w:name w:val="Default"/>
    <w:autoRedefine/>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customStyle="1" w:styleId="152">
    <w:name w:val="_Style 0"/>
    <w:autoRedefine/>
    <w:qFormat/>
    <w:uiPriority w:val="0"/>
    <w:pPr>
      <w:widowControl w:val="0"/>
      <w:jc w:val="both"/>
    </w:pPr>
    <w:rPr>
      <w:rFonts w:ascii="宋体" w:hAnsi="Calibri" w:eastAsia="仿宋_GB2312" w:cs="Times New Roman"/>
      <w:kern w:val="2"/>
      <w:sz w:val="21"/>
      <w:szCs w:val="28"/>
      <w:lang w:val="en-US" w:eastAsia="zh-CN" w:bidi="ar-SA"/>
    </w:rPr>
  </w:style>
  <w:style w:type="character" w:customStyle="1" w:styleId="153">
    <w:name w:val="Font Style248"/>
    <w:autoRedefine/>
    <w:qFormat/>
    <w:uiPriority w:val="0"/>
    <w:rPr>
      <w:rFonts w:ascii="宋体" w:eastAsia="宋体" w:cs="宋体"/>
      <w:sz w:val="22"/>
      <w:szCs w:val="22"/>
    </w:rPr>
  </w:style>
  <w:style w:type="paragraph" w:customStyle="1" w:styleId="154">
    <w:name w:val="_Style 13"/>
    <w:autoRedefine/>
    <w:qFormat/>
    <w:uiPriority w:val="0"/>
    <w:pPr>
      <w:widowControl w:val="0"/>
      <w:jc w:val="both"/>
    </w:pPr>
    <w:rPr>
      <w:rFonts w:ascii="宋体" w:hAnsi="Calibri" w:eastAsia="仿宋_GB2312" w:cs="Times New Roman"/>
      <w:kern w:val="2"/>
      <w:sz w:val="21"/>
      <w:szCs w:val="28"/>
      <w:lang w:val="en-US" w:eastAsia="zh-CN" w:bidi="ar-SA"/>
    </w:rPr>
  </w:style>
  <w:style w:type="character" w:customStyle="1" w:styleId="155">
    <w:name w:val="表内文字 字符"/>
    <w:basedOn w:val="47"/>
    <w:autoRedefine/>
    <w:qFormat/>
    <w:uiPriority w:val="0"/>
    <w:rPr>
      <w:rFonts w:cs="Times New Roman"/>
      <w:kern w:val="2"/>
      <w:sz w:val="21"/>
      <w:szCs w:val="24"/>
    </w:rPr>
  </w:style>
  <w:style w:type="paragraph" w:customStyle="1" w:styleId="156">
    <w:name w:val="表格"/>
    <w:basedOn w:val="1"/>
    <w:autoRedefine/>
    <w:qFormat/>
    <w:uiPriority w:val="0"/>
    <w:pPr>
      <w:spacing w:line="360" w:lineRule="auto"/>
      <w:ind w:firstLine="0" w:firstLineChars="0"/>
      <w:jc w:val="center"/>
    </w:pPr>
    <w:rPr>
      <w:rFonts w:eastAsia="宋体"/>
      <w:sz w:val="21"/>
      <w:szCs w:val="20"/>
    </w:rPr>
  </w:style>
  <w:style w:type="character" w:customStyle="1" w:styleId="157">
    <w:name w:val="副标题 Char1"/>
    <w:autoRedefine/>
    <w:qFormat/>
    <w:uiPriority w:val="11"/>
    <w:rPr>
      <w:rFonts w:ascii="Cambria" w:hAnsi="Cambria" w:eastAsia="黑体" w:cs="Times New Roman"/>
      <w:b/>
      <w:bCs/>
      <w:kern w:val="28"/>
      <w:sz w:val="24"/>
      <w:szCs w:val="32"/>
    </w:rPr>
  </w:style>
  <w:style w:type="paragraph" w:customStyle="1" w:styleId="158">
    <w:name w:val="表名"/>
    <w:basedOn w:val="1"/>
    <w:autoRedefine/>
    <w:qFormat/>
    <w:uiPriority w:val="0"/>
    <w:pPr>
      <w:numPr>
        <w:ilvl w:val="0"/>
        <w:numId w:val="2"/>
      </w:numPr>
      <w:spacing w:beforeLines="50" w:line="360" w:lineRule="auto"/>
      <w:ind w:firstLine="0" w:firstLineChars="0"/>
      <w:jc w:val="center"/>
    </w:pPr>
    <w:rPr>
      <w:rFonts w:ascii="黑体" w:hAnsi="宋体" w:eastAsia="Times New Roman" w:cs="Dutch801 Rm BT"/>
      <w:kern w:val="10"/>
      <w:sz w:val="24"/>
    </w:rPr>
  </w:style>
  <w:style w:type="paragraph" w:customStyle="1" w:styleId="159">
    <w:name w:val="三级标题-NEW"/>
    <w:basedOn w:val="160"/>
    <w:autoRedefine/>
    <w:qFormat/>
    <w:uiPriority w:val="0"/>
    <w:pPr>
      <w:numPr>
        <w:ilvl w:val="2"/>
        <w:numId w:val="3"/>
      </w:numPr>
      <w:outlineLvl w:val="2"/>
    </w:pPr>
    <w:rPr>
      <w:sz w:val="24"/>
    </w:rPr>
  </w:style>
  <w:style w:type="paragraph" w:customStyle="1" w:styleId="160">
    <w:name w:val="一级标题-NEW"/>
    <w:basedOn w:val="161"/>
    <w:autoRedefine/>
    <w:qFormat/>
    <w:uiPriority w:val="99"/>
    <w:pPr>
      <w:jc w:val="left"/>
    </w:pPr>
    <w:rPr>
      <w:rFonts w:ascii="Times New Roman" w:hAnsi="Times New Roman" w:eastAsia="等线"/>
      <w:color w:val="auto"/>
      <w:kern w:val="2"/>
      <w:sz w:val="30"/>
    </w:rPr>
  </w:style>
  <w:style w:type="paragraph" w:customStyle="1" w:styleId="161">
    <w:name w:val="标题 1-1"/>
    <w:basedOn w:val="2"/>
    <w:autoRedefine/>
    <w:qFormat/>
    <w:uiPriority w:val="0"/>
    <w:pPr>
      <w:widowControl/>
      <w:snapToGrid w:val="0"/>
    </w:pPr>
    <w:rPr>
      <w:rFonts w:cs="Times New Roman"/>
      <w:color w:val="FF0000"/>
      <w:sz w:val="28"/>
      <w:szCs w:val="22"/>
    </w:rPr>
  </w:style>
  <w:style w:type="paragraph" w:customStyle="1" w:styleId="162">
    <w:name w:val="图表名字"/>
    <w:autoRedefine/>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163">
    <w:name w:val="余杭表内"/>
    <w:autoRedefine/>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164">
    <w:name w:val="余杭正文"/>
    <w:autoRedefine/>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165">
    <w:name w:val="列出段落3"/>
    <w:basedOn w:val="1"/>
    <w:autoRedefine/>
    <w:qFormat/>
    <w:uiPriority w:val="34"/>
    <w:pPr>
      <w:spacing w:line="240" w:lineRule="auto"/>
      <w:ind w:firstLine="420"/>
    </w:pPr>
    <w:rPr>
      <w:rFonts w:eastAsia="宋体"/>
      <w:sz w:val="21"/>
    </w:rPr>
  </w:style>
  <w:style w:type="paragraph" w:customStyle="1" w:styleId="166">
    <w:name w:val="图名"/>
    <w:basedOn w:val="1"/>
    <w:next w:val="1"/>
    <w:autoRedefine/>
    <w:qFormat/>
    <w:uiPriority w:val="0"/>
    <w:pPr>
      <w:ind w:firstLine="0" w:firstLineChars="0"/>
      <w:jc w:val="center"/>
      <w:outlineLvl w:val="4"/>
    </w:pPr>
    <w:rPr>
      <w:b/>
    </w:rPr>
  </w:style>
  <w:style w:type="paragraph" w:customStyle="1" w:styleId="167">
    <w:name w:val="图表内容"/>
    <w:autoRedefine/>
    <w:qFormat/>
    <w:uiPriority w:val="0"/>
    <w:pPr>
      <w:adjustRightInd w:val="0"/>
      <w:jc w:val="center"/>
      <w:textAlignment w:val="center"/>
    </w:pPr>
    <w:rPr>
      <w:rFonts w:ascii="Times New Roman" w:hAnsi="Times New Roman" w:eastAsia="宋体" w:cs="Times New Roman"/>
      <w:sz w:val="21"/>
      <w:lang w:val="en-US" w:eastAsia="zh-CN" w:bidi="ar-SA"/>
    </w:rPr>
  </w:style>
  <w:style w:type="paragraph" w:customStyle="1" w:styleId="168">
    <w:name w:val="4、正文"/>
    <w:basedOn w:val="1"/>
    <w:autoRedefine/>
    <w:qFormat/>
    <w:uiPriority w:val="0"/>
    <w:pPr>
      <w:adjustRightInd w:val="0"/>
      <w:snapToGrid w:val="0"/>
      <w:spacing w:line="360" w:lineRule="auto"/>
      <w:ind w:firstLine="480"/>
      <w:jc w:val="left"/>
    </w:pPr>
    <w:rPr>
      <w:rFonts w:ascii="宋体" w:hAnsi="宋体" w:eastAsia="宋体"/>
      <w:color w:val="000000"/>
      <w:kern w:val="0"/>
      <w:sz w:val="24"/>
      <w:szCs w:val="24"/>
      <w:lang w:val="zh-CN"/>
    </w:rPr>
  </w:style>
  <w:style w:type="character" w:customStyle="1" w:styleId="169">
    <w:name w:val="正文格式 Char"/>
    <w:link w:val="170"/>
    <w:autoRedefine/>
    <w:qFormat/>
    <w:uiPriority w:val="0"/>
    <w:rPr>
      <w:rFonts w:ascii="宋体" w:eastAsia="宋体"/>
      <w:sz w:val="24"/>
      <w:szCs w:val="24"/>
    </w:rPr>
  </w:style>
  <w:style w:type="paragraph" w:customStyle="1" w:styleId="170">
    <w:name w:val="正文格式"/>
    <w:basedOn w:val="1"/>
    <w:link w:val="169"/>
    <w:autoRedefine/>
    <w:qFormat/>
    <w:uiPriority w:val="0"/>
    <w:pPr>
      <w:spacing w:line="360" w:lineRule="auto"/>
      <w:ind w:firstLine="480"/>
      <w:jc w:val="left"/>
    </w:pPr>
    <w:rPr>
      <w:rFonts w:ascii="宋体" w:eastAsia="宋体"/>
      <w:kern w:val="0"/>
      <w:sz w:val="24"/>
      <w:szCs w:val="24"/>
    </w:rPr>
  </w:style>
  <w:style w:type="paragraph" w:customStyle="1" w:styleId="171">
    <w:name w:val="图表名"/>
    <w:basedOn w:val="1"/>
    <w:autoRedefine/>
    <w:qFormat/>
    <w:uiPriority w:val="99"/>
    <w:pPr>
      <w:jc w:val="center"/>
    </w:pPr>
    <w:rPr>
      <w:rFonts w:eastAsia="黑体"/>
      <w:kern w:val="0"/>
      <w:sz w:val="21"/>
      <w:szCs w:val="20"/>
    </w:rPr>
  </w:style>
  <w:style w:type="paragraph" w:customStyle="1" w:styleId="172">
    <w:name w:val="样式 正文1 + 首行缩进:  2 字符"/>
    <w:basedOn w:val="1"/>
    <w:autoRedefine/>
    <w:qFormat/>
    <w:uiPriority w:val="0"/>
    <w:pPr>
      <w:wordWrap w:val="0"/>
      <w:ind w:firstLine="480"/>
    </w:pPr>
    <w:rPr>
      <w:rFonts w:ascii="宋体" w:hAnsi="宋体" w:cs="宋体"/>
      <w:color w:val="000000"/>
      <w:szCs w:val="20"/>
    </w:rPr>
  </w:style>
  <w:style w:type="paragraph" w:customStyle="1" w:styleId="173">
    <w:name w:val="图片"/>
    <w:basedOn w:val="1"/>
    <w:autoRedefine/>
    <w:qFormat/>
    <w:uiPriority w:val="0"/>
    <w:pPr>
      <w:spacing w:before="120" w:after="120"/>
      <w:ind w:firstLine="0" w:firstLineChars="0"/>
      <w:jc w:val="center"/>
    </w:pPr>
    <w:rPr>
      <w:rFonts w:ascii="宋体" w:hAnsi="宋体"/>
      <w:sz w:val="21"/>
      <w:szCs w:val="28"/>
    </w:rPr>
  </w:style>
  <w:style w:type="paragraph" w:customStyle="1" w:styleId="174">
    <w:name w:val="修订1"/>
    <w:autoRedefine/>
    <w:semiHidden/>
    <w:qFormat/>
    <w:uiPriority w:val="99"/>
    <w:rPr>
      <w:rFonts w:ascii="Times New Roman" w:hAnsi="Times New Roman" w:eastAsia="仿宋" w:cs="Times New Roman"/>
      <w:kern w:val="2"/>
      <w:sz w:val="28"/>
      <w:szCs w:val="21"/>
      <w:lang w:val="en-US" w:eastAsia="zh-CN" w:bidi="ar-SA"/>
    </w:rPr>
  </w:style>
  <w:style w:type="paragraph" w:customStyle="1" w:styleId="175">
    <w:name w:val="样式 居中"/>
    <w:basedOn w:val="1"/>
    <w:autoRedefine/>
    <w:qFormat/>
    <w:uiPriority w:val="0"/>
    <w:pPr>
      <w:widowControl/>
      <w:ind w:firstLine="200"/>
      <w:jc w:val="center"/>
    </w:pPr>
    <w:rPr>
      <w:rFonts w:ascii="宋体" w:cs="宋体"/>
      <w:b/>
      <w:kern w:val="0"/>
      <w:sz w:val="44"/>
      <w:szCs w:val="20"/>
    </w:rPr>
  </w:style>
  <w:style w:type="character" w:customStyle="1" w:styleId="176">
    <w:name w:val="标题 1 字符1"/>
    <w:basedOn w:val="47"/>
    <w:link w:val="2"/>
    <w:autoRedefine/>
    <w:qFormat/>
    <w:uiPriority w:val="0"/>
    <w:rPr>
      <w:rFonts w:ascii="Times New Roman" w:hAnsi="Times New Roman" w:eastAsia="宋体"/>
      <w:b/>
      <w:kern w:val="2"/>
      <w:sz w:val="28"/>
      <w:szCs w:val="24"/>
    </w:rPr>
  </w:style>
  <w:style w:type="paragraph" w:customStyle="1" w:styleId="177">
    <w:name w:val="正缩"/>
    <w:basedOn w:val="1"/>
    <w:autoRedefine/>
    <w:qFormat/>
    <w:uiPriority w:val="0"/>
    <w:pPr>
      <w:adjustRightInd w:val="0"/>
      <w:spacing w:line="400" w:lineRule="exact"/>
      <w:textAlignment w:val="center"/>
    </w:pPr>
    <w:rPr>
      <w:szCs w:val="24"/>
    </w:rPr>
  </w:style>
  <w:style w:type="paragraph" w:customStyle="1" w:styleId="178">
    <w:name w:val="正文2"/>
    <w:basedOn w:val="1"/>
    <w:autoRedefine/>
    <w:qFormat/>
    <w:uiPriority w:val="0"/>
    <w:pPr>
      <w:spacing w:line="240" w:lineRule="auto"/>
    </w:pPr>
  </w:style>
  <w:style w:type="paragraph" w:customStyle="1" w:styleId="179">
    <w:name w:val="图格式"/>
    <w:basedOn w:val="1"/>
    <w:qFormat/>
    <w:uiPriority w:val="0"/>
    <w:pPr>
      <w:keepNext/>
      <w:spacing w:line="240" w:lineRule="auto"/>
      <w:ind w:firstLine="0" w:firstLineChars="0"/>
      <w:jc w:val="center"/>
    </w:pPr>
  </w:style>
  <w:style w:type="paragraph" w:customStyle="1" w:styleId="180">
    <w:name w:val="报告正文"/>
    <w:basedOn w:val="1"/>
    <w:qFormat/>
    <w:uiPriority w:val="0"/>
    <w:rPr>
      <w:rFonts w:eastAsia="仿宋_GB2312"/>
    </w:rPr>
  </w:style>
  <w:style w:type="table" w:customStyle="1" w:styleId="181">
    <w:name w:val="合武g"/>
    <w:basedOn w:val="182"/>
    <w:qFormat/>
    <w:uiPriority w:val="99"/>
    <w:pPr>
      <w:widowControl w:val="0"/>
    </w:pPr>
    <w:tblPr>
      <w:tblCellMar>
        <w:left w:w="0" w:type="dxa"/>
        <w:right w:w="0" w:type="dxa"/>
      </w:tblCellMar>
    </w:tblPr>
    <w:tcPr>
      <w:shd w:val="clear" w:color="auto" w:fill="D9E2F3"/>
    </w:tcPr>
    <w:tblStylePr w:type="firstRow">
      <w:pPr>
        <w:jc w:val="center"/>
      </w:pPr>
      <w:rPr>
        <w:rFonts w:ascii="宋体" w:hAnsi="宋体" w:eastAsia="宋体"/>
        <w:b/>
        <w:bCs/>
        <w:i w:val="0"/>
        <w:color w:val="F8F8F8"/>
        <w:sz w:val="21"/>
      </w:rPr>
      <w:tblPr/>
      <w:trPr>
        <w:tblHeader/>
      </w:t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cBorders>
        <w:shd w:val="clear" w:color="auto" w:fill="4472C4"/>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472C4"/>
      </w:tcPr>
    </w:tblStylePr>
    <w:tblStylePr w:type="band1Vert">
      <w:tcPr>
        <w:shd w:val="clear" w:color="auto" w:fill="B4C6E7"/>
      </w:tcPr>
    </w:tblStylePr>
    <w:tblStylePr w:type="band1Horz">
      <w:tcPr>
        <w:shd w:val="clear" w:color="auto" w:fill="B4C6E7"/>
      </w:tcPr>
    </w:tblStylePr>
  </w:style>
  <w:style w:type="table" w:customStyle="1" w:styleId="182">
    <w:name w:val="成南达万"/>
    <w:basedOn w:val="40"/>
    <w:qFormat/>
    <w:uiPriority w:val="50"/>
    <w:pPr>
      <w:adjustRightInd w:val="0"/>
      <w:snapToGrid w:val="0"/>
      <w:jc w:val="center"/>
    </w:pPr>
    <w:rPr>
      <w:rFonts w:ascii="宋体" w:hAnsi="宋体" w:cs="宋体"/>
      <w:snapToGrid w:val="0"/>
      <w:sz w:val="21"/>
      <w:szCs w:val="22"/>
    </w:rPr>
    <w:tblPr>
      <w:jc w:val="center"/>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Pr>
    <w:trPr>
      <w:jc w:val="center"/>
    </w:trPr>
    <w:tcPr>
      <w:shd w:val="clear" w:color="auto" w:fill="D9E2F3"/>
      <w:vAlign w:val="center"/>
    </w:tcPr>
    <w:tblStylePr w:type="firstRow">
      <w:pPr>
        <w:jc w:val="center"/>
      </w:pPr>
      <w:rPr>
        <w:rFonts w:ascii="宋体" w:hAnsi="宋体" w:eastAsia="宋体"/>
        <w:b/>
        <w:bCs/>
        <w:i w:val="0"/>
        <w:color w:val="F8F8F8"/>
        <w:sz w:val="21"/>
      </w:rPr>
      <w:tblPr/>
      <w:trPr>
        <w:tblHeader/>
      </w:t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cBorders>
        <w:shd w:val="clear" w:color="auto" w:fill="4472C4"/>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472C4"/>
      </w:tcPr>
    </w:tblStylePr>
    <w:tblStylePr w:type="band1Vert">
      <w:tcPr>
        <w:shd w:val="clear" w:color="auto" w:fill="B4C6E7"/>
      </w:tcPr>
    </w:tblStylePr>
    <w:tblStylePr w:type="band1Horz">
      <w:tcPr>
        <w:shd w:val="clear" w:color="auto" w:fill="B4C6E7"/>
      </w:tcPr>
    </w:tblStylePr>
  </w:style>
  <w:style w:type="character" w:customStyle="1" w:styleId="183">
    <w:name w:val="正文文本缩进 字符1"/>
    <w:qFormat/>
    <w:uiPriority w:val="99"/>
    <w:rPr>
      <w:rFonts w:ascii="Times New Roman" w:hAnsi="Times New Roman" w:eastAsia="宋体" w:cs="Times New Roman"/>
      <w:kern w:val="0"/>
      <w:sz w:val="24"/>
      <w:szCs w:val="24"/>
      <w14:ligatures w14:val="none"/>
    </w:rPr>
  </w:style>
  <w:style w:type="paragraph" w:customStyle="1" w:styleId="184">
    <w:name w:val="插图"/>
    <w:qFormat/>
    <w:uiPriority w:val="0"/>
    <w:pPr>
      <w:spacing w:line="360" w:lineRule="auto"/>
      <w:jc w:val="center"/>
    </w:pPr>
    <w:rPr>
      <w:rFonts w:ascii="Times New Roman" w:hAnsi="Times New Roman" w:eastAsia="宋体" w:cs="Times New Roman"/>
    </w:rPr>
  </w:style>
  <w:style w:type="paragraph" w:customStyle="1" w:styleId="185">
    <w:name w:val="Table Text"/>
    <w:basedOn w:val="1"/>
    <w:semiHidden/>
    <w:qFormat/>
    <w:uiPriority w:val="0"/>
    <w:rPr>
      <w:rFonts w:ascii="宋体" w:hAnsi="宋体" w:eastAsia="宋体" w:cs="宋体"/>
      <w:sz w:val="11"/>
      <w:szCs w:val="11"/>
      <w:lang w:val="en-US" w:eastAsia="en-US" w:bidi="ar-SA"/>
    </w:rPr>
  </w:style>
  <w:style w:type="table" w:customStyle="1" w:styleId="18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15.bin"/><Relationship Id="rId98" Type="http://schemas.openxmlformats.org/officeDocument/2006/relationships/image" Target="media/image75.wmf"/><Relationship Id="rId97" Type="http://schemas.openxmlformats.org/officeDocument/2006/relationships/oleObject" Target="embeddings/oleObject14.bin"/><Relationship Id="rId96" Type="http://schemas.openxmlformats.org/officeDocument/2006/relationships/image" Target="media/image74.wmf"/><Relationship Id="rId95" Type="http://schemas.openxmlformats.org/officeDocument/2006/relationships/oleObject" Target="embeddings/oleObject13.bin"/><Relationship Id="rId94" Type="http://schemas.openxmlformats.org/officeDocument/2006/relationships/image" Target="media/image73.wmf"/><Relationship Id="rId93" Type="http://schemas.openxmlformats.org/officeDocument/2006/relationships/oleObject" Target="embeddings/oleObject12.bin"/><Relationship Id="rId92" Type="http://schemas.openxmlformats.org/officeDocument/2006/relationships/image" Target="media/image72.wmf"/><Relationship Id="rId91" Type="http://schemas.openxmlformats.org/officeDocument/2006/relationships/oleObject" Target="embeddings/oleObject11.bin"/><Relationship Id="rId90" Type="http://schemas.openxmlformats.org/officeDocument/2006/relationships/image" Target="media/image71.wmf"/><Relationship Id="rId9" Type="http://schemas.openxmlformats.org/officeDocument/2006/relationships/theme" Target="theme/theme1.xml"/><Relationship Id="rId89" Type="http://schemas.openxmlformats.org/officeDocument/2006/relationships/oleObject" Target="embeddings/oleObject10.bin"/><Relationship Id="rId88" Type="http://schemas.openxmlformats.org/officeDocument/2006/relationships/image" Target="media/image70.wmf"/><Relationship Id="rId87" Type="http://schemas.openxmlformats.org/officeDocument/2006/relationships/oleObject" Target="embeddings/oleObject9.bin"/><Relationship Id="rId86" Type="http://schemas.openxmlformats.org/officeDocument/2006/relationships/image" Target="media/image69.wmf"/><Relationship Id="rId85" Type="http://schemas.openxmlformats.org/officeDocument/2006/relationships/oleObject" Target="embeddings/oleObject8.bin"/><Relationship Id="rId84" Type="http://schemas.openxmlformats.org/officeDocument/2006/relationships/image" Target="media/image68.jpeg"/><Relationship Id="rId83" Type="http://schemas.openxmlformats.org/officeDocument/2006/relationships/image" Target="media/image67.wmf"/><Relationship Id="rId82" Type="http://schemas.openxmlformats.org/officeDocument/2006/relationships/oleObject" Target="embeddings/oleObject7.bin"/><Relationship Id="rId81" Type="http://schemas.openxmlformats.org/officeDocument/2006/relationships/image" Target="media/image66.wmf"/><Relationship Id="rId80" Type="http://schemas.openxmlformats.org/officeDocument/2006/relationships/oleObject" Target="embeddings/oleObject6.bin"/><Relationship Id="rId8" Type="http://schemas.openxmlformats.org/officeDocument/2006/relationships/footer" Target="footer3.xml"/><Relationship Id="rId79" Type="http://schemas.openxmlformats.org/officeDocument/2006/relationships/image" Target="media/image65.wmf"/><Relationship Id="rId78" Type="http://schemas.openxmlformats.org/officeDocument/2006/relationships/oleObject" Target="embeddings/oleObject5.bin"/><Relationship Id="rId77" Type="http://schemas.openxmlformats.org/officeDocument/2006/relationships/image" Target="media/image64.wmf"/><Relationship Id="rId76" Type="http://schemas.openxmlformats.org/officeDocument/2006/relationships/oleObject" Target="embeddings/oleObject4.bin"/><Relationship Id="rId75" Type="http://schemas.openxmlformats.org/officeDocument/2006/relationships/image" Target="media/image63.wmf"/><Relationship Id="rId74" Type="http://schemas.openxmlformats.org/officeDocument/2006/relationships/oleObject" Target="embeddings/oleObject3.bin"/><Relationship Id="rId73" Type="http://schemas.openxmlformats.org/officeDocument/2006/relationships/image" Target="media/image62.wmf"/><Relationship Id="rId72" Type="http://schemas.openxmlformats.org/officeDocument/2006/relationships/oleObject" Target="embeddings/oleObject2.bin"/><Relationship Id="rId71" Type="http://schemas.openxmlformats.org/officeDocument/2006/relationships/image" Target="media/image61.wmf"/><Relationship Id="rId70" Type="http://schemas.openxmlformats.org/officeDocument/2006/relationships/oleObject" Target="embeddings/oleObject1.bin"/><Relationship Id="rId7" Type="http://schemas.openxmlformats.org/officeDocument/2006/relationships/footer" Target="footer2.xml"/><Relationship Id="rId69" Type="http://schemas.openxmlformats.org/officeDocument/2006/relationships/image" Target="media/image60.jpeg"/><Relationship Id="rId68" Type="http://schemas.openxmlformats.org/officeDocument/2006/relationships/image" Target="media/image59.jpe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emf"/><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3" Type="http://schemas.openxmlformats.org/officeDocument/2006/relationships/fontTable" Target="fontTable.xml"/><Relationship Id="rId162" Type="http://schemas.openxmlformats.org/officeDocument/2006/relationships/numbering" Target="numbering.xml"/><Relationship Id="rId161" Type="http://schemas.openxmlformats.org/officeDocument/2006/relationships/customXml" Target="../customXml/item1.xml"/><Relationship Id="rId160" Type="http://schemas.openxmlformats.org/officeDocument/2006/relationships/image" Target="media/image108.wmf"/><Relationship Id="rId16" Type="http://schemas.openxmlformats.org/officeDocument/2006/relationships/image" Target="media/image7.png"/><Relationship Id="rId159" Type="http://schemas.openxmlformats.org/officeDocument/2006/relationships/oleObject" Target="embeddings/oleObject43.bin"/><Relationship Id="rId158" Type="http://schemas.openxmlformats.org/officeDocument/2006/relationships/image" Target="media/image107.wmf"/><Relationship Id="rId157" Type="http://schemas.openxmlformats.org/officeDocument/2006/relationships/oleObject" Target="embeddings/oleObject42.bin"/><Relationship Id="rId156" Type="http://schemas.openxmlformats.org/officeDocument/2006/relationships/image" Target="media/image106.wmf"/><Relationship Id="rId155" Type="http://schemas.openxmlformats.org/officeDocument/2006/relationships/oleObject" Target="embeddings/oleObject41.bin"/><Relationship Id="rId154" Type="http://schemas.openxmlformats.org/officeDocument/2006/relationships/image" Target="media/image105.wmf"/><Relationship Id="rId153" Type="http://schemas.openxmlformats.org/officeDocument/2006/relationships/oleObject" Target="embeddings/oleObject40.bin"/><Relationship Id="rId152" Type="http://schemas.openxmlformats.org/officeDocument/2006/relationships/image" Target="media/image104.wmf"/><Relationship Id="rId151" Type="http://schemas.openxmlformats.org/officeDocument/2006/relationships/oleObject" Target="embeddings/oleObject39.bin"/><Relationship Id="rId150" Type="http://schemas.openxmlformats.org/officeDocument/2006/relationships/image" Target="media/image103.wmf"/><Relationship Id="rId15" Type="http://schemas.openxmlformats.org/officeDocument/2006/relationships/image" Target="media/image6.png"/><Relationship Id="rId149" Type="http://schemas.openxmlformats.org/officeDocument/2006/relationships/oleObject" Target="embeddings/oleObject38.bin"/><Relationship Id="rId148" Type="http://schemas.openxmlformats.org/officeDocument/2006/relationships/image" Target="media/image102.wmf"/><Relationship Id="rId147" Type="http://schemas.openxmlformats.org/officeDocument/2006/relationships/oleObject" Target="embeddings/oleObject37.bin"/><Relationship Id="rId146" Type="http://schemas.openxmlformats.org/officeDocument/2006/relationships/image" Target="media/image101.png"/><Relationship Id="rId145" Type="http://schemas.openxmlformats.org/officeDocument/2006/relationships/image" Target="media/image100.wmf"/><Relationship Id="rId144" Type="http://schemas.openxmlformats.org/officeDocument/2006/relationships/oleObject" Target="embeddings/oleObject36.bin"/><Relationship Id="rId143" Type="http://schemas.openxmlformats.org/officeDocument/2006/relationships/image" Target="media/image99.wmf"/><Relationship Id="rId142" Type="http://schemas.openxmlformats.org/officeDocument/2006/relationships/oleObject" Target="embeddings/oleObject35.bin"/><Relationship Id="rId141" Type="http://schemas.openxmlformats.org/officeDocument/2006/relationships/image" Target="media/image98.wmf"/><Relationship Id="rId140" Type="http://schemas.openxmlformats.org/officeDocument/2006/relationships/oleObject" Target="embeddings/oleObject34.bin"/><Relationship Id="rId14" Type="http://schemas.openxmlformats.org/officeDocument/2006/relationships/image" Target="media/image5.png"/><Relationship Id="rId139" Type="http://schemas.openxmlformats.org/officeDocument/2006/relationships/image" Target="media/image97.wmf"/><Relationship Id="rId138" Type="http://schemas.openxmlformats.org/officeDocument/2006/relationships/oleObject" Target="embeddings/oleObject33.bin"/><Relationship Id="rId137" Type="http://schemas.openxmlformats.org/officeDocument/2006/relationships/image" Target="media/image96.wmf"/><Relationship Id="rId136" Type="http://schemas.openxmlformats.org/officeDocument/2006/relationships/oleObject" Target="embeddings/oleObject32.bin"/><Relationship Id="rId135" Type="http://schemas.openxmlformats.org/officeDocument/2006/relationships/image" Target="media/image95.png"/><Relationship Id="rId134" Type="http://schemas.openxmlformats.org/officeDocument/2006/relationships/image" Target="media/image94.png"/><Relationship Id="rId133" Type="http://schemas.openxmlformats.org/officeDocument/2006/relationships/image" Target="media/image93.wmf"/><Relationship Id="rId132" Type="http://schemas.openxmlformats.org/officeDocument/2006/relationships/oleObject" Target="embeddings/oleObject31.bin"/><Relationship Id="rId131" Type="http://schemas.openxmlformats.org/officeDocument/2006/relationships/image" Target="media/image92.wmf"/><Relationship Id="rId130" Type="http://schemas.openxmlformats.org/officeDocument/2006/relationships/oleObject" Target="embeddings/oleObject30.bin"/><Relationship Id="rId13" Type="http://schemas.openxmlformats.org/officeDocument/2006/relationships/image" Target="media/image4.png"/><Relationship Id="rId129" Type="http://schemas.openxmlformats.org/officeDocument/2006/relationships/image" Target="media/image91.wmf"/><Relationship Id="rId128" Type="http://schemas.openxmlformats.org/officeDocument/2006/relationships/oleObject" Target="embeddings/oleObject29.bin"/><Relationship Id="rId127" Type="http://schemas.openxmlformats.org/officeDocument/2006/relationships/image" Target="media/image90.wmf"/><Relationship Id="rId126" Type="http://schemas.openxmlformats.org/officeDocument/2006/relationships/oleObject" Target="embeddings/oleObject28.bin"/><Relationship Id="rId125" Type="http://schemas.openxmlformats.org/officeDocument/2006/relationships/image" Target="media/image89.wmf"/><Relationship Id="rId124" Type="http://schemas.openxmlformats.org/officeDocument/2006/relationships/oleObject" Target="embeddings/oleObject27.bin"/><Relationship Id="rId123" Type="http://schemas.openxmlformats.org/officeDocument/2006/relationships/image" Target="media/image88.wmf"/><Relationship Id="rId122" Type="http://schemas.openxmlformats.org/officeDocument/2006/relationships/oleObject" Target="embeddings/oleObject26.bin"/><Relationship Id="rId121" Type="http://schemas.openxmlformats.org/officeDocument/2006/relationships/image" Target="media/image87.wmf"/><Relationship Id="rId120" Type="http://schemas.openxmlformats.org/officeDocument/2006/relationships/oleObject" Target="embeddings/oleObject25.bin"/><Relationship Id="rId12" Type="http://schemas.openxmlformats.org/officeDocument/2006/relationships/image" Target="media/image3.png"/><Relationship Id="rId119" Type="http://schemas.openxmlformats.org/officeDocument/2006/relationships/image" Target="media/image86.png"/><Relationship Id="rId118" Type="http://schemas.openxmlformats.org/officeDocument/2006/relationships/image" Target="media/image85.wmf"/><Relationship Id="rId117" Type="http://schemas.openxmlformats.org/officeDocument/2006/relationships/oleObject" Target="embeddings/oleObject24.bin"/><Relationship Id="rId116" Type="http://schemas.openxmlformats.org/officeDocument/2006/relationships/image" Target="media/image84.wmf"/><Relationship Id="rId115" Type="http://schemas.openxmlformats.org/officeDocument/2006/relationships/oleObject" Target="embeddings/oleObject23.bin"/><Relationship Id="rId114" Type="http://schemas.openxmlformats.org/officeDocument/2006/relationships/image" Target="media/image83.wmf"/><Relationship Id="rId113" Type="http://schemas.openxmlformats.org/officeDocument/2006/relationships/oleObject" Target="embeddings/oleObject22.bin"/><Relationship Id="rId112" Type="http://schemas.openxmlformats.org/officeDocument/2006/relationships/image" Target="media/image82.wmf"/><Relationship Id="rId111" Type="http://schemas.openxmlformats.org/officeDocument/2006/relationships/oleObject" Target="embeddings/oleObject21.bin"/><Relationship Id="rId110" Type="http://schemas.openxmlformats.org/officeDocument/2006/relationships/image" Target="media/image81.wmf"/><Relationship Id="rId11" Type="http://schemas.openxmlformats.org/officeDocument/2006/relationships/image" Target="media/image2.png"/><Relationship Id="rId109" Type="http://schemas.openxmlformats.org/officeDocument/2006/relationships/oleObject" Target="embeddings/oleObject20.bin"/><Relationship Id="rId108" Type="http://schemas.openxmlformats.org/officeDocument/2006/relationships/image" Target="media/image80.wmf"/><Relationship Id="rId107" Type="http://schemas.openxmlformats.org/officeDocument/2006/relationships/oleObject" Target="embeddings/oleObject19.bin"/><Relationship Id="rId106" Type="http://schemas.openxmlformats.org/officeDocument/2006/relationships/image" Target="media/image79.wmf"/><Relationship Id="rId105" Type="http://schemas.openxmlformats.org/officeDocument/2006/relationships/oleObject" Target="embeddings/oleObject18.bin"/><Relationship Id="rId104" Type="http://schemas.openxmlformats.org/officeDocument/2006/relationships/image" Target="media/image78.wmf"/><Relationship Id="rId103" Type="http://schemas.openxmlformats.org/officeDocument/2006/relationships/oleObject" Target="embeddings/oleObject17.bin"/><Relationship Id="rId102" Type="http://schemas.openxmlformats.org/officeDocument/2006/relationships/image" Target="media/image77.wmf"/><Relationship Id="rId101" Type="http://schemas.openxmlformats.org/officeDocument/2006/relationships/oleObject" Target="embeddings/oleObject16.bin"/><Relationship Id="rId100" Type="http://schemas.openxmlformats.org/officeDocument/2006/relationships/image" Target="media/image76.wmf"/><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107</Pages>
  <Words>7373</Words>
  <Characters>10120</Characters>
  <Lines>361</Lines>
  <Paragraphs>101</Paragraphs>
  <TotalTime>11</TotalTime>
  <ScaleCrop>false</ScaleCrop>
  <LinksUpToDate>false</LinksUpToDate>
  <CharactersWithSpaces>10794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2024-11-30T09:40:00Z</dcterms:created>
  <dc:creator>伟</dc:creator>
  <cp:lastModifiedBy>WPS_1178362952</cp:lastModifiedBy>
  <cp:lastPrinted>2023-01-31T00:56:00Z</cp:lastPrinted>
  <dcterms:modified xsi:type="dcterms:W3CDTF">2025-04-28T06:16:16Z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F928F9C205454123ACDF5FA5C25651DA_13</vt:lpwstr>
  </property>
  <property fmtid="{D5CDD505-2E9C-101B-9397-08002B2CF9AE}" pid="4" name="KSOTemplateDocerSaveRecord">
    <vt:lpwstr>eyJoZGlkIjoiN2RlOWMwNTAzZGNmZDIwNjBhMTA3YTIxY2M4ZWUyZmEiLCJ1c2VySWQiOiIxMTc4MzYyOTUyIn0=</vt:lpwstr>
  </property>
</Properties>
</file>