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6F34CC">
      <w:pPr>
        <w:jc w:val="left"/>
        <w:rPr>
          <w:rFonts w:hint="eastAsia" w:ascii="仿宋" w:hAnsi="仿宋" w:eastAsia="宋体"/>
          <w:bCs/>
          <w:sz w:val="28"/>
          <w:szCs w:val="28"/>
          <w:highlight w:val="none"/>
          <w:lang w:val="en-US" w:eastAsia="zh-CN"/>
        </w:rPr>
      </w:pPr>
      <w:r>
        <w:rPr>
          <w:rFonts w:hint="eastAsia" w:ascii="仿宋" w:hAnsi="仿宋"/>
          <w:bCs/>
          <w:sz w:val="28"/>
          <w:szCs w:val="28"/>
          <w:highlight w:val="none"/>
          <w:lang w:val="en-US" w:eastAsia="zh-CN"/>
        </w:rPr>
        <w:t xml:space="preserve"> </w:t>
      </w:r>
    </w:p>
    <w:p w14:paraId="38AA1519">
      <w:pPr>
        <w:jc w:val="center"/>
        <w:outlineLvl w:val="9"/>
        <w:rPr>
          <w:rFonts w:hint="eastAsia" w:ascii="宋体" w:hAnsi="宋体" w:eastAsia="宋体" w:cs="宋体"/>
          <w:b/>
          <w:bCs/>
          <w:sz w:val="32"/>
          <w:szCs w:val="32"/>
          <w:highlight w:val="none"/>
        </w:rPr>
      </w:pPr>
      <w:bookmarkStart w:id="0" w:name="_Toc12146"/>
      <w:bookmarkStart w:id="1" w:name="_Toc26943"/>
      <w:bookmarkStart w:id="2" w:name="_Toc8830"/>
      <w:r>
        <w:rPr>
          <w:rFonts w:hint="eastAsia" w:ascii="宋体" w:hAnsi="宋体" w:eastAsia="宋体" w:cs="宋体"/>
          <w:b/>
          <w:bCs/>
          <w:sz w:val="32"/>
          <w:szCs w:val="32"/>
          <w:highlight w:val="none"/>
        </w:rPr>
        <w:t>桂林-恭城-贺州公路（桂林至钟山段）№7</w:t>
      </w:r>
      <w:bookmarkEnd w:id="0"/>
      <w:r>
        <w:rPr>
          <w:rFonts w:hint="eastAsia" w:ascii="宋体" w:hAnsi="宋体" w:eastAsia="宋体" w:cs="宋体"/>
          <w:b/>
          <w:bCs/>
          <w:sz w:val="32"/>
          <w:szCs w:val="32"/>
          <w:highlight w:val="none"/>
        </w:rPr>
        <w:t>合同段</w:t>
      </w:r>
      <w:bookmarkEnd w:id="1"/>
      <w:bookmarkEnd w:id="2"/>
    </w:p>
    <w:p w14:paraId="35D76337">
      <w:pPr>
        <w:jc w:val="center"/>
        <w:rPr>
          <w:rFonts w:hint="eastAsia" w:ascii="宋体" w:hAnsi="宋体" w:eastAsia="宋体" w:cs="宋体"/>
          <w:b/>
          <w:bCs/>
          <w:sz w:val="32"/>
          <w:szCs w:val="32"/>
          <w:highlight w:val="none"/>
          <w:lang w:val="en-US" w:eastAsia="zh-CN"/>
        </w:rPr>
      </w:pPr>
      <w:bookmarkStart w:id="3" w:name="_Toc9816"/>
      <w:r>
        <w:rPr>
          <w:rFonts w:hint="eastAsia" w:ascii="宋体" w:hAnsi="宋体" w:eastAsia="宋体" w:cs="宋体"/>
          <w:b/>
          <w:bCs/>
          <w:sz w:val="32"/>
          <w:szCs w:val="32"/>
          <w:highlight w:val="none"/>
          <w:lang w:val="en-US" w:eastAsia="zh-CN"/>
        </w:rPr>
        <w:t>新渡坪大桥左幅</w:t>
      </w:r>
      <w:r>
        <w:rPr>
          <w:rFonts w:hint="eastAsia" w:cs="宋体"/>
          <w:b/>
          <w:bCs/>
          <w:sz w:val="32"/>
          <w:szCs w:val="32"/>
          <w:highlight w:val="none"/>
          <w:lang w:val="en-US" w:eastAsia="zh-CN"/>
        </w:rPr>
        <w:t>7</w:t>
      </w:r>
      <w:r>
        <w:rPr>
          <w:rFonts w:hint="eastAsia" w:ascii="宋体" w:hAnsi="宋体" w:eastAsia="宋体" w:cs="宋体"/>
          <w:b/>
          <w:bCs/>
          <w:sz w:val="32"/>
          <w:szCs w:val="32"/>
          <w:highlight w:val="none"/>
          <w:lang w:val="en-US" w:eastAsia="zh-CN"/>
        </w:rPr>
        <w:t>#墩</w:t>
      </w:r>
    </w:p>
    <w:bookmarkEnd w:id="3"/>
    <w:p w14:paraId="770C77E4">
      <w:pPr>
        <w:jc w:val="center"/>
        <w:rPr>
          <w:rFonts w:ascii="仿宋" w:hAnsi="仿宋" w:cs="仿宋"/>
          <w:b/>
          <w:bCs/>
          <w:sz w:val="32"/>
          <w:szCs w:val="32"/>
          <w:highlight w:val="none"/>
        </w:rPr>
      </w:pPr>
      <w:r>
        <w:rPr>
          <w:rFonts w:hint="eastAsia" w:ascii="仿宋" w:hAnsi="仿宋"/>
          <w:b/>
          <w:bCs/>
          <w:sz w:val="32"/>
          <w:szCs w:val="32"/>
          <w:highlight w:val="none"/>
          <w:lang w:val="en-US" w:eastAsia="zh-CN"/>
        </w:rPr>
        <w:t>XGT7022-10S</w:t>
      </w:r>
      <w:r>
        <w:rPr>
          <w:rFonts w:hint="eastAsia" w:ascii="仿宋" w:hAnsi="仿宋"/>
          <w:b/>
          <w:bCs/>
          <w:sz w:val="32"/>
          <w:szCs w:val="32"/>
          <w:highlight w:val="none"/>
        </w:rPr>
        <w:t>塔式起重机</w:t>
      </w:r>
      <w:r>
        <w:rPr>
          <w:rFonts w:hint="eastAsia" w:ascii="仿宋" w:hAnsi="仿宋"/>
          <w:b/>
          <w:bCs/>
          <w:sz w:val="32"/>
          <w:szCs w:val="32"/>
          <w:highlight w:val="none"/>
          <w:lang w:eastAsia="zh-CN"/>
        </w:rPr>
        <w:t>安装</w:t>
      </w:r>
      <w:r>
        <w:rPr>
          <w:rFonts w:hint="eastAsia" w:ascii="仿宋" w:hAnsi="仿宋"/>
          <w:b/>
          <w:bCs/>
          <w:sz w:val="32"/>
          <w:szCs w:val="32"/>
          <w:highlight w:val="none"/>
        </w:rPr>
        <w:t>专项施工</w:t>
      </w:r>
      <w:r>
        <w:rPr>
          <w:rFonts w:hint="eastAsia" w:ascii="仿宋" w:hAnsi="仿宋" w:cs="仿宋"/>
          <w:b/>
          <w:bCs/>
          <w:sz w:val="32"/>
          <w:szCs w:val="32"/>
          <w:highlight w:val="none"/>
        </w:rPr>
        <w:t>方案</w:t>
      </w:r>
    </w:p>
    <w:p w14:paraId="7EFD6EF1">
      <w:pPr>
        <w:jc w:val="center"/>
        <w:rPr>
          <w:rFonts w:hint="eastAsia" w:ascii="宋体" w:hAnsi="宋体" w:eastAsia="宋体" w:cs="宋体"/>
          <w:b/>
          <w:bCs/>
          <w:sz w:val="32"/>
          <w:szCs w:val="32"/>
          <w:highlight w:val="none"/>
        </w:rPr>
      </w:pPr>
    </w:p>
    <w:p w14:paraId="0F6C1F8C">
      <w:pPr>
        <w:ind w:firstLine="562" w:firstLineChars="201"/>
        <w:jc w:val="left"/>
        <w:rPr>
          <w:rFonts w:ascii="仿宋" w:hAnsi="仿宋"/>
          <w:sz w:val="28"/>
          <w:szCs w:val="28"/>
          <w:highlight w:val="none"/>
        </w:rPr>
      </w:pPr>
    </w:p>
    <w:p w14:paraId="1506E44E">
      <w:pPr>
        <w:bidi w:val="0"/>
        <w:rPr>
          <w:highlight w:val="none"/>
        </w:rPr>
      </w:pPr>
    </w:p>
    <w:p w14:paraId="63AFCDF3">
      <w:pPr>
        <w:ind w:firstLine="562" w:firstLineChars="201"/>
        <w:jc w:val="center"/>
        <w:rPr>
          <w:rFonts w:ascii="仿宋" w:hAnsi="仿宋"/>
          <w:sz w:val="28"/>
          <w:szCs w:val="28"/>
          <w:highlight w:val="none"/>
        </w:rPr>
      </w:pPr>
      <w:r>
        <w:rPr>
          <w:rFonts w:hint="eastAsia" w:eastAsia="宋体"/>
          <w:bCs/>
          <w:color w:val="000000" w:themeColor="text1"/>
          <w:sz w:val="28"/>
          <w:szCs w:val="28"/>
          <w:highlight w:val="none"/>
          <w:lang w:eastAsia="zh-CN"/>
          <w14:textFill>
            <w14:solidFill>
              <w14:schemeClr w14:val="tx1"/>
            </w14:solidFill>
          </w14:textFill>
        </w:rPr>
        <w:drawing>
          <wp:inline distT="0" distB="0" distL="114300" distR="114300">
            <wp:extent cx="2338070" cy="3043555"/>
            <wp:effectExtent l="0" t="0" r="5080"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0"/>
                    <a:stretch>
                      <a:fillRect/>
                    </a:stretch>
                  </pic:blipFill>
                  <pic:spPr>
                    <a:xfrm>
                      <a:off x="0" y="0"/>
                      <a:ext cx="2338070" cy="3043555"/>
                    </a:xfrm>
                    <a:prstGeom prst="rect">
                      <a:avLst/>
                    </a:prstGeom>
                  </pic:spPr>
                </pic:pic>
              </a:graphicData>
            </a:graphic>
          </wp:inline>
        </w:drawing>
      </w:r>
    </w:p>
    <w:p w14:paraId="213308BF">
      <w:pPr>
        <w:ind w:firstLine="565" w:firstLineChars="201"/>
        <w:jc w:val="left"/>
        <w:rPr>
          <w:rFonts w:ascii="仿宋" w:hAnsi="仿宋"/>
          <w:b/>
          <w:sz w:val="28"/>
          <w:szCs w:val="28"/>
          <w:highlight w:val="none"/>
        </w:rPr>
      </w:pPr>
    </w:p>
    <w:p w14:paraId="642F567F">
      <w:pPr>
        <w:pStyle w:val="12"/>
        <w:rPr>
          <w:rFonts w:ascii="仿宋" w:hAnsi="仿宋"/>
          <w:b/>
          <w:sz w:val="28"/>
          <w:szCs w:val="28"/>
          <w:highlight w:val="none"/>
        </w:rPr>
      </w:pPr>
    </w:p>
    <w:p w14:paraId="10E6BFDB">
      <w:pPr>
        <w:jc w:val="left"/>
        <w:rPr>
          <w:rFonts w:ascii="仿宋" w:hAnsi="仿宋"/>
          <w:b/>
          <w:sz w:val="28"/>
          <w:szCs w:val="28"/>
          <w:highlight w:val="none"/>
        </w:rPr>
      </w:pPr>
    </w:p>
    <w:p w14:paraId="1DFB1846">
      <w:pPr>
        <w:jc w:val="center"/>
        <w:rPr>
          <w:rFonts w:hint="eastAsia" w:ascii="Times New Roman" w:hAnsi="Times New Roman" w:cs="Times New Roman"/>
          <w:b/>
          <w:color w:val="000000"/>
          <w:sz w:val="28"/>
          <w:szCs w:val="28"/>
          <w:highlight w:val="none"/>
        </w:rPr>
      </w:pPr>
      <w:r>
        <w:rPr>
          <w:rFonts w:hint="eastAsia" w:ascii="Times New Roman" w:hAnsi="Times New Roman" w:cs="Times New Roman"/>
          <w:b/>
          <w:color w:val="000000"/>
          <w:sz w:val="28"/>
          <w:szCs w:val="28"/>
          <w:highlight w:val="none"/>
        </w:rPr>
        <w:t>中交第二航务工程局有限公司</w:t>
      </w:r>
    </w:p>
    <w:p w14:paraId="2F88C1BD">
      <w:pPr>
        <w:jc w:val="center"/>
        <w:rPr>
          <w:rFonts w:ascii="Times New Roman" w:hAnsi="Times New Roman" w:cs="Times New Roman"/>
          <w:b/>
          <w:color w:val="000000"/>
          <w:sz w:val="28"/>
          <w:szCs w:val="28"/>
          <w:highlight w:val="none"/>
        </w:rPr>
      </w:pPr>
      <w:bookmarkStart w:id="4" w:name="_Hlk51263647"/>
      <w:r>
        <w:rPr>
          <w:rFonts w:hint="eastAsia" w:ascii="Times New Roman" w:hAnsi="Times New Roman" w:cs="Times New Roman"/>
          <w:b/>
          <w:color w:val="000000"/>
          <w:sz w:val="28"/>
          <w:szCs w:val="28"/>
          <w:highlight w:val="none"/>
        </w:rPr>
        <w:t>桂林-恭城-贺州公路（桂林</w:t>
      </w:r>
      <w:r>
        <w:rPr>
          <w:rFonts w:hint="eastAsia" w:ascii="Times New Roman" w:hAnsi="Times New Roman" w:eastAsia="宋体" w:cs="Times New Roman"/>
          <w:b/>
          <w:color w:val="000000"/>
          <w:sz w:val="28"/>
          <w:szCs w:val="28"/>
          <w:highlight w:val="none"/>
        </w:rPr>
        <w:t>至钟山段）</w:t>
      </w:r>
      <w:bookmarkEnd w:id="4"/>
      <w:r>
        <w:rPr>
          <w:rFonts w:hint="eastAsia" w:ascii="Times New Roman" w:hAnsi="Times New Roman" w:eastAsia="宋体" w:cs="Times New Roman"/>
          <w:b/>
          <w:color w:val="000000"/>
          <w:sz w:val="28"/>
          <w:szCs w:val="28"/>
          <w:highlight w:val="none"/>
        </w:rPr>
        <w:t>№7</w:t>
      </w:r>
      <w:r>
        <w:rPr>
          <w:rFonts w:hint="eastAsia" w:ascii="Times New Roman" w:hAnsi="Times New Roman" w:eastAsia="宋体" w:cs="Times New Roman"/>
          <w:b/>
          <w:color w:val="000000"/>
          <w:sz w:val="28"/>
          <w:szCs w:val="28"/>
          <w:highlight w:val="none"/>
          <w:lang w:val="en-US" w:eastAsia="zh-CN"/>
        </w:rPr>
        <w:t>合同段工程总</w:t>
      </w:r>
      <w:r>
        <w:rPr>
          <w:rFonts w:hint="eastAsia" w:ascii="Times New Roman" w:hAnsi="Times New Roman" w:cs="Times New Roman"/>
          <w:b/>
          <w:color w:val="000000"/>
          <w:sz w:val="28"/>
          <w:szCs w:val="28"/>
          <w:highlight w:val="none"/>
          <w:lang w:val="en-US" w:eastAsia="zh-CN"/>
        </w:rPr>
        <w:t>承包</w:t>
      </w:r>
      <w:r>
        <w:rPr>
          <w:rFonts w:ascii="Times New Roman" w:hAnsi="Times New Roman" w:cs="Times New Roman"/>
          <w:b/>
          <w:color w:val="000000"/>
          <w:sz w:val="28"/>
          <w:szCs w:val="28"/>
          <w:highlight w:val="none"/>
        </w:rPr>
        <w:t>部</w:t>
      </w:r>
    </w:p>
    <w:p w14:paraId="66FB938B">
      <w:pPr>
        <w:jc w:val="center"/>
        <w:rPr>
          <w:rFonts w:hint="eastAsia" w:ascii="Times New Roman" w:hAnsi="Times New Roman" w:cs="Times New Roman"/>
          <w:b/>
          <w:color w:val="000000"/>
          <w:sz w:val="28"/>
          <w:szCs w:val="28"/>
          <w:highlight w:val="none"/>
        </w:rPr>
      </w:pPr>
      <w:r>
        <w:rPr>
          <w:rFonts w:hint="eastAsia" w:ascii="Times New Roman" w:hAnsi="Times New Roman" w:cs="Times New Roman"/>
          <w:b/>
          <w:color w:val="000000"/>
          <w:sz w:val="28"/>
          <w:szCs w:val="28"/>
          <w:highlight w:val="none"/>
        </w:rPr>
        <w:t>二〇二</w:t>
      </w:r>
      <w:r>
        <w:rPr>
          <w:rFonts w:hint="eastAsia" w:ascii="Times New Roman" w:hAnsi="Times New Roman" w:cs="Times New Roman"/>
          <w:b/>
          <w:color w:val="000000"/>
          <w:sz w:val="28"/>
          <w:szCs w:val="28"/>
          <w:highlight w:val="none"/>
          <w:lang w:val="en-US" w:eastAsia="zh-CN"/>
        </w:rPr>
        <w:t>五</w:t>
      </w:r>
      <w:r>
        <w:rPr>
          <w:rFonts w:hint="eastAsia" w:ascii="Times New Roman" w:hAnsi="Times New Roman" w:cs="Times New Roman"/>
          <w:b/>
          <w:color w:val="000000"/>
          <w:sz w:val="28"/>
          <w:szCs w:val="28"/>
          <w:highlight w:val="none"/>
        </w:rPr>
        <w:t>年</w:t>
      </w:r>
      <w:r>
        <w:rPr>
          <w:rFonts w:hint="eastAsia" w:ascii="Times New Roman" w:hAnsi="Times New Roman" w:cs="Times New Roman"/>
          <w:b/>
          <w:color w:val="000000"/>
          <w:sz w:val="28"/>
          <w:szCs w:val="28"/>
          <w:highlight w:val="none"/>
          <w:lang w:val="en-US" w:eastAsia="zh-CN"/>
        </w:rPr>
        <w:t>十</w:t>
      </w:r>
      <w:r>
        <w:rPr>
          <w:rFonts w:hint="eastAsia" w:ascii="Times New Roman" w:hAnsi="Times New Roman" w:cs="Times New Roman"/>
          <w:b/>
          <w:color w:val="000000"/>
          <w:sz w:val="28"/>
          <w:szCs w:val="28"/>
          <w:highlight w:val="none"/>
        </w:rPr>
        <w:t>月</w:t>
      </w:r>
    </w:p>
    <w:p w14:paraId="03278FD4">
      <w:pPr>
        <w:jc w:val="center"/>
        <w:rPr>
          <w:rFonts w:hint="eastAsia" w:ascii="Times New Roman" w:hAnsi="Times New Roman" w:cs="Times New Roman"/>
          <w:b/>
          <w:color w:val="000000"/>
          <w:sz w:val="28"/>
          <w:szCs w:val="28"/>
          <w:highlight w:val="none"/>
        </w:rPr>
      </w:pPr>
    </w:p>
    <w:p w14:paraId="6B1F31D2">
      <w:pPr>
        <w:rPr>
          <w:rFonts w:ascii="仿宋" w:hAnsi="仿宋"/>
          <w:sz w:val="28"/>
          <w:szCs w:val="28"/>
          <w:highlight w:val="none"/>
        </w:rPr>
      </w:pPr>
      <w:r>
        <w:rPr>
          <w:rFonts w:ascii="仿宋" w:hAnsi="仿宋"/>
          <w:sz w:val="28"/>
          <w:szCs w:val="28"/>
          <w:highlight w:val="none"/>
        </w:rPr>
        <w:br w:type="page"/>
      </w:r>
    </w:p>
    <w:p w14:paraId="1EEBF986">
      <w:pPr>
        <w:pStyle w:val="29"/>
        <w:ind w:left="610" w:hanging="70"/>
        <w:rPr>
          <w:rFonts w:ascii="仿宋" w:hAnsi="仿宋"/>
          <w:szCs w:val="28"/>
          <w:highlight w:val="none"/>
        </w:rPr>
      </w:pPr>
    </w:p>
    <w:p w14:paraId="5D99695D">
      <w:pPr>
        <w:pStyle w:val="21"/>
        <w:rPr>
          <w:highlight w:val="none"/>
        </w:rPr>
      </w:pPr>
    </w:p>
    <w:p w14:paraId="56106EC8">
      <w:pPr>
        <w:pStyle w:val="21"/>
        <w:rPr>
          <w:highlight w:val="none"/>
        </w:rPr>
      </w:pPr>
    </w:p>
    <w:p w14:paraId="33B535D2">
      <w:pPr>
        <w:pStyle w:val="21"/>
        <w:rPr>
          <w:highlight w:val="none"/>
        </w:rPr>
      </w:pPr>
    </w:p>
    <w:p w14:paraId="64057351">
      <w:pPr>
        <w:pStyle w:val="21"/>
        <w:rPr>
          <w:highlight w:val="none"/>
        </w:rPr>
      </w:pPr>
    </w:p>
    <w:p w14:paraId="219273E0">
      <w:pPr>
        <w:pStyle w:val="21"/>
        <w:rPr>
          <w:highlight w:val="none"/>
        </w:rPr>
      </w:pPr>
    </w:p>
    <w:p w14:paraId="51983E1B">
      <w:pPr>
        <w:pStyle w:val="21"/>
        <w:rPr>
          <w:highlight w:val="none"/>
        </w:rPr>
      </w:pPr>
    </w:p>
    <w:p w14:paraId="68D70293">
      <w:pPr>
        <w:pStyle w:val="21"/>
        <w:rPr>
          <w:highlight w:val="none"/>
        </w:rPr>
      </w:pPr>
    </w:p>
    <w:p w14:paraId="1C0CE6C3">
      <w:pPr>
        <w:pStyle w:val="21"/>
        <w:rPr>
          <w:highlight w:val="none"/>
        </w:rPr>
      </w:pPr>
    </w:p>
    <w:p w14:paraId="5C92A155">
      <w:pPr>
        <w:pStyle w:val="21"/>
        <w:rPr>
          <w:highlight w:val="none"/>
        </w:rPr>
      </w:pPr>
    </w:p>
    <w:p w14:paraId="049E288D">
      <w:pPr>
        <w:pStyle w:val="21"/>
        <w:rPr>
          <w:highlight w:val="none"/>
        </w:rPr>
      </w:pPr>
    </w:p>
    <w:p w14:paraId="1763E52E">
      <w:pPr>
        <w:pStyle w:val="21"/>
        <w:rPr>
          <w:highlight w:val="none"/>
        </w:rPr>
      </w:pPr>
    </w:p>
    <w:p w14:paraId="1DE012B3">
      <w:pPr>
        <w:pStyle w:val="21"/>
        <w:rPr>
          <w:highlight w:val="none"/>
        </w:rPr>
      </w:pPr>
    </w:p>
    <w:p w14:paraId="71368E9B">
      <w:pPr>
        <w:pStyle w:val="21"/>
        <w:rPr>
          <w:highlight w:val="none"/>
        </w:rPr>
      </w:pPr>
    </w:p>
    <w:p w14:paraId="1991D0EF">
      <w:pPr>
        <w:pStyle w:val="21"/>
        <w:rPr>
          <w:highlight w:val="none"/>
        </w:rPr>
      </w:pPr>
    </w:p>
    <w:p w14:paraId="3F91B183">
      <w:pPr>
        <w:pStyle w:val="21"/>
        <w:rPr>
          <w:highlight w:val="none"/>
        </w:rPr>
      </w:pPr>
    </w:p>
    <w:p w14:paraId="1AE09513">
      <w:pPr>
        <w:pStyle w:val="21"/>
        <w:rPr>
          <w:highlight w:val="none"/>
        </w:rPr>
      </w:pPr>
    </w:p>
    <w:p w14:paraId="4FA99415">
      <w:pPr>
        <w:pStyle w:val="21"/>
        <w:rPr>
          <w:highlight w:val="none"/>
        </w:rPr>
      </w:pPr>
    </w:p>
    <w:p w14:paraId="5F253460">
      <w:pPr>
        <w:pStyle w:val="21"/>
        <w:rPr>
          <w:highlight w:val="none"/>
        </w:rPr>
      </w:pPr>
    </w:p>
    <w:p w14:paraId="230AD7EA">
      <w:pPr>
        <w:pStyle w:val="21"/>
        <w:rPr>
          <w:highlight w:val="none"/>
        </w:rPr>
      </w:pPr>
    </w:p>
    <w:p w14:paraId="329D5452">
      <w:pPr>
        <w:pStyle w:val="21"/>
        <w:rPr>
          <w:highlight w:val="none"/>
        </w:rPr>
      </w:pPr>
    </w:p>
    <w:p w14:paraId="1423F022">
      <w:pPr>
        <w:pStyle w:val="21"/>
        <w:rPr>
          <w:highlight w:val="none"/>
        </w:rPr>
      </w:pPr>
    </w:p>
    <w:p w14:paraId="111650B5">
      <w:pPr>
        <w:pStyle w:val="21"/>
        <w:rPr>
          <w:highlight w:val="none"/>
        </w:rPr>
      </w:pPr>
    </w:p>
    <w:p w14:paraId="274ADDB8">
      <w:pPr>
        <w:pStyle w:val="21"/>
        <w:rPr>
          <w:highlight w:val="none"/>
        </w:rPr>
      </w:pPr>
    </w:p>
    <w:p w14:paraId="779DC28D">
      <w:pPr>
        <w:pStyle w:val="21"/>
        <w:rPr>
          <w:highlight w:val="none"/>
        </w:rPr>
      </w:pPr>
    </w:p>
    <w:p w14:paraId="47FDA561">
      <w:pPr>
        <w:pStyle w:val="21"/>
        <w:rPr>
          <w:highlight w:val="none"/>
        </w:rPr>
      </w:pPr>
    </w:p>
    <w:p w14:paraId="0864AF9E">
      <w:pPr>
        <w:bidi w:val="0"/>
        <w:rPr>
          <w:highlight w:val="none"/>
        </w:rPr>
      </w:pPr>
    </w:p>
    <w:p w14:paraId="02BA5FDE">
      <w:pPr>
        <w:ind w:firstLine="646" w:firstLineChars="201"/>
        <w:jc w:val="center"/>
        <w:rPr>
          <w:rFonts w:ascii="仿宋" w:hAnsi="仿宋"/>
          <w:b/>
          <w:bCs/>
          <w:sz w:val="32"/>
          <w:szCs w:val="32"/>
          <w:highlight w:val="none"/>
        </w:rPr>
      </w:pPr>
    </w:p>
    <w:p w14:paraId="50A755E9">
      <w:pPr>
        <w:jc w:val="center"/>
        <w:outlineLvl w:val="9"/>
        <w:rPr>
          <w:rFonts w:ascii="仿宋" w:hAnsi="仿宋" w:cs="仿宋"/>
          <w:b/>
          <w:bCs/>
          <w:sz w:val="32"/>
          <w:szCs w:val="32"/>
          <w:highlight w:val="none"/>
        </w:rPr>
      </w:pPr>
      <w:bookmarkStart w:id="5" w:name="_Toc27374"/>
      <w:bookmarkStart w:id="6" w:name="_Toc32098"/>
      <w:r>
        <w:rPr>
          <w:rFonts w:hint="eastAsia"/>
          <w:b/>
          <w:bCs/>
          <w:sz w:val="36"/>
          <w:szCs w:val="36"/>
          <w:highlight w:val="none"/>
        </w:rPr>
        <w:t>桂林-恭城-贺州公路（桂林至钟山段）№</w:t>
      </w:r>
      <w:r>
        <w:rPr>
          <w:b/>
          <w:bCs/>
          <w:sz w:val="36"/>
          <w:szCs w:val="36"/>
          <w:highlight w:val="none"/>
        </w:rPr>
        <w:t>7</w:t>
      </w:r>
      <w:r>
        <w:rPr>
          <w:rFonts w:hint="eastAsia"/>
          <w:b/>
          <w:bCs/>
          <w:sz w:val="36"/>
          <w:szCs w:val="36"/>
          <w:highlight w:val="none"/>
        </w:rPr>
        <w:t>合同段</w:t>
      </w:r>
      <w:bookmarkEnd w:id="5"/>
      <w:bookmarkEnd w:id="6"/>
    </w:p>
    <w:p w14:paraId="21DCE8B9">
      <w:pPr>
        <w:jc w:val="center"/>
        <w:rPr>
          <w:rFonts w:ascii="仿宋" w:hAnsi="仿宋" w:cs="仿宋"/>
          <w:b/>
          <w:bCs/>
          <w:sz w:val="32"/>
          <w:szCs w:val="32"/>
          <w:highlight w:val="none"/>
        </w:rPr>
      </w:pPr>
      <w:r>
        <w:rPr>
          <w:rFonts w:hint="eastAsia" w:ascii="仿宋" w:hAnsi="仿宋"/>
          <w:b/>
          <w:bCs/>
          <w:sz w:val="32"/>
          <w:szCs w:val="32"/>
          <w:highlight w:val="none"/>
          <w:lang w:val="en-US" w:eastAsia="zh-CN"/>
        </w:rPr>
        <w:t>XGT7022-10S</w:t>
      </w:r>
      <w:r>
        <w:rPr>
          <w:rFonts w:hint="eastAsia" w:ascii="仿宋" w:hAnsi="仿宋"/>
          <w:b/>
          <w:bCs/>
          <w:sz w:val="32"/>
          <w:szCs w:val="32"/>
          <w:highlight w:val="none"/>
        </w:rPr>
        <w:t>塔式起重机</w:t>
      </w:r>
      <w:r>
        <w:rPr>
          <w:rFonts w:hint="eastAsia" w:ascii="仿宋" w:hAnsi="仿宋"/>
          <w:b/>
          <w:bCs/>
          <w:sz w:val="32"/>
          <w:szCs w:val="32"/>
          <w:highlight w:val="none"/>
          <w:lang w:eastAsia="zh-CN"/>
        </w:rPr>
        <w:t>安装</w:t>
      </w:r>
      <w:r>
        <w:rPr>
          <w:rFonts w:hint="eastAsia" w:ascii="仿宋" w:hAnsi="仿宋"/>
          <w:b/>
          <w:bCs/>
          <w:sz w:val="32"/>
          <w:szCs w:val="32"/>
          <w:highlight w:val="none"/>
        </w:rPr>
        <w:t>专项施工</w:t>
      </w:r>
      <w:r>
        <w:rPr>
          <w:rFonts w:hint="eastAsia" w:ascii="仿宋" w:hAnsi="仿宋" w:cs="仿宋"/>
          <w:b/>
          <w:bCs/>
          <w:sz w:val="32"/>
          <w:szCs w:val="32"/>
          <w:highlight w:val="none"/>
        </w:rPr>
        <w:t>方案</w:t>
      </w:r>
    </w:p>
    <w:p w14:paraId="2003144A">
      <w:pPr>
        <w:jc w:val="center"/>
        <w:rPr>
          <w:rFonts w:ascii="仿宋" w:hAnsi="仿宋" w:cs="仿宋"/>
          <w:b/>
          <w:bCs/>
          <w:sz w:val="32"/>
          <w:szCs w:val="32"/>
          <w:highlight w:val="none"/>
        </w:rPr>
      </w:pPr>
    </w:p>
    <w:p w14:paraId="53B125E6">
      <w:pPr>
        <w:ind w:firstLine="565" w:firstLineChars="201"/>
        <w:jc w:val="left"/>
        <w:rPr>
          <w:rFonts w:ascii="仿宋" w:hAnsi="仿宋"/>
          <w:b/>
          <w:sz w:val="28"/>
          <w:szCs w:val="28"/>
          <w:highlight w:val="none"/>
        </w:rPr>
      </w:pPr>
    </w:p>
    <w:p w14:paraId="4B6FE8E3">
      <w:pPr>
        <w:ind w:firstLine="565" w:firstLineChars="201"/>
        <w:jc w:val="left"/>
        <w:rPr>
          <w:rFonts w:ascii="仿宋" w:hAnsi="仿宋"/>
          <w:b/>
          <w:sz w:val="28"/>
          <w:szCs w:val="28"/>
          <w:highlight w:val="none"/>
        </w:rPr>
      </w:pPr>
    </w:p>
    <w:p w14:paraId="0D6D5D28">
      <w:pPr>
        <w:ind w:firstLine="565" w:firstLineChars="201"/>
        <w:jc w:val="left"/>
        <w:rPr>
          <w:rFonts w:ascii="仿宋" w:hAnsi="仿宋"/>
          <w:b/>
          <w:sz w:val="28"/>
          <w:szCs w:val="28"/>
          <w:highlight w:val="none"/>
        </w:rPr>
      </w:pPr>
    </w:p>
    <w:p w14:paraId="3D091463">
      <w:pPr>
        <w:ind w:firstLine="565" w:firstLineChars="201"/>
        <w:jc w:val="left"/>
        <w:rPr>
          <w:rFonts w:ascii="仿宋" w:hAnsi="仿宋"/>
          <w:b/>
          <w:sz w:val="28"/>
          <w:szCs w:val="28"/>
          <w:highlight w:val="none"/>
        </w:rPr>
      </w:pPr>
    </w:p>
    <w:p w14:paraId="3F78C170">
      <w:pPr>
        <w:jc w:val="left"/>
        <w:rPr>
          <w:rFonts w:ascii="仿宋" w:hAnsi="仿宋"/>
          <w:b/>
          <w:sz w:val="28"/>
          <w:szCs w:val="28"/>
          <w:highlight w:val="none"/>
        </w:rPr>
      </w:pPr>
    </w:p>
    <w:p w14:paraId="32D04BD0">
      <w:pPr>
        <w:pStyle w:val="29"/>
        <w:ind w:left="610" w:hanging="70"/>
        <w:rPr>
          <w:rFonts w:ascii="仿宋" w:hAnsi="仿宋"/>
          <w:b/>
          <w:szCs w:val="28"/>
          <w:highlight w:val="none"/>
        </w:rPr>
      </w:pPr>
    </w:p>
    <w:p w14:paraId="0BF5B7DD">
      <w:pPr>
        <w:pStyle w:val="14"/>
        <w:rPr>
          <w:highlight w:val="none"/>
        </w:rPr>
      </w:pPr>
    </w:p>
    <w:p w14:paraId="1AC58708">
      <w:pPr>
        <w:ind w:firstLine="565" w:firstLineChars="201"/>
        <w:jc w:val="left"/>
        <w:rPr>
          <w:rFonts w:ascii="仿宋" w:hAnsi="仿宋"/>
          <w:b/>
          <w:sz w:val="28"/>
          <w:szCs w:val="28"/>
          <w:highlight w:val="none"/>
        </w:rPr>
      </w:pPr>
    </w:p>
    <w:p w14:paraId="767334B5">
      <w:pPr>
        <w:ind w:firstLine="565" w:firstLineChars="201"/>
        <w:jc w:val="left"/>
        <w:outlineLvl w:val="9"/>
        <w:rPr>
          <w:rFonts w:ascii="仿宋" w:hAnsi="仿宋"/>
          <w:b/>
          <w:sz w:val="28"/>
          <w:szCs w:val="28"/>
          <w:highlight w:val="none"/>
        </w:rPr>
      </w:pPr>
      <w:r>
        <w:rPr>
          <w:rFonts w:hint="eastAsia" w:ascii="仿宋" w:hAnsi="仿宋"/>
          <w:b/>
          <w:sz w:val="28"/>
          <w:szCs w:val="28"/>
          <w:highlight w:val="none"/>
        </w:rPr>
        <w:t xml:space="preserve">          </w:t>
      </w:r>
      <w:bookmarkStart w:id="7" w:name="_Toc10865"/>
      <w:bookmarkStart w:id="8" w:name="_Toc26573"/>
      <w:r>
        <w:rPr>
          <w:rFonts w:hint="eastAsia" w:ascii="仿宋" w:hAnsi="仿宋"/>
          <w:b/>
          <w:sz w:val="28"/>
          <w:szCs w:val="28"/>
          <w:highlight w:val="none"/>
        </w:rPr>
        <w:t xml:space="preserve">编制： </w:t>
      </w:r>
      <w:bookmarkEnd w:id="7"/>
      <w:bookmarkEnd w:id="8"/>
      <w:r>
        <w:rPr>
          <w:rFonts w:hint="eastAsia" w:ascii="仿宋" w:hAnsi="仿宋"/>
          <w:b/>
          <w:sz w:val="28"/>
          <w:szCs w:val="28"/>
          <w:highlight w:val="none"/>
          <w:u w:val="single"/>
        </w:rPr>
        <w:t xml:space="preserve">                      </w:t>
      </w:r>
    </w:p>
    <w:p w14:paraId="0C5565F7">
      <w:pPr>
        <w:ind w:firstLine="565" w:firstLineChars="201"/>
        <w:jc w:val="left"/>
        <w:rPr>
          <w:rFonts w:ascii="仿宋" w:hAnsi="仿宋"/>
          <w:sz w:val="28"/>
          <w:szCs w:val="28"/>
          <w:highlight w:val="none"/>
          <w:u w:val="single"/>
        </w:rPr>
      </w:pPr>
      <w:r>
        <w:rPr>
          <w:rFonts w:hint="eastAsia" w:ascii="仿宋" w:hAnsi="仿宋"/>
          <w:b/>
          <w:sz w:val="28"/>
          <w:szCs w:val="28"/>
          <w:highlight w:val="none"/>
        </w:rPr>
        <w:t xml:space="preserve">          </w:t>
      </w:r>
      <w:r>
        <w:rPr>
          <w:rFonts w:hint="eastAsia" w:ascii="仿宋" w:hAnsi="仿宋"/>
          <w:b/>
          <w:sz w:val="28"/>
          <w:szCs w:val="28"/>
          <w:highlight w:val="none"/>
          <w:lang w:val="en-US" w:eastAsia="zh-CN"/>
        </w:rPr>
        <w:t>审核</w:t>
      </w:r>
      <w:r>
        <w:rPr>
          <w:rFonts w:hint="eastAsia" w:ascii="仿宋" w:hAnsi="仿宋"/>
          <w:b/>
          <w:sz w:val="28"/>
          <w:szCs w:val="28"/>
          <w:highlight w:val="none"/>
        </w:rPr>
        <w:t xml:space="preserve">： </w:t>
      </w:r>
      <w:r>
        <w:rPr>
          <w:rFonts w:hint="eastAsia" w:ascii="仿宋" w:hAnsi="仿宋"/>
          <w:b/>
          <w:sz w:val="28"/>
          <w:szCs w:val="28"/>
          <w:highlight w:val="none"/>
          <w:u w:val="single"/>
        </w:rPr>
        <w:t xml:space="preserve">                      </w:t>
      </w:r>
    </w:p>
    <w:p w14:paraId="19C65362">
      <w:pPr>
        <w:ind w:firstLine="565" w:firstLineChars="201"/>
        <w:jc w:val="left"/>
        <w:rPr>
          <w:rFonts w:ascii="仿宋" w:hAnsi="仿宋"/>
          <w:sz w:val="28"/>
          <w:szCs w:val="28"/>
          <w:highlight w:val="none"/>
          <w:u w:val="single"/>
        </w:rPr>
      </w:pPr>
      <w:r>
        <w:rPr>
          <w:rFonts w:hint="eastAsia" w:ascii="仿宋" w:hAnsi="仿宋"/>
          <w:b/>
          <w:sz w:val="28"/>
          <w:szCs w:val="28"/>
          <w:highlight w:val="none"/>
        </w:rPr>
        <w:t xml:space="preserve">          </w:t>
      </w:r>
      <w:r>
        <w:rPr>
          <w:rFonts w:hint="eastAsia" w:ascii="仿宋" w:hAnsi="仿宋"/>
          <w:b/>
          <w:sz w:val="28"/>
          <w:szCs w:val="28"/>
          <w:highlight w:val="none"/>
          <w:lang w:val="en-US" w:eastAsia="zh-CN"/>
        </w:rPr>
        <w:t>批准</w:t>
      </w:r>
      <w:r>
        <w:rPr>
          <w:rFonts w:hint="eastAsia" w:ascii="仿宋" w:hAnsi="仿宋"/>
          <w:b/>
          <w:sz w:val="28"/>
          <w:szCs w:val="28"/>
          <w:highlight w:val="none"/>
        </w:rPr>
        <w:t xml:space="preserve">： </w:t>
      </w:r>
      <w:r>
        <w:rPr>
          <w:rFonts w:hint="eastAsia" w:ascii="仿宋" w:hAnsi="仿宋"/>
          <w:b/>
          <w:sz w:val="28"/>
          <w:szCs w:val="28"/>
          <w:highlight w:val="none"/>
          <w:u w:val="single"/>
        </w:rPr>
        <w:t xml:space="preserve">                      </w:t>
      </w:r>
    </w:p>
    <w:p w14:paraId="4B538B9D">
      <w:pPr>
        <w:ind w:firstLine="482" w:firstLineChars="201"/>
        <w:jc w:val="left"/>
        <w:rPr>
          <w:rFonts w:ascii="仿宋" w:hAnsi="仿宋"/>
          <w:sz w:val="28"/>
          <w:szCs w:val="28"/>
          <w:highlight w:val="none"/>
        </w:rPr>
      </w:pPr>
      <w:r>
        <w:rPr>
          <w:rFonts w:hint="eastAsia"/>
          <w:highlight w:val="none"/>
        </w:rPr>
        <w:t xml:space="preserve">                                      </w:t>
      </w:r>
    </w:p>
    <w:p w14:paraId="3CF83C43">
      <w:pPr>
        <w:ind w:firstLine="562" w:firstLineChars="201"/>
        <w:jc w:val="center"/>
        <w:rPr>
          <w:rFonts w:ascii="仿宋" w:hAnsi="仿宋"/>
          <w:sz w:val="28"/>
          <w:szCs w:val="28"/>
          <w:highlight w:val="none"/>
        </w:rPr>
      </w:pPr>
    </w:p>
    <w:p w14:paraId="03D647E0">
      <w:pPr>
        <w:bidi w:val="0"/>
      </w:pPr>
    </w:p>
    <w:p w14:paraId="59FCD416">
      <w:pPr>
        <w:jc w:val="center"/>
        <w:rPr>
          <w:highlight w:val="none"/>
        </w:rPr>
      </w:pPr>
      <w:r>
        <w:rPr>
          <w:rFonts w:hint="eastAsia" w:ascii="仿宋" w:hAnsi="仿宋"/>
          <w:b/>
          <w:bCs/>
          <w:sz w:val="32"/>
          <w:szCs w:val="32"/>
          <w:highlight w:val="none"/>
          <w:lang w:val="en-US" w:eastAsia="zh-CN"/>
        </w:rPr>
        <w:t>四川科斗文智能装备有限公司</w:t>
      </w:r>
      <w:r>
        <w:rPr>
          <w:highlight w:val="none"/>
        </w:rPr>
        <w:fldChar w:fldCharType="begin"/>
      </w:r>
      <w:r>
        <w:rPr>
          <w:highlight w:val="none"/>
        </w:rPr>
        <w:instrText xml:space="preserve"> TOC \o "1-2" \h \z \u </w:instrText>
      </w:r>
      <w:r>
        <w:rPr>
          <w:highlight w:val="none"/>
        </w:rPr>
        <w:fldChar w:fldCharType="separate"/>
      </w:r>
      <w:r>
        <w:rPr>
          <w:highlight w:val="none"/>
        </w:rPr>
        <w:fldChar w:fldCharType="end"/>
      </w:r>
    </w:p>
    <w:p w14:paraId="2CF34419">
      <w:pPr>
        <w:tabs>
          <w:tab w:val="left" w:pos="1050"/>
          <w:tab w:val="right" w:leader="dot" w:pos="8296"/>
        </w:tabs>
        <w:jc w:val="center"/>
        <w:rPr>
          <w:rFonts w:ascii="宋体" w:hAnsi="宋体" w:eastAsia="宋体"/>
          <w:b/>
          <w:bCs/>
          <w:sz w:val="28"/>
          <w:szCs w:val="32"/>
          <w:highlight w:val="none"/>
        </w:rPr>
      </w:pPr>
    </w:p>
    <w:p w14:paraId="38882B4B">
      <w:pPr>
        <w:tabs>
          <w:tab w:val="left" w:pos="1050"/>
          <w:tab w:val="right" w:leader="dot" w:pos="8296"/>
        </w:tabs>
        <w:jc w:val="center"/>
        <w:rPr>
          <w:rFonts w:ascii="宋体" w:hAnsi="宋体" w:eastAsia="宋体"/>
          <w:b/>
          <w:bCs/>
          <w:sz w:val="28"/>
          <w:szCs w:val="32"/>
          <w:highlight w:val="none"/>
        </w:rPr>
      </w:pPr>
    </w:p>
    <w:p w14:paraId="2772ACA4">
      <w:pPr>
        <w:tabs>
          <w:tab w:val="left" w:pos="1050"/>
          <w:tab w:val="right" w:leader="dot" w:pos="8296"/>
        </w:tabs>
        <w:jc w:val="center"/>
        <w:rPr>
          <w:rFonts w:ascii="宋体" w:hAnsi="宋体" w:eastAsia="宋体"/>
          <w:b/>
          <w:bCs/>
          <w:sz w:val="28"/>
          <w:szCs w:val="32"/>
          <w:highlight w:val="none"/>
        </w:rPr>
      </w:pPr>
    </w:p>
    <w:p w14:paraId="600ADBD4">
      <w:pPr>
        <w:tabs>
          <w:tab w:val="left" w:pos="1050"/>
          <w:tab w:val="right" w:leader="dot" w:pos="8296"/>
        </w:tabs>
        <w:jc w:val="center"/>
        <w:rPr>
          <w:rFonts w:ascii="宋体" w:hAnsi="宋体" w:eastAsia="宋体"/>
          <w:b/>
          <w:bCs/>
          <w:sz w:val="28"/>
          <w:szCs w:val="32"/>
          <w:highlight w:val="none"/>
        </w:rPr>
      </w:pPr>
    </w:p>
    <w:p w14:paraId="21CCDBED">
      <w:pPr>
        <w:tabs>
          <w:tab w:val="left" w:pos="1050"/>
          <w:tab w:val="right" w:leader="dot" w:pos="8296"/>
        </w:tabs>
        <w:jc w:val="center"/>
        <w:rPr>
          <w:rFonts w:ascii="宋体" w:hAnsi="宋体" w:eastAsia="宋体"/>
          <w:b/>
          <w:bCs/>
          <w:sz w:val="28"/>
          <w:szCs w:val="32"/>
          <w:highlight w:val="none"/>
        </w:rPr>
      </w:pPr>
    </w:p>
    <w:p w14:paraId="46400AD6">
      <w:pPr>
        <w:tabs>
          <w:tab w:val="left" w:pos="1050"/>
          <w:tab w:val="right" w:leader="dot" w:pos="8296"/>
        </w:tabs>
        <w:jc w:val="center"/>
        <w:rPr>
          <w:rFonts w:ascii="宋体" w:hAnsi="宋体" w:eastAsia="宋体"/>
          <w:b/>
          <w:bCs/>
          <w:sz w:val="28"/>
          <w:szCs w:val="32"/>
          <w:highlight w:val="none"/>
        </w:rPr>
      </w:pPr>
    </w:p>
    <w:p w14:paraId="35AC5923">
      <w:pPr>
        <w:tabs>
          <w:tab w:val="left" w:pos="1050"/>
          <w:tab w:val="right" w:leader="dot" w:pos="8296"/>
        </w:tabs>
        <w:jc w:val="center"/>
        <w:rPr>
          <w:rFonts w:ascii="宋体" w:hAnsi="宋体" w:eastAsia="宋体"/>
          <w:b/>
          <w:bCs/>
          <w:sz w:val="28"/>
          <w:szCs w:val="32"/>
          <w:highlight w:val="none"/>
        </w:rPr>
      </w:pPr>
    </w:p>
    <w:p w14:paraId="3576543F">
      <w:pPr>
        <w:tabs>
          <w:tab w:val="left" w:pos="1050"/>
          <w:tab w:val="right" w:leader="dot" w:pos="8296"/>
        </w:tabs>
        <w:jc w:val="center"/>
        <w:rPr>
          <w:rFonts w:ascii="宋体" w:hAnsi="宋体" w:eastAsia="宋体"/>
          <w:b/>
          <w:bCs/>
          <w:sz w:val="28"/>
          <w:szCs w:val="32"/>
          <w:highlight w:val="none"/>
        </w:rPr>
      </w:pPr>
    </w:p>
    <w:p w14:paraId="7C066A93">
      <w:pPr>
        <w:tabs>
          <w:tab w:val="left" w:pos="1050"/>
          <w:tab w:val="right" w:leader="dot" w:pos="8296"/>
        </w:tabs>
        <w:jc w:val="center"/>
        <w:rPr>
          <w:rFonts w:ascii="宋体" w:hAnsi="宋体" w:eastAsia="宋体"/>
          <w:b/>
          <w:bCs/>
          <w:sz w:val="28"/>
          <w:szCs w:val="32"/>
          <w:highlight w:val="none"/>
        </w:rPr>
      </w:pPr>
    </w:p>
    <w:p w14:paraId="04C2AFA4">
      <w:pPr>
        <w:tabs>
          <w:tab w:val="left" w:pos="1050"/>
          <w:tab w:val="right" w:leader="dot" w:pos="8296"/>
        </w:tabs>
        <w:jc w:val="center"/>
        <w:rPr>
          <w:rFonts w:ascii="宋体" w:hAnsi="宋体" w:eastAsia="宋体"/>
          <w:b/>
          <w:bCs/>
          <w:sz w:val="28"/>
          <w:szCs w:val="32"/>
          <w:highlight w:val="none"/>
        </w:rPr>
      </w:pPr>
    </w:p>
    <w:p w14:paraId="03BDDBBD">
      <w:pPr>
        <w:tabs>
          <w:tab w:val="left" w:pos="1050"/>
          <w:tab w:val="right" w:leader="dot" w:pos="8296"/>
        </w:tabs>
        <w:jc w:val="center"/>
        <w:rPr>
          <w:rFonts w:ascii="宋体" w:hAnsi="宋体" w:eastAsia="宋体"/>
          <w:b/>
          <w:bCs/>
          <w:sz w:val="28"/>
          <w:szCs w:val="32"/>
          <w:highlight w:val="none"/>
        </w:rPr>
      </w:pPr>
    </w:p>
    <w:p w14:paraId="279252ED">
      <w:pPr>
        <w:tabs>
          <w:tab w:val="left" w:pos="1050"/>
          <w:tab w:val="right" w:leader="dot" w:pos="8296"/>
        </w:tabs>
        <w:jc w:val="center"/>
        <w:rPr>
          <w:rFonts w:ascii="宋体" w:hAnsi="宋体" w:eastAsia="宋体"/>
          <w:b/>
          <w:bCs/>
          <w:sz w:val="28"/>
          <w:szCs w:val="32"/>
          <w:highlight w:val="none"/>
        </w:rPr>
      </w:pPr>
    </w:p>
    <w:p w14:paraId="1910D059">
      <w:pPr>
        <w:tabs>
          <w:tab w:val="left" w:pos="1050"/>
          <w:tab w:val="right" w:leader="dot" w:pos="8296"/>
        </w:tabs>
        <w:jc w:val="center"/>
        <w:rPr>
          <w:rFonts w:ascii="宋体" w:hAnsi="宋体" w:eastAsia="宋体"/>
          <w:b/>
          <w:bCs/>
          <w:sz w:val="28"/>
          <w:szCs w:val="32"/>
          <w:highlight w:val="none"/>
        </w:rPr>
      </w:pPr>
    </w:p>
    <w:p w14:paraId="787E649A">
      <w:pPr>
        <w:tabs>
          <w:tab w:val="left" w:pos="1050"/>
          <w:tab w:val="right" w:leader="dot" w:pos="8296"/>
        </w:tabs>
        <w:jc w:val="center"/>
        <w:rPr>
          <w:rFonts w:ascii="宋体" w:hAnsi="宋体" w:eastAsia="宋体"/>
          <w:b/>
          <w:bCs/>
          <w:sz w:val="28"/>
          <w:szCs w:val="32"/>
          <w:highlight w:val="none"/>
        </w:rPr>
      </w:pPr>
    </w:p>
    <w:p w14:paraId="2788083E">
      <w:pPr>
        <w:tabs>
          <w:tab w:val="left" w:pos="1050"/>
          <w:tab w:val="right" w:leader="dot" w:pos="8296"/>
        </w:tabs>
        <w:jc w:val="center"/>
        <w:rPr>
          <w:rFonts w:ascii="宋体" w:hAnsi="宋体" w:eastAsia="宋体"/>
          <w:b/>
          <w:bCs/>
          <w:sz w:val="28"/>
          <w:szCs w:val="32"/>
          <w:highlight w:val="none"/>
        </w:rPr>
      </w:pPr>
    </w:p>
    <w:p w14:paraId="56818920">
      <w:pPr>
        <w:tabs>
          <w:tab w:val="left" w:pos="1050"/>
          <w:tab w:val="right" w:leader="dot" w:pos="8296"/>
        </w:tabs>
        <w:jc w:val="center"/>
        <w:rPr>
          <w:rFonts w:ascii="宋体" w:hAnsi="宋体" w:eastAsia="宋体"/>
          <w:b/>
          <w:bCs/>
          <w:sz w:val="28"/>
          <w:szCs w:val="32"/>
          <w:highlight w:val="none"/>
        </w:rPr>
      </w:pPr>
    </w:p>
    <w:p w14:paraId="341ED921">
      <w:pPr>
        <w:tabs>
          <w:tab w:val="left" w:pos="1050"/>
          <w:tab w:val="right" w:leader="dot" w:pos="8296"/>
        </w:tabs>
        <w:jc w:val="center"/>
        <w:rPr>
          <w:rFonts w:ascii="宋体" w:hAnsi="宋体" w:eastAsia="宋体"/>
          <w:b/>
          <w:bCs/>
          <w:sz w:val="28"/>
          <w:szCs w:val="32"/>
          <w:highlight w:val="none"/>
        </w:rPr>
      </w:pPr>
    </w:p>
    <w:p w14:paraId="23ABCFD8">
      <w:pPr>
        <w:tabs>
          <w:tab w:val="left" w:pos="1050"/>
          <w:tab w:val="right" w:leader="dot" w:pos="8296"/>
        </w:tabs>
        <w:jc w:val="center"/>
        <w:rPr>
          <w:rFonts w:ascii="宋体" w:hAnsi="宋体" w:eastAsia="宋体"/>
          <w:b/>
          <w:bCs/>
          <w:sz w:val="28"/>
          <w:szCs w:val="32"/>
          <w:highlight w:val="none"/>
        </w:rPr>
      </w:pPr>
    </w:p>
    <w:p w14:paraId="20B84E23">
      <w:pPr>
        <w:tabs>
          <w:tab w:val="left" w:pos="1050"/>
          <w:tab w:val="right" w:leader="dot" w:pos="8296"/>
        </w:tabs>
        <w:jc w:val="center"/>
        <w:rPr>
          <w:rFonts w:ascii="宋体" w:hAnsi="宋体" w:eastAsia="宋体"/>
          <w:b/>
          <w:bCs/>
          <w:sz w:val="28"/>
          <w:szCs w:val="32"/>
          <w:highlight w:val="none"/>
        </w:rPr>
      </w:pPr>
    </w:p>
    <w:p w14:paraId="7B93B77E">
      <w:pPr>
        <w:tabs>
          <w:tab w:val="left" w:pos="1050"/>
          <w:tab w:val="right" w:leader="dot" w:pos="8296"/>
        </w:tabs>
        <w:jc w:val="center"/>
        <w:rPr>
          <w:rFonts w:ascii="宋体" w:hAnsi="宋体" w:eastAsia="宋体"/>
          <w:b/>
          <w:bCs/>
          <w:sz w:val="28"/>
          <w:szCs w:val="32"/>
          <w:highlight w:val="none"/>
        </w:rPr>
      </w:pPr>
    </w:p>
    <w:p w14:paraId="22EDBF51">
      <w:pPr>
        <w:tabs>
          <w:tab w:val="left" w:pos="1050"/>
          <w:tab w:val="right" w:leader="dot" w:pos="8296"/>
        </w:tabs>
        <w:jc w:val="center"/>
        <w:rPr>
          <w:rFonts w:ascii="宋体" w:hAnsi="宋体" w:eastAsia="宋体"/>
          <w:b/>
          <w:bCs/>
          <w:sz w:val="28"/>
          <w:szCs w:val="32"/>
          <w:highlight w:val="none"/>
        </w:rPr>
      </w:pPr>
    </w:p>
    <w:p w14:paraId="697F6B54">
      <w:pPr>
        <w:tabs>
          <w:tab w:val="left" w:pos="1050"/>
          <w:tab w:val="right" w:leader="dot" w:pos="8296"/>
        </w:tabs>
        <w:jc w:val="center"/>
        <w:rPr>
          <w:rFonts w:ascii="宋体" w:hAnsi="宋体" w:eastAsia="宋体"/>
          <w:b/>
          <w:bCs/>
          <w:sz w:val="28"/>
          <w:szCs w:val="32"/>
          <w:highlight w:val="none"/>
        </w:rPr>
      </w:pPr>
    </w:p>
    <w:p w14:paraId="0B5670F1">
      <w:pPr>
        <w:tabs>
          <w:tab w:val="left" w:pos="1050"/>
          <w:tab w:val="right" w:leader="dot" w:pos="8296"/>
        </w:tabs>
        <w:jc w:val="center"/>
        <w:rPr>
          <w:rFonts w:ascii="宋体" w:hAnsi="宋体" w:eastAsia="宋体"/>
          <w:b/>
          <w:bCs/>
          <w:sz w:val="28"/>
          <w:szCs w:val="32"/>
          <w:highlight w:val="none"/>
        </w:rPr>
      </w:pPr>
    </w:p>
    <w:p w14:paraId="0CACF10C">
      <w:pPr>
        <w:tabs>
          <w:tab w:val="left" w:pos="1050"/>
          <w:tab w:val="right" w:leader="dot" w:pos="8296"/>
        </w:tabs>
        <w:jc w:val="center"/>
        <w:rPr>
          <w:rFonts w:ascii="宋体" w:hAnsi="宋体" w:eastAsia="宋体"/>
          <w:b/>
          <w:bCs/>
          <w:sz w:val="28"/>
          <w:szCs w:val="32"/>
          <w:highlight w:val="none"/>
        </w:rPr>
      </w:pPr>
    </w:p>
    <w:p w14:paraId="31617598">
      <w:pPr>
        <w:tabs>
          <w:tab w:val="left" w:pos="1050"/>
          <w:tab w:val="right" w:leader="dot" w:pos="8296"/>
        </w:tabs>
        <w:jc w:val="center"/>
        <w:rPr>
          <w:rFonts w:ascii="宋体" w:hAnsi="宋体" w:eastAsia="宋体"/>
          <w:b/>
          <w:bCs/>
          <w:sz w:val="28"/>
          <w:szCs w:val="32"/>
          <w:highlight w:val="none"/>
        </w:rPr>
      </w:pPr>
    </w:p>
    <w:p w14:paraId="41D2C7C1">
      <w:pPr>
        <w:tabs>
          <w:tab w:val="left" w:pos="1050"/>
          <w:tab w:val="right" w:leader="dot" w:pos="8296"/>
        </w:tabs>
        <w:jc w:val="center"/>
        <w:rPr>
          <w:rFonts w:ascii="宋体" w:hAnsi="宋体" w:eastAsia="宋体"/>
          <w:b/>
          <w:bCs/>
          <w:sz w:val="28"/>
          <w:szCs w:val="32"/>
          <w:highlight w:val="none"/>
        </w:rPr>
      </w:pPr>
    </w:p>
    <w:p w14:paraId="451F1290">
      <w:pPr>
        <w:tabs>
          <w:tab w:val="left" w:pos="1050"/>
          <w:tab w:val="right" w:leader="dot" w:pos="8296"/>
        </w:tabs>
        <w:jc w:val="center"/>
        <w:rPr>
          <w:b/>
          <w:bCs/>
          <w:sz w:val="36"/>
          <w:szCs w:val="32"/>
          <w:highlight w:val="none"/>
        </w:rPr>
      </w:pPr>
      <w:bookmarkStart w:id="484" w:name="_GoBack"/>
      <w:bookmarkEnd w:id="484"/>
      <w:r>
        <w:rPr>
          <w:rFonts w:ascii="宋体" w:hAnsi="宋体" w:eastAsia="宋体"/>
          <w:b/>
          <w:bCs/>
          <w:sz w:val="28"/>
          <w:szCs w:val="32"/>
          <w:highlight w:val="none"/>
        </w:rPr>
        <w:t>目录</w:t>
      </w:r>
    </w:p>
    <w:p w14:paraId="155B9305">
      <w:pPr>
        <w:pStyle w:val="25"/>
        <w:tabs>
          <w:tab w:val="right" w:leader="dot" w:pos="8306"/>
        </w:tabs>
      </w:pPr>
      <w:r>
        <w:rPr>
          <w:highlight w:val="none"/>
        </w:rPr>
        <w:fldChar w:fldCharType="begin"/>
      </w:r>
      <w:r>
        <w:rPr>
          <w:highlight w:val="none"/>
        </w:rPr>
        <w:instrText xml:space="preserve">TOC \o "1-2" \h \u </w:instrText>
      </w:r>
      <w:r>
        <w:rPr>
          <w:highlight w:val="none"/>
        </w:rPr>
        <w:fldChar w:fldCharType="separate"/>
      </w:r>
      <w:r>
        <w:rPr>
          <w:highlight w:val="none"/>
        </w:rPr>
        <w:fldChar w:fldCharType="begin"/>
      </w:r>
      <w:r>
        <w:rPr>
          <w:highlight w:val="none"/>
        </w:rPr>
        <w:instrText xml:space="preserve"> HYPERLINK \l _Toc4403 </w:instrText>
      </w:r>
      <w:r>
        <w:rPr>
          <w:highlight w:val="none"/>
        </w:rPr>
        <w:fldChar w:fldCharType="separate"/>
      </w:r>
      <w:r>
        <w:rPr>
          <w:rFonts w:hint="default"/>
        </w:rPr>
        <w:t xml:space="preserve">1. </w:t>
      </w:r>
      <w:r>
        <w:rPr>
          <w:rFonts w:hint="eastAsia"/>
        </w:rPr>
        <w:t>编制依据</w:t>
      </w:r>
      <w:r>
        <w:tab/>
      </w:r>
      <w:r>
        <w:fldChar w:fldCharType="begin"/>
      </w:r>
      <w:r>
        <w:instrText xml:space="preserve"> PAGEREF _Toc4403 \h </w:instrText>
      </w:r>
      <w:r>
        <w:fldChar w:fldCharType="separate"/>
      </w:r>
      <w:r>
        <w:t>5</w:t>
      </w:r>
      <w:r>
        <w:fldChar w:fldCharType="end"/>
      </w:r>
      <w:r>
        <w:rPr>
          <w:highlight w:val="none"/>
        </w:rPr>
        <w:fldChar w:fldCharType="end"/>
      </w:r>
    </w:p>
    <w:p w14:paraId="69939FBE">
      <w:pPr>
        <w:pStyle w:val="26"/>
        <w:tabs>
          <w:tab w:val="right" w:leader="dot" w:pos="8306"/>
        </w:tabs>
      </w:pPr>
      <w:r>
        <w:rPr>
          <w:highlight w:val="none"/>
        </w:rPr>
        <w:fldChar w:fldCharType="begin"/>
      </w:r>
      <w:r>
        <w:rPr>
          <w:highlight w:val="none"/>
        </w:rPr>
        <w:instrText xml:space="preserve"> HYPERLINK \l _Toc20968 </w:instrText>
      </w:r>
      <w:r>
        <w:rPr>
          <w:highlight w:val="none"/>
        </w:rPr>
        <w:fldChar w:fldCharType="separate"/>
      </w:r>
      <w:r>
        <w:rPr>
          <w:rFonts w:hint="default"/>
          <w:lang w:val="en-US" w:eastAsia="zh-CN"/>
        </w:rPr>
        <w:t xml:space="preserve">1.1. </w:t>
      </w:r>
      <w:r>
        <w:rPr>
          <w:rFonts w:hint="eastAsia"/>
        </w:rPr>
        <w:t>编制</w:t>
      </w:r>
      <w:r>
        <w:rPr>
          <w:rFonts w:hint="eastAsia"/>
          <w:lang w:val="en-US" w:eastAsia="zh-CN"/>
        </w:rPr>
        <w:t>说明</w:t>
      </w:r>
      <w:r>
        <w:tab/>
      </w:r>
      <w:r>
        <w:fldChar w:fldCharType="begin"/>
      </w:r>
      <w:r>
        <w:instrText xml:space="preserve"> PAGEREF _Toc20968 \h </w:instrText>
      </w:r>
      <w:r>
        <w:fldChar w:fldCharType="separate"/>
      </w:r>
      <w:r>
        <w:t>5</w:t>
      </w:r>
      <w:r>
        <w:fldChar w:fldCharType="end"/>
      </w:r>
      <w:r>
        <w:rPr>
          <w:highlight w:val="none"/>
        </w:rPr>
        <w:fldChar w:fldCharType="end"/>
      </w:r>
    </w:p>
    <w:p w14:paraId="1F844222">
      <w:pPr>
        <w:pStyle w:val="26"/>
        <w:tabs>
          <w:tab w:val="right" w:leader="dot" w:pos="8306"/>
        </w:tabs>
      </w:pPr>
      <w:r>
        <w:rPr>
          <w:highlight w:val="none"/>
        </w:rPr>
        <w:fldChar w:fldCharType="begin"/>
      </w:r>
      <w:r>
        <w:rPr>
          <w:highlight w:val="none"/>
        </w:rPr>
        <w:instrText xml:space="preserve"> HYPERLINK \l _Toc5624 </w:instrText>
      </w:r>
      <w:r>
        <w:rPr>
          <w:highlight w:val="none"/>
        </w:rPr>
        <w:fldChar w:fldCharType="separate"/>
      </w:r>
      <w:r>
        <w:rPr>
          <w:rFonts w:hint="default"/>
          <w:lang w:val="en-US" w:eastAsia="zh-CN"/>
        </w:rPr>
        <w:t xml:space="preserve">1.2. </w:t>
      </w:r>
      <w:r>
        <w:rPr>
          <w:rFonts w:hint="eastAsia"/>
          <w:lang w:val="en-US" w:eastAsia="zh-CN"/>
        </w:rPr>
        <w:t>引用文件</w:t>
      </w:r>
      <w:r>
        <w:tab/>
      </w:r>
      <w:r>
        <w:fldChar w:fldCharType="begin"/>
      </w:r>
      <w:r>
        <w:instrText xml:space="preserve"> PAGEREF _Toc5624 \h </w:instrText>
      </w:r>
      <w:r>
        <w:fldChar w:fldCharType="separate"/>
      </w:r>
      <w:r>
        <w:t>5</w:t>
      </w:r>
      <w:r>
        <w:fldChar w:fldCharType="end"/>
      </w:r>
      <w:r>
        <w:rPr>
          <w:highlight w:val="none"/>
        </w:rPr>
        <w:fldChar w:fldCharType="end"/>
      </w:r>
    </w:p>
    <w:p w14:paraId="2032118D">
      <w:pPr>
        <w:pStyle w:val="26"/>
        <w:tabs>
          <w:tab w:val="right" w:leader="dot" w:pos="8306"/>
        </w:tabs>
      </w:pPr>
      <w:r>
        <w:rPr>
          <w:highlight w:val="none"/>
        </w:rPr>
        <w:fldChar w:fldCharType="begin"/>
      </w:r>
      <w:r>
        <w:rPr>
          <w:highlight w:val="none"/>
        </w:rPr>
        <w:instrText xml:space="preserve"> HYPERLINK \l _Toc27822 </w:instrText>
      </w:r>
      <w:r>
        <w:rPr>
          <w:highlight w:val="none"/>
        </w:rPr>
        <w:fldChar w:fldCharType="separate"/>
      </w:r>
      <w:r>
        <w:rPr>
          <w:rFonts w:hint="default"/>
        </w:rPr>
        <w:t xml:space="preserve">1.3. </w:t>
      </w:r>
      <w:r>
        <w:rPr>
          <w:rFonts w:hint="eastAsia"/>
        </w:rPr>
        <w:t>编制原则</w:t>
      </w:r>
      <w:r>
        <w:tab/>
      </w:r>
      <w:r>
        <w:fldChar w:fldCharType="begin"/>
      </w:r>
      <w:r>
        <w:instrText xml:space="preserve"> PAGEREF _Toc27822 \h </w:instrText>
      </w:r>
      <w:r>
        <w:fldChar w:fldCharType="separate"/>
      </w:r>
      <w:r>
        <w:t>6</w:t>
      </w:r>
      <w:r>
        <w:fldChar w:fldCharType="end"/>
      </w:r>
      <w:r>
        <w:rPr>
          <w:highlight w:val="none"/>
        </w:rPr>
        <w:fldChar w:fldCharType="end"/>
      </w:r>
    </w:p>
    <w:p w14:paraId="36349601">
      <w:pPr>
        <w:pStyle w:val="26"/>
        <w:tabs>
          <w:tab w:val="right" w:leader="dot" w:pos="8306"/>
        </w:tabs>
      </w:pPr>
      <w:r>
        <w:rPr>
          <w:highlight w:val="none"/>
        </w:rPr>
        <w:fldChar w:fldCharType="begin"/>
      </w:r>
      <w:r>
        <w:rPr>
          <w:highlight w:val="none"/>
        </w:rPr>
        <w:instrText xml:space="preserve"> HYPERLINK \l _Toc8078 </w:instrText>
      </w:r>
      <w:r>
        <w:rPr>
          <w:highlight w:val="none"/>
        </w:rPr>
        <w:fldChar w:fldCharType="separate"/>
      </w:r>
      <w:r>
        <w:rPr>
          <w:rFonts w:hint="default"/>
        </w:rPr>
        <w:t xml:space="preserve">1.4. </w:t>
      </w:r>
      <w:r>
        <w:rPr>
          <w:rFonts w:hint="eastAsia"/>
        </w:rPr>
        <w:t>隶属关系</w:t>
      </w:r>
      <w:r>
        <w:tab/>
      </w:r>
      <w:r>
        <w:fldChar w:fldCharType="begin"/>
      </w:r>
      <w:r>
        <w:instrText xml:space="preserve"> PAGEREF _Toc8078 \h </w:instrText>
      </w:r>
      <w:r>
        <w:fldChar w:fldCharType="separate"/>
      </w:r>
      <w:r>
        <w:t>6</w:t>
      </w:r>
      <w:r>
        <w:fldChar w:fldCharType="end"/>
      </w:r>
      <w:r>
        <w:rPr>
          <w:highlight w:val="none"/>
        </w:rPr>
        <w:fldChar w:fldCharType="end"/>
      </w:r>
    </w:p>
    <w:p w14:paraId="7723BC9B">
      <w:pPr>
        <w:pStyle w:val="26"/>
        <w:tabs>
          <w:tab w:val="right" w:leader="dot" w:pos="8306"/>
        </w:tabs>
      </w:pPr>
      <w:r>
        <w:rPr>
          <w:highlight w:val="none"/>
        </w:rPr>
        <w:fldChar w:fldCharType="begin"/>
      </w:r>
      <w:r>
        <w:rPr>
          <w:highlight w:val="none"/>
        </w:rPr>
        <w:instrText xml:space="preserve"> HYPERLINK \l _Toc17108 </w:instrText>
      </w:r>
      <w:r>
        <w:rPr>
          <w:highlight w:val="none"/>
        </w:rPr>
        <w:fldChar w:fldCharType="separate"/>
      </w:r>
      <w:r>
        <w:rPr>
          <w:rFonts w:hint="default"/>
        </w:rPr>
        <w:t xml:space="preserve">1.5. </w:t>
      </w:r>
      <w:r>
        <w:rPr>
          <w:rFonts w:hint="eastAsia"/>
        </w:rPr>
        <w:t>适用范围</w:t>
      </w:r>
      <w:r>
        <w:tab/>
      </w:r>
      <w:r>
        <w:fldChar w:fldCharType="begin"/>
      </w:r>
      <w:r>
        <w:instrText xml:space="preserve"> PAGEREF _Toc17108 \h </w:instrText>
      </w:r>
      <w:r>
        <w:fldChar w:fldCharType="separate"/>
      </w:r>
      <w:r>
        <w:t>6</w:t>
      </w:r>
      <w:r>
        <w:fldChar w:fldCharType="end"/>
      </w:r>
      <w:r>
        <w:rPr>
          <w:highlight w:val="none"/>
        </w:rPr>
        <w:fldChar w:fldCharType="end"/>
      </w:r>
    </w:p>
    <w:p w14:paraId="728EC116">
      <w:pPr>
        <w:pStyle w:val="25"/>
        <w:tabs>
          <w:tab w:val="right" w:leader="dot" w:pos="8306"/>
        </w:tabs>
      </w:pPr>
      <w:r>
        <w:rPr>
          <w:highlight w:val="none"/>
        </w:rPr>
        <w:fldChar w:fldCharType="begin"/>
      </w:r>
      <w:r>
        <w:rPr>
          <w:highlight w:val="none"/>
        </w:rPr>
        <w:instrText xml:space="preserve"> HYPERLINK \l _Toc17025 </w:instrText>
      </w:r>
      <w:r>
        <w:rPr>
          <w:highlight w:val="none"/>
        </w:rPr>
        <w:fldChar w:fldCharType="separate"/>
      </w:r>
      <w:r>
        <w:rPr>
          <w:rFonts w:hint="default"/>
        </w:rPr>
        <w:t xml:space="preserve">2. </w:t>
      </w:r>
      <w:r>
        <w:rPr>
          <w:rFonts w:hint="eastAsia"/>
        </w:rPr>
        <w:t>工程概况</w:t>
      </w:r>
      <w:r>
        <w:tab/>
      </w:r>
      <w:r>
        <w:fldChar w:fldCharType="begin"/>
      </w:r>
      <w:r>
        <w:instrText xml:space="preserve"> PAGEREF _Toc17025 \h </w:instrText>
      </w:r>
      <w:r>
        <w:fldChar w:fldCharType="separate"/>
      </w:r>
      <w:r>
        <w:t>7</w:t>
      </w:r>
      <w:r>
        <w:fldChar w:fldCharType="end"/>
      </w:r>
      <w:r>
        <w:rPr>
          <w:highlight w:val="none"/>
        </w:rPr>
        <w:fldChar w:fldCharType="end"/>
      </w:r>
    </w:p>
    <w:p w14:paraId="047FD418">
      <w:pPr>
        <w:pStyle w:val="26"/>
        <w:tabs>
          <w:tab w:val="right" w:leader="dot" w:pos="8306"/>
        </w:tabs>
      </w:pPr>
      <w:r>
        <w:rPr>
          <w:highlight w:val="none"/>
        </w:rPr>
        <w:fldChar w:fldCharType="begin"/>
      </w:r>
      <w:r>
        <w:rPr>
          <w:highlight w:val="none"/>
        </w:rPr>
        <w:instrText xml:space="preserve"> HYPERLINK \l _Toc28525 </w:instrText>
      </w:r>
      <w:r>
        <w:rPr>
          <w:highlight w:val="none"/>
        </w:rPr>
        <w:fldChar w:fldCharType="separate"/>
      </w:r>
      <w:r>
        <w:rPr>
          <w:rFonts w:hint="default"/>
        </w:rPr>
        <w:t xml:space="preserve">2.1. </w:t>
      </w:r>
      <w:r>
        <w:rPr>
          <w:rFonts w:hint="eastAsia"/>
        </w:rPr>
        <w:t>工程概况</w:t>
      </w:r>
      <w:r>
        <w:tab/>
      </w:r>
      <w:r>
        <w:fldChar w:fldCharType="begin"/>
      </w:r>
      <w:r>
        <w:instrText xml:space="preserve"> PAGEREF _Toc28525 \h </w:instrText>
      </w:r>
      <w:r>
        <w:fldChar w:fldCharType="separate"/>
      </w:r>
      <w:r>
        <w:t>7</w:t>
      </w:r>
      <w:r>
        <w:fldChar w:fldCharType="end"/>
      </w:r>
      <w:r>
        <w:rPr>
          <w:highlight w:val="none"/>
        </w:rPr>
        <w:fldChar w:fldCharType="end"/>
      </w:r>
    </w:p>
    <w:p w14:paraId="23AF8E43">
      <w:pPr>
        <w:pStyle w:val="26"/>
        <w:tabs>
          <w:tab w:val="right" w:leader="dot" w:pos="8306"/>
        </w:tabs>
      </w:pPr>
      <w:r>
        <w:rPr>
          <w:highlight w:val="none"/>
        </w:rPr>
        <w:fldChar w:fldCharType="begin"/>
      </w:r>
      <w:r>
        <w:rPr>
          <w:highlight w:val="none"/>
        </w:rPr>
        <w:instrText xml:space="preserve"> HYPERLINK \l _Toc27523 </w:instrText>
      </w:r>
      <w:r>
        <w:rPr>
          <w:highlight w:val="none"/>
        </w:rPr>
        <w:fldChar w:fldCharType="separate"/>
      </w:r>
      <w:r>
        <w:rPr>
          <w:rFonts w:hint="default"/>
        </w:rPr>
        <w:t xml:space="preserve">2.2. </w:t>
      </w:r>
      <w:r>
        <w:rPr>
          <w:rFonts w:hint="eastAsia"/>
        </w:rPr>
        <w:t>自然条件</w:t>
      </w:r>
      <w:r>
        <w:tab/>
      </w:r>
      <w:r>
        <w:fldChar w:fldCharType="begin"/>
      </w:r>
      <w:r>
        <w:instrText xml:space="preserve"> PAGEREF _Toc27523 \h </w:instrText>
      </w:r>
      <w:r>
        <w:fldChar w:fldCharType="separate"/>
      </w:r>
      <w:r>
        <w:t>7</w:t>
      </w:r>
      <w:r>
        <w:fldChar w:fldCharType="end"/>
      </w:r>
      <w:r>
        <w:rPr>
          <w:highlight w:val="none"/>
        </w:rPr>
        <w:fldChar w:fldCharType="end"/>
      </w:r>
    </w:p>
    <w:p w14:paraId="749C8E01">
      <w:pPr>
        <w:pStyle w:val="26"/>
        <w:tabs>
          <w:tab w:val="right" w:leader="dot" w:pos="8306"/>
        </w:tabs>
      </w:pPr>
      <w:r>
        <w:rPr>
          <w:highlight w:val="none"/>
        </w:rPr>
        <w:fldChar w:fldCharType="begin"/>
      </w:r>
      <w:r>
        <w:rPr>
          <w:highlight w:val="none"/>
        </w:rPr>
        <w:instrText xml:space="preserve"> HYPERLINK \l _Toc6818 </w:instrText>
      </w:r>
      <w:r>
        <w:rPr>
          <w:highlight w:val="none"/>
        </w:rPr>
        <w:fldChar w:fldCharType="separate"/>
      </w:r>
      <w:r>
        <w:rPr>
          <w:rFonts w:hint="default"/>
        </w:rPr>
        <w:t xml:space="preserve">2.3. </w:t>
      </w:r>
      <w:r>
        <w:rPr>
          <w:rFonts w:hint="eastAsia"/>
        </w:rPr>
        <w:t>安装现场工作环境及条件</w:t>
      </w:r>
      <w:r>
        <w:tab/>
      </w:r>
      <w:r>
        <w:fldChar w:fldCharType="begin"/>
      </w:r>
      <w:r>
        <w:instrText xml:space="preserve"> PAGEREF _Toc6818 \h </w:instrText>
      </w:r>
      <w:r>
        <w:fldChar w:fldCharType="separate"/>
      </w:r>
      <w:r>
        <w:t>9</w:t>
      </w:r>
      <w:r>
        <w:fldChar w:fldCharType="end"/>
      </w:r>
      <w:r>
        <w:rPr>
          <w:highlight w:val="none"/>
        </w:rPr>
        <w:fldChar w:fldCharType="end"/>
      </w:r>
    </w:p>
    <w:p w14:paraId="5A685E99">
      <w:pPr>
        <w:pStyle w:val="26"/>
        <w:tabs>
          <w:tab w:val="right" w:leader="dot" w:pos="8306"/>
        </w:tabs>
      </w:pPr>
      <w:r>
        <w:rPr>
          <w:highlight w:val="none"/>
        </w:rPr>
        <w:fldChar w:fldCharType="begin"/>
      </w:r>
      <w:r>
        <w:rPr>
          <w:highlight w:val="none"/>
        </w:rPr>
        <w:instrText xml:space="preserve"> HYPERLINK \l _Toc24400 </w:instrText>
      </w:r>
      <w:r>
        <w:rPr>
          <w:highlight w:val="none"/>
        </w:rPr>
        <w:fldChar w:fldCharType="separate"/>
      </w:r>
      <w:r>
        <w:rPr>
          <w:rFonts w:hint="default"/>
        </w:rPr>
        <w:t xml:space="preserve">2.4. </w:t>
      </w:r>
      <w:r>
        <w:rPr>
          <w:rFonts w:hint="eastAsia"/>
        </w:rPr>
        <w:t>塔式起重机概况</w:t>
      </w:r>
      <w:r>
        <w:tab/>
      </w:r>
      <w:r>
        <w:fldChar w:fldCharType="begin"/>
      </w:r>
      <w:r>
        <w:instrText xml:space="preserve"> PAGEREF _Toc24400 \h </w:instrText>
      </w:r>
      <w:r>
        <w:fldChar w:fldCharType="separate"/>
      </w:r>
      <w:r>
        <w:t>12</w:t>
      </w:r>
      <w:r>
        <w:fldChar w:fldCharType="end"/>
      </w:r>
      <w:r>
        <w:rPr>
          <w:highlight w:val="none"/>
        </w:rPr>
        <w:fldChar w:fldCharType="end"/>
      </w:r>
    </w:p>
    <w:p w14:paraId="4DB7A337">
      <w:pPr>
        <w:pStyle w:val="26"/>
        <w:tabs>
          <w:tab w:val="right" w:leader="dot" w:pos="8306"/>
        </w:tabs>
      </w:pPr>
      <w:r>
        <w:rPr>
          <w:highlight w:val="none"/>
        </w:rPr>
        <w:fldChar w:fldCharType="begin"/>
      </w:r>
      <w:r>
        <w:rPr>
          <w:highlight w:val="none"/>
        </w:rPr>
        <w:instrText xml:space="preserve"> HYPERLINK \l _Toc9875 </w:instrText>
      </w:r>
      <w:r>
        <w:rPr>
          <w:highlight w:val="none"/>
        </w:rPr>
        <w:fldChar w:fldCharType="separate"/>
      </w:r>
      <w:r>
        <w:rPr>
          <w:rFonts w:hint="default"/>
        </w:rPr>
        <w:t xml:space="preserve">2.5. </w:t>
      </w:r>
      <w:r>
        <w:rPr>
          <w:rFonts w:hint="eastAsia"/>
        </w:rPr>
        <w:t>施工要求和技术保证条件</w:t>
      </w:r>
      <w:r>
        <w:tab/>
      </w:r>
      <w:r>
        <w:fldChar w:fldCharType="begin"/>
      </w:r>
      <w:r>
        <w:instrText xml:space="preserve"> PAGEREF _Toc9875 \h </w:instrText>
      </w:r>
      <w:r>
        <w:fldChar w:fldCharType="separate"/>
      </w:r>
      <w:r>
        <w:t>15</w:t>
      </w:r>
      <w:r>
        <w:fldChar w:fldCharType="end"/>
      </w:r>
      <w:r>
        <w:rPr>
          <w:highlight w:val="none"/>
        </w:rPr>
        <w:fldChar w:fldCharType="end"/>
      </w:r>
    </w:p>
    <w:p w14:paraId="376C0A14">
      <w:pPr>
        <w:pStyle w:val="25"/>
        <w:tabs>
          <w:tab w:val="right" w:leader="dot" w:pos="8306"/>
        </w:tabs>
      </w:pPr>
      <w:r>
        <w:rPr>
          <w:highlight w:val="none"/>
        </w:rPr>
        <w:fldChar w:fldCharType="begin"/>
      </w:r>
      <w:r>
        <w:rPr>
          <w:highlight w:val="none"/>
        </w:rPr>
        <w:instrText xml:space="preserve"> HYPERLINK \l _Toc11928 </w:instrText>
      </w:r>
      <w:r>
        <w:rPr>
          <w:highlight w:val="none"/>
        </w:rPr>
        <w:fldChar w:fldCharType="separate"/>
      </w:r>
      <w:r>
        <w:rPr>
          <w:rFonts w:hint="default"/>
        </w:rPr>
        <w:t xml:space="preserve">3. </w:t>
      </w:r>
      <w:r>
        <w:rPr>
          <w:rFonts w:hint="eastAsia"/>
        </w:rPr>
        <w:t>施工计划</w:t>
      </w:r>
      <w:r>
        <w:tab/>
      </w:r>
      <w:r>
        <w:fldChar w:fldCharType="begin"/>
      </w:r>
      <w:r>
        <w:instrText xml:space="preserve"> PAGEREF _Toc11928 \h </w:instrText>
      </w:r>
      <w:r>
        <w:fldChar w:fldCharType="separate"/>
      </w:r>
      <w:r>
        <w:t>17</w:t>
      </w:r>
      <w:r>
        <w:fldChar w:fldCharType="end"/>
      </w:r>
      <w:r>
        <w:rPr>
          <w:highlight w:val="none"/>
        </w:rPr>
        <w:fldChar w:fldCharType="end"/>
      </w:r>
    </w:p>
    <w:p w14:paraId="301C48A6">
      <w:pPr>
        <w:pStyle w:val="26"/>
        <w:tabs>
          <w:tab w:val="right" w:leader="dot" w:pos="8306"/>
        </w:tabs>
      </w:pPr>
      <w:r>
        <w:rPr>
          <w:highlight w:val="none"/>
        </w:rPr>
        <w:fldChar w:fldCharType="begin"/>
      </w:r>
      <w:r>
        <w:rPr>
          <w:highlight w:val="none"/>
        </w:rPr>
        <w:instrText xml:space="preserve"> HYPERLINK \l _Toc25618 </w:instrText>
      </w:r>
      <w:r>
        <w:rPr>
          <w:highlight w:val="none"/>
        </w:rPr>
        <w:fldChar w:fldCharType="separate"/>
      </w:r>
      <w:r>
        <w:rPr>
          <w:rFonts w:hint="default"/>
          <w:lang w:val="en-US" w:eastAsia="zh-CN"/>
        </w:rPr>
        <w:t xml:space="preserve">3.1. </w:t>
      </w:r>
      <w:r>
        <w:rPr>
          <w:rFonts w:hint="eastAsia"/>
          <w:lang w:val="en-US" w:eastAsia="zh-CN"/>
        </w:rPr>
        <w:t>施工总体部署</w:t>
      </w:r>
      <w:r>
        <w:tab/>
      </w:r>
      <w:r>
        <w:fldChar w:fldCharType="begin"/>
      </w:r>
      <w:r>
        <w:instrText xml:space="preserve"> PAGEREF _Toc25618 \h </w:instrText>
      </w:r>
      <w:r>
        <w:fldChar w:fldCharType="separate"/>
      </w:r>
      <w:r>
        <w:t>17</w:t>
      </w:r>
      <w:r>
        <w:fldChar w:fldCharType="end"/>
      </w:r>
      <w:r>
        <w:rPr>
          <w:highlight w:val="none"/>
        </w:rPr>
        <w:fldChar w:fldCharType="end"/>
      </w:r>
    </w:p>
    <w:p w14:paraId="6D697D4F">
      <w:pPr>
        <w:pStyle w:val="26"/>
        <w:tabs>
          <w:tab w:val="right" w:leader="dot" w:pos="8306"/>
        </w:tabs>
      </w:pPr>
      <w:r>
        <w:rPr>
          <w:highlight w:val="none"/>
        </w:rPr>
        <w:fldChar w:fldCharType="begin"/>
      </w:r>
      <w:r>
        <w:rPr>
          <w:highlight w:val="none"/>
        </w:rPr>
        <w:instrText xml:space="preserve"> HYPERLINK \l _Toc26167 </w:instrText>
      </w:r>
      <w:r>
        <w:rPr>
          <w:highlight w:val="none"/>
        </w:rPr>
        <w:fldChar w:fldCharType="separate"/>
      </w:r>
      <w:r>
        <w:rPr>
          <w:rFonts w:hint="default"/>
          <w:lang w:val="en-US" w:eastAsia="zh-CN"/>
        </w:rPr>
        <w:t xml:space="preserve">3.2. </w:t>
      </w:r>
      <w:r>
        <w:rPr>
          <w:rFonts w:hint="eastAsia"/>
          <w:lang w:val="en-US" w:eastAsia="zh-CN"/>
        </w:rPr>
        <w:t>施工进度计划</w:t>
      </w:r>
      <w:r>
        <w:tab/>
      </w:r>
      <w:r>
        <w:fldChar w:fldCharType="begin"/>
      </w:r>
      <w:r>
        <w:instrText xml:space="preserve"> PAGEREF _Toc26167 \h </w:instrText>
      </w:r>
      <w:r>
        <w:fldChar w:fldCharType="separate"/>
      </w:r>
      <w:r>
        <w:t>18</w:t>
      </w:r>
      <w:r>
        <w:fldChar w:fldCharType="end"/>
      </w:r>
      <w:r>
        <w:rPr>
          <w:highlight w:val="none"/>
        </w:rPr>
        <w:fldChar w:fldCharType="end"/>
      </w:r>
    </w:p>
    <w:p w14:paraId="222AD950">
      <w:pPr>
        <w:pStyle w:val="26"/>
        <w:tabs>
          <w:tab w:val="right" w:leader="dot" w:pos="8306"/>
        </w:tabs>
      </w:pPr>
      <w:r>
        <w:rPr>
          <w:highlight w:val="none"/>
        </w:rPr>
        <w:fldChar w:fldCharType="begin"/>
      </w:r>
      <w:r>
        <w:rPr>
          <w:highlight w:val="none"/>
        </w:rPr>
        <w:instrText xml:space="preserve"> HYPERLINK \l _Toc5753 </w:instrText>
      </w:r>
      <w:r>
        <w:rPr>
          <w:highlight w:val="none"/>
        </w:rPr>
        <w:fldChar w:fldCharType="separate"/>
      </w:r>
      <w:r>
        <w:rPr>
          <w:rFonts w:hint="default"/>
        </w:rPr>
        <w:t xml:space="preserve">3.3. </w:t>
      </w:r>
      <w:r>
        <w:rPr>
          <w:rFonts w:hint="eastAsia"/>
          <w:lang w:val="en-US" w:eastAsia="zh-CN"/>
        </w:rPr>
        <w:t>施工设备计划</w:t>
      </w:r>
      <w:r>
        <w:tab/>
      </w:r>
      <w:r>
        <w:fldChar w:fldCharType="begin"/>
      </w:r>
      <w:r>
        <w:instrText xml:space="preserve"> PAGEREF _Toc5753 \h </w:instrText>
      </w:r>
      <w:r>
        <w:fldChar w:fldCharType="separate"/>
      </w:r>
      <w:r>
        <w:t>18</w:t>
      </w:r>
      <w:r>
        <w:fldChar w:fldCharType="end"/>
      </w:r>
      <w:r>
        <w:rPr>
          <w:highlight w:val="none"/>
        </w:rPr>
        <w:fldChar w:fldCharType="end"/>
      </w:r>
    </w:p>
    <w:p w14:paraId="6A5374D5">
      <w:pPr>
        <w:pStyle w:val="26"/>
        <w:tabs>
          <w:tab w:val="right" w:leader="dot" w:pos="8306"/>
        </w:tabs>
      </w:pPr>
      <w:r>
        <w:rPr>
          <w:highlight w:val="none"/>
        </w:rPr>
        <w:fldChar w:fldCharType="begin"/>
      </w:r>
      <w:r>
        <w:rPr>
          <w:highlight w:val="none"/>
        </w:rPr>
        <w:instrText xml:space="preserve"> HYPERLINK \l _Toc18000 </w:instrText>
      </w:r>
      <w:r>
        <w:rPr>
          <w:highlight w:val="none"/>
        </w:rPr>
        <w:fldChar w:fldCharType="separate"/>
      </w:r>
      <w:r>
        <w:rPr>
          <w:rFonts w:hint="default"/>
          <w:lang w:val="en-US" w:eastAsia="zh-CN"/>
        </w:rPr>
        <w:t xml:space="preserve">3.4. </w:t>
      </w:r>
      <w:r>
        <w:rPr>
          <w:rFonts w:hint="eastAsia"/>
          <w:lang w:val="en-US" w:eastAsia="zh-CN"/>
        </w:rPr>
        <w:t>施工</w:t>
      </w:r>
      <w:r>
        <w:rPr>
          <w:rFonts w:hint="eastAsia"/>
        </w:rPr>
        <w:t>材料</w:t>
      </w:r>
      <w:r>
        <w:rPr>
          <w:rFonts w:hint="eastAsia"/>
          <w:lang w:val="en-US" w:eastAsia="zh-CN"/>
        </w:rPr>
        <w:t>与安全工机具</w:t>
      </w:r>
      <w:r>
        <w:tab/>
      </w:r>
      <w:r>
        <w:fldChar w:fldCharType="begin"/>
      </w:r>
      <w:r>
        <w:instrText xml:space="preserve"> PAGEREF _Toc18000 \h </w:instrText>
      </w:r>
      <w:r>
        <w:fldChar w:fldCharType="separate"/>
      </w:r>
      <w:r>
        <w:t>20</w:t>
      </w:r>
      <w:r>
        <w:fldChar w:fldCharType="end"/>
      </w:r>
      <w:r>
        <w:rPr>
          <w:highlight w:val="none"/>
        </w:rPr>
        <w:fldChar w:fldCharType="end"/>
      </w:r>
    </w:p>
    <w:p w14:paraId="6698AB4E">
      <w:pPr>
        <w:pStyle w:val="25"/>
        <w:tabs>
          <w:tab w:val="right" w:leader="dot" w:pos="8306"/>
        </w:tabs>
      </w:pPr>
      <w:r>
        <w:rPr>
          <w:highlight w:val="none"/>
        </w:rPr>
        <w:fldChar w:fldCharType="begin"/>
      </w:r>
      <w:r>
        <w:rPr>
          <w:highlight w:val="none"/>
        </w:rPr>
        <w:instrText xml:space="preserve"> HYPERLINK \l _Toc1768 </w:instrText>
      </w:r>
      <w:r>
        <w:rPr>
          <w:highlight w:val="none"/>
        </w:rPr>
        <w:fldChar w:fldCharType="separate"/>
      </w:r>
      <w:r>
        <w:rPr>
          <w:rFonts w:hint="default"/>
        </w:rPr>
        <w:t xml:space="preserve">4. </w:t>
      </w:r>
      <w:r>
        <w:rPr>
          <w:rFonts w:hint="eastAsia"/>
        </w:rPr>
        <w:t>施工工艺</w:t>
      </w:r>
      <w:r>
        <w:tab/>
      </w:r>
      <w:r>
        <w:fldChar w:fldCharType="begin"/>
      </w:r>
      <w:r>
        <w:instrText xml:space="preserve"> PAGEREF _Toc1768 \h </w:instrText>
      </w:r>
      <w:r>
        <w:fldChar w:fldCharType="separate"/>
      </w:r>
      <w:r>
        <w:t>22</w:t>
      </w:r>
      <w:r>
        <w:fldChar w:fldCharType="end"/>
      </w:r>
      <w:r>
        <w:rPr>
          <w:highlight w:val="none"/>
        </w:rPr>
        <w:fldChar w:fldCharType="end"/>
      </w:r>
    </w:p>
    <w:p w14:paraId="7440926A">
      <w:pPr>
        <w:pStyle w:val="26"/>
        <w:tabs>
          <w:tab w:val="right" w:leader="dot" w:pos="8306"/>
        </w:tabs>
      </w:pPr>
      <w:r>
        <w:rPr>
          <w:highlight w:val="none"/>
        </w:rPr>
        <w:fldChar w:fldCharType="begin"/>
      </w:r>
      <w:r>
        <w:rPr>
          <w:highlight w:val="none"/>
        </w:rPr>
        <w:instrText xml:space="preserve"> HYPERLINK \l _Toc24313 </w:instrText>
      </w:r>
      <w:r>
        <w:rPr>
          <w:highlight w:val="none"/>
        </w:rPr>
        <w:fldChar w:fldCharType="separate"/>
      </w:r>
      <w:r>
        <w:rPr>
          <w:rFonts w:hint="default"/>
        </w:rPr>
        <w:t xml:space="preserve">4.1. </w:t>
      </w:r>
      <w:r>
        <w:rPr>
          <w:rFonts w:hint="eastAsia"/>
        </w:rPr>
        <w:t>塔机安装施工工艺流程</w:t>
      </w:r>
      <w:r>
        <w:tab/>
      </w:r>
      <w:r>
        <w:fldChar w:fldCharType="begin"/>
      </w:r>
      <w:r>
        <w:instrText xml:space="preserve"> PAGEREF _Toc24313 \h </w:instrText>
      </w:r>
      <w:r>
        <w:fldChar w:fldCharType="separate"/>
      </w:r>
      <w:r>
        <w:t>22</w:t>
      </w:r>
      <w:r>
        <w:fldChar w:fldCharType="end"/>
      </w:r>
      <w:r>
        <w:rPr>
          <w:highlight w:val="none"/>
        </w:rPr>
        <w:fldChar w:fldCharType="end"/>
      </w:r>
    </w:p>
    <w:p w14:paraId="1BE8E84D">
      <w:pPr>
        <w:pStyle w:val="26"/>
        <w:tabs>
          <w:tab w:val="right" w:leader="dot" w:pos="8306"/>
        </w:tabs>
      </w:pPr>
      <w:r>
        <w:rPr>
          <w:highlight w:val="none"/>
        </w:rPr>
        <w:fldChar w:fldCharType="begin"/>
      </w:r>
      <w:r>
        <w:rPr>
          <w:highlight w:val="none"/>
        </w:rPr>
        <w:instrText xml:space="preserve"> HYPERLINK \l _Toc10920 </w:instrText>
      </w:r>
      <w:r>
        <w:rPr>
          <w:highlight w:val="none"/>
        </w:rPr>
        <w:fldChar w:fldCharType="separate"/>
      </w:r>
      <w:r>
        <w:rPr>
          <w:rFonts w:hint="default"/>
          <w:lang w:val="en-US" w:eastAsia="zh-CN"/>
        </w:rPr>
        <w:t xml:space="preserve">4.2. </w:t>
      </w:r>
      <w:r>
        <w:rPr>
          <w:rFonts w:hint="eastAsia"/>
          <w:lang w:val="en-US" w:eastAsia="zh-CN"/>
        </w:rPr>
        <w:t>主要设备选型</w:t>
      </w:r>
      <w:r>
        <w:tab/>
      </w:r>
      <w:r>
        <w:fldChar w:fldCharType="begin"/>
      </w:r>
      <w:r>
        <w:instrText xml:space="preserve"> PAGEREF _Toc10920 \h </w:instrText>
      </w:r>
      <w:r>
        <w:fldChar w:fldCharType="separate"/>
      </w:r>
      <w:r>
        <w:t>22</w:t>
      </w:r>
      <w:r>
        <w:fldChar w:fldCharType="end"/>
      </w:r>
      <w:r>
        <w:rPr>
          <w:highlight w:val="none"/>
        </w:rPr>
        <w:fldChar w:fldCharType="end"/>
      </w:r>
    </w:p>
    <w:p w14:paraId="3D502C6B">
      <w:pPr>
        <w:pStyle w:val="26"/>
        <w:tabs>
          <w:tab w:val="right" w:leader="dot" w:pos="8306"/>
        </w:tabs>
      </w:pPr>
      <w:r>
        <w:rPr>
          <w:highlight w:val="none"/>
        </w:rPr>
        <w:fldChar w:fldCharType="begin"/>
      </w:r>
      <w:r>
        <w:rPr>
          <w:highlight w:val="none"/>
        </w:rPr>
        <w:instrText xml:space="preserve"> HYPERLINK \l _Toc10146 </w:instrText>
      </w:r>
      <w:r>
        <w:rPr>
          <w:highlight w:val="none"/>
        </w:rPr>
        <w:fldChar w:fldCharType="separate"/>
      </w:r>
      <w:r>
        <w:rPr>
          <w:rFonts w:hint="default"/>
          <w:lang w:val="en-US" w:eastAsia="zh-CN"/>
        </w:rPr>
        <w:t xml:space="preserve">4.3. </w:t>
      </w:r>
      <w:r>
        <w:rPr>
          <w:rFonts w:hint="eastAsia"/>
          <w:lang w:val="en-US" w:eastAsia="zh-CN"/>
        </w:rPr>
        <w:t>塔机安装前施工准备</w:t>
      </w:r>
      <w:r>
        <w:tab/>
      </w:r>
      <w:r>
        <w:fldChar w:fldCharType="begin"/>
      </w:r>
      <w:r>
        <w:instrText xml:space="preserve"> PAGEREF _Toc10146 \h </w:instrText>
      </w:r>
      <w:r>
        <w:fldChar w:fldCharType="separate"/>
      </w:r>
      <w:r>
        <w:t>26</w:t>
      </w:r>
      <w:r>
        <w:fldChar w:fldCharType="end"/>
      </w:r>
      <w:r>
        <w:rPr>
          <w:highlight w:val="none"/>
        </w:rPr>
        <w:fldChar w:fldCharType="end"/>
      </w:r>
    </w:p>
    <w:p w14:paraId="163F0994">
      <w:pPr>
        <w:pStyle w:val="26"/>
        <w:tabs>
          <w:tab w:val="right" w:leader="dot" w:pos="8306"/>
        </w:tabs>
      </w:pPr>
      <w:r>
        <w:rPr>
          <w:highlight w:val="none"/>
        </w:rPr>
        <w:fldChar w:fldCharType="begin"/>
      </w:r>
      <w:r>
        <w:rPr>
          <w:highlight w:val="none"/>
        </w:rPr>
        <w:instrText xml:space="preserve"> HYPERLINK \l _Toc15762 </w:instrText>
      </w:r>
      <w:r>
        <w:rPr>
          <w:highlight w:val="none"/>
        </w:rPr>
        <w:fldChar w:fldCharType="separate"/>
      </w:r>
      <w:r>
        <w:rPr>
          <w:rFonts w:hint="default"/>
        </w:rPr>
        <w:t xml:space="preserve">4.4. </w:t>
      </w:r>
      <w:r>
        <w:rPr>
          <w:rFonts w:hint="eastAsia"/>
        </w:rPr>
        <w:t>塔机安装具体步骤</w:t>
      </w:r>
      <w:r>
        <w:tab/>
      </w:r>
      <w:r>
        <w:fldChar w:fldCharType="begin"/>
      </w:r>
      <w:r>
        <w:instrText xml:space="preserve"> PAGEREF _Toc15762 \h </w:instrText>
      </w:r>
      <w:r>
        <w:fldChar w:fldCharType="separate"/>
      </w:r>
      <w:r>
        <w:t>28</w:t>
      </w:r>
      <w:r>
        <w:fldChar w:fldCharType="end"/>
      </w:r>
      <w:r>
        <w:rPr>
          <w:highlight w:val="none"/>
        </w:rPr>
        <w:fldChar w:fldCharType="end"/>
      </w:r>
    </w:p>
    <w:p w14:paraId="78C124F1">
      <w:pPr>
        <w:pStyle w:val="26"/>
        <w:tabs>
          <w:tab w:val="right" w:leader="dot" w:pos="8306"/>
        </w:tabs>
      </w:pPr>
      <w:r>
        <w:rPr>
          <w:highlight w:val="none"/>
        </w:rPr>
        <w:fldChar w:fldCharType="begin"/>
      </w:r>
      <w:r>
        <w:rPr>
          <w:highlight w:val="none"/>
        </w:rPr>
        <w:instrText xml:space="preserve"> HYPERLINK \l _Toc3677 </w:instrText>
      </w:r>
      <w:r>
        <w:rPr>
          <w:highlight w:val="none"/>
        </w:rPr>
        <w:fldChar w:fldCharType="separate"/>
      </w:r>
      <w:r>
        <w:rPr>
          <w:rFonts w:hint="default"/>
          <w:lang w:val="en-US" w:eastAsia="zh-CN"/>
        </w:rPr>
        <w:t xml:space="preserve">4.5. </w:t>
      </w:r>
      <w:r>
        <w:rPr>
          <w:rFonts w:hint="eastAsia"/>
          <w:lang w:val="en-US" w:eastAsia="zh-CN"/>
        </w:rPr>
        <w:t>检查要求</w:t>
      </w:r>
      <w:r>
        <w:tab/>
      </w:r>
      <w:r>
        <w:fldChar w:fldCharType="begin"/>
      </w:r>
      <w:r>
        <w:instrText xml:space="preserve"> PAGEREF _Toc3677 \h </w:instrText>
      </w:r>
      <w:r>
        <w:fldChar w:fldCharType="separate"/>
      </w:r>
      <w:r>
        <w:t>56</w:t>
      </w:r>
      <w:r>
        <w:fldChar w:fldCharType="end"/>
      </w:r>
      <w:r>
        <w:rPr>
          <w:highlight w:val="none"/>
        </w:rPr>
        <w:fldChar w:fldCharType="end"/>
      </w:r>
    </w:p>
    <w:p w14:paraId="44D36C6D">
      <w:pPr>
        <w:pStyle w:val="25"/>
        <w:tabs>
          <w:tab w:val="right" w:leader="dot" w:pos="8306"/>
        </w:tabs>
      </w:pPr>
      <w:r>
        <w:rPr>
          <w:highlight w:val="none"/>
        </w:rPr>
        <w:fldChar w:fldCharType="begin"/>
      </w:r>
      <w:r>
        <w:rPr>
          <w:highlight w:val="none"/>
        </w:rPr>
        <w:instrText xml:space="preserve"> HYPERLINK \l _Toc30877 </w:instrText>
      </w:r>
      <w:r>
        <w:rPr>
          <w:highlight w:val="none"/>
        </w:rPr>
        <w:fldChar w:fldCharType="separate"/>
      </w:r>
      <w:r>
        <w:rPr>
          <w:rFonts w:hint="default"/>
        </w:rPr>
        <w:t xml:space="preserve">5. </w:t>
      </w:r>
      <w:r>
        <w:rPr>
          <w:rFonts w:hint="eastAsia"/>
          <w:lang w:val="en-US" w:eastAsia="zh-CN"/>
        </w:rPr>
        <w:t>质量控制措施</w:t>
      </w:r>
      <w:r>
        <w:tab/>
      </w:r>
      <w:r>
        <w:fldChar w:fldCharType="begin"/>
      </w:r>
      <w:r>
        <w:instrText xml:space="preserve"> PAGEREF _Toc30877 \h </w:instrText>
      </w:r>
      <w:r>
        <w:fldChar w:fldCharType="separate"/>
      </w:r>
      <w:r>
        <w:t>60</w:t>
      </w:r>
      <w:r>
        <w:fldChar w:fldCharType="end"/>
      </w:r>
      <w:r>
        <w:rPr>
          <w:highlight w:val="none"/>
        </w:rPr>
        <w:fldChar w:fldCharType="end"/>
      </w:r>
    </w:p>
    <w:p w14:paraId="7D3F8070">
      <w:pPr>
        <w:pStyle w:val="26"/>
        <w:tabs>
          <w:tab w:val="right" w:leader="dot" w:pos="8306"/>
        </w:tabs>
      </w:pPr>
      <w:r>
        <w:rPr>
          <w:highlight w:val="none"/>
        </w:rPr>
        <w:fldChar w:fldCharType="begin"/>
      </w:r>
      <w:r>
        <w:rPr>
          <w:highlight w:val="none"/>
        </w:rPr>
        <w:instrText xml:space="preserve"> HYPERLINK \l _Toc9898 </w:instrText>
      </w:r>
      <w:r>
        <w:rPr>
          <w:highlight w:val="none"/>
        </w:rPr>
        <w:fldChar w:fldCharType="separate"/>
      </w:r>
      <w:r>
        <w:rPr>
          <w:rFonts w:hint="default"/>
        </w:rPr>
        <w:t xml:space="preserve">5.1. </w:t>
      </w:r>
      <w:r>
        <w:rPr>
          <w:rFonts w:hint="eastAsia"/>
        </w:rPr>
        <w:t>质量管理组织机构</w:t>
      </w:r>
      <w:r>
        <w:tab/>
      </w:r>
      <w:r>
        <w:fldChar w:fldCharType="begin"/>
      </w:r>
      <w:r>
        <w:instrText xml:space="preserve"> PAGEREF _Toc9898 \h </w:instrText>
      </w:r>
      <w:r>
        <w:fldChar w:fldCharType="separate"/>
      </w:r>
      <w:r>
        <w:t>60</w:t>
      </w:r>
      <w:r>
        <w:fldChar w:fldCharType="end"/>
      </w:r>
      <w:r>
        <w:rPr>
          <w:highlight w:val="none"/>
        </w:rPr>
        <w:fldChar w:fldCharType="end"/>
      </w:r>
    </w:p>
    <w:p w14:paraId="5CAD7996">
      <w:pPr>
        <w:pStyle w:val="26"/>
        <w:tabs>
          <w:tab w:val="right" w:leader="dot" w:pos="8306"/>
        </w:tabs>
      </w:pPr>
      <w:r>
        <w:rPr>
          <w:highlight w:val="none"/>
        </w:rPr>
        <w:fldChar w:fldCharType="begin"/>
      </w:r>
      <w:r>
        <w:rPr>
          <w:highlight w:val="none"/>
        </w:rPr>
        <w:instrText xml:space="preserve"> HYPERLINK \l _Toc3594 </w:instrText>
      </w:r>
      <w:r>
        <w:rPr>
          <w:highlight w:val="none"/>
        </w:rPr>
        <w:fldChar w:fldCharType="separate"/>
      </w:r>
      <w:r>
        <w:rPr>
          <w:rFonts w:hint="default"/>
        </w:rPr>
        <w:t xml:space="preserve">5.2. </w:t>
      </w:r>
      <w:r>
        <w:rPr>
          <w:rFonts w:hint="eastAsia"/>
        </w:rPr>
        <w:t>质量通病及质量通病预防</w:t>
      </w:r>
      <w:r>
        <w:tab/>
      </w:r>
      <w:r>
        <w:fldChar w:fldCharType="begin"/>
      </w:r>
      <w:r>
        <w:instrText xml:space="preserve"> PAGEREF _Toc3594 \h </w:instrText>
      </w:r>
      <w:r>
        <w:fldChar w:fldCharType="separate"/>
      </w:r>
      <w:r>
        <w:t>60</w:t>
      </w:r>
      <w:r>
        <w:fldChar w:fldCharType="end"/>
      </w:r>
      <w:r>
        <w:rPr>
          <w:highlight w:val="none"/>
        </w:rPr>
        <w:fldChar w:fldCharType="end"/>
      </w:r>
    </w:p>
    <w:p w14:paraId="026C4FCD">
      <w:pPr>
        <w:pStyle w:val="26"/>
        <w:tabs>
          <w:tab w:val="right" w:leader="dot" w:pos="8306"/>
        </w:tabs>
      </w:pPr>
      <w:r>
        <w:rPr>
          <w:highlight w:val="none"/>
        </w:rPr>
        <w:fldChar w:fldCharType="begin"/>
      </w:r>
      <w:r>
        <w:rPr>
          <w:highlight w:val="none"/>
        </w:rPr>
        <w:instrText xml:space="preserve"> HYPERLINK \l _Toc7040 </w:instrText>
      </w:r>
      <w:r>
        <w:rPr>
          <w:highlight w:val="none"/>
        </w:rPr>
        <w:fldChar w:fldCharType="separate"/>
      </w:r>
      <w:r>
        <w:rPr>
          <w:rFonts w:hint="default"/>
        </w:rPr>
        <w:t xml:space="preserve">5.3. </w:t>
      </w:r>
      <w:r>
        <w:rPr>
          <w:rFonts w:hint="eastAsia"/>
        </w:rPr>
        <w:t>质量保证措施</w:t>
      </w:r>
      <w:r>
        <w:tab/>
      </w:r>
      <w:r>
        <w:fldChar w:fldCharType="begin"/>
      </w:r>
      <w:r>
        <w:instrText xml:space="preserve"> PAGEREF _Toc7040 \h </w:instrText>
      </w:r>
      <w:r>
        <w:fldChar w:fldCharType="separate"/>
      </w:r>
      <w:r>
        <w:t>61</w:t>
      </w:r>
      <w:r>
        <w:fldChar w:fldCharType="end"/>
      </w:r>
      <w:r>
        <w:rPr>
          <w:highlight w:val="none"/>
        </w:rPr>
        <w:fldChar w:fldCharType="end"/>
      </w:r>
    </w:p>
    <w:p w14:paraId="58FF2729">
      <w:pPr>
        <w:pStyle w:val="26"/>
        <w:tabs>
          <w:tab w:val="right" w:leader="dot" w:pos="8306"/>
        </w:tabs>
      </w:pPr>
      <w:r>
        <w:rPr>
          <w:highlight w:val="none"/>
        </w:rPr>
        <w:fldChar w:fldCharType="begin"/>
      </w:r>
      <w:r>
        <w:rPr>
          <w:highlight w:val="none"/>
        </w:rPr>
        <w:instrText xml:space="preserve"> HYPERLINK \l _Toc8137 </w:instrText>
      </w:r>
      <w:r>
        <w:rPr>
          <w:highlight w:val="none"/>
        </w:rPr>
        <w:fldChar w:fldCharType="separate"/>
      </w:r>
      <w:r>
        <w:rPr>
          <w:rFonts w:hint="default"/>
        </w:rPr>
        <w:t xml:space="preserve">5.4. </w:t>
      </w:r>
      <w:r>
        <w:rPr>
          <w:rFonts w:hint="eastAsia"/>
        </w:rPr>
        <w:t>作业过程中控制点的设置</w:t>
      </w:r>
      <w:r>
        <w:tab/>
      </w:r>
      <w:r>
        <w:fldChar w:fldCharType="begin"/>
      </w:r>
      <w:r>
        <w:instrText xml:space="preserve"> PAGEREF _Toc8137 \h </w:instrText>
      </w:r>
      <w:r>
        <w:fldChar w:fldCharType="separate"/>
      </w:r>
      <w:r>
        <w:t>63</w:t>
      </w:r>
      <w:r>
        <w:fldChar w:fldCharType="end"/>
      </w:r>
      <w:r>
        <w:rPr>
          <w:highlight w:val="none"/>
        </w:rPr>
        <w:fldChar w:fldCharType="end"/>
      </w:r>
    </w:p>
    <w:p w14:paraId="6D63A69A">
      <w:pPr>
        <w:pStyle w:val="25"/>
        <w:tabs>
          <w:tab w:val="right" w:leader="dot" w:pos="8306"/>
        </w:tabs>
      </w:pPr>
      <w:r>
        <w:rPr>
          <w:highlight w:val="none"/>
        </w:rPr>
        <w:fldChar w:fldCharType="begin"/>
      </w:r>
      <w:r>
        <w:rPr>
          <w:highlight w:val="none"/>
        </w:rPr>
        <w:instrText xml:space="preserve"> HYPERLINK \l _Toc26271 </w:instrText>
      </w:r>
      <w:r>
        <w:rPr>
          <w:highlight w:val="none"/>
        </w:rPr>
        <w:fldChar w:fldCharType="separate"/>
      </w:r>
      <w:r>
        <w:rPr>
          <w:rFonts w:hint="default" w:ascii="宋体" w:hAnsi="宋体" w:eastAsia="宋体" w:cs="Times New Roman"/>
          <w:lang w:val="en-US" w:eastAsia="zh-CN"/>
        </w:rPr>
        <w:t xml:space="preserve">6. </w:t>
      </w:r>
      <w:r>
        <w:rPr>
          <w:rFonts w:hint="eastAsia" w:ascii="宋体" w:hAnsi="宋体" w:eastAsia="宋体" w:cs="Times New Roman"/>
          <w:lang w:val="en-US" w:eastAsia="zh-CN"/>
        </w:rPr>
        <w:t>施工安全保障措施</w:t>
      </w:r>
      <w:r>
        <w:tab/>
      </w:r>
      <w:r>
        <w:fldChar w:fldCharType="begin"/>
      </w:r>
      <w:r>
        <w:instrText xml:space="preserve"> PAGEREF _Toc26271 \h </w:instrText>
      </w:r>
      <w:r>
        <w:fldChar w:fldCharType="separate"/>
      </w:r>
      <w:r>
        <w:t>64</w:t>
      </w:r>
      <w:r>
        <w:fldChar w:fldCharType="end"/>
      </w:r>
      <w:r>
        <w:rPr>
          <w:highlight w:val="none"/>
        </w:rPr>
        <w:fldChar w:fldCharType="end"/>
      </w:r>
    </w:p>
    <w:p w14:paraId="40851E33">
      <w:pPr>
        <w:pStyle w:val="26"/>
        <w:tabs>
          <w:tab w:val="right" w:leader="dot" w:pos="8306"/>
        </w:tabs>
      </w:pPr>
      <w:r>
        <w:rPr>
          <w:highlight w:val="none"/>
        </w:rPr>
        <w:fldChar w:fldCharType="begin"/>
      </w:r>
      <w:r>
        <w:rPr>
          <w:highlight w:val="none"/>
        </w:rPr>
        <w:instrText xml:space="preserve"> HYPERLINK \l _Toc18942 </w:instrText>
      </w:r>
      <w:r>
        <w:rPr>
          <w:highlight w:val="none"/>
        </w:rPr>
        <w:fldChar w:fldCharType="separate"/>
      </w:r>
      <w:r>
        <w:rPr>
          <w:rFonts w:hint="default"/>
        </w:rPr>
        <w:t xml:space="preserve">6.1. </w:t>
      </w:r>
      <w:r>
        <w:rPr>
          <w:rFonts w:hint="eastAsia"/>
        </w:rPr>
        <w:t>组织保障措施</w:t>
      </w:r>
      <w:r>
        <w:tab/>
      </w:r>
      <w:r>
        <w:fldChar w:fldCharType="begin"/>
      </w:r>
      <w:r>
        <w:instrText xml:space="preserve"> PAGEREF _Toc18942 \h </w:instrText>
      </w:r>
      <w:r>
        <w:fldChar w:fldCharType="separate"/>
      </w:r>
      <w:r>
        <w:t>64</w:t>
      </w:r>
      <w:r>
        <w:fldChar w:fldCharType="end"/>
      </w:r>
      <w:r>
        <w:rPr>
          <w:highlight w:val="none"/>
        </w:rPr>
        <w:fldChar w:fldCharType="end"/>
      </w:r>
    </w:p>
    <w:p w14:paraId="6E076F44">
      <w:pPr>
        <w:pStyle w:val="26"/>
        <w:tabs>
          <w:tab w:val="right" w:leader="dot" w:pos="8306"/>
        </w:tabs>
      </w:pPr>
      <w:r>
        <w:rPr>
          <w:highlight w:val="none"/>
        </w:rPr>
        <w:fldChar w:fldCharType="begin"/>
      </w:r>
      <w:r>
        <w:rPr>
          <w:highlight w:val="none"/>
        </w:rPr>
        <w:instrText xml:space="preserve"> HYPERLINK \l _Toc8047 </w:instrText>
      </w:r>
      <w:r>
        <w:rPr>
          <w:highlight w:val="none"/>
        </w:rPr>
        <w:fldChar w:fldCharType="separate"/>
      </w:r>
      <w:r>
        <w:rPr>
          <w:rFonts w:hint="default"/>
        </w:rPr>
        <w:t xml:space="preserve">6.2. </w:t>
      </w:r>
      <w:r>
        <w:rPr>
          <w:rFonts w:hint="eastAsia"/>
        </w:rPr>
        <w:t>制度保障措施</w:t>
      </w:r>
      <w:r>
        <w:tab/>
      </w:r>
      <w:r>
        <w:fldChar w:fldCharType="begin"/>
      </w:r>
      <w:r>
        <w:instrText xml:space="preserve"> PAGEREF _Toc8047 \h </w:instrText>
      </w:r>
      <w:r>
        <w:fldChar w:fldCharType="separate"/>
      </w:r>
      <w:r>
        <w:t>71</w:t>
      </w:r>
      <w:r>
        <w:fldChar w:fldCharType="end"/>
      </w:r>
      <w:r>
        <w:rPr>
          <w:highlight w:val="none"/>
        </w:rPr>
        <w:fldChar w:fldCharType="end"/>
      </w:r>
    </w:p>
    <w:p w14:paraId="4F524F74">
      <w:pPr>
        <w:pStyle w:val="26"/>
        <w:tabs>
          <w:tab w:val="right" w:leader="dot" w:pos="8306"/>
        </w:tabs>
      </w:pPr>
      <w:r>
        <w:rPr>
          <w:highlight w:val="none"/>
        </w:rPr>
        <w:fldChar w:fldCharType="begin"/>
      </w:r>
      <w:r>
        <w:rPr>
          <w:highlight w:val="none"/>
        </w:rPr>
        <w:instrText xml:space="preserve"> HYPERLINK \l _Toc27356 </w:instrText>
      </w:r>
      <w:r>
        <w:rPr>
          <w:highlight w:val="none"/>
        </w:rPr>
        <w:fldChar w:fldCharType="separate"/>
      </w:r>
      <w:r>
        <w:rPr>
          <w:rFonts w:hint="default"/>
        </w:rPr>
        <w:t xml:space="preserve">6.3. </w:t>
      </w:r>
      <w:r>
        <w:rPr>
          <w:rFonts w:hint="eastAsia"/>
        </w:rPr>
        <w:t>监管措施</w:t>
      </w:r>
      <w:r>
        <w:tab/>
      </w:r>
      <w:r>
        <w:fldChar w:fldCharType="begin"/>
      </w:r>
      <w:r>
        <w:instrText xml:space="preserve"> PAGEREF _Toc27356 \h </w:instrText>
      </w:r>
      <w:r>
        <w:fldChar w:fldCharType="separate"/>
      </w:r>
      <w:r>
        <w:t>74</w:t>
      </w:r>
      <w:r>
        <w:fldChar w:fldCharType="end"/>
      </w:r>
      <w:r>
        <w:rPr>
          <w:highlight w:val="none"/>
        </w:rPr>
        <w:fldChar w:fldCharType="end"/>
      </w:r>
    </w:p>
    <w:p w14:paraId="6D601676">
      <w:pPr>
        <w:pStyle w:val="26"/>
        <w:tabs>
          <w:tab w:val="right" w:leader="dot" w:pos="8306"/>
        </w:tabs>
      </w:pPr>
      <w:r>
        <w:rPr>
          <w:highlight w:val="none"/>
        </w:rPr>
        <w:fldChar w:fldCharType="begin"/>
      </w:r>
      <w:r>
        <w:rPr>
          <w:highlight w:val="none"/>
        </w:rPr>
        <w:instrText xml:space="preserve"> HYPERLINK \l _Toc1541 </w:instrText>
      </w:r>
      <w:r>
        <w:rPr>
          <w:highlight w:val="none"/>
        </w:rPr>
        <w:fldChar w:fldCharType="separate"/>
      </w:r>
      <w:r>
        <w:rPr>
          <w:rFonts w:hint="default"/>
        </w:rPr>
        <w:t xml:space="preserve">6.4. </w:t>
      </w:r>
      <w:r>
        <w:rPr>
          <w:rFonts w:hint="eastAsia"/>
        </w:rPr>
        <w:t>施工安全技术控制措施</w:t>
      </w:r>
      <w:r>
        <w:tab/>
      </w:r>
      <w:r>
        <w:fldChar w:fldCharType="begin"/>
      </w:r>
      <w:r>
        <w:instrText xml:space="preserve"> PAGEREF _Toc1541 \h </w:instrText>
      </w:r>
      <w:r>
        <w:fldChar w:fldCharType="separate"/>
      </w:r>
      <w:r>
        <w:t>74</w:t>
      </w:r>
      <w:r>
        <w:fldChar w:fldCharType="end"/>
      </w:r>
      <w:r>
        <w:rPr>
          <w:highlight w:val="none"/>
        </w:rPr>
        <w:fldChar w:fldCharType="end"/>
      </w:r>
    </w:p>
    <w:p w14:paraId="470DCB9D">
      <w:pPr>
        <w:pStyle w:val="25"/>
        <w:tabs>
          <w:tab w:val="right" w:leader="dot" w:pos="8306"/>
        </w:tabs>
      </w:pPr>
      <w:r>
        <w:rPr>
          <w:highlight w:val="none"/>
        </w:rPr>
        <w:fldChar w:fldCharType="begin"/>
      </w:r>
      <w:r>
        <w:rPr>
          <w:highlight w:val="none"/>
        </w:rPr>
        <w:instrText xml:space="preserve"> HYPERLINK \l _Toc23087 </w:instrText>
      </w:r>
      <w:r>
        <w:rPr>
          <w:highlight w:val="none"/>
        </w:rPr>
        <w:fldChar w:fldCharType="separate"/>
      </w:r>
      <w:r>
        <w:rPr>
          <w:rFonts w:hint="default"/>
        </w:rPr>
        <w:t xml:space="preserve">7. </w:t>
      </w:r>
      <w:r>
        <w:t>施工管理及作业人员配备和分工</w:t>
      </w:r>
      <w:r>
        <w:tab/>
      </w:r>
      <w:r>
        <w:fldChar w:fldCharType="begin"/>
      </w:r>
      <w:r>
        <w:instrText xml:space="preserve"> PAGEREF _Toc23087 \h </w:instrText>
      </w:r>
      <w:r>
        <w:fldChar w:fldCharType="separate"/>
      </w:r>
      <w:r>
        <w:t>86</w:t>
      </w:r>
      <w:r>
        <w:fldChar w:fldCharType="end"/>
      </w:r>
      <w:r>
        <w:rPr>
          <w:highlight w:val="none"/>
        </w:rPr>
        <w:fldChar w:fldCharType="end"/>
      </w:r>
    </w:p>
    <w:p w14:paraId="5E9BBBEB">
      <w:pPr>
        <w:pStyle w:val="26"/>
        <w:tabs>
          <w:tab w:val="right" w:leader="dot" w:pos="8306"/>
        </w:tabs>
      </w:pPr>
      <w:r>
        <w:rPr>
          <w:highlight w:val="none"/>
        </w:rPr>
        <w:fldChar w:fldCharType="begin"/>
      </w:r>
      <w:r>
        <w:rPr>
          <w:highlight w:val="none"/>
        </w:rPr>
        <w:instrText xml:space="preserve"> HYPERLINK \l _Toc21237 </w:instrText>
      </w:r>
      <w:r>
        <w:rPr>
          <w:highlight w:val="none"/>
        </w:rPr>
        <w:fldChar w:fldCharType="separate"/>
      </w:r>
      <w:r>
        <w:rPr>
          <w:rFonts w:hint="default"/>
        </w:rPr>
        <w:t xml:space="preserve">7.1. </w:t>
      </w:r>
      <w:r>
        <w:rPr>
          <w:rFonts w:hint="eastAsia"/>
          <w:highlight w:val="none"/>
        </w:rPr>
        <w:t>施工</w:t>
      </w:r>
      <w:r>
        <w:rPr>
          <w:rFonts w:hint="eastAsia" w:ascii="宋体" w:hAnsi="宋体" w:eastAsia="宋体" w:cs="Times New Roman"/>
        </w:rPr>
        <w:t>组织</w:t>
      </w:r>
      <w:r>
        <w:rPr>
          <w:rFonts w:hint="eastAsia"/>
          <w:highlight w:val="none"/>
        </w:rPr>
        <w:t>机构</w:t>
      </w:r>
      <w:r>
        <w:tab/>
      </w:r>
      <w:r>
        <w:fldChar w:fldCharType="begin"/>
      </w:r>
      <w:r>
        <w:instrText xml:space="preserve"> PAGEREF _Toc21237 \h </w:instrText>
      </w:r>
      <w:r>
        <w:fldChar w:fldCharType="separate"/>
      </w:r>
      <w:r>
        <w:t>86</w:t>
      </w:r>
      <w:r>
        <w:fldChar w:fldCharType="end"/>
      </w:r>
      <w:r>
        <w:rPr>
          <w:highlight w:val="none"/>
        </w:rPr>
        <w:fldChar w:fldCharType="end"/>
      </w:r>
    </w:p>
    <w:p w14:paraId="050A390A">
      <w:pPr>
        <w:pStyle w:val="26"/>
        <w:tabs>
          <w:tab w:val="right" w:leader="dot" w:pos="8306"/>
        </w:tabs>
      </w:pPr>
      <w:r>
        <w:rPr>
          <w:highlight w:val="none"/>
        </w:rPr>
        <w:fldChar w:fldCharType="begin"/>
      </w:r>
      <w:r>
        <w:rPr>
          <w:highlight w:val="none"/>
        </w:rPr>
        <w:instrText xml:space="preserve"> HYPERLINK \l _Toc5699 </w:instrText>
      </w:r>
      <w:r>
        <w:rPr>
          <w:highlight w:val="none"/>
        </w:rPr>
        <w:fldChar w:fldCharType="separate"/>
      </w:r>
      <w:r>
        <w:rPr>
          <w:rFonts w:hint="default"/>
        </w:rPr>
        <w:t xml:space="preserve">7.2. </w:t>
      </w:r>
      <w:r>
        <w:rPr>
          <w:rFonts w:hint="eastAsia"/>
          <w:highlight w:val="none"/>
        </w:rPr>
        <w:t>人员</w:t>
      </w:r>
      <w:r>
        <w:rPr>
          <w:rFonts w:hint="eastAsia" w:ascii="宋体" w:hAnsi="宋体" w:eastAsia="宋体" w:cs="Times New Roman"/>
        </w:rPr>
        <w:t>配置</w:t>
      </w:r>
      <w:r>
        <w:tab/>
      </w:r>
      <w:r>
        <w:fldChar w:fldCharType="begin"/>
      </w:r>
      <w:r>
        <w:instrText xml:space="preserve"> PAGEREF _Toc5699 \h </w:instrText>
      </w:r>
      <w:r>
        <w:fldChar w:fldCharType="separate"/>
      </w:r>
      <w:r>
        <w:t>86</w:t>
      </w:r>
      <w:r>
        <w:fldChar w:fldCharType="end"/>
      </w:r>
      <w:r>
        <w:rPr>
          <w:highlight w:val="none"/>
        </w:rPr>
        <w:fldChar w:fldCharType="end"/>
      </w:r>
    </w:p>
    <w:p w14:paraId="1375AFB9">
      <w:pPr>
        <w:pStyle w:val="25"/>
        <w:tabs>
          <w:tab w:val="right" w:leader="dot" w:pos="8306"/>
        </w:tabs>
      </w:pPr>
      <w:r>
        <w:rPr>
          <w:highlight w:val="none"/>
        </w:rPr>
        <w:fldChar w:fldCharType="begin"/>
      </w:r>
      <w:r>
        <w:rPr>
          <w:highlight w:val="none"/>
        </w:rPr>
        <w:instrText xml:space="preserve"> HYPERLINK \l _Toc23331 </w:instrText>
      </w:r>
      <w:r>
        <w:rPr>
          <w:highlight w:val="none"/>
        </w:rPr>
        <w:fldChar w:fldCharType="separate"/>
      </w:r>
      <w:r>
        <w:rPr>
          <w:rFonts w:hint="default"/>
        </w:rPr>
        <w:t xml:space="preserve">8. </w:t>
      </w:r>
      <w:r>
        <w:rPr>
          <w:rFonts w:hint="eastAsia"/>
          <w:lang w:val="en-US" w:eastAsia="zh-CN"/>
        </w:rPr>
        <w:t>验收要求</w:t>
      </w:r>
      <w:r>
        <w:tab/>
      </w:r>
      <w:r>
        <w:fldChar w:fldCharType="begin"/>
      </w:r>
      <w:r>
        <w:instrText xml:space="preserve"> PAGEREF _Toc23331 \h </w:instrText>
      </w:r>
      <w:r>
        <w:fldChar w:fldCharType="separate"/>
      </w:r>
      <w:r>
        <w:t>89</w:t>
      </w:r>
      <w:r>
        <w:fldChar w:fldCharType="end"/>
      </w:r>
      <w:r>
        <w:rPr>
          <w:highlight w:val="none"/>
        </w:rPr>
        <w:fldChar w:fldCharType="end"/>
      </w:r>
    </w:p>
    <w:p w14:paraId="7569BF27">
      <w:pPr>
        <w:pStyle w:val="26"/>
        <w:tabs>
          <w:tab w:val="right" w:leader="dot" w:pos="8306"/>
        </w:tabs>
      </w:pPr>
      <w:r>
        <w:rPr>
          <w:highlight w:val="none"/>
        </w:rPr>
        <w:fldChar w:fldCharType="begin"/>
      </w:r>
      <w:r>
        <w:rPr>
          <w:highlight w:val="none"/>
        </w:rPr>
        <w:instrText xml:space="preserve"> HYPERLINK \l _Toc22807 </w:instrText>
      </w:r>
      <w:r>
        <w:rPr>
          <w:highlight w:val="none"/>
        </w:rPr>
        <w:fldChar w:fldCharType="separate"/>
      </w:r>
      <w:r>
        <w:rPr>
          <w:rFonts w:hint="default"/>
          <w:lang w:val="en-US" w:eastAsia="zh-CN"/>
        </w:rPr>
        <w:t xml:space="preserve">8.1. </w:t>
      </w:r>
      <w:r>
        <w:rPr>
          <w:rFonts w:hint="eastAsia"/>
          <w:highlight w:val="none"/>
          <w:lang w:val="en-US" w:eastAsia="zh-CN"/>
        </w:rPr>
        <w:t>验收标准</w:t>
      </w:r>
      <w:r>
        <w:tab/>
      </w:r>
      <w:r>
        <w:fldChar w:fldCharType="begin"/>
      </w:r>
      <w:r>
        <w:instrText xml:space="preserve"> PAGEREF _Toc22807 \h </w:instrText>
      </w:r>
      <w:r>
        <w:fldChar w:fldCharType="separate"/>
      </w:r>
      <w:r>
        <w:t>89</w:t>
      </w:r>
      <w:r>
        <w:fldChar w:fldCharType="end"/>
      </w:r>
      <w:r>
        <w:rPr>
          <w:highlight w:val="none"/>
        </w:rPr>
        <w:fldChar w:fldCharType="end"/>
      </w:r>
    </w:p>
    <w:p w14:paraId="68515079">
      <w:pPr>
        <w:pStyle w:val="26"/>
        <w:tabs>
          <w:tab w:val="right" w:leader="dot" w:pos="8306"/>
        </w:tabs>
      </w:pPr>
      <w:r>
        <w:rPr>
          <w:highlight w:val="none"/>
        </w:rPr>
        <w:fldChar w:fldCharType="begin"/>
      </w:r>
      <w:r>
        <w:rPr>
          <w:highlight w:val="none"/>
        </w:rPr>
        <w:instrText xml:space="preserve"> HYPERLINK \l _Toc20146 </w:instrText>
      </w:r>
      <w:r>
        <w:rPr>
          <w:highlight w:val="none"/>
        </w:rPr>
        <w:fldChar w:fldCharType="separate"/>
      </w:r>
      <w:r>
        <w:rPr>
          <w:rFonts w:hint="default"/>
          <w:lang w:val="en-US" w:eastAsia="zh-CN"/>
        </w:rPr>
        <w:t xml:space="preserve">8.2. </w:t>
      </w:r>
      <w:r>
        <w:rPr>
          <w:rFonts w:hint="eastAsia"/>
          <w:lang w:val="en-US" w:eastAsia="zh-CN"/>
        </w:rPr>
        <w:t>验收程序和验收人员</w:t>
      </w:r>
      <w:r>
        <w:tab/>
      </w:r>
      <w:r>
        <w:fldChar w:fldCharType="begin"/>
      </w:r>
      <w:r>
        <w:instrText xml:space="preserve"> PAGEREF _Toc20146 \h </w:instrText>
      </w:r>
      <w:r>
        <w:fldChar w:fldCharType="separate"/>
      </w:r>
      <w:r>
        <w:t>92</w:t>
      </w:r>
      <w:r>
        <w:fldChar w:fldCharType="end"/>
      </w:r>
      <w:r>
        <w:rPr>
          <w:highlight w:val="none"/>
        </w:rPr>
        <w:fldChar w:fldCharType="end"/>
      </w:r>
    </w:p>
    <w:p w14:paraId="4D1CDC43">
      <w:pPr>
        <w:pStyle w:val="26"/>
        <w:tabs>
          <w:tab w:val="right" w:leader="dot" w:pos="8306"/>
        </w:tabs>
      </w:pPr>
      <w:r>
        <w:rPr>
          <w:highlight w:val="none"/>
        </w:rPr>
        <w:fldChar w:fldCharType="begin"/>
      </w:r>
      <w:r>
        <w:rPr>
          <w:highlight w:val="none"/>
        </w:rPr>
        <w:instrText xml:space="preserve"> HYPERLINK \l _Toc24559 </w:instrText>
      </w:r>
      <w:r>
        <w:rPr>
          <w:highlight w:val="none"/>
        </w:rPr>
        <w:fldChar w:fldCharType="separate"/>
      </w:r>
      <w:r>
        <w:rPr>
          <w:rFonts w:hint="default" w:cs="Times New Roman"/>
          <w:lang w:val="en-US" w:eastAsia="zh-CN"/>
        </w:rPr>
        <w:t xml:space="preserve">8.3. </w:t>
      </w:r>
      <w:r>
        <w:rPr>
          <w:rFonts w:hint="eastAsia" w:ascii="Arial" w:hAnsi="Arial" w:cs="Times New Roman"/>
          <w:highlight w:val="none"/>
          <w:lang w:val="en-US" w:eastAsia="zh-CN"/>
        </w:rPr>
        <w:t>验收</w:t>
      </w:r>
      <w:r>
        <w:rPr>
          <w:rFonts w:hint="eastAsia" w:cs="Times New Roman"/>
          <w:highlight w:val="none"/>
          <w:lang w:val="en-US" w:eastAsia="zh-CN"/>
        </w:rPr>
        <w:t>内容</w:t>
      </w:r>
      <w:r>
        <w:tab/>
      </w:r>
      <w:r>
        <w:fldChar w:fldCharType="begin"/>
      </w:r>
      <w:r>
        <w:instrText xml:space="preserve"> PAGEREF _Toc24559 \h </w:instrText>
      </w:r>
      <w:r>
        <w:fldChar w:fldCharType="separate"/>
      </w:r>
      <w:r>
        <w:t>95</w:t>
      </w:r>
      <w:r>
        <w:fldChar w:fldCharType="end"/>
      </w:r>
      <w:r>
        <w:rPr>
          <w:highlight w:val="none"/>
        </w:rPr>
        <w:fldChar w:fldCharType="end"/>
      </w:r>
    </w:p>
    <w:p w14:paraId="00B971F6">
      <w:pPr>
        <w:pStyle w:val="25"/>
        <w:tabs>
          <w:tab w:val="right" w:leader="dot" w:pos="8306"/>
        </w:tabs>
      </w:pPr>
      <w:r>
        <w:rPr>
          <w:highlight w:val="none"/>
        </w:rPr>
        <w:fldChar w:fldCharType="begin"/>
      </w:r>
      <w:r>
        <w:rPr>
          <w:highlight w:val="none"/>
        </w:rPr>
        <w:instrText xml:space="preserve"> HYPERLINK \l _Toc21688 </w:instrText>
      </w:r>
      <w:r>
        <w:rPr>
          <w:highlight w:val="none"/>
        </w:rPr>
        <w:fldChar w:fldCharType="separate"/>
      </w:r>
      <w:r>
        <w:rPr>
          <w:rFonts w:hint="default"/>
        </w:rPr>
        <w:t xml:space="preserve">9. </w:t>
      </w:r>
      <w:r>
        <w:rPr>
          <w:rFonts w:hint="eastAsia"/>
        </w:rPr>
        <w:t>应急处置</w:t>
      </w:r>
      <w:r>
        <w:rPr>
          <w:rFonts w:hint="eastAsia"/>
          <w:lang w:eastAsia="zh-CN"/>
        </w:rPr>
        <w:t>措施</w:t>
      </w:r>
      <w:r>
        <w:tab/>
      </w:r>
      <w:r>
        <w:fldChar w:fldCharType="begin"/>
      </w:r>
      <w:r>
        <w:instrText xml:space="preserve"> PAGEREF _Toc21688 \h </w:instrText>
      </w:r>
      <w:r>
        <w:fldChar w:fldCharType="separate"/>
      </w:r>
      <w:r>
        <w:t>99</w:t>
      </w:r>
      <w:r>
        <w:fldChar w:fldCharType="end"/>
      </w:r>
      <w:r>
        <w:rPr>
          <w:highlight w:val="none"/>
        </w:rPr>
        <w:fldChar w:fldCharType="end"/>
      </w:r>
    </w:p>
    <w:p w14:paraId="7B3E5895">
      <w:pPr>
        <w:pStyle w:val="26"/>
        <w:tabs>
          <w:tab w:val="right" w:leader="dot" w:pos="8306"/>
        </w:tabs>
      </w:pPr>
      <w:r>
        <w:rPr>
          <w:highlight w:val="none"/>
        </w:rPr>
        <w:fldChar w:fldCharType="begin"/>
      </w:r>
      <w:r>
        <w:rPr>
          <w:highlight w:val="none"/>
        </w:rPr>
        <w:instrText xml:space="preserve"> HYPERLINK \l _Toc16590 </w:instrText>
      </w:r>
      <w:r>
        <w:rPr>
          <w:highlight w:val="none"/>
        </w:rPr>
        <w:fldChar w:fldCharType="separate"/>
      </w:r>
      <w:r>
        <w:rPr>
          <w:rFonts w:hint="default"/>
        </w:rPr>
        <w:t xml:space="preserve">9.1. </w:t>
      </w:r>
      <w:r>
        <w:rPr>
          <w:rFonts w:hint="eastAsia"/>
          <w:highlight w:val="none"/>
        </w:rPr>
        <w:t>危险源</w:t>
      </w:r>
      <w:r>
        <w:rPr>
          <w:rFonts w:hint="eastAsia" w:ascii="宋体" w:hAnsi="宋体" w:eastAsia="宋体" w:cs="Times New Roman"/>
        </w:rPr>
        <w:t>辨识</w:t>
      </w:r>
      <w:r>
        <w:tab/>
      </w:r>
      <w:r>
        <w:fldChar w:fldCharType="begin"/>
      </w:r>
      <w:r>
        <w:instrText xml:space="preserve"> PAGEREF _Toc16590 \h </w:instrText>
      </w:r>
      <w:r>
        <w:fldChar w:fldCharType="separate"/>
      </w:r>
      <w:r>
        <w:t>99</w:t>
      </w:r>
      <w:r>
        <w:fldChar w:fldCharType="end"/>
      </w:r>
      <w:r>
        <w:rPr>
          <w:highlight w:val="none"/>
        </w:rPr>
        <w:fldChar w:fldCharType="end"/>
      </w:r>
    </w:p>
    <w:p w14:paraId="169696D1">
      <w:pPr>
        <w:pStyle w:val="26"/>
        <w:tabs>
          <w:tab w:val="right" w:leader="dot" w:pos="8306"/>
        </w:tabs>
      </w:pPr>
      <w:r>
        <w:rPr>
          <w:highlight w:val="none"/>
        </w:rPr>
        <w:fldChar w:fldCharType="begin"/>
      </w:r>
      <w:r>
        <w:rPr>
          <w:highlight w:val="none"/>
        </w:rPr>
        <w:instrText xml:space="preserve"> HYPERLINK \l _Toc4461 </w:instrText>
      </w:r>
      <w:r>
        <w:rPr>
          <w:highlight w:val="none"/>
        </w:rPr>
        <w:fldChar w:fldCharType="separate"/>
      </w:r>
      <w:r>
        <w:rPr>
          <w:rFonts w:hint="default"/>
        </w:rPr>
        <w:t xml:space="preserve">9.2. </w:t>
      </w:r>
      <w:r>
        <w:rPr>
          <w:rFonts w:hint="eastAsia"/>
          <w:highlight w:val="none"/>
        </w:rPr>
        <w:t>组织</w:t>
      </w:r>
      <w:r>
        <w:rPr>
          <w:rFonts w:hint="eastAsia"/>
          <w:highlight w:val="none"/>
          <w:lang w:val="en-US" w:eastAsia="zh-CN"/>
        </w:rPr>
        <w:t>机</w:t>
      </w:r>
      <w:r>
        <w:rPr>
          <w:rFonts w:hint="eastAsia"/>
          <w:highlight w:val="none"/>
        </w:rPr>
        <w:t>构及职责</w:t>
      </w:r>
      <w:r>
        <w:tab/>
      </w:r>
      <w:r>
        <w:fldChar w:fldCharType="begin"/>
      </w:r>
      <w:r>
        <w:instrText xml:space="preserve"> PAGEREF _Toc4461 \h </w:instrText>
      </w:r>
      <w:r>
        <w:fldChar w:fldCharType="separate"/>
      </w:r>
      <w:r>
        <w:t>108</w:t>
      </w:r>
      <w:r>
        <w:fldChar w:fldCharType="end"/>
      </w:r>
      <w:r>
        <w:rPr>
          <w:highlight w:val="none"/>
        </w:rPr>
        <w:fldChar w:fldCharType="end"/>
      </w:r>
    </w:p>
    <w:p w14:paraId="344EEC28">
      <w:pPr>
        <w:pStyle w:val="26"/>
        <w:tabs>
          <w:tab w:val="right" w:leader="dot" w:pos="8306"/>
        </w:tabs>
      </w:pPr>
      <w:r>
        <w:rPr>
          <w:highlight w:val="none"/>
        </w:rPr>
        <w:fldChar w:fldCharType="begin"/>
      </w:r>
      <w:r>
        <w:rPr>
          <w:highlight w:val="none"/>
        </w:rPr>
        <w:instrText xml:space="preserve"> HYPERLINK \l _Toc17497 </w:instrText>
      </w:r>
      <w:r>
        <w:rPr>
          <w:highlight w:val="none"/>
        </w:rPr>
        <w:fldChar w:fldCharType="separate"/>
      </w:r>
      <w:r>
        <w:rPr>
          <w:rFonts w:hint="default"/>
        </w:rPr>
        <w:t xml:space="preserve">9.3. </w:t>
      </w:r>
      <w:r>
        <w:rPr>
          <w:rFonts w:hint="eastAsia"/>
        </w:rPr>
        <w:t>预防与预警</w:t>
      </w:r>
      <w:r>
        <w:tab/>
      </w:r>
      <w:r>
        <w:fldChar w:fldCharType="begin"/>
      </w:r>
      <w:r>
        <w:instrText xml:space="preserve"> PAGEREF _Toc17497 \h </w:instrText>
      </w:r>
      <w:r>
        <w:fldChar w:fldCharType="separate"/>
      </w:r>
      <w:r>
        <w:t>109</w:t>
      </w:r>
      <w:r>
        <w:fldChar w:fldCharType="end"/>
      </w:r>
      <w:r>
        <w:rPr>
          <w:highlight w:val="none"/>
        </w:rPr>
        <w:fldChar w:fldCharType="end"/>
      </w:r>
    </w:p>
    <w:p w14:paraId="4FB0BD06">
      <w:pPr>
        <w:pStyle w:val="26"/>
        <w:tabs>
          <w:tab w:val="right" w:leader="dot" w:pos="8306"/>
        </w:tabs>
      </w:pPr>
      <w:r>
        <w:rPr>
          <w:highlight w:val="none"/>
        </w:rPr>
        <w:fldChar w:fldCharType="begin"/>
      </w:r>
      <w:r>
        <w:rPr>
          <w:highlight w:val="none"/>
        </w:rPr>
        <w:instrText xml:space="preserve"> HYPERLINK \l _Toc21226 </w:instrText>
      </w:r>
      <w:r>
        <w:rPr>
          <w:highlight w:val="none"/>
        </w:rPr>
        <w:fldChar w:fldCharType="separate"/>
      </w:r>
      <w:r>
        <w:rPr>
          <w:rFonts w:hint="default"/>
          <w:lang w:val="en-US" w:eastAsia="zh-CN"/>
        </w:rPr>
        <w:t xml:space="preserve">9.4. </w:t>
      </w:r>
      <w:r>
        <w:rPr>
          <w:rFonts w:hint="eastAsia"/>
        </w:rPr>
        <w:t>处置流程</w:t>
      </w:r>
      <w:r>
        <w:tab/>
      </w:r>
      <w:r>
        <w:fldChar w:fldCharType="begin"/>
      </w:r>
      <w:r>
        <w:instrText xml:space="preserve"> PAGEREF _Toc21226 \h </w:instrText>
      </w:r>
      <w:r>
        <w:fldChar w:fldCharType="separate"/>
      </w:r>
      <w:r>
        <w:t>110</w:t>
      </w:r>
      <w:r>
        <w:fldChar w:fldCharType="end"/>
      </w:r>
      <w:r>
        <w:rPr>
          <w:highlight w:val="none"/>
        </w:rPr>
        <w:fldChar w:fldCharType="end"/>
      </w:r>
    </w:p>
    <w:p w14:paraId="06E576E5">
      <w:pPr>
        <w:pStyle w:val="26"/>
        <w:tabs>
          <w:tab w:val="right" w:leader="dot" w:pos="8306"/>
        </w:tabs>
      </w:pPr>
      <w:r>
        <w:rPr>
          <w:highlight w:val="none"/>
        </w:rPr>
        <w:fldChar w:fldCharType="begin"/>
      </w:r>
      <w:r>
        <w:rPr>
          <w:highlight w:val="none"/>
        </w:rPr>
        <w:instrText xml:space="preserve"> HYPERLINK \l _Toc12334 </w:instrText>
      </w:r>
      <w:r>
        <w:rPr>
          <w:highlight w:val="none"/>
        </w:rPr>
        <w:fldChar w:fldCharType="separate"/>
      </w:r>
      <w:r>
        <w:rPr>
          <w:rFonts w:hint="default"/>
        </w:rPr>
        <w:t xml:space="preserve">9.5. </w:t>
      </w:r>
      <w:r>
        <w:rPr>
          <w:rFonts w:hint="eastAsia"/>
        </w:rPr>
        <w:t>突发事件应急</w:t>
      </w:r>
      <w:r>
        <w:rPr>
          <w:rFonts w:hint="eastAsia"/>
          <w:lang w:val="en-US" w:eastAsia="zh-CN"/>
        </w:rPr>
        <w:t>处置措施和</w:t>
      </w:r>
      <w:r>
        <w:rPr>
          <w:rFonts w:hint="eastAsia"/>
        </w:rPr>
        <w:t>预案</w:t>
      </w:r>
      <w:r>
        <w:tab/>
      </w:r>
      <w:r>
        <w:fldChar w:fldCharType="begin"/>
      </w:r>
      <w:r>
        <w:instrText xml:space="preserve"> PAGEREF _Toc12334 \h </w:instrText>
      </w:r>
      <w:r>
        <w:fldChar w:fldCharType="separate"/>
      </w:r>
      <w:r>
        <w:t>113</w:t>
      </w:r>
      <w:r>
        <w:fldChar w:fldCharType="end"/>
      </w:r>
      <w:r>
        <w:rPr>
          <w:highlight w:val="none"/>
        </w:rPr>
        <w:fldChar w:fldCharType="end"/>
      </w:r>
    </w:p>
    <w:p w14:paraId="75D2B0D4">
      <w:pPr>
        <w:pStyle w:val="26"/>
        <w:tabs>
          <w:tab w:val="right" w:leader="dot" w:pos="8306"/>
        </w:tabs>
      </w:pPr>
      <w:r>
        <w:rPr>
          <w:highlight w:val="none"/>
        </w:rPr>
        <w:fldChar w:fldCharType="begin"/>
      </w:r>
      <w:r>
        <w:rPr>
          <w:highlight w:val="none"/>
        </w:rPr>
        <w:instrText xml:space="preserve"> HYPERLINK \l _Toc16556 </w:instrText>
      </w:r>
      <w:r>
        <w:rPr>
          <w:highlight w:val="none"/>
        </w:rPr>
        <w:fldChar w:fldCharType="separate"/>
      </w:r>
      <w:r>
        <w:rPr>
          <w:rFonts w:hint="default"/>
        </w:rPr>
        <w:t xml:space="preserve">9.6. </w:t>
      </w:r>
      <w:r>
        <w:rPr>
          <w:rFonts w:hint="eastAsia" w:ascii="宋体" w:hAnsi="宋体" w:eastAsia="宋体" w:cs="Times New Roman"/>
        </w:rPr>
        <w:t>应急</w:t>
      </w:r>
      <w:r>
        <w:rPr>
          <w:rFonts w:hint="eastAsia"/>
          <w:highlight w:val="none"/>
        </w:rPr>
        <w:t>保障</w:t>
      </w:r>
      <w:r>
        <w:tab/>
      </w:r>
      <w:r>
        <w:fldChar w:fldCharType="begin"/>
      </w:r>
      <w:r>
        <w:instrText xml:space="preserve"> PAGEREF _Toc16556 \h </w:instrText>
      </w:r>
      <w:r>
        <w:fldChar w:fldCharType="separate"/>
      </w:r>
      <w:r>
        <w:t>118</w:t>
      </w:r>
      <w:r>
        <w:fldChar w:fldCharType="end"/>
      </w:r>
      <w:r>
        <w:rPr>
          <w:highlight w:val="none"/>
        </w:rPr>
        <w:fldChar w:fldCharType="end"/>
      </w:r>
    </w:p>
    <w:p w14:paraId="087D082D">
      <w:pPr>
        <w:pStyle w:val="26"/>
        <w:tabs>
          <w:tab w:val="right" w:leader="dot" w:pos="8306"/>
        </w:tabs>
      </w:pPr>
      <w:r>
        <w:rPr>
          <w:highlight w:val="none"/>
        </w:rPr>
        <w:fldChar w:fldCharType="begin"/>
      </w:r>
      <w:r>
        <w:rPr>
          <w:highlight w:val="none"/>
        </w:rPr>
        <w:instrText xml:space="preserve"> HYPERLINK \l _Toc3267 </w:instrText>
      </w:r>
      <w:r>
        <w:rPr>
          <w:highlight w:val="none"/>
        </w:rPr>
        <w:fldChar w:fldCharType="separate"/>
      </w:r>
      <w:r>
        <w:rPr>
          <w:rFonts w:hint="default"/>
        </w:rPr>
        <w:t xml:space="preserve">9.7. </w:t>
      </w:r>
      <w:r>
        <w:rPr>
          <w:rFonts w:hint="eastAsia"/>
        </w:rPr>
        <w:t>事故善后及恢复生产</w:t>
      </w:r>
      <w:r>
        <w:tab/>
      </w:r>
      <w:r>
        <w:fldChar w:fldCharType="begin"/>
      </w:r>
      <w:r>
        <w:instrText xml:space="preserve"> PAGEREF _Toc3267 \h </w:instrText>
      </w:r>
      <w:r>
        <w:fldChar w:fldCharType="separate"/>
      </w:r>
      <w:r>
        <w:t>119</w:t>
      </w:r>
      <w:r>
        <w:fldChar w:fldCharType="end"/>
      </w:r>
      <w:r>
        <w:rPr>
          <w:highlight w:val="none"/>
        </w:rPr>
        <w:fldChar w:fldCharType="end"/>
      </w:r>
    </w:p>
    <w:p w14:paraId="1932B779">
      <w:pPr>
        <w:pStyle w:val="25"/>
        <w:tabs>
          <w:tab w:val="right" w:leader="dot" w:pos="8306"/>
        </w:tabs>
      </w:pPr>
      <w:r>
        <w:rPr>
          <w:highlight w:val="none"/>
        </w:rPr>
        <w:fldChar w:fldCharType="begin"/>
      </w:r>
      <w:r>
        <w:rPr>
          <w:highlight w:val="none"/>
        </w:rPr>
        <w:instrText xml:space="preserve"> HYPERLINK \l _Toc3199 </w:instrText>
      </w:r>
      <w:r>
        <w:rPr>
          <w:highlight w:val="none"/>
        </w:rPr>
        <w:fldChar w:fldCharType="separate"/>
      </w:r>
      <w:r>
        <w:rPr>
          <w:rFonts w:hint="default" w:ascii="宋体" w:hAnsi="宋体" w:eastAsia="宋体" w:cs="Times New Roman"/>
        </w:rPr>
        <w:t xml:space="preserve">10. </w:t>
      </w:r>
      <w:r>
        <w:rPr>
          <w:rFonts w:hint="eastAsia" w:ascii="宋体" w:hAnsi="宋体" w:eastAsia="宋体" w:cs="Times New Roman"/>
        </w:rPr>
        <w:t>绿色及文明施工</w:t>
      </w:r>
      <w:r>
        <w:tab/>
      </w:r>
      <w:r>
        <w:fldChar w:fldCharType="begin"/>
      </w:r>
      <w:r>
        <w:instrText xml:space="preserve"> PAGEREF _Toc3199 \h </w:instrText>
      </w:r>
      <w:r>
        <w:fldChar w:fldCharType="separate"/>
      </w:r>
      <w:r>
        <w:t>120</w:t>
      </w:r>
      <w:r>
        <w:fldChar w:fldCharType="end"/>
      </w:r>
      <w:r>
        <w:rPr>
          <w:highlight w:val="none"/>
        </w:rPr>
        <w:fldChar w:fldCharType="end"/>
      </w:r>
    </w:p>
    <w:p w14:paraId="751CF2F6">
      <w:pPr>
        <w:pStyle w:val="26"/>
        <w:tabs>
          <w:tab w:val="right" w:leader="dot" w:pos="8306"/>
        </w:tabs>
      </w:pPr>
      <w:r>
        <w:rPr>
          <w:highlight w:val="none"/>
        </w:rPr>
        <w:fldChar w:fldCharType="begin"/>
      </w:r>
      <w:r>
        <w:rPr>
          <w:highlight w:val="none"/>
        </w:rPr>
        <w:instrText xml:space="preserve"> HYPERLINK \l _Toc2870 </w:instrText>
      </w:r>
      <w:r>
        <w:rPr>
          <w:highlight w:val="none"/>
        </w:rPr>
        <w:fldChar w:fldCharType="separate"/>
      </w:r>
      <w:r>
        <w:rPr>
          <w:rFonts w:hint="default"/>
          <w:lang w:val="en-US" w:eastAsia="zh-CN"/>
        </w:rPr>
        <w:t xml:space="preserve">10.1. </w:t>
      </w:r>
      <w:r>
        <w:rPr>
          <w:rFonts w:hint="eastAsia"/>
          <w:lang w:val="en-US" w:eastAsia="zh-CN"/>
        </w:rPr>
        <w:t>绿色施工</w:t>
      </w:r>
      <w:r>
        <w:tab/>
      </w:r>
      <w:r>
        <w:fldChar w:fldCharType="begin"/>
      </w:r>
      <w:r>
        <w:instrText xml:space="preserve"> PAGEREF _Toc2870 \h </w:instrText>
      </w:r>
      <w:r>
        <w:fldChar w:fldCharType="separate"/>
      </w:r>
      <w:r>
        <w:t>120</w:t>
      </w:r>
      <w:r>
        <w:fldChar w:fldCharType="end"/>
      </w:r>
      <w:r>
        <w:rPr>
          <w:highlight w:val="none"/>
        </w:rPr>
        <w:fldChar w:fldCharType="end"/>
      </w:r>
    </w:p>
    <w:p w14:paraId="7FFD5810">
      <w:pPr>
        <w:pStyle w:val="26"/>
        <w:tabs>
          <w:tab w:val="right" w:leader="dot" w:pos="8306"/>
        </w:tabs>
      </w:pPr>
      <w:r>
        <w:rPr>
          <w:highlight w:val="none"/>
        </w:rPr>
        <w:fldChar w:fldCharType="begin"/>
      </w:r>
      <w:r>
        <w:rPr>
          <w:highlight w:val="none"/>
        </w:rPr>
        <w:instrText xml:space="preserve"> HYPERLINK \l _Toc22401 </w:instrText>
      </w:r>
      <w:r>
        <w:rPr>
          <w:highlight w:val="none"/>
        </w:rPr>
        <w:fldChar w:fldCharType="separate"/>
      </w:r>
      <w:r>
        <w:rPr>
          <w:rFonts w:hint="default"/>
          <w:lang w:val="en-US" w:eastAsia="zh-CN"/>
        </w:rPr>
        <w:t xml:space="preserve">10.2. </w:t>
      </w:r>
      <w:r>
        <w:rPr>
          <w:rFonts w:hint="eastAsia"/>
          <w:lang w:val="en-US" w:eastAsia="zh-CN"/>
        </w:rPr>
        <w:t>文明施工</w:t>
      </w:r>
      <w:r>
        <w:tab/>
      </w:r>
      <w:r>
        <w:fldChar w:fldCharType="begin"/>
      </w:r>
      <w:r>
        <w:instrText xml:space="preserve"> PAGEREF _Toc22401 \h </w:instrText>
      </w:r>
      <w:r>
        <w:fldChar w:fldCharType="separate"/>
      </w:r>
      <w:r>
        <w:t>126</w:t>
      </w:r>
      <w:r>
        <w:fldChar w:fldCharType="end"/>
      </w:r>
      <w:r>
        <w:rPr>
          <w:highlight w:val="none"/>
        </w:rPr>
        <w:fldChar w:fldCharType="end"/>
      </w:r>
    </w:p>
    <w:p w14:paraId="379A79C7">
      <w:pPr>
        <w:pStyle w:val="25"/>
        <w:tabs>
          <w:tab w:val="right" w:leader="dot" w:pos="8306"/>
        </w:tabs>
      </w:pPr>
      <w:r>
        <w:rPr>
          <w:highlight w:val="none"/>
        </w:rPr>
        <w:fldChar w:fldCharType="begin"/>
      </w:r>
      <w:r>
        <w:rPr>
          <w:highlight w:val="none"/>
        </w:rPr>
        <w:instrText xml:space="preserve"> HYPERLINK \l _Toc4800 </w:instrText>
      </w:r>
      <w:r>
        <w:rPr>
          <w:highlight w:val="none"/>
        </w:rPr>
        <w:fldChar w:fldCharType="separate"/>
      </w:r>
      <w:r>
        <w:rPr>
          <w:rFonts w:hint="default" w:ascii="宋体" w:hAnsi="宋体" w:eastAsia="宋体" w:cs="Times New Roman"/>
          <w:lang w:val="en-US"/>
        </w:rPr>
        <w:t xml:space="preserve">11. </w:t>
      </w:r>
      <w:r>
        <w:rPr>
          <w:rFonts w:hint="eastAsia" w:ascii="宋体" w:hAnsi="宋体" w:eastAsia="宋体" w:cs="Times New Roman"/>
          <w:lang w:val="en-US" w:eastAsia="zh-CN"/>
        </w:rPr>
        <w:t>11相关附件</w:t>
      </w:r>
      <w:r>
        <w:tab/>
      </w:r>
      <w:r>
        <w:fldChar w:fldCharType="begin"/>
      </w:r>
      <w:r>
        <w:instrText xml:space="preserve"> PAGEREF _Toc4800 \h </w:instrText>
      </w:r>
      <w:r>
        <w:fldChar w:fldCharType="separate"/>
      </w:r>
      <w:r>
        <w:t>137</w:t>
      </w:r>
      <w:r>
        <w:fldChar w:fldCharType="end"/>
      </w:r>
      <w:r>
        <w:rPr>
          <w:highlight w:val="none"/>
        </w:rPr>
        <w:fldChar w:fldCharType="end"/>
      </w:r>
    </w:p>
    <w:p w14:paraId="50FB55CF">
      <w:pPr>
        <w:pStyle w:val="26"/>
        <w:tabs>
          <w:tab w:val="right" w:leader="dot" w:pos="8306"/>
        </w:tabs>
      </w:pPr>
      <w:r>
        <w:rPr>
          <w:highlight w:val="none"/>
        </w:rPr>
        <w:fldChar w:fldCharType="begin"/>
      </w:r>
      <w:r>
        <w:rPr>
          <w:highlight w:val="none"/>
        </w:rPr>
        <w:instrText xml:space="preserve"> HYPERLINK \l _Toc21583 </w:instrText>
      </w:r>
      <w:r>
        <w:rPr>
          <w:highlight w:val="none"/>
        </w:rPr>
        <w:fldChar w:fldCharType="separate"/>
      </w:r>
      <w:r>
        <w:rPr>
          <w:rFonts w:hint="eastAsia"/>
          <w:lang w:val="en-US" w:eastAsia="zh-CN"/>
        </w:rPr>
        <w:t>附件1：XGT7022-10S塔机立面图</w:t>
      </w:r>
      <w:r>
        <w:tab/>
      </w:r>
      <w:r>
        <w:fldChar w:fldCharType="begin"/>
      </w:r>
      <w:r>
        <w:instrText xml:space="preserve"> PAGEREF _Toc21583 \h </w:instrText>
      </w:r>
      <w:r>
        <w:fldChar w:fldCharType="separate"/>
      </w:r>
      <w:r>
        <w:t>137</w:t>
      </w:r>
      <w:r>
        <w:fldChar w:fldCharType="end"/>
      </w:r>
      <w:r>
        <w:rPr>
          <w:highlight w:val="none"/>
        </w:rPr>
        <w:fldChar w:fldCharType="end"/>
      </w:r>
    </w:p>
    <w:p w14:paraId="08AACFA0">
      <w:pPr>
        <w:pStyle w:val="26"/>
        <w:tabs>
          <w:tab w:val="right" w:leader="dot" w:pos="8306"/>
        </w:tabs>
      </w:pPr>
      <w:r>
        <w:rPr>
          <w:highlight w:val="none"/>
        </w:rPr>
        <w:fldChar w:fldCharType="begin"/>
      </w:r>
      <w:r>
        <w:rPr>
          <w:highlight w:val="none"/>
        </w:rPr>
        <w:instrText xml:space="preserve"> HYPERLINK \l _Toc31404 </w:instrText>
      </w:r>
      <w:r>
        <w:rPr>
          <w:highlight w:val="none"/>
        </w:rPr>
        <w:fldChar w:fldCharType="separate"/>
      </w:r>
      <w:r>
        <w:rPr>
          <w:rFonts w:hint="eastAsia"/>
          <w:lang w:val="en-US" w:eastAsia="zh-CN"/>
        </w:rPr>
        <w:t>附件2：XGT7022-10S型塔机平面布置示意图</w:t>
      </w:r>
      <w:r>
        <w:tab/>
      </w:r>
      <w:r>
        <w:fldChar w:fldCharType="begin"/>
      </w:r>
      <w:r>
        <w:instrText xml:space="preserve"> PAGEREF _Toc31404 \h </w:instrText>
      </w:r>
      <w:r>
        <w:fldChar w:fldCharType="separate"/>
      </w:r>
      <w:r>
        <w:t>138</w:t>
      </w:r>
      <w:r>
        <w:fldChar w:fldCharType="end"/>
      </w:r>
      <w:r>
        <w:rPr>
          <w:highlight w:val="none"/>
        </w:rPr>
        <w:fldChar w:fldCharType="end"/>
      </w:r>
    </w:p>
    <w:p w14:paraId="45AF6F6D">
      <w:pPr>
        <w:pStyle w:val="26"/>
        <w:tabs>
          <w:tab w:val="right" w:leader="dot" w:pos="8306"/>
        </w:tabs>
      </w:pPr>
      <w:r>
        <w:rPr>
          <w:highlight w:val="none"/>
        </w:rPr>
        <w:fldChar w:fldCharType="begin"/>
      </w:r>
      <w:r>
        <w:rPr>
          <w:highlight w:val="none"/>
        </w:rPr>
        <w:instrText xml:space="preserve"> HYPERLINK \l _Toc14246 </w:instrText>
      </w:r>
      <w:r>
        <w:rPr>
          <w:highlight w:val="none"/>
        </w:rPr>
        <w:fldChar w:fldCharType="separate"/>
      </w:r>
      <w:r>
        <w:rPr>
          <w:rFonts w:hint="eastAsia"/>
          <w:lang w:val="en-US" w:eastAsia="zh-CN"/>
        </w:rPr>
        <w:t>附件3：相关人员、资质文件</w:t>
      </w:r>
      <w:r>
        <w:tab/>
      </w:r>
      <w:r>
        <w:fldChar w:fldCharType="begin"/>
      </w:r>
      <w:r>
        <w:instrText xml:space="preserve"> PAGEREF _Toc14246 \h </w:instrText>
      </w:r>
      <w:r>
        <w:fldChar w:fldCharType="separate"/>
      </w:r>
      <w:r>
        <w:t>139</w:t>
      </w:r>
      <w:r>
        <w:fldChar w:fldCharType="end"/>
      </w:r>
      <w:r>
        <w:rPr>
          <w:highlight w:val="none"/>
        </w:rPr>
        <w:fldChar w:fldCharType="end"/>
      </w:r>
    </w:p>
    <w:p w14:paraId="6F9A0B6D">
      <w:pPr>
        <w:pStyle w:val="12"/>
        <w:rPr>
          <w:rFonts w:ascii="宋体" w:hAnsi="宋体" w:eastAsia="宋体" w:cs="Times New Roman"/>
          <w:b/>
          <w:kern w:val="2"/>
          <w:sz w:val="21"/>
          <w:szCs w:val="22"/>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highlight w:val="none"/>
        </w:rPr>
        <w:fldChar w:fldCharType="end"/>
      </w:r>
    </w:p>
    <w:p w14:paraId="5D66614D">
      <w:pPr>
        <w:pStyle w:val="2"/>
        <w:bidi w:val="0"/>
        <w:ind w:left="432" w:leftChars="0" w:hanging="432" w:firstLineChars="0"/>
      </w:pPr>
      <w:bookmarkStart w:id="9" w:name="_Toc15972"/>
      <w:bookmarkStart w:id="10" w:name="_Toc4403"/>
      <w:bookmarkStart w:id="11" w:name="_Toc10409763"/>
      <w:bookmarkStart w:id="12" w:name="_Toc12526"/>
      <w:bookmarkStart w:id="13" w:name="_Toc10409769"/>
      <w:r>
        <w:rPr>
          <w:rFonts w:hint="eastAsia"/>
        </w:rPr>
        <w:t>编制依据</w:t>
      </w:r>
      <w:bookmarkEnd w:id="9"/>
      <w:bookmarkEnd w:id="10"/>
      <w:bookmarkEnd w:id="11"/>
      <w:bookmarkEnd w:id="12"/>
    </w:p>
    <w:p w14:paraId="40FA6556">
      <w:pPr>
        <w:pStyle w:val="3"/>
        <w:bidi w:val="0"/>
        <w:ind w:left="575" w:leftChars="0" w:hanging="575" w:firstLineChars="0"/>
        <w:rPr>
          <w:rFonts w:hint="eastAsia"/>
          <w:lang w:val="en-US" w:eastAsia="zh-CN"/>
        </w:rPr>
      </w:pPr>
      <w:bookmarkStart w:id="14" w:name="_Toc10409764"/>
      <w:bookmarkStart w:id="15" w:name="_Toc4543"/>
      <w:bookmarkStart w:id="16" w:name="_Toc10283"/>
      <w:r>
        <w:rPr>
          <w:rFonts w:hint="eastAsia"/>
        </w:rPr>
        <w:t xml:space="preserve"> </w:t>
      </w:r>
      <w:bookmarkStart w:id="17" w:name="_Toc20968"/>
      <w:r>
        <w:rPr>
          <w:rFonts w:hint="eastAsia"/>
        </w:rPr>
        <w:t>编制</w:t>
      </w:r>
      <w:bookmarkEnd w:id="14"/>
      <w:r>
        <w:rPr>
          <w:rFonts w:hint="eastAsia"/>
          <w:lang w:val="en-US" w:eastAsia="zh-CN"/>
        </w:rPr>
        <w:t>说明</w:t>
      </w:r>
      <w:bookmarkEnd w:id="15"/>
      <w:bookmarkEnd w:id="16"/>
      <w:bookmarkEnd w:id="17"/>
    </w:p>
    <w:p w14:paraId="3B2EA34F">
      <w:pPr>
        <w:bidi w:val="0"/>
        <w:ind w:firstLine="480" w:firstLineChars="200"/>
        <w:rPr>
          <w:highlight w:val="none"/>
        </w:rPr>
      </w:pPr>
      <w:r>
        <w:rPr>
          <w:rFonts w:hint="eastAsia"/>
          <w:highlight w:val="none"/>
        </w:rPr>
        <w:t>中交二航局桂林-恭城-贺州公路（桂林至钟山段）№7合同段项目需采用</w:t>
      </w:r>
      <w:r>
        <w:rPr>
          <w:rFonts w:hint="eastAsia"/>
          <w:highlight w:val="none"/>
          <w:lang w:val="en-US" w:eastAsia="zh-CN"/>
        </w:rPr>
        <w:t>XGT7022-10S</w:t>
      </w:r>
      <w:r>
        <w:rPr>
          <w:highlight w:val="none"/>
        </w:rPr>
        <w:t>塔式起重机进行桥梁施工吊装作业，为认真、全面、系统地做好起重机的安装作业，确保过程质量和安全，合理安排施工工期，</w:t>
      </w:r>
      <w:r>
        <w:rPr>
          <w:rFonts w:hint="eastAsia"/>
          <w:highlight w:val="none"/>
          <w:lang w:eastAsia="zh-CN"/>
        </w:rPr>
        <w:t>四川科斗文智能装备有限公司</w:t>
      </w:r>
      <w:r>
        <w:rPr>
          <w:highlight w:val="none"/>
        </w:rPr>
        <w:t>受项目部委托</w:t>
      </w:r>
      <w:r>
        <w:rPr>
          <w:rFonts w:hint="eastAsia"/>
          <w:highlight w:val="none"/>
        </w:rPr>
        <w:t>特编制本塔式起重机</w:t>
      </w:r>
      <w:r>
        <w:rPr>
          <w:highlight w:val="none"/>
        </w:rPr>
        <w:t>安装专项施工方案。</w:t>
      </w:r>
    </w:p>
    <w:p w14:paraId="43173BD4">
      <w:pPr>
        <w:pStyle w:val="3"/>
        <w:bidi w:val="0"/>
        <w:ind w:left="575" w:leftChars="0" w:hanging="575" w:firstLineChars="0"/>
        <w:rPr>
          <w:rFonts w:hint="default"/>
          <w:lang w:val="en-US" w:eastAsia="zh-CN"/>
        </w:rPr>
      </w:pPr>
      <w:bookmarkStart w:id="18" w:name="_Toc10409765"/>
      <w:bookmarkStart w:id="19" w:name="_Toc7022"/>
      <w:bookmarkStart w:id="20" w:name="_Toc934"/>
      <w:r>
        <w:rPr>
          <w:rFonts w:hint="eastAsia"/>
        </w:rPr>
        <w:t xml:space="preserve"> </w:t>
      </w:r>
      <w:bookmarkEnd w:id="18"/>
      <w:bookmarkStart w:id="21" w:name="_Toc5624"/>
      <w:r>
        <w:rPr>
          <w:rFonts w:hint="eastAsia"/>
          <w:lang w:val="en-US" w:eastAsia="zh-CN"/>
        </w:rPr>
        <w:t>引用文件</w:t>
      </w:r>
      <w:bookmarkEnd w:id="19"/>
      <w:bookmarkEnd w:id="20"/>
      <w:bookmarkEnd w:id="21"/>
    </w:p>
    <w:p w14:paraId="192ACC68">
      <w:pPr>
        <w:pStyle w:val="4"/>
        <w:bidi w:val="0"/>
        <w:ind w:left="720" w:leftChars="0" w:hanging="720" w:firstLineChars="0"/>
      </w:pPr>
      <w:bookmarkStart w:id="22" w:name="_Hlk42526096"/>
      <w:bookmarkStart w:id="23" w:name="_Toc6806"/>
      <w:r>
        <w:rPr>
          <w:rFonts w:hint="eastAsia"/>
        </w:rPr>
        <w:t>主要法律法规</w:t>
      </w:r>
    </w:p>
    <w:p w14:paraId="350CC49F">
      <w:pPr>
        <w:pStyle w:val="48"/>
        <w:numPr>
          <w:ilvl w:val="0"/>
          <w:numId w:val="5"/>
        </w:numPr>
        <w:ind w:firstLineChars="0"/>
        <w:rPr>
          <w:rFonts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w:t>
      </w:r>
      <w:r>
        <w:rPr>
          <w:rFonts w:ascii="宋体" w:hAnsi="宋体" w:eastAsia="宋体" w:cs="Times New Roman"/>
          <w:color w:val="auto"/>
          <w:kern w:val="2"/>
          <w:sz w:val="24"/>
          <w:szCs w:val="22"/>
          <w:highlight w:val="none"/>
          <w:lang w:val="en-US" w:eastAsia="zh-CN" w:bidi="ar-SA"/>
        </w:rPr>
        <w:t>中华人民共和国特种设备安全法</w:t>
      </w:r>
      <w:r>
        <w:rPr>
          <w:rFonts w:hint="eastAsia" w:ascii="宋体" w:hAnsi="宋体" w:eastAsia="宋体" w:cs="Times New Roman"/>
          <w:color w:val="auto"/>
          <w:kern w:val="2"/>
          <w:sz w:val="24"/>
          <w:szCs w:val="22"/>
          <w:highlight w:val="none"/>
          <w:lang w:val="en-US" w:eastAsia="zh-CN" w:bidi="ar-SA"/>
        </w:rPr>
        <w:t>》（中华人民共和国主席令第</w:t>
      </w:r>
      <w:r>
        <w:rPr>
          <w:rFonts w:ascii="宋体" w:hAnsi="宋体" w:eastAsia="宋体" w:cs="Times New Roman"/>
          <w:color w:val="auto"/>
          <w:kern w:val="2"/>
          <w:sz w:val="24"/>
          <w:szCs w:val="22"/>
          <w:highlight w:val="none"/>
          <w:lang w:val="en-US" w:eastAsia="zh-CN" w:bidi="ar-SA"/>
        </w:rPr>
        <w:t>4</w:t>
      </w:r>
      <w:r>
        <w:rPr>
          <w:rFonts w:hint="eastAsia" w:ascii="宋体" w:hAnsi="宋体" w:eastAsia="宋体" w:cs="Times New Roman"/>
          <w:color w:val="auto"/>
          <w:kern w:val="2"/>
          <w:sz w:val="24"/>
          <w:szCs w:val="22"/>
          <w:highlight w:val="none"/>
          <w:lang w:val="en-US" w:eastAsia="zh-CN" w:bidi="ar-SA"/>
        </w:rPr>
        <w:t>号）</w:t>
      </w:r>
    </w:p>
    <w:p w14:paraId="4776883D">
      <w:pPr>
        <w:pStyle w:val="48"/>
        <w:numPr>
          <w:ilvl w:val="0"/>
          <w:numId w:val="5"/>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《中华人民共和国安全生产法》（中华人民共和国主席令第88号）</w:t>
      </w:r>
    </w:p>
    <w:p w14:paraId="4F5BA8EB">
      <w:pPr>
        <w:pStyle w:val="48"/>
        <w:numPr>
          <w:ilvl w:val="0"/>
          <w:numId w:val="5"/>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《特种设备安全监察条例》（国务院令第549号）</w:t>
      </w:r>
    </w:p>
    <w:p w14:paraId="7691DF19">
      <w:pPr>
        <w:pStyle w:val="48"/>
        <w:numPr>
          <w:ilvl w:val="0"/>
          <w:numId w:val="5"/>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《起重机械安全监察规定》（质监总局令第92号）</w:t>
      </w:r>
    </w:p>
    <w:p w14:paraId="42988A1D">
      <w:pPr>
        <w:pStyle w:val="48"/>
        <w:numPr>
          <w:ilvl w:val="0"/>
          <w:numId w:val="5"/>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《特种设备作业人员监督管理办法》（质监总局令第140号）</w:t>
      </w:r>
    </w:p>
    <w:p w14:paraId="74DA5BF9">
      <w:pPr>
        <w:pStyle w:val="4"/>
        <w:bidi w:val="0"/>
        <w:ind w:left="720" w:leftChars="0" w:hanging="720" w:firstLineChars="0"/>
      </w:pPr>
      <w:r>
        <w:rPr>
          <w:rFonts w:hint="eastAsia"/>
        </w:rPr>
        <w:t>主要规范、规程</w:t>
      </w:r>
    </w:p>
    <w:p w14:paraId="03D1184B">
      <w:pPr>
        <w:numPr>
          <w:ilvl w:val="0"/>
          <w:numId w:val="6"/>
        </w:numPr>
        <w:bidi w:val="0"/>
        <w:rPr>
          <w:rFonts w:hint="eastAsia"/>
          <w:highlight w:val="none"/>
        </w:rPr>
      </w:pPr>
      <w:r>
        <w:rPr>
          <w:rFonts w:hint="eastAsia"/>
          <w:highlight w:val="none"/>
        </w:rPr>
        <w:t>《塔式起重机安全规程》（GB 5144-20</w:t>
      </w:r>
      <w:r>
        <w:rPr>
          <w:rFonts w:hint="eastAsia"/>
          <w:highlight w:val="none"/>
          <w:lang w:val="en-US" w:eastAsia="zh-CN"/>
        </w:rPr>
        <w:t>06</w:t>
      </w:r>
      <w:r>
        <w:rPr>
          <w:rFonts w:hint="eastAsia"/>
          <w:highlight w:val="none"/>
        </w:rPr>
        <w:t>）</w:t>
      </w:r>
    </w:p>
    <w:p w14:paraId="2E74DFF8">
      <w:pPr>
        <w:numPr>
          <w:ilvl w:val="0"/>
          <w:numId w:val="6"/>
        </w:numPr>
        <w:bidi w:val="0"/>
        <w:rPr>
          <w:rFonts w:hint="eastAsia"/>
          <w:highlight w:val="none"/>
        </w:rPr>
      </w:pPr>
      <w:r>
        <w:rPr>
          <w:rFonts w:hint="eastAsia"/>
          <w:highlight w:val="none"/>
        </w:rPr>
        <w:t>《重要用途钢丝绳》（GB 8918-2006）</w:t>
      </w:r>
    </w:p>
    <w:p w14:paraId="2466DE2B">
      <w:pPr>
        <w:numPr>
          <w:ilvl w:val="0"/>
          <w:numId w:val="6"/>
        </w:numPr>
        <w:bidi w:val="0"/>
        <w:rPr>
          <w:rFonts w:hint="eastAsia"/>
          <w:highlight w:val="none"/>
        </w:rPr>
      </w:pPr>
      <w:r>
        <w:rPr>
          <w:rFonts w:hint="eastAsia"/>
          <w:highlight w:val="none"/>
        </w:rPr>
        <w:t>《起重设备安装工程施工及验收规范》（GB 50278-2010）</w:t>
      </w:r>
    </w:p>
    <w:p w14:paraId="484FB711">
      <w:pPr>
        <w:numPr>
          <w:ilvl w:val="0"/>
          <w:numId w:val="6"/>
        </w:numPr>
        <w:bidi w:val="0"/>
        <w:rPr>
          <w:rFonts w:hint="eastAsia"/>
          <w:highlight w:val="none"/>
        </w:rPr>
      </w:pPr>
      <w:r>
        <w:rPr>
          <w:rFonts w:hint="eastAsia"/>
          <w:highlight w:val="none"/>
        </w:rPr>
        <w:t>《起重机 安全使用 第3部分：塔式起重机》（GB/T 2372-2010）</w:t>
      </w:r>
    </w:p>
    <w:p w14:paraId="41A457B3">
      <w:pPr>
        <w:numPr>
          <w:ilvl w:val="0"/>
          <w:numId w:val="6"/>
        </w:numPr>
        <w:bidi w:val="0"/>
        <w:rPr>
          <w:rFonts w:hint="eastAsia"/>
          <w:highlight w:val="none"/>
        </w:rPr>
      </w:pPr>
      <w:r>
        <w:rPr>
          <w:rFonts w:hint="eastAsia"/>
          <w:highlight w:val="none"/>
        </w:rPr>
        <w:t>《塔式起重机》（GB/T 5031-20</w:t>
      </w:r>
      <w:r>
        <w:rPr>
          <w:rFonts w:hint="eastAsia"/>
          <w:highlight w:val="none"/>
          <w:lang w:val="en-US" w:eastAsia="zh-CN"/>
        </w:rPr>
        <w:t>19</w:t>
      </w:r>
      <w:r>
        <w:rPr>
          <w:rFonts w:hint="eastAsia"/>
          <w:highlight w:val="none"/>
        </w:rPr>
        <w:t>）</w:t>
      </w:r>
    </w:p>
    <w:p w14:paraId="3A8AAC8E">
      <w:pPr>
        <w:numPr>
          <w:ilvl w:val="0"/>
          <w:numId w:val="6"/>
        </w:numPr>
        <w:bidi w:val="0"/>
        <w:rPr>
          <w:rFonts w:hint="eastAsia"/>
          <w:highlight w:val="none"/>
        </w:rPr>
      </w:pPr>
      <w:r>
        <w:rPr>
          <w:rFonts w:hint="eastAsia"/>
          <w:highlight w:val="none"/>
        </w:rPr>
        <w:t>《塔式起重机安装与拆卸规则》（GB/T 26471-2011）</w:t>
      </w:r>
    </w:p>
    <w:p w14:paraId="06212778">
      <w:pPr>
        <w:numPr>
          <w:ilvl w:val="0"/>
          <w:numId w:val="6"/>
        </w:numPr>
        <w:bidi w:val="0"/>
        <w:rPr>
          <w:rFonts w:hint="eastAsia"/>
          <w:highlight w:val="none"/>
        </w:rPr>
      </w:pPr>
      <w:r>
        <w:rPr>
          <w:rFonts w:hint="eastAsia"/>
          <w:highlight w:val="none"/>
        </w:rPr>
        <w:t>《塔式起重机设计规范》（GB/T 13752-2017）</w:t>
      </w:r>
    </w:p>
    <w:p w14:paraId="10A56D2C">
      <w:pPr>
        <w:numPr>
          <w:ilvl w:val="0"/>
          <w:numId w:val="6"/>
        </w:numPr>
        <w:bidi w:val="0"/>
        <w:rPr>
          <w:rFonts w:hint="eastAsia"/>
          <w:highlight w:val="none"/>
        </w:rPr>
      </w:pPr>
      <w:r>
        <w:rPr>
          <w:rFonts w:hint="eastAsia"/>
          <w:highlight w:val="none"/>
        </w:rPr>
        <w:t>《起重机械定期检验规则》（TSG Q7015-2016）</w:t>
      </w:r>
    </w:p>
    <w:p w14:paraId="5271DA3E">
      <w:pPr>
        <w:numPr>
          <w:ilvl w:val="0"/>
          <w:numId w:val="6"/>
        </w:numPr>
        <w:bidi w:val="0"/>
        <w:rPr>
          <w:rFonts w:hint="eastAsia"/>
          <w:highlight w:val="none"/>
        </w:rPr>
      </w:pPr>
      <w:r>
        <w:rPr>
          <w:rFonts w:hint="eastAsia"/>
          <w:highlight w:val="none"/>
        </w:rPr>
        <w:t>《起重机械定期检验规则》（TSG Q7015-2016）</w:t>
      </w:r>
    </w:p>
    <w:p w14:paraId="50D8031C">
      <w:pPr>
        <w:numPr>
          <w:ilvl w:val="0"/>
          <w:numId w:val="6"/>
        </w:numPr>
        <w:bidi w:val="0"/>
        <w:rPr>
          <w:rFonts w:hint="eastAsia"/>
          <w:highlight w:val="none"/>
        </w:rPr>
      </w:pPr>
      <w:r>
        <w:rPr>
          <w:rFonts w:hint="eastAsia"/>
          <w:highlight w:val="none"/>
        </w:rPr>
        <w:t>《起重机械安装改造重大修理监督检验规则》（TSG Q7016-2016）</w:t>
      </w:r>
    </w:p>
    <w:p w14:paraId="6BBB67E6">
      <w:pPr>
        <w:numPr>
          <w:ilvl w:val="0"/>
          <w:numId w:val="6"/>
        </w:numPr>
        <w:bidi w:val="0"/>
        <w:rPr>
          <w:rFonts w:hint="eastAsia"/>
          <w:highlight w:val="none"/>
        </w:rPr>
      </w:pPr>
      <w:r>
        <w:rPr>
          <w:rFonts w:hint="eastAsia"/>
          <w:highlight w:val="none"/>
        </w:rPr>
        <w:t>《焊缝无损检测 超声检测 技术、检测等级和评定》GB/T11345－20</w:t>
      </w:r>
      <w:r>
        <w:rPr>
          <w:rFonts w:hint="eastAsia"/>
          <w:highlight w:val="none"/>
          <w:lang w:val="en-US" w:eastAsia="zh-CN"/>
        </w:rPr>
        <w:t>23</w:t>
      </w:r>
    </w:p>
    <w:p w14:paraId="652F3C6E">
      <w:pPr>
        <w:numPr>
          <w:ilvl w:val="0"/>
          <w:numId w:val="6"/>
        </w:numPr>
        <w:bidi w:val="0"/>
        <w:rPr>
          <w:rFonts w:hint="eastAsia"/>
          <w:highlight w:val="none"/>
        </w:rPr>
      </w:pPr>
      <w:r>
        <w:rPr>
          <w:rFonts w:hint="eastAsia"/>
          <w:highlight w:val="none"/>
        </w:rPr>
        <w:t>《起重机 检验与试验规范 第1部分：通则》GB/T5905-20</w:t>
      </w:r>
      <w:r>
        <w:rPr>
          <w:rFonts w:hint="eastAsia"/>
          <w:highlight w:val="none"/>
          <w:lang w:val="en-US" w:eastAsia="zh-CN"/>
        </w:rPr>
        <w:t>23</w:t>
      </w:r>
    </w:p>
    <w:p w14:paraId="4B78FF8D">
      <w:pPr>
        <w:numPr>
          <w:ilvl w:val="0"/>
          <w:numId w:val="6"/>
        </w:numPr>
        <w:bidi w:val="0"/>
        <w:rPr>
          <w:rFonts w:hint="eastAsia"/>
          <w:highlight w:val="none"/>
        </w:rPr>
      </w:pPr>
      <w:r>
        <w:rPr>
          <w:rFonts w:hint="eastAsia"/>
          <w:highlight w:val="none"/>
        </w:rPr>
        <w:t>《危险性较大的分部分项工程安全管理规定》住房城乡建设部令第</w:t>
      </w:r>
      <w:r>
        <w:rPr>
          <w:rFonts w:hint="eastAsia"/>
          <w:highlight w:val="none"/>
          <w:lang w:val="en-US" w:eastAsia="zh-CN"/>
        </w:rPr>
        <w:t>4</w:t>
      </w:r>
      <w:r>
        <w:rPr>
          <w:rFonts w:hint="eastAsia"/>
          <w:highlight w:val="none"/>
        </w:rPr>
        <w:t>7</w:t>
      </w:r>
      <w:r>
        <w:rPr>
          <w:rFonts w:hint="eastAsia"/>
          <w:highlight w:val="none"/>
          <w:lang w:eastAsia="zh-CN"/>
        </w:rPr>
        <w:t>号令</w:t>
      </w:r>
      <w:r>
        <w:rPr>
          <w:rFonts w:hint="eastAsia"/>
          <w:highlight w:val="none"/>
        </w:rPr>
        <w:t>号</w:t>
      </w:r>
    </w:p>
    <w:p w14:paraId="73E2704F">
      <w:pPr>
        <w:numPr>
          <w:ilvl w:val="0"/>
          <w:numId w:val="6"/>
        </w:numPr>
        <w:bidi w:val="0"/>
        <w:rPr>
          <w:rFonts w:hint="eastAsia"/>
          <w:highlight w:val="none"/>
        </w:rPr>
      </w:pPr>
      <w:r>
        <w:rPr>
          <w:rFonts w:hint="eastAsia"/>
          <w:highlight w:val="none"/>
        </w:rPr>
        <w:t>《住房城乡建设部办公厅关于实施&lt;危险性较大分部分项工程安全管理规定&gt;有关问题的通知》建办质[2018]31号文件</w:t>
      </w:r>
    </w:p>
    <w:p w14:paraId="22C9707E">
      <w:pPr>
        <w:pStyle w:val="4"/>
        <w:bidi w:val="0"/>
        <w:ind w:left="720" w:leftChars="0" w:hanging="720" w:firstLineChars="0"/>
      </w:pPr>
      <w:r>
        <w:rPr>
          <w:rFonts w:hint="eastAsia"/>
        </w:rPr>
        <w:t>其他</w:t>
      </w:r>
    </w:p>
    <w:p w14:paraId="509CE369">
      <w:pPr>
        <w:numPr>
          <w:ilvl w:val="0"/>
          <w:numId w:val="7"/>
        </w:numPr>
        <w:bidi w:val="0"/>
        <w:rPr>
          <w:rFonts w:hint="eastAsia"/>
          <w:highlight w:val="none"/>
        </w:rPr>
      </w:pPr>
      <w:r>
        <w:rPr>
          <w:rFonts w:hint="eastAsia"/>
          <w:highlight w:val="none"/>
        </w:rPr>
        <w:t>中交二航局桂林-恭城-贺州公路（桂林至钟山段）№7合同段施工组织设计</w:t>
      </w:r>
    </w:p>
    <w:p w14:paraId="4C7BA662">
      <w:pPr>
        <w:numPr>
          <w:ilvl w:val="0"/>
          <w:numId w:val="7"/>
        </w:numPr>
        <w:bidi w:val="0"/>
        <w:rPr>
          <w:rFonts w:hint="eastAsia"/>
          <w:highlight w:val="none"/>
        </w:rPr>
      </w:pPr>
      <w:r>
        <w:rPr>
          <w:rFonts w:hint="eastAsia"/>
          <w:highlight w:val="none"/>
        </w:rPr>
        <w:t>桂林-恭城-贺州公路（桂林至钟山段）№7合同段施工图</w:t>
      </w:r>
    </w:p>
    <w:p w14:paraId="2C9C0EE1">
      <w:pPr>
        <w:numPr>
          <w:ilvl w:val="0"/>
          <w:numId w:val="7"/>
        </w:numPr>
        <w:bidi w:val="0"/>
        <w:rPr>
          <w:rFonts w:hint="eastAsia"/>
          <w:highlight w:val="none"/>
        </w:rPr>
      </w:pPr>
      <w:r>
        <w:rPr>
          <w:rFonts w:hint="eastAsia"/>
          <w:highlight w:val="none"/>
        </w:rPr>
        <w:t>桂林-恭城-贺州公路（桂林至钟山段）№7合同段</w:t>
      </w:r>
      <w:r>
        <w:rPr>
          <w:rFonts w:hint="eastAsia"/>
          <w:highlight w:val="none"/>
          <w:lang w:val="en-US" w:eastAsia="zh-CN"/>
        </w:rPr>
        <w:t>高墩身</w:t>
      </w:r>
      <w:r>
        <w:rPr>
          <w:rFonts w:hint="eastAsia"/>
          <w:highlight w:val="none"/>
        </w:rPr>
        <w:t>专项施工方案</w:t>
      </w:r>
    </w:p>
    <w:p w14:paraId="148459CB">
      <w:pPr>
        <w:numPr>
          <w:ilvl w:val="0"/>
          <w:numId w:val="7"/>
        </w:numPr>
        <w:tabs>
          <w:tab w:val="left" w:pos="920"/>
        </w:tabs>
        <w:bidi w:val="0"/>
        <w:rPr>
          <w:rFonts w:hint="eastAsia"/>
          <w:highlight w:val="none"/>
        </w:rPr>
      </w:pPr>
      <w:r>
        <w:rPr>
          <w:rFonts w:hint="eastAsia"/>
          <w:highlight w:val="none"/>
        </w:rPr>
        <w:t>桂林-恭城-贺州公路（桂林至钟山段）</w:t>
      </w:r>
      <w:r>
        <w:rPr>
          <w:rFonts w:hint="eastAsia"/>
          <w:highlight w:val="none"/>
          <w:lang w:eastAsia="zh-CN"/>
        </w:rPr>
        <w:t>№7合同段</w:t>
      </w:r>
      <w:r>
        <w:rPr>
          <w:rFonts w:hint="eastAsia"/>
          <w:highlight w:val="none"/>
          <w:lang w:val="en-US" w:eastAsia="zh-CN"/>
        </w:rPr>
        <w:t>桥梁工程施工安全专项风险评估报告</w:t>
      </w:r>
    </w:p>
    <w:p w14:paraId="79851205">
      <w:pPr>
        <w:numPr>
          <w:ilvl w:val="0"/>
          <w:numId w:val="7"/>
        </w:numPr>
        <w:tabs>
          <w:tab w:val="left" w:pos="920"/>
        </w:tabs>
        <w:bidi w:val="0"/>
        <w:rPr>
          <w:rFonts w:hint="eastAsia"/>
          <w:highlight w:val="none"/>
        </w:rPr>
      </w:pPr>
      <w:r>
        <w:rPr>
          <w:rFonts w:hint="eastAsia"/>
          <w:highlight w:val="none"/>
        </w:rPr>
        <w:t>桂林-恭城-贺州公路</w:t>
      </w:r>
      <w:r>
        <w:rPr>
          <w:rFonts w:hint="eastAsia" w:ascii="宋体" w:hAnsi="宋体" w:eastAsia="宋体" w:cs="Times New Roman"/>
          <w:highlight w:val="none"/>
        </w:rPr>
        <w:t>（桂林至钟山段）</w:t>
      </w:r>
      <w:r>
        <w:rPr>
          <w:rFonts w:hint="eastAsia" w:ascii="宋体" w:hAnsi="宋体" w:eastAsia="宋体" w:cs="Times New Roman"/>
          <w:highlight w:val="none"/>
          <w:lang w:eastAsia="zh-CN"/>
        </w:rPr>
        <w:t>№7合同段</w:t>
      </w:r>
      <w:r>
        <w:rPr>
          <w:rFonts w:hint="eastAsia" w:ascii="宋体" w:hAnsi="宋体" w:eastAsia="宋体" w:cs="Times New Roman"/>
          <w:highlight w:val="none"/>
          <w:lang w:val="en-US" w:eastAsia="zh-CN"/>
        </w:rPr>
        <w:t>专项应急预案、现场处置方案</w:t>
      </w:r>
    </w:p>
    <w:p w14:paraId="14CFB6FC">
      <w:pPr>
        <w:numPr>
          <w:ilvl w:val="0"/>
          <w:numId w:val="7"/>
        </w:numPr>
        <w:tabs>
          <w:tab w:val="left" w:pos="920"/>
        </w:tabs>
        <w:bidi w:val="0"/>
        <w:rPr>
          <w:rFonts w:hint="eastAsia"/>
          <w:highlight w:val="none"/>
        </w:rPr>
      </w:pPr>
      <w:r>
        <w:rPr>
          <w:rFonts w:hint="eastAsia"/>
          <w:highlight w:val="none"/>
          <w:lang w:eastAsia="zh-CN"/>
        </w:rPr>
        <w:t>XGT7022-10S</w:t>
      </w:r>
      <w:r>
        <w:rPr>
          <w:rFonts w:hint="eastAsia"/>
          <w:highlight w:val="none"/>
        </w:rPr>
        <w:t>塔式起重机安装手册</w:t>
      </w:r>
    </w:p>
    <w:bookmarkEnd w:id="22"/>
    <w:bookmarkEnd w:id="23"/>
    <w:p w14:paraId="3CE8DC3F">
      <w:pPr>
        <w:pStyle w:val="3"/>
        <w:bidi w:val="0"/>
        <w:ind w:left="575" w:leftChars="0" w:hanging="575" w:firstLineChars="0"/>
      </w:pPr>
      <w:bookmarkStart w:id="24" w:name="_Toc10409766"/>
      <w:bookmarkStart w:id="25" w:name="_Toc20926"/>
      <w:bookmarkStart w:id="26" w:name="_Toc2530"/>
      <w:r>
        <w:rPr>
          <w:rFonts w:hint="eastAsia"/>
        </w:rPr>
        <w:t xml:space="preserve"> </w:t>
      </w:r>
      <w:bookmarkStart w:id="27" w:name="_Toc27822"/>
      <w:r>
        <w:rPr>
          <w:rFonts w:hint="eastAsia"/>
        </w:rPr>
        <w:t>编制原则</w:t>
      </w:r>
      <w:bookmarkEnd w:id="24"/>
      <w:bookmarkEnd w:id="25"/>
      <w:bookmarkEnd w:id="26"/>
      <w:bookmarkEnd w:id="27"/>
    </w:p>
    <w:p w14:paraId="060AC864">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1）严格贯彻“安全第一”的原则，针对风险细化安全技术措施，预防和杜绝安全事故的发生；</w:t>
      </w:r>
    </w:p>
    <w:p w14:paraId="7C61FC7A">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2）严格按照ISO9001标准质量体系质量程序控制原则，实施安装过程动态管理；</w:t>
      </w:r>
    </w:p>
    <w:p w14:paraId="63B113E2">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3）科学合理制定安装计划，提高安装功效；</w:t>
      </w:r>
    </w:p>
    <w:p w14:paraId="22387B69">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lang w:val="en-US" w:eastAsia="zh-CN"/>
        </w:rPr>
        <w:t>4）</w:t>
      </w:r>
      <w:r>
        <w:rPr>
          <w:highlight w:val="none"/>
        </w:rPr>
        <w:t>加强过程管控，合理配置安装资源，合理降低安装成本。</w:t>
      </w:r>
    </w:p>
    <w:p w14:paraId="134DEFA7">
      <w:pPr>
        <w:pStyle w:val="3"/>
        <w:bidi w:val="0"/>
        <w:ind w:left="575" w:leftChars="0" w:hanging="575" w:firstLineChars="0"/>
      </w:pPr>
      <w:bookmarkStart w:id="28" w:name="_Toc11324"/>
      <w:bookmarkStart w:id="29" w:name="_Toc1278"/>
      <w:bookmarkStart w:id="30" w:name="_Toc10409767"/>
      <w:r>
        <w:rPr>
          <w:rFonts w:hint="eastAsia"/>
        </w:rPr>
        <w:t xml:space="preserve"> </w:t>
      </w:r>
      <w:bookmarkStart w:id="31" w:name="_Toc8078"/>
      <w:r>
        <w:rPr>
          <w:rFonts w:hint="eastAsia"/>
        </w:rPr>
        <w:t>隶属关系</w:t>
      </w:r>
      <w:bookmarkEnd w:id="28"/>
      <w:bookmarkEnd w:id="29"/>
      <w:bookmarkEnd w:id="30"/>
      <w:bookmarkEnd w:id="31"/>
    </w:p>
    <w:p w14:paraId="7B5F241E">
      <w:pPr>
        <w:pStyle w:val="41"/>
        <w:bidi w:val="0"/>
        <w:rPr>
          <w:highlight w:val="none"/>
        </w:rPr>
      </w:pPr>
      <w:r>
        <w:rPr>
          <w:rFonts w:hint="eastAsia"/>
          <w:highlight w:val="none"/>
        </w:rPr>
        <w:t>表</w:t>
      </w:r>
      <w:r>
        <w:rPr>
          <w:highlight w:val="none"/>
        </w:rPr>
        <w:t xml:space="preserve">-1 </w:t>
      </w:r>
      <w:r>
        <w:rPr>
          <w:rFonts w:hint="eastAsia"/>
          <w:highlight w:val="none"/>
        </w:rPr>
        <w:t>项目参与单位概况</w:t>
      </w:r>
    </w:p>
    <w:tbl>
      <w:tblPr>
        <w:tblStyle w:val="31"/>
        <w:tblW w:w="4999" w:type="pct"/>
        <w:jc w:val="center"/>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Layout w:type="autofit"/>
        <w:tblCellMar>
          <w:top w:w="0" w:type="dxa"/>
          <w:left w:w="108" w:type="dxa"/>
          <w:bottom w:w="0" w:type="dxa"/>
          <w:right w:w="108" w:type="dxa"/>
        </w:tblCellMar>
      </w:tblPr>
      <w:tblGrid>
        <w:gridCol w:w="866"/>
        <w:gridCol w:w="2446"/>
        <w:gridCol w:w="5208"/>
      </w:tblGrid>
      <w:tr w14:paraId="0ECC6B4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45F62FB1">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序号</w:t>
            </w:r>
          </w:p>
        </w:tc>
        <w:tc>
          <w:tcPr>
            <w:tcW w:w="1435" w:type="pct"/>
            <w:tcBorders>
              <w:tl2br w:val="nil"/>
              <w:tr2bl w:val="nil"/>
            </w:tcBorders>
            <w:vAlign w:val="center"/>
          </w:tcPr>
          <w:p w14:paraId="658DB58F">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项目</w:t>
            </w:r>
          </w:p>
        </w:tc>
        <w:tc>
          <w:tcPr>
            <w:tcW w:w="3055" w:type="pct"/>
            <w:tcBorders>
              <w:tl2br w:val="nil"/>
              <w:tr2bl w:val="nil"/>
            </w:tcBorders>
            <w:vAlign w:val="center"/>
          </w:tcPr>
          <w:p w14:paraId="69C17FB9">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内容</w:t>
            </w:r>
          </w:p>
        </w:tc>
      </w:tr>
      <w:tr w14:paraId="12AC8B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51428EF6">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1</w:t>
            </w:r>
          </w:p>
        </w:tc>
        <w:tc>
          <w:tcPr>
            <w:tcW w:w="1435" w:type="pct"/>
            <w:tcBorders>
              <w:tl2br w:val="nil"/>
              <w:tr2bl w:val="nil"/>
            </w:tcBorders>
            <w:vAlign w:val="center"/>
          </w:tcPr>
          <w:p w14:paraId="04BEF594">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建设单位</w:t>
            </w:r>
          </w:p>
        </w:tc>
        <w:tc>
          <w:tcPr>
            <w:tcW w:w="3055" w:type="pct"/>
            <w:tcBorders>
              <w:tl2br w:val="nil"/>
              <w:tr2bl w:val="nil"/>
            </w:tcBorders>
            <w:vAlign w:val="center"/>
          </w:tcPr>
          <w:p w14:paraId="1BCE72C9">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广西桂贺高速公路有限公司</w:t>
            </w:r>
          </w:p>
        </w:tc>
      </w:tr>
      <w:tr w14:paraId="302E747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10550B38">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2</w:t>
            </w:r>
          </w:p>
        </w:tc>
        <w:tc>
          <w:tcPr>
            <w:tcW w:w="1435" w:type="pct"/>
            <w:tcBorders>
              <w:tl2br w:val="nil"/>
              <w:tr2bl w:val="nil"/>
            </w:tcBorders>
            <w:vAlign w:val="center"/>
          </w:tcPr>
          <w:p w14:paraId="74BDA558">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勘察</w:t>
            </w:r>
            <w:r>
              <w:rPr>
                <w:rFonts w:hint="eastAsia" w:ascii="仿宋" w:hAnsi="仿宋" w:eastAsia="仿宋" w:cs="仿宋"/>
                <w:highlight w:val="none"/>
                <w:lang w:eastAsia="zh-CN"/>
              </w:rPr>
              <w:t>、</w:t>
            </w:r>
            <w:r>
              <w:rPr>
                <w:rFonts w:hint="eastAsia" w:ascii="仿宋" w:hAnsi="仿宋" w:eastAsia="仿宋" w:cs="仿宋"/>
                <w:highlight w:val="none"/>
              </w:rPr>
              <w:t>设计单位</w:t>
            </w:r>
          </w:p>
        </w:tc>
        <w:tc>
          <w:tcPr>
            <w:tcW w:w="3055" w:type="pct"/>
            <w:tcBorders>
              <w:tl2br w:val="nil"/>
              <w:tr2bl w:val="nil"/>
            </w:tcBorders>
            <w:vAlign w:val="center"/>
          </w:tcPr>
          <w:p w14:paraId="059373C1">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highlight w:val="none"/>
                <w:lang w:val="en-US"/>
              </w:rPr>
            </w:pPr>
            <w:r>
              <w:rPr>
                <w:rFonts w:hint="eastAsia" w:ascii="仿宋" w:hAnsi="仿宋" w:eastAsia="仿宋" w:cs="仿宋"/>
                <w:highlight w:val="none"/>
                <w:lang w:val="en-US" w:eastAsia="zh-CN"/>
              </w:rPr>
              <w:t>广西交通设计集团有限公司</w:t>
            </w:r>
          </w:p>
        </w:tc>
      </w:tr>
      <w:tr w14:paraId="6F96DDC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290B4B66">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3</w:t>
            </w:r>
          </w:p>
        </w:tc>
        <w:tc>
          <w:tcPr>
            <w:tcW w:w="1435" w:type="pct"/>
            <w:tcBorders>
              <w:tl2br w:val="nil"/>
              <w:tr2bl w:val="nil"/>
            </w:tcBorders>
            <w:vAlign w:val="center"/>
          </w:tcPr>
          <w:p w14:paraId="6897316B">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rPr>
              <w:t>监理单位</w:t>
            </w:r>
          </w:p>
        </w:tc>
        <w:tc>
          <w:tcPr>
            <w:tcW w:w="3055" w:type="pct"/>
            <w:tcBorders>
              <w:tl2br w:val="nil"/>
              <w:tr2bl w:val="nil"/>
            </w:tcBorders>
            <w:vAlign w:val="center"/>
          </w:tcPr>
          <w:p w14:paraId="5D73976F">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lang w:val="en-US" w:eastAsia="zh-CN"/>
              </w:rPr>
              <w:t>四川盛达兴工程项目管理</w:t>
            </w:r>
            <w:r>
              <w:rPr>
                <w:rFonts w:hint="eastAsia" w:ascii="仿宋" w:hAnsi="仿宋" w:eastAsia="仿宋" w:cs="仿宋"/>
                <w:highlight w:val="none"/>
              </w:rPr>
              <w:t>有限公司</w:t>
            </w:r>
          </w:p>
        </w:tc>
      </w:tr>
      <w:tr w14:paraId="5A4D77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006D4DA1">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4</w:t>
            </w:r>
          </w:p>
        </w:tc>
        <w:tc>
          <w:tcPr>
            <w:tcW w:w="1435" w:type="pct"/>
            <w:tcBorders>
              <w:tl2br w:val="nil"/>
              <w:tr2bl w:val="nil"/>
            </w:tcBorders>
            <w:vAlign w:val="center"/>
          </w:tcPr>
          <w:p w14:paraId="2174197C">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rPr>
              <w:t>施工单位</w:t>
            </w:r>
          </w:p>
        </w:tc>
        <w:tc>
          <w:tcPr>
            <w:tcW w:w="3055" w:type="pct"/>
            <w:tcBorders>
              <w:tl2br w:val="nil"/>
              <w:tr2bl w:val="nil"/>
            </w:tcBorders>
            <w:vAlign w:val="center"/>
          </w:tcPr>
          <w:p w14:paraId="4FD98045">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中交第二航务工程局有限公司</w:t>
            </w:r>
          </w:p>
        </w:tc>
      </w:tr>
      <w:tr w14:paraId="3DE6C28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23145462">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5</w:t>
            </w:r>
          </w:p>
        </w:tc>
        <w:tc>
          <w:tcPr>
            <w:tcW w:w="1435" w:type="pct"/>
            <w:tcBorders>
              <w:tl2br w:val="nil"/>
              <w:tr2bl w:val="nil"/>
            </w:tcBorders>
            <w:vAlign w:val="center"/>
          </w:tcPr>
          <w:p w14:paraId="64F3244A">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lang w:val="en-US" w:eastAsia="zh-CN"/>
              </w:rPr>
              <w:t>安装</w:t>
            </w:r>
            <w:r>
              <w:rPr>
                <w:rFonts w:hint="eastAsia" w:ascii="仿宋" w:hAnsi="仿宋" w:eastAsia="仿宋" w:cs="仿宋"/>
                <w:highlight w:val="none"/>
              </w:rPr>
              <w:t>单位</w:t>
            </w:r>
          </w:p>
        </w:tc>
        <w:tc>
          <w:tcPr>
            <w:tcW w:w="3055" w:type="pct"/>
            <w:tcBorders>
              <w:tl2br w:val="nil"/>
              <w:tr2bl w:val="nil"/>
            </w:tcBorders>
            <w:vAlign w:val="center"/>
          </w:tcPr>
          <w:p w14:paraId="19CA923E">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lang w:eastAsia="zh-CN"/>
              </w:rPr>
            </w:pPr>
            <w:r>
              <w:rPr>
                <w:rFonts w:hint="eastAsia" w:ascii="仿宋" w:hAnsi="仿宋" w:eastAsia="仿宋" w:cs="仿宋"/>
                <w:highlight w:val="none"/>
                <w:lang w:eastAsia="zh-CN"/>
              </w:rPr>
              <w:t>四川科斗文智能装备有限公司</w:t>
            </w:r>
          </w:p>
        </w:tc>
      </w:tr>
    </w:tbl>
    <w:p w14:paraId="73B59B24">
      <w:pPr>
        <w:pStyle w:val="3"/>
        <w:bidi w:val="0"/>
        <w:ind w:left="575" w:leftChars="0" w:hanging="575" w:firstLineChars="0"/>
      </w:pPr>
      <w:bookmarkStart w:id="32" w:name="_Toc26819"/>
      <w:bookmarkStart w:id="33" w:name="_Toc14295"/>
      <w:bookmarkStart w:id="34" w:name="_Toc10409768"/>
      <w:r>
        <w:rPr>
          <w:rFonts w:hint="eastAsia"/>
        </w:rPr>
        <w:t xml:space="preserve"> </w:t>
      </w:r>
      <w:bookmarkStart w:id="35" w:name="_Toc17108"/>
      <w:r>
        <w:rPr>
          <w:rFonts w:hint="eastAsia"/>
        </w:rPr>
        <w:t>适用范围</w:t>
      </w:r>
      <w:bookmarkEnd w:id="32"/>
      <w:bookmarkEnd w:id="33"/>
      <w:bookmarkEnd w:id="34"/>
      <w:bookmarkEnd w:id="35"/>
    </w:p>
    <w:p w14:paraId="69D8B936">
      <w:pPr>
        <w:bidi w:val="0"/>
        <w:ind w:firstLine="480" w:firstLineChars="200"/>
        <w:rPr>
          <w:highlight w:val="none"/>
        </w:rPr>
      </w:pPr>
      <w:r>
        <w:rPr>
          <w:rFonts w:hint="eastAsia"/>
          <w:highlight w:val="none"/>
        </w:rPr>
        <w:t>本方案适用于中交二航局桂林-恭城-贺州公路（桂林至钟山段）№7合同段</w:t>
      </w:r>
      <w:r>
        <w:rPr>
          <w:highlight w:val="none"/>
        </w:rPr>
        <w:t>项目</w:t>
      </w:r>
      <w:r>
        <w:rPr>
          <w:rFonts w:hint="eastAsia"/>
          <w:highlight w:val="none"/>
          <w:lang w:val="en-US" w:eastAsia="zh-CN"/>
        </w:rPr>
        <w:t>新渡坪大桥左幅7#墩XGT7022-10S</w:t>
      </w:r>
      <w:r>
        <w:rPr>
          <w:highlight w:val="none"/>
        </w:rPr>
        <w:t>塔式起重机安装安全施工作业。</w:t>
      </w:r>
    </w:p>
    <w:p w14:paraId="522D2077">
      <w:pPr>
        <w:rPr>
          <w:highlight w:val="none"/>
        </w:rPr>
      </w:pPr>
      <w:r>
        <w:rPr>
          <w:highlight w:val="none"/>
        </w:rPr>
        <w:br w:type="page"/>
      </w:r>
    </w:p>
    <w:p w14:paraId="66BCE898">
      <w:pPr>
        <w:pStyle w:val="2"/>
        <w:bidi w:val="0"/>
        <w:ind w:left="432" w:leftChars="0" w:hanging="432" w:firstLineChars="0"/>
        <w:rPr>
          <w:rFonts w:hint="eastAsia"/>
        </w:rPr>
      </w:pPr>
      <w:bookmarkStart w:id="36" w:name="_Toc17025"/>
      <w:bookmarkStart w:id="37" w:name="_Toc2545"/>
      <w:bookmarkStart w:id="38" w:name="_Toc16987"/>
      <w:r>
        <w:rPr>
          <w:rFonts w:hint="eastAsia"/>
        </w:rPr>
        <w:t>工程概况</w:t>
      </w:r>
      <w:bookmarkEnd w:id="13"/>
      <w:bookmarkEnd w:id="36"/>
      <w:bookmarkEnd w:id="37"/>
      <w:bookmarkEnd w:id="38"/>
    </w:p>
    <w:p w14:paraId="3ABB5EF7">
      <w:pPr>
        <w:pStyle w:val="3"/>
        <w:bidi w:val="0"/>
        <w:ind w:left="575" w:leftChars="0" w:hanging="575" w:firstLineChars="0"/>
      </w:pPr>
      <w:bookmarkStart w:id="39" w:name="_Toc10409770"/>
      <w:bookmarkStart w:id="40" w:name="_Toc23094"/>
      <w:bookmarkStart w:id="41" w:name="_Toc8807"/>
      <w:r>
        <w:rPr>
          <w:rFonts w:hint="eastAsia"/>
        </w:rPr>
        <w:t xml:space="preserve"> </w:t>
      </w:r>
      <w:bookmarkStart w:id="42" w:name="_Toc28525"/>
      <w:r>
        <w:rPr>
          <w:rFonts w:hint="eastAsia"/>
        </w:rPr>
        <w:t>工程概况</w:t>
      </w:r>
      <w:bookmarkEnd w:id="39"/>
      <w:bookmarkEnd w:id="40"/>
      <w:bookmarkEnd w:id="41"/>
      <w:bookmarkEnd w:id="42"/>
    </w:p>
    <w:p w14:paraId="2730413B">
      <w:pPr>
        <w:bidi w:val="0"/>
        <w:ind w:firstLine="480" w:firstLineChars="200"/>
        <w:rPr>
          <w:rFonts w:hint="eastAsia"/>
          <w:highlight w:val="none"/>
        </w:rPr>
      </w:pPr>
      <w:r>
        <w:rPr>
          <w:rFonts w:hint="eastAsia"/>
          <w:highlight w:val="none"/>
        </w:rPr>
        <w:t>桂林-恭城-贺州公路（桂林至钟山段）№7合同段路线长度1</w:t>
      </w:r>
      <w:r>
        <w:rPr>
          <w:rFonts w:hint="eastAsia"/>
          <w:highlight w:val="none"/>
          <w:lang w:val="en-US" w:eastAsia="zh-CN"/>
        </w:rPr>
        <w:t>63</w:t>
      </w:r>
      <w:r>
        <w:rPr>
          <w:rFonts w:hint="eastAsia"/>
          <w:highlight w:val="none"/>
        </w:rPr>
        <w:t>km，途径莲花镇与三江乡，起讫桩号K105+8</w:t>
      </w:r>
      <w:r>
        <w:rPr>
          <w:rFonts w:hint="eastAsia"/>
          <w:highlight w:val="none"/>
          <w:lang w:val="en-US" w:eastAsia="zh-CN"/>
        </w:rPr>
        <w:t>132</w:t>
      </w:r>
      <w:r>
        <w:rPr>
          <w:rFonts w:hint="eastAsia"/>
          <w:highlight w:val="none"/>
        </w:rPr>
        <w:t>-K120+780,施工内容包含路基、路面（不含沥青面层）、桥涵、隧道、线路交叉、交安及绿化等工程。线路主线为双向4车道，</w:t>
      </w:r>
      <w:r>
        <w:rPr>
          <w:rFonts w:hint="eastAsia"/>
          <w:highlight w:val="none"/>
          <w:lang w:val="en-US" w:eastAsia="zh-CN"/>
        </w:rPr>
        <w:t>路基总长46km，</w:t>
      </w:r>
      <w:r>
        <w:rPr>
          <w:rFonts w:hint="eastAsia"/>
          <w:highlight w:val="none"/>
        </w:rPr>
        <w:t>整体式路基全幅宽26m，分离式路基宽13m，设计速度：100km/h，设计荷载公路-I级；沿线共设桥梁61km/12座（含天桥1座、立交桥1座）</w:t>
      </w:r>
      <w:r>
        <w:rPr>
          <w:rFonts w:hint="eastAsia"/>
          <w:highlight w:val="none"/>
          <w:lang w:eastAsia="zh-CN"/>
        </w:rPr>
        <w:t>。</w:t>
      </w:r>
      <w:r>
        <w:rPr>
          <w:rFonts w:hint="eastAsia"/>
          <w:highlight w:val="none"/>
        </w:rPr>
        <w:t>隧道56km/4座，建筑限界净宽15米，净高米，均为长隧道。标段内有通道、涵洞9座。</w:t>
      </w:r>
    </w:p>
    <w:p w14:paraId="03D37B00">
      <w:pPr>
        <w:bidi w:val="0"/>
        <w:ind w:firstLine="240" w:firstLineChars="100"/>
        <w:rPr>
          <w:rFonts w:hint="eastAsia"/>
          <w:highlight w:val="none"/>
          <w:lang w:val="en-US" w:eastAsia="zh-CN"/>
        </w:rPr>
      </w:pPr>
      <w:r>
        <w:rPr>
          <w:rFonts w:hint="eastAsia"/>
          <w:highlight w:val="none"/>
          <w:lang w:val="en-US" w:eastAsia="zh-CN"/>
        </w:rPr>
        <w:t>经综合考虑，本项目计划于新渡坪大桥左幅7#墩布置XGT7022-10S</w:t>
      </w:r>
      <w:r>
        <w:rPr>
          <w:rFonts w:hint="eastAsia"/>
          <w:highlight w:val="none"/>
        </w:rPr>
        <w:t>塔式起重机</w:t>
      </w:r>
      <w:r>
        <w:rPr>
          <w:rFonts w:hint="eastAsia"/>
          <w:highlight w:val="none"/>
          <w:lang w:val="en-US" w:eastAsia="zh-CN"/>
        </w:rPr>
        <w:t>进行作业。</w:t>
      </w:r>
    </w:p>
    <w:p w14:paraId="62B04685">
      <w:pPr>
        <w:pStyle w:val="3"/>
        <w:bidi w:val="0"/>
        <w:ind w:left="575" w:leftChars="0" w:hanging="575" w:firstLineChars="0"/>
      </w:pPr>
      <w:bookmarkStart w:id="43" w:name="_Toc10409771"/>
      <w:bookmarkStart w:id="44" w:name="_Toc168"/>
      <w:bookmarkStart w:id="45" w:name="_Toc28203"/>
      <w:r>
        <w:rPr>
          <w:rFonts w:hint="eastAsia"/>
        </w:rPr>
        <w:t xml:space="preserve"> </w:t>
      </w:r>
      <w:bookmarkStart w:id="46" w:name="_Toc27523"/>
      <w:r>
        <w:rPr>
          <w:rFonts w:hint="eastAsia"/>
        </w:rPr>
        <w:t>自然条件</w:t>
      </w:r>
      <w:bookmarkEnd w:id="43"/>
      <w:bookmarkEnd w:id="44"/>
      <w:bookmarkEnd w:id="45"/>
      <w:bookmarkEnd w:id="46"/>
    </w:p>
    <w:p w14:paraId="17875853">
      <w:pPr>
        <w:pStyle w:val="4"/>
        <w:bidi w:val="0"/>
        <w:ind w:left="720" w:leftChars="0" w:hanging="720" w:firstLineChars="0"/>
      </w:pPr>
      <w:bookmarkStart w:id="47" w:name="_Toc24351"/>
      <w:bookmarkStart w:id="48" w:name="_Toc29865"/>
      <w:bookmarkStart w:id="49" w:name="_Toc494007915"/>
      <w:bookmarkStart w:id="50" w:name="_Toc30608"/>
      <w:bookmarkStart w:id="51" w:name="_Toc6405"/>
      <w:bookmarkStart w:id="52" w:name="_Toc14274"/>
      <w:bookmarkStart w:id="53" w:name="_Toc14307"/>
      <w:bookmarkStart w:id="54" w:name="_Toc9111"/>
      <w:bookmarkStart w:id="55" w:name="_Toc30067"/>
      <w:bookmarkStart w:id="56" w:name="_Toc17689"/>
      <w:bookmarkStart w:id="57" w:name="_Toc23914"/>
      <w:bookmarkStart w:id="58" w:name="_Toc492907359"/>
      <w:bookmarkStart w:id="59" w:name="_Toc25768"/>
      <w:bookmarkStart w:id="60" w:name="_Toc496071095"/>
      <w:bookmarkStart w:id="61" w:name="_Toc14203"/>
      <w:bookmarkStart w:id="62" w:name="_Toc15055"/>
      <w:bookmarkStart w:id="63" w:name="_Toc2198"/>
      <w:bookmarkStart w:id="64" w:name="_Toc23792"/>
      <w:bookmarkStart w:id="65" w:name="_Toc17986"/>
      <w:bookmarkStart w:id="66" w:name="_Toc17515"/>
      <w:r>
        <w:t xml:space="preserve"> </w:t>
      </w:r>
      <w:r>
        <w:rPr>
          <w:rFonts w:hint="eastAsia"/>
        </w:rPr>
        <w:t>地形地貌</w:t>
      </w:r>
    </w:p>
    <w:p w14:paraId="0CE98318">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桥位区属低山丘陵~河谷地貌，地形起伏较大。设计路线大致呈西~东走向，拟建桥梁跨越 冲沟、河流。拟建桥梁墩台多位于低山丘陵斜坡，其地表高程 300~480m，覆盖第四系残坡积层，</w:t>
      </w:r>
    </w:p>
    <w:p w14:paraId="52B6F852">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highlight w:val="none"/>
        </w:rPr>
      </w:pPr>
      <w:r>
        <w:rPr>
          <w:szCs w:val="21"/>
          <w:highlight w:val="none"/>
        </w:rPr>
        <w:t>覆盖层较薄，主要种植松树、杂树等经济林。 K117+250~300 段可见大型滑坡堆积体。</w:t>
      </w:r>
    </w:p>
    <w:p w14:paraId="5483EC23">
      <w:pPr>
        <w:pStyle w:val="4"/>
        <w:bidi w:val="0"/>
        <w:ind w:left="720" w:leftChars="0" w:hanging="720" w:firstLineChars="0"/>
      </w:pPr>
      <w:r>
        <w:t xml:space="preserve"> </w:t>
      </w:r>
      <w:r>
        <w:rPr>
          <w:rFonts w:hint="eastAsia"/>
        </w:rPr>
        <w:t>水文</w:t>
      </w:r>
    </w:p>
    <w:p w14:paraId="565D8DEE">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1)地表水</w:t>
      </w:r>
    </w:p>
    <w:p w14:paraId="6FC328A7">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本桥位地表水体主要为势江河， 大致呈东~西流向， 水面宽 8~20m，水深 0~0m，常年 有水，主要接收大气降水补给，水量受季节影响较大。勘察期间测得河水位 300~310m(2021 年 5 月 10 日量测)，经走访当地村民，该段小溪水位年际变化幅度一般在 0~0m，历史最高 水位为 310m。</w:t>
      </w:r>
    </w:p>
    <w:p w14:paraId="472F3513">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2)地下水</w:t>
      </w:r>
    </w:p>
    <w:p w14:paraId="64E8AB5F">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根据地下水的埋藏条件、赋存介质和分布范围，场地地下水类型有孔隙水、基岩裂隙水。孔 隙水，属潜水，赋存于卵石中，强富水，主要受大气降水或地表水补给，以蒸发、垂直向下渗流 至基岩裂隙水或以补给地表水的方式排泄，水位随季节而变化。基岩裂隙水，赋存于岩石中的基 岩裂隙中，中等富水，受地表水和孔隙水补给，在接受补给后，以泉眼、越流等形式分散排泄于 低洼部位，其水量因岩石裂隙发育程度不同而差异较大。勘察期间钻孔混合稳定地下水位高程为 300~397m，水位埋深为 0~20m。</w:t>
      </w:r>
    </w:p>
    <w:p w14:paraId="71F539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szCs w:val="21"/>
          <w:highlight w:val="none"/>
        </w:rPr>
        <w:t>根据地质调查结果，卵石 (Qal+pl)、碎石 (Qel+dl) 为强透水层， 基岩的透水性因岩石风化 程度和裂隙发育程度不同而差异较大。</w:t>
      </w:r>
    </w:p>
    <w:p w14:paraId="5B196EB2">
      <w:pPr>
        <w:pStyle w:val="4"/>
        <w:bidi w:val="0"/>
        <w:ind w:left="720" w:leftChars="0" w:hanging="720" w:firstLineChars="0"/>
      </w:pPr>
      <w:bookmarkStart w:id="67" w:name="_Toc22832"/>
      <w:bookmarkEnd w:id="67"/>
      <w:r>
        <w:t xml:space="preserve"> </w:t>
      </w:r>
      <w:r>
        <w:rPr>
          <w:rFonts w:hint="eastAsia"/>
        </w:rPr>
        <w:t>地震</w:t>
      </w:r>
    </w:p>
    <w:p w14:paraId="3A373C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根据《中国地震动参数区划图》(GB18306-2015)，场地的基本地震动峰值加速度为5g，对应的地震基本烈度为Ⅵ度，基本地震动加速度反应谱特征周期为5s。</w:t>
      </w:r>
    </w:p>
    <w:p w14:paraId="61DE56E7">
      <w:pPr>
        <w:pStyle w:val="4"/>
        <w:bidi w:val="0"/>
        <w:ind w:left="720" w:leftChars="0" w:hanging="720" w:firstLineChars="0"/>
      </w:pPr>
      <w:r>
        <w:t xml:space="preserve"> </w:t>
      </w:r>
      <w:r>
        <w:rPr>
          <w:rFonts w:hint="eastAsia"/>
        </w:rPr>
        <w:t>气象</w:t>
      </w:r>
    </w:p>
    <w:p w14:paraId="6BBE23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szCs w:val="21"/>
          <w:highlight w:val="none"/>
        </w:rPr>
        <w:t>拟建项目本项目区属于亚热带季风气候区，太阳辐射较大，降水充沛，夏季多暴雨高温。项目区境内平均地面温度 1℃ 。最热月 7 月平均 2℃ ，最冷月 1 月平均℃ 。 日照时数年平 均为 171 小时， 日照百分率年平均 39％ 。一年中日照时数 6 月最多， 为 19 小时。多年平 均降水量约 1200~1600mm。一年中 11 月至翌年 2 月降水量最少；4~8 月为丰水期， 占全年降水 量的 60~65%；3、9、10 月为平水期。多年平均蒸发量为 130~1413mm，最高 1561mm，最低 130mm。年平均风速为 m/s，一年中春季风速大， 秋季风速小，盛行偏东风。</w:t>
      </w:r>
    </w:p>
    <w:p w14:paraId="5F199242">
      <w:pPr>
        <w:pStyle w:val="4"/>
        <w:bidi w:val="0"/>
        <w:ind w:left="720" w:leftChars="0" w:hanging="720" w:firstLineChars="0"/>
      </w:pPr>
      <w:r>
        <w:t xml:space="preserve"> </w:t>
      </w:r>
      <w:r>
        <w:rPr>
          <w:rFonts w:hint="eastAsia"/>
        </w:rPr>
        <w:t>地质</w:t>
      </w:r>
    </w:p>
    <w:p w14:paraId="65D784A7">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根据野外地质调查及钻探资料，场地内地层主要由第四系冲洪积层(Qal+pl)、残坡积层(Qel+dl) 及寒武系(e) 基岩组成。</w:t>
      </w:r>
    </w:p>
    <w:p w14:paraId="389E4BB8">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1)</w:t>
      </w:r>
      <w:r>
        <w:rPr>
          <w:szCs w:val="21"/>
          <w:highlight w:val="none"/>
        </w:rPr>
        <w:t>第四系冲洪积层(Qal+pl)</w:t>
      </w:r>
    </w:p>
    <w:p w14:paraId="13C34D3E">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卵石 (Qal+pl-1)，杂色，湿~饱和，稍密~中密状，卵石含量约 60~70%，粒径为 40~100mm， 局部夹漂石，多呈亚圆形，母岩为砂岩，间隙充填砂及黏性土。该层主要分布于河床表层，本次勘察钻孔 SQZK1175-2 有揭示，揭示厚度 0m。</w:t>
      </w:r>
    </w:p>
    <w:p w14:paraId="252A255C">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2)</w:t>
      </w:r>
      <w:r>
        <w:rPr>
          <w:szCs w:val="21"/>
          <w:highlight w:val="none"/>
        </w:rPr>
        <w:t xml:space="preserve"> 第四系残坡积层(Qel+dl)</w:t>
      </w:r>
    </w:p>
    <w:p w14:paraId="4EBD6E82">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碎石 (Qel+dl)，褐、褐红色，稍密~中密状，稍湿，碎石含量 50~70%，粒径 20~100mm， 次棱角状，母岩为砂岩，间隙充填黏性土及少量砂。该层主要分布于斜坡表层， 本次勘察钻孔 21个，其中 19 个钻孔有揭示，部分斜坡地段因整理机台挖除，揭示厚度 0~20m。</w:t>
      </w:r>
    </w:p>
    <w:p w14:paraId="395BD3E9">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3)</w:t>
      </w:r>
      <w:r>
        <w:rPr>
          <w:szCs w:val="21"/>
          <w:highlight w:val="none"/>
        </w:rPr>
        <w:t xml:space="preserve"> 寒武系(e)基岩</w:t>
      </w:r>
    </w:p>
    <w:p w14:paraId="6EAE81D2">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根据地质调查及钻探资料，场地内岩性为砂岩，根据岩性及岩石风化程度不同，分述如下：</w:t>
      </w:r>
    </w:p>
    <w:p w14:paraId="6BD3F54A">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a</w:t>
      </w:r>
      <w:r>
        <w:rPr>
          <w:szCs w:val="21"/>
          <w:highlight w:val="none"/>
        </w:rPr>
        <w:t>) 强风化砂质泥岩，褐、红褐色，泥状结构，薄~中厚层状构造，岩质软，节理裂隙发育， 岩体破碎，岩芯多呈土柱状、块状。K116+950~117+060 段深挖路堑 2 个钻孔均有揭示，揭示厚度 10~10m，岩体基本质量等级为Ⅴ级。</w:t>
      </w:r>
    </w:p>
    <w:p w14:paraId="7FE20DDF">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b</w:t>
      </w:r>
      <w:r>
        <w:rPr>
          <w:szCs w:val="21"/>
          <w:highlight w:val="none"/>
        </w:rPr>
        <w:t>) 强风化砂岩，褐黄色，薄~中厚层状构造，砂质结构，节理裂隙发育，泥质充填及铁锰质 浸染，岩质较软，岩体破碎，岩芯呈块状、砂状。本次勘察钻孔 21 个，其中 19 个钻孔有揭示， 揭示厚度 0~20m，岩体基本质量等级为Ⅴ级。</w:t>
      </w:r>
    </w:p>
    <w:p w14:paraId="0FD7A904">
      <w:pPr>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c</w:t>
      </w:r>
      <w:r>
        <w:rPr>
          <w:szCs w:val="21"/>
          <w:highlight w:val="none"/>
        </w:rPr>
        <w:t>) 中风化砂岩，青灰色，中厚层状构造，砂质结构，局部节理裂隙，泥质充填或铁猛质浸染岩质坚硬，岩体较完整，岩芯多呈块、短柱状。本次勘察钻孔 21 个，均有揭示，揭示厚度 0~ 20m，岩体基本质量等级为III级，局部破碎地段为IV级。</w:t>
      </w:r>
    </w:p>
    <w:p w14:paraId="280F6727">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highlight w:val="none"/>
          <w:lang w:val="en-US" w:eastAsia="zh-CN"/>
        </w:rPr>
      </w:pPr>
      <w:r>
        <w:rPr>
          <w:szCs w:val="21"/>
          <w:highlight w:val="none"/>
        </w:rPr>
        <w:t>根据区域地质资料并结合地质调查及钻孔资料，勘察区内未见区域性断裂构造和软弱构造破碎带，区域稳定性较好。</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51E8C50E">
      <w:pPr>
        <w:pStyle w:val="3"/>
        <w:bidi w:val="0"/>
        <w:ind w:left="575" w:leftChars="0" w:hanging="575" w:firstLineChars="0"/>
      </w:pPr>
      <w:bookmarkStart w:id="68" w:name="_Toc10409772"/>
      <w:bookmarkStart w:id="69" w:name="_Toc13099"/>
      <w:bookmarkStart w:id="70" w:name="_Toc878"/>
      <w:r>
        <w:rPr>
          <w:rFonts w:hint="eastAsia"/>
        </w:rPr>
        <w:t xml:space="preserve"> </w:t>
      </w:r>
      <w:bookmarkStart w:id="71" w:name="_Toc6818"/>
      <w:r>
        <w:rPr>
          <w:rFonts w:hint="eastAsia"/>
        </w:rPr>
        <w:t>安装现场工作环境及条件</w:t>
      </w:r>
      <w:bookmarkEnd w:id="68"/>
      <w:bookmarkEnd w:id="69"/>
      <w:bookmarkEnd w:id="70"/>
      <w:bookmarkEnd w:id="71"/>
    </w:p>
    <w:p w14:paraId="14C403F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根据新渡坪大桥桥位布置及高墩结构特点、现场地形条件，结合高墩施工安装最大起吊重量、爬架施工最大起吊重量及塔机最大施工悬臂要求，拟在新渡坪大桥安装一台徐工XGT7022-10S塔机作为高墩施工垂直起重设备。塔机主要承担高墩钢筋、劲性骨架以及辅助材料等吊装，待施工完成盖梁后拆除。</w:t>
      </w:r>
    </w:p>
    <w:p w14:paraId="289B044E">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根据野外地质调查及钻探资料，场地内地层主要由第四系冲洪积层(Qal+pl)、残坡积层(Qel+dl) 及寒武系(e) 基岩组成。</w:t>
      </w:r>
    </w:p>
    <w:p w14:paraId="1DFA41C1">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1)</w:t>
      </w:r>
      <w:r>
        <w:rPr>
          <w:szCs w:val="21"/>
          <w:highlight w:val="none"/>
        </w:rPr>
        <w:t>第四系冲洪积层(Qal+pl)</w:t>
      </w:r>
    </w:p>
    <w:p w14:paraId="24BA4EF5">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卵石 (Qal+pl-1)，杂色，湿~饱和，稍密~中密状，卵石含量约 60~70%，粒径为 40~100mm， 局部夹漂石，多呈亚圆形，母岩为砂岩，间隙充填砂及黏性土。该层主要分布于河床表层，本次勘察钻孔 SQZK1175-2 有揭示，揭示厚度 0m。</w:t>
      </w:r>
    </w:p>
    <w:p w14:paraId="78E45C47">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2)</w:t>
      </w:r>
      <w:r>
        <w:rPr>
          <w:szCs w:val="21"/>
          <w:highlight w:val="none"/>
        </w:rPr>
        <w:t xml:space="preserve"> 第四系残坡积层(Qel+dl)</w:t>
      </w:r>
    </w:p>
    <w:p w14:paraId="6694594A">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碎石 (Qel+dl)，褐、褐红色，稍密~中密状，稍湿，碎石含量 50~70%，粒径 20~100mm，次棱角状，母岩为砂岩，间隙充填黏性土及少量砂。该层主要分布于斜坡表层，本次勘察钻孔21个，其中19个钻孔有揭示，部分斜坡地段因整理机台挖除，揭示厚度 0~20m。</w:t>
      </w:r>
    </w:p>
    <w:p w14:paraId="4655E04F">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3)</w:t>
      </w:r>
      <w:r>
        <w:rPr>
          <w:szCs w:val="21"/>
          <w:highlight w:val="none"/>
        </w:rPr>
        <w:t xml:space="preserve"> 寒武系(e)基岩</w:t>
      </w:r>
    </w:p>
    <w:p w14:paraId="0F4D495D">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根据地质调查及钻探资料，场地内岩性为砂岩，根据岩性及岩石风化程度不同，分述如下：</w:t>
      </w:r>
    </w:p>
    <w:p w14:paraId="7EB3DECC">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a</w:t>
      </w:r>
      <w:r>
        <w:rPr>
          <w:szCs w:val="21"/>
          <w:highlight w:val="none"/>
        </w:rPr>
        <w:t>) 强风化砂质泥岩，褐、红褐色，泥状结构，薄~中厚层状构造，岩质软，节理裂隙发育， 岩体破碎，岩芯多呈土柱状、块状。K116+950~117+060 段深挖路堑 2 个钻孔均有揭示，揭示厚度 10~10m，岩体基本质量等级为Ⅴ级。</w:t>
      </w:r>
    </w:p>
    <w:p w14:paraId="68EEF222">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b</w:t>
      </w:r>
      <w:r>
        <w:rPr>
          <w:szCs w:val="21"/>
          <w:highlight w:val="none"/>
        </w:rPr>
        <w:t>) 强风化砂岩，褐黄色，薄~中厚层状构造，砂质结构，节理裂隙发育，泥质充填及铁锰质 浸染，岩质较软，岩体破碎，岩芯呈块状、砂状。本次勘察钻孔 21 个，其中 19 个钻孔有揭示， 揭示厚度 0~20m，岩体基本质量等级为Ⅴ级。</w:t>
      </w:r>
    </w:p>
    <w:p w14:paraId="598C09C9">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rFonts w:hint="eastAsia" w:ascii="Times New Roman" w:eastAsia="宋体"/>
          <w:szCs w:val="21"/>
          <w:highlight w:val="none"/>
          <w:lang w:val="en-US" w:eastAsia="zh-CN"/>
        </w:rPr>
        <w:t>c</w:t>
      </w:r>
      <w:r>
        <w:rPr>
          <w:szCs w:val="21"/>
          <w:highlight w:val="none"/>
        </w:rPr>
        <w:t>) 中风化砂岩，青灰色，中厚层状构造，砂质结构，局部节理裂隙，泥质充填或铁猛质浸染岩质坚硬，岩体较完整，岩芯多呈块、短柱状。本次勘察钻孔 21 个，均有揭示，揭示厚度 0~ 20m，岩体基本质量等级为III级，局部破碎地段为IV级。</w:t>
      </w:r>
    </w:p>
    <w:p w14:paraId="59AFB81F">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1"/>
          <w:highlight w:val="none"/>
        </w:rPr>
      </w:pPr>
      <w:r>
        <w:rPr>
          <w:szCs w:val="21"/>
          <w:highlight w:val="none"/>
        </w:rPr>
        <w:t>根据区域地质资料并结合地质调查及钻孔资料，勘察区内未见区域性断裂构造和软弱构造破碎带，区域稳定性较好。</w:t>
      </w:r>
    </w:p>
    <w:p w14:paraId="43F2EC26">
      <w:pPr>
        <w:pStyle w:val="15"/>
      </w:pPr>
      <w:r>
        <w:t xml:space="preserve">表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ascii="Times New Roman" w:hAnsi="Times New Roman" w:eastAsia="黑体" w:cs="Times New Roman"/>
          <w:kern w:val="2"/>
          <w:sz w:val="21"/>
          <w:szCs w:val="21"/>
          <w:highlight w:val="none"/>
          <w:lang w:val="en-US" w:eastAsia="zh-CN" w:bidi="ar-SA"/>
        </w:rPr>
        <w:t>塔式起重机分布统计表</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1486"/>
        <w:gridCol w:w="1574"/>
        <w:gridCol w:w="1180"/>
        <w:gridCol w:w="1045"/>
        <w:gridCol w:w="1301"/>
        <w:gridCol w:w="1933"/>
      </w:tblGrid>
      <w:tr w14:paraId="4604EAD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tblHeader/>
          <w:jc w:val="center"/>
        </w:trPr>
        <w:tc>
          <w:tcPr>
            <w:tcW w:w="872" w:type="pct"/>
            <w:tcBorders>
              <w:tl2br w:val="nil"/>
              <w:tr2bl w:val="nil"/>
            </w:tcBorders>
            <w:shd w:val="clear" w:color="auto" w:fill="DAE3F3" w:themeFill="accent5" w:themeFillTint="32"/>
            <w:vAlign w:val="center"/>
          </w:tcPr>
          <w:p w14:paraId="5347E5F9">
            <w:pPr>
              <w:spacing w:after="0" w:afterLines="0" w:line="240" w:lineRule="auto"/>
              <w:ind w:firstLine="0" w:firstLineChars="0"/>
              <w:jc w:val="center"/>
              <w:rPr>
                <w:rFonts w:hint="eastAsia" w:ascii="仿宋" w:hAnsi="仿宋" w:eastAsia="仿宋" w:cs="仿宋"/>
                <w:b/>
                <w:bCs/>
                <w:sz w:val="13"/>
                <w:szCs w:val="13"/>
                <w:highlight w:val="none"/>
              </w:rPr>
            </w:pPr>
            <w:r>
              <w:rPr>
                <w:rFonts w:hint="eastAsia" w:ascii="宋体" w:hAnsi="宋体" w:eastAsia="宋体" w:cs="宋体"/>
                <w:bCs/>
                <w:color w:val="000000" w:themeColor="text1"/>
                <w:sz w:val="16"/>
                <w:szCs w:val="16"/>
                <w:highlight w:val="none"/>
                <w14:textFill>
                  <w14:solidFill>
                    <w14:schemeClr w14:val="tx1"/>
                  </w14:solidFill>
                </w14:textFill>
              </w:rPr>
              <w:t>塔机编号</w:t>
            </w:r>
          </w:p>
        </w:tc>
        <w:tc>
          <w:tcPr>
            <w:tcW w:w="923" w:type="pct"/>
            <w:tcBorders>
              <w:tl2br w:val="nil"/>
              <w:tr2bl w:val="nil"/>
            </w:tcBorders>
            <w:shd w:val="clear" w:color="auto" w:fill="DAE3F3" w:themeFill="accent5" w:themeFillTint="32"/>
            <w:vAlign w:val="center"/>
          </w:tcPr>
          <w:p w14:paraId="0D73D1C1">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塔机型号</w:t>
            </w:r>
          </w:p>
        </w:tc>
        <w:tc>
          <w:tcPr>
            <w:tcW w:w="692" w:type="pct"/>
            <w:tcBorders>
              <w:tl2br w:val="nil"/>
              <w:tr2bl w:val="nil"/>
            </w:tcBorders>
            <w:shd w:val="clear" w:color="auto" w:fill="DAE3F3" w:themeFill="accent5" w:themeFillTint="32"/>
            <w:vAlign w:val="center"/>
          </w:tcPr>
          <w:p w14:paraId="1CFF14C1">
            <w:pPr>
              <w:spacing w:after="0" w:afterLines="0" w:line="240" w:lineRule="auto"/>
              <w:ind w:firstLine="0" w:firstLineChars="0"/>
              <w:jc w:val="center"/>
              <w:rPr>
                <w:rFonts w:hint="eastAsia" w:ascii="仿宋" w:hAnsi="仿宋" w:eastAsia="宋体" w:cs="仿宋"/>
                <w:b/>
                <w:bCs/>
                <w:sz w:val="13"/>
                <w:szCs w:val="13"/>
                <w:highlight w:val="none"/>
                <w:lang w:val="en-US" w:eastAsia="zh-CN"/>
              </w:rPr>
            </w:pPr>
            <w:r>
              <w:rPr>
                <w:rFonts w:hint="eastAsia" w:cs="宋体"/>
                <w:bCs/>
                <w:color w:val="000000" w:themeColor="text1"/>
                <w:sz w:val="16"/>
                <w:szCs w:val="16"/>
                <w:highlight w:val="none"/>
                <w:lang w:val="en-US" w:eastAsia="zh-CN"/>
                <w14:textFill>
                  <w14:solidFill>
                    <w14:schemeClr w14:val="tx1"/>
                  </w14:solidFill>
                </w14:textFill>
              </w:rPr>
              <w:t>安装</w:t>
            </w:r>
            <w:r>
              <w:rPr>
                <w:rFonts w:hint="eastAsia" w:ascii="宋体" w:hAnsi="宋体" w:eastAsia="宋体" w:cs="宋体"/>
                <w:bCs/>
                <w:color w:val="000000" w:themeColor="text1"/>
                <w:sz w:val="16"/>
                <w:szCs w:val="16"/>
                <w:highlight w:val="none"/>
                <w14:textFill>
                  <w14:solidFill>
                    <w14:schemeClr w14:val="tx1"/>
                  </w14:solidFill>
                </w14:textFill>
              </w:rPr>
              <w:t>高度</w:t>
            </w:r>
            <w:r>
              <w:rPr>
                <w:rFonts w:hint="eastAsia" w:ascii="宋体" w:hAnsi="宋体" w:cs="宋体"/>
                <w:bCs/>
                <w:color w:val="000000" w:themeColor="text1"/>
                <w:sz w:val="16"/>
                <w:szCs w:val="16"/>
                <w:highlight w:val="none"/>
                <w:lang w:val="en-US" w:eastAsia="zh-CN"/>
                <w14:textFill>
                  <w14:solidFill>
                    <w14:schemeClr w14:val="tx1"/>
                  </w14:solidFill>
                </w14:textFill>
              </w:rPr>
              <w:t>m</w:t>
            </w:r>
          </w:p>
        </w:tc>
        <w:tc>
          <w:tcPr>
            <w:tcW w:w="613" w:type="pct"/>
            <w:tcBorders>
              <w:tl2br w:val="nil"/>
              <w:tr2bl w:val="nil"/>
            </w:tcBorders>
            <w:shd w:val="clear" w:color="auto" w:fill="DAE3F3" w:themeFill="accent5" w:themeFillTint="32"/>
            <w:vAlign w:val="center"/>
          </w:tcPr>
          <w:p w14:paraId="648C6C86">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预埋形式</w:t>
            </w:r>
          </w:p>
        </w:tc>
        <w:tc>
          <w:tcPr>
            <w:tcW w:w="763" w:type="pct"/>
            <w:tcBorders>
              <w:tl2br w:val="nil"/>
              <w:tr2bl w:val="nil"/>
            </w:tcBorders>
            <w:shd w:val="clear" w:color="auto" w:fill="DAE3F3" w:themeFill="accent5" w:themeFillTint="32"/>
            <w:vAlign w:val="center"/>
          </w:tcPr>
          <w:p w14:paraId="0EAC9BCD">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起重臂长度</w:t>
            </w:r>
          </w:p>
        </w:tc>
        <w:tc>
          <w:tcPr>
            <w:tcW w:w="1134" w:type="pct"/>
            <w:tcBorders>
              <w:tl2br w:val="nil"/>
              <w:tr2bl w:val="nil"/>
            </w:tcBorders>
            <w:shd w:val="clear" w:color="auto" w:fill="DAE3F3" w:themeFill="accent5" w:themeFillTint="32"/>
            <w:vAlign w:val="center"/>
          </w:tcPr>
          <w:p w14:paraId="6A50D808">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基础顶标高</w:t>
            </w:r>
          </w:p>
        </w:tc>
      </w:tr>
      <w:tr w14:paraId="2F335C3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jc w:val="center"/>
        </w:trPr>
        <w:tc>
          <w:tcPr>
            <w:tcW w:w="872" w:type="pct"/>
            <w:tcBorders>
              <w:tl2br w:val="nil"/>
              <w:tr2bl w:val="nil"/>
            </w:tcBorders>
            <w:vAlign w:val="center"/>
          </w:tcPr>
          <w:p w14:paraId="3A96CED8">
            <w:pPr>
              <w:spacing w:after="0" w:afterLines="0" w:line="240" w:lineRule="auto"/>
              <w:ind w:firstLine="0" w:firstLineChars="0"/>
              <w:jc w:val="center"/>
              <w:rPr>
                <w:rFonts w:hint="eastAsia" w:ascii="宋体" w:hAnsi="宋体" w:eastAsia="宋体" w:cs="宋体"/>
                <w:bCs/>
                <w:color w:val="000000" w:themeColor="text1"/>
                <w:sz w:val="16"/>
                <w:szCs w:val="16"/>
                <w:highlight w:val="none"/>
                <w:lang w:val="en-US" w:eastAsia="zh-CN"/>
                <w14:textFill>
                  <w14:solidFill>
                    <w14:schemeClr w14:val="tx1"/>
                  </w14:solidFill>
                </w14:textFill>
              </w:rPr>
            </w:pPr>
            <w:bookmarkStart w:id="72" w:name="_Toc18009"/>
            <w:r>
              <w:rPr>
                <w:rFonts w:hint="eastAsia" w:cs="宋体"/>
                <w:bCs/>
                <w:color w:val="000000" w:themeColor="text1"/>
                <w:sz w:val="16"/>
                <w:szCs w:val="16"/>
                <w:highlight w:val="none"/>
                <w:lang w:val="en-US" w:eastAsia="zh-CN"/>
                <w14:textFill>
                  <w14:solidFill>
                    <w14:schemeClr w14:val="tx1"/>
                  </w14:solidFill>
                </w14:textFill>
              </w:rPr>
              <w:t>新渡坪左幅7#墩</w:t>
            </w:r>
          </w:p>
        </w:tc>
        <w:tc>
          <w:tcPr>
            <w:tcW w:w="923" w:type="pct"/>
            <w:tcBorders>
              <w:tl2br w:val="nil"/>
              <w:tr2bl w:val="nil"/>
            </w:tcBorders>
            <w:vAlign w:val="center"/>
          </w:tcPr>
          <w:p w14:paraId="239C685C">
            <w:pPr>
              <w:spacing w:after="0" w:afterLines="0" w:line="240" w:lineRule="auto"/>
              <w:ind w:firstLine="0" w:firstLineChars="0"/>
              <w:jc w:val="center"/>
              <w:rPr>
                <w:rFonts w:hint="eastAsia" w:ascii="仿宋" w:hAnsi="仿宋" w:eastAsia="仿宋" w:cs="仿宋"/>
                <w:sz w:val="13"/>
                <w:szCs w:val="13"/>
                <w:highlight w:val="none"/>
                <w:lang w:val="en-US" w:eastAsia="zh-CN"/>
              </w:rPr>
            </w:pPr>
            <w:r>
              <w:rPr>
                <w:rFonts w:hint="eastAsia" w:ascii="宋体" w:hAnsi="宋体" w:eastAsia="宋体" w:cs="宋体"/>
                <w:color w:val="000000" w:themeColor="text1"/>
                <w:sz w:val="16"/>
                <w:szCs w:val="16"/>
                <w:highlight w:val="none"/>
                <w:lang w:val="en-US" w:eastAsia="zh-CN"/>
                <w14:textFill>
                  <w14:solidFill>
                    <w14:schemeClr w14:val="tx1"/>
                  </w14:solidFill>
                </w14:textFill>
              </w:rPr>
              <w:t>徐工</w:t>
            </w:r>
            <w:r>
              <w:rPr>
                <w:rFonts w:hint="eastAsia" w:cs="宋体"/>
                <w:color w:val="000000" w:themeColor="text1"/>
                <w:sz w:val="16"/>
                <w:szCs w:val="16"/>
                <w:highlight w:val="none"/>
                <w:lang w:val="en-US" w:eastAsia="zh-CN"/>
                <w14:textFill>
                  <w14:solidFill>
                    <w14:schemeClr w14:val="tx1"/>
                  </w14:solidFill>
                </w14:textFill>
              </w:rPr>
              <w:t>XGT7022-10S</w:t>
            </w:r>
          </w:p>
        </w:tc>
        <w:tc>
          <w:tcPr>
            <w:tcW w:w="692" w:type="pct"/>
            <w:tcBorders>
              <w:tl2br w:val="nil"/>
              <w:tr2bl w:val="nil"/>
            </w:tcBorders>
            <w:vAlign w:val="center"/>
          </w:tcPr>
          <w:p w14:paraId="3ABE97DF">
            <w:pPr>
              <w:spacing w:after="0" w:afterLines="0" w:line="240" w:lineRule="auto"/>
              <w:ind w:firstLine="0" w:firstLineChars="0"/>
              <w:jc w:val="center"/>
              <w:rPr>
                <w:rFonts w:hint="default" w:ascii="宋体" w:hAnsi="宋体" w:eastAsia="宋体" w:cs="宋体"/>
                <w:color w:val="000000" w:themeColor="text1"/>
                <w:sz w:val="16"/>
                <w:szCs w:val="16"/>
                <w:highlight w:val="none"/>
                <w:lang w:val="en-US" w:eastAsia="zh-CN"/>
                <w14:textFill>
                  <w14:solidFill>
                    <w14:schemeClr w14:val="tx1"/>
                  </w14:solidFill>
                </w14:textFill>
              </w:rPr>
            </w:pPr>
            <w:r>
              <w:rPr>
                <w:rFonts w:hint="eastAsia" w:cs="宋体"/>
                <w:color w:val="000000" w:themeColor="text1"/>
                <w:sz w:val="16"/>
                <w:szCs w:val="16"/>
                <w:highlight w:val="none"/>
                <w:lang w:val="en-US" w:eastAsia="zh-CN"/>
                <w14:textFill>
                  <w14:solidFill>
                    <w14:schemeClr w14:val="tx1"/>
                  </w14:solidFill>
                </w14:textFill>
              </w:rPr>
              <w:t>60.3</w:t>
            </w:r>
          </w:p>
        </w:tc>
        <w:tc>
          <w:tcPr>
            <w:tcW w:w="613" w:type="pct"/>
            <w:tcBorders>
              <w:tl2br w:val="nil"/>
              <w:tr2bl w:val="nil"/>
            </w:tcBorders>
            <w:vAlign w:val="center"/>
          </w:tcPr>
          <w:p w14:paraId="78F45902">
            <w:pPr>
              <w:spacing w:after="0" w:afterLines="0" w:line="240" w:lineRule="auto"/>
              <w:ind w:left="0" w:leftChars="0" w:firstLine="0" w:firstLineChars="0"/>
              <w:jc w:val="center"/>
              <w:rPr>
                <w:rFonts w:hint="default" w:ascii="仿宋" w:hAnsi="仿宋" w:eastAsia="仿宋" w:cs="仿宋"/>
                <w:sz w:val="13"/>
                <w:szCs w:val="13"/>
                <w:highlight w:val="none"/>
                <w:lang w:val="en-US" w:eastAsia="zh-CN"/>
              </w:rPr>
            </w:pPr>
            <w:r>
              <w:rPr>
                <w:rFonts w:hint="eastAsia" w:ascii="宋体" w:hAnsi="宋体" w:eastAsia="宋体" w:cs="宋体"/>
                <w:bCs/>
                <w:kern w:val="2"/>
                <w:sz w:val="16"/>
                <w:szCs w:val="16"/>
                <w:highlight w:val="none"/>
                <w:lang w:val="en-US" w:eastAsia="zh-CN" w:bidi="ar-SA"/>
              </w:rPr>
              <w:t>预埋螺栓</w:t>
            </w:r>
          </w:p>
        </w:tc>
        <w:tc>
          <w:tcPr>
            <w:tcW w:w="763" w:type="pct"/>
            <w:tcBorders>
              <w:tl2br w:val="nil"/>
              <w:tr2bl w:val="nil"/>
            </w:tcBorders>
            <w:vAlign w:val="center"/>
          </w:tcPr>
          <w:p w14:paraId="5375FBF3">
            <w:pPr>
              <w:spacing w:after="0" w:afterLines="0" w:line="240" w:lineRule="auto"/>
              <w:ind w:left="0" w:leftChars="0" w:firstLine="320" w:firstLineChars="200"/>
              <w:jc w:val="both"/>
              <w:rPr>
                <w:rFonts w:hint="default" w:ascii="宋体" w:hAnsi="宋体" w:cs="宋体"/>
                <w:bCs/>
                <w:color w:val="000000" w:themeColor="text1"/>
                <w:sz w:val="16"/>
                <w:szCs w:val="16"/>
                <w:highlight w:val="none"/>
                <w:lang w:val="en-US" w:eastAsia="zh-CN"/>
                <w14:textFill>
                  <w14:solidFill>
                    <w14:schemeClr w14:val="tx1"/>
                  </w14:solidFill>
                </w14:textFill>
              </w:rPr>
            </w:pPr>
            <w:r>
              <w:rPr>
                <w:rFonts w:hint="eastAsia" w:cs="宋体"/>
                <w:bCs/>
                <w:color w:val="000000" w:themeColor="text1"/>
                <w:sz w:val="16"/>
                <w:szCs w:val="16"/>
                <w:highlight w:val="none"/>
                <w:lang w:val="en-US" w:eastAsia="zh-CN"/>
                <w14:textFill>
                  <w14:solidFill>
                    <w14:schemeClr w14:val="tx1"/>
                  </w14:solidFill>
                </w14:textFill>
              </w:rPr>
              <w:t>40</w:t>
            </w:r>
            <w:r>
              <w:rPr>
                <w:rFonts w:hint="eastAsia" w:ascii="宋体" w:hAnsi="宋体" w:cs="宋体"/>
                <w:bCs/>
                <w:color w:val="000000" w:themeColor="text1"/>
                <w:sz w:val="16"/>
                <w:szCs w:val="16"/>
                <w:highlight w:val="none"/>
                <w:lang w:val="en-US" w:eastAsia="zh-CN"/>
                <w14:textFill>
                  <w14:solidFill>
                    <w14:schemeClr w14:val="tx1"/>
                  </w14:solidFill>
                </w14:textFill>
              </w:rPr>
              <w:t>m</w:t>
            </w:r>
          </w:p>
        </w:tc>
        <w:tc>
          <w:tcPr>
            <w:tcW w:w="1134" w:type="pct"/>
            <w:tcBorders>
              <w:tl2br w:val="nil"/>
              <w:tr2bl w:val="nil"/>
            </w:tcBorders>
            <w:vAlign w:val="center"/>
          </w:tcPr>
          <w:p w14:paraId="28ED9570">
            <w:pPr>
              <w:spacing w:after="0" w:afterLines="0" w:line="240" w:lineRule="auto"/>
              <w:ind w:firstLine="0" w:firstLineChars="0"/>
              <w:jc w:val="center"/>
              <w:rPr>
                <w:rFonts w:hint="default" w:ascii="仿宋" w:hAnsi="仿宋" w:eastAsia="仿宋" w:cs="仿宋"/>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与</w:t>
            </w:r>
            <w:r>
              <w:rPr>
                <w:rFonts w:hint="eastAsia" w:ascii="宋体" w:hAnsi="宋体" w:eastAsia="宋体" w:cs="宋体"/>
                <w:bCs/>
                <w:color w:val="000000" w:themeColor="text1"/>
                <w:sz w:val="16"/>
                <w:szCs w:val="16"/>
                <w:highlight w:val="none"/>
                <w:lang w:val="en-US" w:eastAsia="zh-CN"/>
                <w14:textFill>
                  <w14:solidFill>
                    <w14:schemeClr w14:val="tx1"/>
                  </w14:solidFill>
                </w14:textFill>
              </w:rPr>
              <w:t>墩身承台顶标高一致</w:t>
            </w:r>
          </w:p>
        </w:tc>
      </w:tr>
      <w:bookmarkEnd w:id="72"/>
    </w:tbl>
    <w:p w14:paraId="10810302">
      <w:pPr>
        <w:keepNext w:val="0"/>
        <w:keepLines w:val="0"/>
        <w:widowControl/>
        <w:suppressLineNumbers w:val="0"/>
        <w:jc w:val="center"/>
      </w:pPr>
      <w:r>
        <w:drawing>
          <wp:inline distT="0" distB="0" distL="114300" distR="114300">
            <wp:extent cx="3348355" cy="3980180"/>
            <wp:effectExtent l="0" t="0" r="444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3348355" cy="3980180"/>
                    </a:xfrm>
                    <a:prstGeom prst="rect">
                      <a:avLst/>
                    </a:prstGeom>
                    <a:noFill/>
                    <a:ln>
                      <a:noFill/>
                    </a:ln>
                  </pic:spPr>
                </pic:pic>
              </a:graphicData>
            </a:graphic>
          </wp:inline>
        </w:drawing>
      </w:r>
    </w:p>
    <w:p w14:paraId="2FBA180C">
      <w:pPr>
        <w:pStyle w:val="15"/>
        <w:bidi w:val="0"/>
        <w:rPr>
          <w:rFonts w:hint="eastAsia"/>
          <w:highlight w:val="none"/>
          <w:lang w:val="en-US" w:eastAsia="zh-CN"/>
        </w:rPr>
      </w:pPr>
      <w:r>
        <w:t xml:space="preserve">图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塔式起重机立面布置示意图</w:t>
      </w:r>
    </w:p>
    <w:p w14:paraId="5045A6FB">
      <w:pPr>
        <w:pStyle w:val="15"/>
      </w:pPr>
      <w:r>
        <w:drawing>
          <wp:inline distT="0" distB="0" distL="114300" distR="114300">
            <wp:extent cx="4531995" cy="3937635"/>
            <wp:effectExtent l="0" t="0" r="1905"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4531995" cy="3937635"/>
                    </a:xfrm>
                    <a:prstGeom prst="rect">
                      <a:avLst/>
                    </a:prstGeom>
                    <a:noFill/>
                    <a:ln>
                      <a:noFill/>
                    </a:ln>
                  </pic:spPr>
                </pic:pic>
              </a:graphicData>
            </a:graphic>
          </wp:inline>
        </w:drawing>
      </w:r>
    </w:p>
    <w:p w14:paraId="1C888391">
      <w:pPr>
        <w:pStyle w:val="15"/>
        <w:bidi w:val="0"/>
        <w:rPr>
          <w:rFonts w:hint="eastAsia"/>
          <w:highlight w:val="none"/>
          <w:lang w:val="en-US" w:eastAsia="zh-CN"/>
        </w:rPr>
      </w:pPr>
      <w:r>
        <w:t xml:space="preserve">图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highlight w:val="none"/>
          <w:lang w:val="en-US" w:eastAsia="zh-CN"/>
        </w:rPr>
        <w:t xml:space="preserve"> 塔式起重机平面布置示意图</w:t>
      </w:r>
    </w:p>
    <w:p w14:paraId="44ADD6CC">
      <w:pPr>
        <w:pStyle w:val="3"/>
        <w:bidi w:val="0"/>
        <w:ind w:left="575" w:leftChars="0" w:hanging="575" w:firstLineChars="0"/>
      </w:pPr>
      <w:bookmarkStart w:id="73" w:name="_Toc25907"/>
      <w:bookmarkStart w:id="74" w:name="_Toc10047"/>
      <w:bookmarkStart w:id="75" w:name="_Toc10409773"/>
      <w:r>
        <w:rPr>
          <w:rFonts w:hint="eastAsia"/>
        </w:rPr>
        <w:t xml:space="preserve"> </w:t>
      </w:r>
      <w:bookmarkStart w:id="76" w:name="_Toc24400"/>
      <w:r>
        <w:rPr>
          <w:rFonts w:hint="eastAsia"/>
        </w:rPr>
        <w:t>塔式起重机概况</w:t>
      </w:r>
      <w:bookmarkEnd w:id="73"/>
      <w:bookmarkEnd w:id="74"/>
      <w:bookmarkEnd w:id="75"/>
      <w:bookmarkEnd w:id="76"/>
    </w:p>
    <w:p w14:paraId="73D2FD6D">
      <w:pPr>
        <w:pStyle w:val="4"/>
        <w:bidi w:val="0"/>
        <w:ind w:left="720" w:leftChars="0" w:hanging="720" w:firstLineChars="0"/>
      </w:pPr>
      <w:bookmarkStart w:id="77" w:name="_Toc10409774"/>
      <w:r>
        <w:rPr>
          <w:rFonts w:hint="eastAsia"/>
        </w:rPr>
        <w:t>塔式起重机用途</w:t>
      </w:r>
      <w:r>
        <w:t>和</w:t>
      </w:r>
      <w:r>
        <w:rPr>
          <w:rFonts w:hint="eastAsia"/>
        </w:rPr>
        <w:t>使用环境</w:t>
      </w:r>
      <w:bookmarkEnd w:id="77"/>
    </w:p>
    <w:p w14:paraId="1EAFCB3B">
      <w:pPr>
        <w:pStyle w:val="48"/>
        <w:ind w:firstLine="480"/>
        <w:rPr>
          <w:rFonts w:ascii="宋体" w:hAnsi="宋体" w:eastAsia="宋体" w:cs="Times New Roman"/>
          <w:color w:val="auto"/>
          <w:kern w:val="2"/>
          <w:sz w:val="24"/>
          <w:szCs w:val="22"/>
          <w:highlight w:val="none"/>
          <w:lang w:val="en-US" w:eastAsia="zh-CN" w:bidi="ar-SA"/>
        </w:rPr>
      </w:pPr>
      <w:r>
        <w:rPr>
          <w:rFonts w:hint="eastAsia" w:cs="Times New Roman"/>
          <w:color w:val="auto"/>
          <w:kern w:val="2"/>
          <w:sz w:val="24"/>
          <w:szCs w:val="22"/>
          <w:highlight w:val="none"/>
          <w:lang w:val="en-US" w:eastAsia="zh-CN" w:bidi="ar-SA"/>
        </w:rPr>
        <w:t>XGT7022-10S</w:t>
      </w:r>
      <w:r>
        <w:rPr>
          <w:rFonts w:ascii="宋体" w:hAnsi="宋体" w:eastAsia="宋体" w:cs="Times New Roman"/>
          <w:color w:val="auto"/>
          <w:kern w:val="2"/>
          <w:sz w:val="24"/>
          <w:szCs w:val="22"/>
          <w:highlight w:val="none"/>
          <w:lang w:val="en-US" w:eastAsia="zh-CN" w:bidi="ar-SA"/>
        </w:rPr>
        <w:t>塔式起重机用于</w:t>
      </w:r>
      <w:r>
        <w:rPr>
          <w:rFonts w:hint="eastAsia" w:ascii="宋体" w:hAnsi="宋体" w:eastAsia="宋体" w:cs="Times New Roman"/>
          <w:color w:val="auto"/>
          <w:kern w:val="2"/>
          <w:sz w:val="24"/>
          <w:szCs w:val="22"/>
          <w:highlight w:val="none"/>
          <w:lang w:val="en-US" w:eastAsia="zh-CN" w:bidi="ar-SA"/>
        </w:rPr>
        <w:t>桂林-恭城-贺州公路（桂林至钟山段）№7合同段</w:t>
      </w:r>
      <w:r>
        <w:rPr>
          <w:rFonts w:ascii="宋体" w:hAnsi="宋体" w:eastAsia="宋体" w:cs="Times New Roman"/>
          <w:color w:val="auto"/>
          <w:kern w:val="2"/>
          <w:sz w:val="24"/>
          <w:szCs w:val="22"/>
          <w:highlight w:val="none"/>
          <w:lang w:val="en-US" w:eastAsia="zh-CN" w:bidi="ar-SA"/>
        </w:rPr>
        <w:t>项目</w:t>
      </w:r>
      <w:r>
        <w:rPr>
          <w:rFonts w:hint="eastAsia" w:ascii="宋体" w:hAnsi="宋体" w:eastAsia="宋体" w:cs="Times New Roman"/>
          <w:color w:val="auto"/>
          <w:kern w:val="2"/>
          <w:sz w:val="24"/>
          <w:szCs w:val="22"/>
          <w:highlight w:val="none"/>
          <w:lang w:val="en-US" w:eastAsia="zh-CN" w:bidi="ar-SA"/>
        </w:rPr>
        <w:t>新渡坪大桥左幅</w:t>
      </w:r>
      <w:r>
        <w:rPr>
          <w:rFonts w:hint="eastAsia" w:cs="Times New Roman"/>
          <w:color w:val="auto"/>
          <w:kern w:val="2"/>
          <w:sz w:val="24"/>
          <w:szCs w:val="22"/>
          <w:highlight w:val="none"/>
          <w:lang w:val="en-US" w:eastAsia="zh-CN" w:bidi="ar-SA"/>
        </w:rPr>
        <w:t>7#墩</w:t>
      </w:r>
      <w:r>
        <w:rPr>
          <w:rFonts w:hint="eastAsia" w:ascii="宋体" w:hAnsi="宋体" w:eastAsia="宋体" w:cs="Times New Roman"/>
          <w:color w:val="auto"/>
          <w:kern w:val="2"/>
          <w:sz w:val="24"/>
          <w:szCs w:val="22"/>
          <w:highlight w:val="none"/>
          <w:lang w:val="en-US" w:eastAsia="zh-CN" w:bidi="ar-SA"/>
        </w:rPr>
        <w:t>桥梁施工吊装等工作。工作环境要求，最大工作风速≤</w:t>
      </w:r>
      <w:r>
        <w:rPr>
          <w:rFonts w:ascii="宋体" w:hAnsi="宋体" w:eastAsia="宋体" w:cs="Times New Roman"/>
          <w:color w:val="auto"/>
          <w:kern w:val="2"/>
          <w:sz w:val="24"/>
          <w:szCs w:val="22"/>
          <w:highlight w:val="none"/>
          <w:lang w:val="en-US" w:eastAsia="zh-CN" w:bidi="ar-SA"/>
        </w:rPr>
        <w:t>20m/s（6级风），工作环境温度10℃～42℃。</w:t>
      </w:r>
    </w:p>
    <w:p w14:paraId="7E03B6EA">
      <w:pPr>
        <w:pStyle w:val="4"/>
        <w:bidi w:val="0"/>
        <w:ind w:left="720" w:leftChars="0" w:hanging="720" w:firstLineChars="0"/>
      </w:pPr>
      <w:bookmarkStart w:id="78" w:name="_Toc10409775"/>
      <w:r>
        <w:rPr>
          <w:rFonts w:hint="eastAsia"/>
        </w:rPr>
        <w:t>塔式起重机技术参数</w:t>
      </w:r>
      <w:bookmarkEnd w:id="78"/>
    </w:p>
    <w:p w14:paraId="78203933">
      <w:pPr>
        <w:bidi w:val="0"/>
        <w:spacing w:line="360" w:lineRule="auto"/>
        <w:ind w:firstLine="480" w:firstLineChars="200"/>
        <w:rPr>
          <w:highlight w:val="none"/>
        </w:rPr>
      </w:pPr>
      <w:r>
        <w:rPr>
          <w:rFonts w:hint="eastAsia"/>
          <w:highlight w:val="none"/>
          <w:lang w:val="en-US" w:eastAsia="zh-CN"/>
        </w:rPr>
        <w:t>XGT7022-10S</w:t>
      </w:r>
      <w:r>
        <w:rPr>
          <w:highlight w:val="none"/>
        </w:rPr>
        <w:t>塔式起重</w:t>
      </w:r>
      <w:r>
        <w:rPr>
          <w:rFonts w:hint="eastAsia"/>
          <w:highlight w:val="none"/>
          <w:lang w:val="en-US" w:eastAsia="zh-CN"/>
        </w:rPr>
        <w:t>机</w:t>
      </w:r>
      <w:r>
        <w:rPr>
          <w:highlight w:val="none"/>
        </w:rPr>
        <w:t>为</w:t>
      </w:r>
      <w:r>
        <w:rPr>
          <w:rFonts w:hint="eastAsia"/>
          <w:highlight w:val="none"/>
          <w:lang w:val="en-US" w:eastAsia="zh-CN"/>
        </w:rPr>
        <w:t>徐工</w:t>
      </w:r>
      <w:r>
        <w:rPr>
          <w:highlight w:val="none"/>
        </w:rPr>
        <w:t>生产的平头塔式起重机，产品最大臂长</w:t>
      </w:r>
      <w:r>
        <w:rPr>
          <w:rFonts w:hint="eastAsia"/>
          <w:highlight w:val="none"/>
          <w:lang w:val="en-US" w:eastAsia="zh-CN"/>
        </w:rPr>
        <w:t>70</w:t>
      </w:r>
      <w:r>
        <w:rPr>
          <w:highlight w:val="none"/>
        </w:rPr>
        <w:t>m,在臂端</w:t>
      </w:r>
      <w:r>
        <w:rPr>
          <w:rFonts w:hint="eastAsia"/>
          <w:highlight w:val="none"/>
          <w:lang w:val="en-US" w:eastAsia="zh-CN"/>
        </w:rPr>
        <w:t>70</w:t>
      </w:r>
      <w:r>
        <w:rPr>
          <w:highlight w:val="none"/>
        </w:rPr>
        <w:t>m幅度处最大起重量为</w:t>
      </w:r>
      <w:r>
        <w:rPr>
          <w:rFonts w:hint="eastAsia"/>
          <w:highlight w:val="none"/>
          <w:lang w:val="en-US" w:eastAsia="zh-CN"/>
        </w:rPr>
        <w:t>2.2</w:t>
      </w:r>
      <w:r>
        <w:rPr>
          <w:highlight w:val="none"/>
        </w:rPr>
        <w:t>t,整机最大起重量为</w:t>
      </w:r>
      <w:r>
        <w:rPr>
          <w:rFonts w:hint="eastAsia"/>
          <w:highlight w:val="none"/>
          <w:lang w:val="en-US" w:eastAsia="zh-CN"/>
        </w:rPr>
        <w:t>10</w:t>
      </w:r>
      <w:r>
        <w:rPr>
          <w:highlight w:val="none"/>
        </w:rPr>
        <w:t>t。</w:t>
      </w:r>
    </w:p>
    <w:p w14:paraId="20638BB8">
      <w:pPr>
        <w:ind w:left="0" w:leftChars="0" w:firstLine="0" w:firstLineChars="0"/>
        <w:jc w:val="center"/>
      </w:pPr>
      <w:bookmarkStart w:id="79" w:name="_Toc3545"/>
      <w:bookmarkStart w:id="80" w:name="_Toc10409778"/>
      <w:r>
        <w:drawing>
          <wp:inline distT="0" distB="0" distL="114300" distR="114300">
            <wp:extent cx="4880610" cy="5874385"/>
            <wp:effectExtent l="0" t="0" r="15240"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4880610" cy="5874385"/>
                    </a:xfrm>
                    <a:prstGeom prst="rect">
                      <a:avLst/>
                    </a:prstGeom>
                    <a:noFill/>
                    <a:ln>
                      <a:noFill/>
                    </a:ln>
                  </pic:spPr>
                </pic:pic>
              </a:graphicData>
            </a:graphic>
          </wp:inline>
        </w:drawing>
      </w:r>
    </w:p>
    <w:p w14:paraId="5D7B0007">
      <w:pPr>
        <w:pStyle w:val="15"/>
      </w:pPr>
      <w:r>
        <w:t xml:space="preserve">图 </w:t>
      </w:r>
      <w:r>
        <w:fldChar w:fldCharType="begin"/>
      </w:r>
      <w:r>
        <w:instrText xml:space="preserve"> STYLEREF 2 \s </w:instrText>
      </w:r>
      <w:r>
        <w:fldChar w:fldCharType="separate"/>
      </w:r>
      <w:r>
        <w:t>2.4</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塔机组成示意图</w:t>
      </w:r>
    </w:p>
    <w:p w14:paraId="4BDC5A7C">
      <w:pPr>
        <w:pStyle w:val="4"/>
        <w:bidi w:val="0"/>
        <w:ind w:left="720" w:leftChars="0" w:hanging="720" w:firstLineChars="0"/>
        <w:rPr>
          <w:rFonts w:hint="default"/>
          <w:lang w:val="en-US" w:eastAsia="zh-CN"/>
        </w:rPr>
      </w:pPr>
      <w:bookmarkStart w:id="81" w:name="_Toc23068"/>
      <w:bookmarkStart w:id="82" w:name="_Toc1784"/>
      <w:bookmarkStart w:id="83" w:name="_Toc5066"/>
      <w:r>
        <w:rPr>
          <w:rFonts w:hint="eastAsia"/>
          <w:lang w:val="en-US" w:eastAsia="zh-CN"/>
        </w:rPr>
        <w:t>整机外形尺寸</w:t>
      </w:r>
      <w:bookmarkEnd w:id="81"/>
      <w:bookmarkEnd w:id="82"/>
      <w:bookmarkEnd w:id="83"/>
    </w:p>
    <w:p w14:paraId="51EA5F48">
      <w:pPr>
        <w:ind w:left="0" w:leftChars="0" w:firstLine="0" w:firstLineChars="0"/>
        <w:jc w:val="center"/>
      </w:pPr>
      <w:r>
        <w:drawing>
          <wp:inline distT="0" distB="0" distL="114300" distR="114300">
            <wp:extent cx="5270500" cy="4474845"/>
            <wp:effectExtent l="0" t="0" r="6350" b="19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tretch>
                      <a:fillRect/>
                    </a:stretch>
                  </pic:blipFill>
                  <pic:spPr>
                    <a:xfrm>
                      <a:off x="0" y="0"/>
                      <a:ext cx="5270500" cy="4474845"/>
                    </a:xfrm>
                    <a:prstGeom prst="rect">
                      <a:avLst/>
                    </a:prstGeom>
                    <a:noFill/>
                    <a:ln>
                      <a:noFill/>
                    </a:ln>
                  </pic:spPr>
                </pic:pic>
              </a:graphicData>
            </a:graphic>
          </wp:inline>
        </w:drawing>
      </w:r>
    </w:p>
    <w:p w14:paraId="5719E678">
      <w:pPr>
        <w:pStyle w:val="15"/>
      </w:pPr>
      <w:r>
        <w:t xml:space="preserve">图 </w:t>
      </w:r>
      <w:r>
        <w:fldChar w:fldCharType="begin"/>
      </w:r>
      <w:r>
        <w:instrText xml:space="preserve"> STYLEREF 2 \s </w:instrText>
      </w:r>
      <w:r>
        <w:fldChar w:fldCharType="separate"/>
      </w:r>
      <w:r>
        <w:t>2.4</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w:t>
      </w:r>
      <w:r>
        <w:rPr>
          <w:rFonts w:hint="eastAsia"/>
          <w:highlight w:val="none"/>
          <w:lang w:val="en-US" w:eastAsia="zh-CN"/>
        </w:rPr>
        <w:t>整机外形示意图</w:t>
      </w:r>
    </w:p>
    <w:p w14:paraId="60057F2F">
      <w:pPr>
        <w:rPr>
          <w:rFonts w:hint="default"/>
          <w:lang w:val="en-US" w:eastAsia="zh-CN"/>
        </w:rPr>
      </w:pPr>
      <w:bookmarkStart w:id="84" w:name="_Toc7342"/>
      <w:bookmarkStart w:id="85" w:name="_Toc18527"/>
      <w:bookmarkStart w:id="86" w:name="_Toc24908"/>
      <w:r>
        <w:rPr>
          <w:rFonts w:hint="eastAsia"/>
          <w:lang w:val="en-US" w:eastAsia="zh-CN"/>
        </w:rPr>
        <w:br w:type="page"/>
      </w:r>
    </w:p>
    <w:p w14:paraId="27F36EC7">
      <w:pPr>
        <w:pStyle w:val="4"/>
        <w:bidi w:val="0"/>
        <w:ind w:left="720" w:leftChars="0" w:hanging="720" w:firstLineChars="0"/>
        <w:rPr>
          <w:rFonts w:hint="default"/>
          <w:lang w:val="en-US" w:eastAsia="zh-CN"/>
        </w:rPr>
      </w:pPr>
      <w:r>
        <w:rPr>
          <w:rFonts w:hint="eastAsia"/>
          <w:lang w:val="en-US" w:eastAsia="zh-CN"/>
        </w:rPr>
        <w:t>整机主要技术参数</w:t>
      </w:r>
      <w:bookmarkEnd w:id="84"/>
      <w:bookmarkEnd w:id="85"/>
      <w:bookmarkEnd w:id="86"/>
    </w:p>
    <w:p w14:paraId="017A1A6D">
      <w:pPr>
        <w:pStyle w:val="15"/>
        <w:ind w:left="0" w:leftChars="0" w:firstLine="0" w:firstLineChars="0"/>
        <w:jc w:val="center"/>
      </w:pPr>
      <w:r>
        <w:t xml:space="preserve">表 </w:t>
      </w:r>
      <w:r>
        <w:fldChar w:fldCharType="begin"/>
      </w:r>
      <w:r>
        <w:instrText xml:space="preserve"> STYLEREF 2 \s </w:instrText>
      </w:r>
      <w:r>
        <w:fldChar w:fldCharType="separate"/>
      </w:r>
      <w:r>
        <w:t>2.4</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highlight w:val="none"/>
        </w:rPr>
        <w:t>主机性能参数表</w:t>
      </w:r>
    </w:p>
    <w:p w14:paraId="444B61CB">
      <w:pPr>
        <w:ind w:left="0" w:leftChars="0" w:firstLine="0" w:firstLineChars="0"/>
        <w:jc w:val="center"/>
        <w:rPr>
          <w:highlight w:val="none"/>
        </w:rPr>
      </w:pPr>
      <w:r>
        <w:drawing>
          <wp:inline distT="0" distB="0" distL="114300" distR="114300">
            <wp:extent cx="5273040" cy="7069455"/>
            <wp:effectExtent l="0" t="0" r="3810" b="171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5"/>
                    <a:stretch>
                      <a:fillRect/>
                    </a:stretch>
                  </pic:blipFill>
                  <pic:spPr>
                    <a:xfrm>
                      <a:off x="0" y="0"/>
                      <a:ext cx="5273040" cy="7069455"/>
                    </a:xfrm>
                    <a:prstGeom prst="rect">
                      <a:avLst/>
                    </a:prstGeom>
                    <a:noFill/>
                    <a:ln>
                      <a:noFill/>
                    </a:ln>
                  </pic:spPr>
                </pic:pic>
              </a:graphicData>
            </a:graphic>
          </wp:inline>
        </w:drawing>
      </w:r>
      <w:r>
        <w:drawing>
          <wp:inline distT="0" distB="0" distL="114300" distR="114300">
            <wp:extent cx="5269230" cy="3038475"/>
            <wp:effectExtent l="0" t="0" r="762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269230" cy="3038475"/>
                    </a:xfrm>
                    <a:prstGeom prst="rect">
                      <a:avLst/>
                    </a:prstGeom>
                    <a:noFill/>
                    <a:ln>
                      <a:noFill/>
                    </a:ln>
                  </pic:spPr>
                </pic:pic>
              </a:graphicData>
            </a:graphic>
          </wp:inline>
        </w:drawing>
      </w:r>
    </w:p>
    <w:p w14:paraId="5972DF4C">
      <w:pPr>
        <w:ind w:left="0" w:leftChars="0" w:firstLine="0" w:firstLineChars="0"/>
        <w:jc w:val="center"/>
      </w:pPr>
      <w:r>
        <w:drawing>
          <wp:inline distT="0" distB="0" distL="114300" distR="114300">
            <wp:extent cx="5272405" cy="6906260"/>
            <wp:effectExtent l="0" t="0" r="4445" b="889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7"/>
                    <a:stretch>
                      <a:fillRect/>
                    </a:stretch>
                  </pic:blipFill>
                  <pic:spPr>
                    <a:xfrm>
                      <a:off x="0" y="0"/>
                      <a:ext cx="5272405" cy="6906260"/>
                    </a:xfrm>
                    <a:prstGeom prst="rect">
                      <a:avLst/>
                    </a:prstGeom>
                    <a:noFill/>
                    <a:ln>
                      <a:noFill/>
                    </a:ln>
                  </pic:spPr>
                </pic:pic>
              </a:graphicData>
            </a:graphic>
          </wp:inline>
        </w:drawing>
      </w:r>
    </w:p>
    <w:p w14:paraId="75D8C1AD">
      <w:pPr>
        <w:pStyle w:val="15"/>
      </w:pPr>
      <w:r>
        <w:t xml:space="preserve">图 </w:t>
      </w:r>
      <w:r>
        <w:fldChar w:fldCharType="begin"/>
      </w:r>
      <w:r>
        <w:instrText xml:space="preserve"> STYLEREF 2 \s </w:instrText>
      </w:r>
      <w:r>
        <w:fldChar w:fldCharType="separate"/>
      </w:r>
      <w:r>
        <w:t>2.4</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 xml:space="preserve"> </w:t>
      </w:r>
      <w:r>
        <w:rPr>
          <w:rFonts w:hint="eastAsia"/>
          <w:highlight w:val="none"/>
          <w:lang w:val="en-US" w:eastAsia="zh-CN"/>
        </w:rPr>
        <w:t>起重性能表</w:t>
      </w:r>
    </w:p>
    <w:p w14:paraId="45709922">
      <w:pPr>
        <w:pStyle w:val="3"/>
        <w:bidi w:val="0"/>
        <w:ind w:left="575" w:leftChars="0" w:hanging="575" w:firstLineChars="0"/>
      </w:pPr>
      <w:bookmarkStart w:id="87" w:name="_Toc23656"/>
      <w:r>
        <w:rPr>
          <w:rFonts w:hint="eastAsia"/>
        </w:rPr>
        <w:t xml:space="preserve"> </w:t>
      </w:r>
      <w:bookmarkStart w:id="88" w:name="_Toc9875"/>
      <w:r>
        <w:rPr>
          <w:rFonts w:hint="eastAsia"/>
        </w:rPr>
        <w:t>施工要求和技术保证条件</w:t>
      </w:r>
      <w:bookmarkEnd w:id="79"/>
      <w:bookmarkEnd w:id="87"/>
      <w:bookmarkEnd w:id="88"/>
    </w:p>
    <w:p w14:paraId="0E21193E">
      <w:pPr>
        <w:pStyle w:val="4"/>
        <w:bidi w:val="0"/>
        <w:ind w:left="720" w:leftChars="0" w:hanging="720" w:firstLineChars="0"/>
      </w:pPr>
      <w:r>
        <w:rPr>
          <w:rFonts w:hint="eastAsia"/>
        </w:rPr>
        <w:t>安装的重点及难点</w:t>
      </w:r>
      <w:bookmarkEnd w:id="80"/>
    </w:p>
    <w:p w14:paraId="5D2690C1">
      <w:pPr>
        <w:pStyle w:val="48"/>
        <w:ind w:firstLine="480"/>
        <w:rPr>
          <w:highlight w:val="none"/>
        </w:rPr>
      </w:pPr>
      <w:r>
        <w:rPr>
          <w:rFonts w:hint="eastAsia"/>
          <w:highlight w:val="none"/>
        </w:rPr>
        <w:t>本方案充分考虑了以下重点和难点问题：</w:t>
      </w:r>
    </w:p>
    <w:p w14:paraId="219F22DF">
      <w:pPr>
        <w:pStyle w:val="48"/>
        <w:ind w:firstLine="480"/>
        <w:rPr>
          <w:highlight w:val="none"/>
        </w:rPr>
      </w:pPr>
      <w:r>
        <w:rPr>
          <w:rFonts w:hint="eastAsia"/>
          <w:highlight w:val="none"/>
        </w:rPr>
        <w:t>（1）套架、</w:t>
      </w:r>
      <w:r>
        <w:rPr>
          <w:rFonts w:hint="eastAsia"/>
          <w:highlight w:val="none"/>
          <w:lang w:eastAsia="zh-CN"/>
        </w:rPr>
        <w:t>回转支承</w:t>
      </w:r>
      <w:r>
        <w:rPr>
          <w:rFonts w:hint="eastAsia"/>
          <w:highlight w:val="none"/>
        </w:rPr>
        <w:t>单件重量重需要分解安装；</w:t>
      </w:r>
    </w:p>
    <w:p w14:paraId="53FDD1E5">
      <w:pPr>
        <w:pStyle w:val="48"/>
        <w:ind w:firstLine="480"/>
        <w:rPr>
          <w:highlight w:val="none"/>
        </w:rPr>
      </w:pPr>
      <w:r>
        <w:rPr>
          <w:rFonts w:hint="eastAsia"/>
          <w:highlight w:val="none"/>
        </w:rPr>
        <w:t>（2）起重臂单件重量重，吊装</w:t>
      </w:r>
      <w:r>
        <w:rPr>
          <w:rFonts w:hint="eastAsia"/>
          <w:highlight w:val="none"/>
          <w:lang w:val="en-US" w:eastAsia="zh-CN"/>
        </w:rPr>
        <w:t>要求高</w:t>
      </w:r>
      <w:r>
        <w:rPr>
          <w:rFonts w:hint="eastAsia"/>
          <w:highlight w:val="none"/>
        </w:rPr>
        <w:t>；</w:t>
      </w:r>
    </w:p>
    <w:p w14:paraId="55954A51">
      <w:pPr>
        <w:pStyle w:val="48"/>
        <w:ind w:firstLine="480"/>
        <w:rPr>
          <w:highlight w:val="none"/>
        </w:rPr>
      </w:pPr>
      <w:r>
        <w:rPr>
          <w:rFonts w:hint="eastAsia"/>
          <w:highlight w:val="none"/>
        </w:rPr>
        <w:t>（3）现场安装场地受限，大型设备吊装难度大；</w:t>
      </w:r>
    </w:p>
    <w:p w14:paraId="60B79040">
      <w:pPr>
        <w:pStyle w:val="48"/>
        <w:ind w:firstLine="480"/>
        <w:rPr>
          <w:highlight w:val="none"/>
        </w:rPr>
      </w:pPr>
      <w:r>
        <w:rPr>
          <w:rFonts w:hint="eastAsia"/>
          <w:highlight w:val="none"/>
        </w:rPr>
        <w:t>（4）构建数量多，现场无法堆放，需多次进行转运；</w:t>
      </w:r>
    </w:p>
    <w:p w14:paraId="2251A062">
      <w:pPr>
        <w:pStyle w:val="48"/>
        <w:ind w:firstLine="480"/>
        <w:rPr>
          <w:highlight w:val="none"/>
        </w:rPr>
      </w:pPr>
      <w:r>
        <w:rPr>
          <w:rFonts w:hint="eastAsia"/>
          <w:highlight w:val="none"/>
        </w:rPr>
        <w:t>（5）高空作业安全风险大。</w:t>
      </w:r>
    </w:p>
    <w:p w14:paraId="22A762D9">
      <w:pPr>
        <w:pStyle w:val="4"/>
        <w:bidi w:val="0"/>
        <w:ind w:left="720" w:leftChars="0" w:hanging="720" w:firstLineChars="0"/>
      </w:pPr>
      <w:bookmarkStart w:id="89" w:name="_Toc10409779"/>
      <w:bookmarkStart w:id="90" w:name="_Toc27671"/>
      <w:r>
        <w:rPr>
          <w:rFonts w:hint="eastAsia"/>
        </w:rPr>
        <w:t>运输及进场要求</w:t>
      </w:r>
      <w:bookmarkEnd w:id="89"/>
      <w:bookmarkEnd w:id="90"/>
    </w:p>
    <w:p w14:paraId="59FA7D4D">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起重机各类构件使用平板车运输，每辆车上对部件用钢丝绳、手拉葫芦锁紧，防止侧翻与滑动。每辆车悬挂安全标志，并办理运输保险事宜。主要部件的运输，按照普通公路的运输要求，委托有运输资质的物流运输单位，重要部件如电机、电气部件等采用包装箱整体运输或局部包装，避免运输途中防雨受潮损坏或遗失。</w:t>
      </w:r>
    </w:p>
    <w:p w14:paraId="00664F39">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发货时要根据现场拼装步骤按</w:t>
      </w:r>
      <w:r>
        <w:rPr>
          <w:rFonts w:hint="eastAsia" w:cs="宋体"/>
          <w:sz w:val="24"/>
          <w:szCs w:val="24"/>
          <w:highlight w:val="none"/>
          <w:lang w:val="en-US" w:eastAsia="zh-CN"/>
        </w:rPr>
        <w:t>基础</w:t>
      </w:r>
      <w:r>
        <w:rPr>
          <w:rFonts w:hint="eastAsia" w:ascii="宋体" w:hAnsi="宋体" w:eastAsia="宋体" w:cs="宋体"/>
          <w:sz w:val="24"/>
          <w:szCs w:val="24"/>
          <w:highlight w:val="none"/>
        </w:rPr>
        <w:t>节、</w:t>
      </w:r>
      <w:r>
        <w:rPr>
          <w:rFonts w:hint="eastAsia" w:cs="宋体"/>
          <w:sz w:val="24"/>
          <w:szCs w:val="24"/>
          <w:highlight w:val="none"/>
          <w:lang w:val="en-US" w:eastAsia="zh-CN"/>
        </w:rPr>
        <w:t>标准节、</w:t>
      </w:r>
      <w:r>
        <w:rPr>
          <w:rFonts w:hint="eastAsia" w:ascii="宋体" w:hAnsi="宋体" w:eastAsia="宋体" w:cs="宋体"/>
          <w:sz w:val="24"/>
          <w:szCs w:val="24"/>
          <w:highlight w:val="none"/>
        </w:rPr>
        <w:t>套架、</w:t>
      </w:r>
      <w:r>
        <w:rPr>
          <w:rFonts w:hint="eastAsia" w:cs="宋体"/>
          <w:sz w:val="24"/>
          <w:szCs w:val="24"/>
          <w:highlight w:val="none"/>
          <w:lang w:eastAsia="zh-CN"/>
        </w:rPr>
        <w:t>回转支承</w:t>
      </w:r>
      <w:r>
        <w:rPr>
          <w:rFonts w:hint="eastAsia" w:ascii="宋体" w:hAnsi="宋体" w:eastAsia="宋体" w:cs="宋体"/>
          <w:sz w:val="24"/>
          <w:szCs w:val="24"/>
          <w:highlight w:val="none"/>
        </w:rPr>
        <w:t>、平衡臂、起重机臂、配重及标准节等顺序。前后协调，统筹配发，以免现场造成堆压和不必要的周转拨运。</w:t>
      </w:r>
    </w:p>
    <w:p w14:paraId="51B6C2CC">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装卸车时，要确保装吊安全，特别是主梁等大件，要利用所设专用吊耳，临时存放时，大件下要支垫枕木，并进行固定绑扎，防止倾倒。</w:t>
      </w:r>
    </w:p>
    <w:p w14:paraId="137E7BB6">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电气及电机设备的吊装时注意不能倒置，不得以大压小，运输及存放时要有防雨防潮措施。</w:t>
      </w:r>
    </w:p>
    <w:p w14:paraId="5097576B">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在设备装卸期间，如果物体的最大尺寸阻挡了起升控制人员的视野，应该由另外的操作人员来指引进行操作。</w:t>
      </w:r>
    </w:p>
    <w:p w14:paraId="6BF53E1A">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在装卸设备之前，检查起升设备和相关物品中（绳索、手拉葫芦等）是否满足所吊负载和适当的稳定性的要求。</w:t>
      </w:r>
    </w:p>
    <w:p w14:paraId="2FF15175">
      <w:pPr>
        <w:pStyle w:val="4"/>
        <w:bidi w:val="0"/>
        <w:ind w:left="720" w:leftChars="0" w:hanging="720" w:firstLineChars="0"/>
      </w:pPr>
      <w:r>
        <w:rPr>
          <w:rFonts w:hint="eastAsia"/>
        </w:rPr>
        <w:t xml:space="preserve"> 技术保证条件</w:t>
      </w:r>
    </w:p>
    <w:p w14:paraId="0874E681">
      <w:pPr>
        <w:pStyle w:val="48"/>
        <w:ind w:firstLine="480"/>
        <w:rPr>
          <w:highlight w:val="none"/>
        </w:rPr>
      </w:pPr>
      <w:r>
        <w:rPr>
          <w:rFonts w:hint="eastAsia"/>
          <w:highlight w:val="none"/>
        </w:rPr>
        <w:t>本方案的技术保证条件主要有：</w:t>
      </w:r>
    </w:p>
    <w:p w14:paraId="38DCAC52">
      <w:pPr>
        <w:pStyle w:val="48"/>
        <w:ind w:firstLine="480"/>
        <w:rPr>
          <w:highlight w:val="none"/>
        </w:rPr>
      </w:pPr>
      <w:r>
        <w:rPr>
          <w:rFonts w:hint="eastAsia"/>
          <w:highlight w:val="none"/>
        </w:rPr>
        <w:t>（1）对安装的起吊构件的重量、幅度进行详细的核算；</w:t>
      </w:r>
    </w:p>
    <w:p w14:paraId="2A609C79">
      <w:pPr>
        <w:pStyle w:val="48"/>
        <w:ind w:firstLine="480"/>
        <w:rPr>
          <w:highlight w:val="none"/>
        </w:rPr>
      </w:pPr>
      <w:r>
        <w:rPr>
          <w:rFonts w:hint="eastAsia"/>
          <w:highlight w:val="none"/>
        </w:rPr>
        <w:t>（2）对进场设备进行进场检验，对地基进行验收，确保设备性能及施工条件可靠；</w:t>
      </w:r>
    </w:p>
    <w:p w14:paraId="30D74197">
      <w:pPr>
        <w:pStyle w:val="48"/>
        <w:ind w:firstLine="480"/>
        <w:rPr>
          <w:highlight w:val="none"/>
        </w:rPr>
      </w:pPr>
      <w:r>
        <w:rPr>
          <w:rFonts w:hint="eastAsia"/>
          <w:highlight w:val="none"/>
        </w:rPr>
        <w:t>（3）模拟现场的实际作业情况，保证安装场地空间足够，避免吊装过程中的干涉；</w:t>
      </w:r>
    </w:p>
    <w:p w14:paraId="7DF056B1">
      <w:pPr>
        <w:pStyle w:val="48"/>
        <w:ind w:firstLine="480"/>
        <w:rPr>
          <w:highlight w:val="none"/>
        </w:rPr>
      </w:pPr>
      <w:r>
        <w:rPr>
          <w:rFonts w:hint="eastAsia"/>
          <w:highlight w:val="none"/>
        </w:rPr>
        <w:t>（4）合理安排</w:t>
      </w:r>
      <w:r>
        <w:rPr>
          <w:rFonts w:hint="eastAsia"/>
          <w:highlight w:val="none"/>
          <w:lang w:val="en-US" w:eastAsia="zh-CN"/>
        </w:rPr>
        <w:t>安装</w:t>
      </w:r>
      <w:r>
        <w:rPr>
          <w:rFonts w:hint="eastAsia"/>
          <w:highlight w:val="none"/>
        </w:rPr>
        <w:t>工序，协调好场地堆放及构件倒运顺序；</w:t>
      </w:r>
    </w:p>
    <w:p w14:paraId="06B7A98F">
      <w:pPr>
        <w:pStyle w:val="48"/>
        <w:ind w:firstLine="480"/>
        <w:rPr>
          <w:highlight w:val="none"/>
        </w:rPr>
      </w:pPr>
      <w:r>
        <w:rPr>
          <w:rFonts w:hint="eastAsia"/>
          <w:highlight w:val="none"/>
        </w:rPr>
        <w:t>（5）加强技术交底，确保作业过程安全。</w:t>
      </w:r>
    </w:p>
    <w:p w14:paraId="6138F805">
      <w:pPr>
        <w:rPr>
          <w:rFonts w:hint="eastAsia"/>
        </w:rPr>
      </w:pPr>
      <w:bookmarkStart w:id="91" w:name="_Toc10409780"/>
      <w:bookmarkStart w:id="92" w:name="_Toc8311"/>
      <w:bookmarkStart w:id="93" w:name="_Toc23981"/>
      <w:r>
        <w:rPr>
          <w:rFonts w:hint="eastAsia"/>
        </w:rPr>
        <w:br w:type="page"/>
      </w:r>
    </w:p>
    <w:p w14:paraId="6BAEBD43">
      <w:pPr>
        <w:pStyle w:val="2"/>
        <w:bidi w:val="0"/>
        <w:ind w:left="432" w:leftChars="0" w:hanging="432" w:firstLineChars="0"/>
        <w:rPr>
          <w:rFonts w:hint="eastAsia"/>
        </w:rPr>
      </w:pPr>
      <w:bookmarkStart w:id="94" w:name="_Toc11928"/>
      <w:r>
        <w:rPr>
          <w:rFonts w:hint="eastAsia"/>
        </w:rPr>
        <w:t>施工</w:t>
      </w:r>
      <w:bookmarkEnd w:id="91"/>
      <w:r>
        <w:rPr>
          <w:rFonts w:hint="eastAsia"/>
        </w:rPr>
        <w:t>计划</w:t>
      </w:r>
      <w:bookmarkEnd w:id="92"/>
      <w:bookmarkEnd w:id="93"/>
      <w:bookmarkEnd w:id="94"/>
    </w:p>
    <w:p w14:paraId="1E9EAD06">
      <w:pPr>
        <w:pStyle w:val="3"/>
        <w:bidi w:val="0"/>
        <w:ind w:left="575" w:leftChars="0" w:hanging="575" w:firstLineChars="0"/>
        <w:rPr>
          <w:rFonts w:hint="eastAsia"/>
          <w:lang w:val="en-US" w:eastAsia="zh-CN"/>
        </w:rPr>
      </w:pPr>
      <w:bookmarkStart w:id="95" w:name="_Toc42642001"/>
      <w:bookmarkEnd w:id="95"/>
      <w:bookmarkStart w:id="96" w:name="_Toc14043"/>
      <w:bookmarkEnd w:id="96"/>
      <w:bookmarkStart w:id="97" w:name="_Toc23662"/>
      <w:bookmarkEnd w:id="97"/>
      <w:bookmarkStart w:id="98" w:name="_Toc42641829"/>
      <w:bookmarkEnd w:id="98"/>
      <w:bookmarkStart w:id="99" w:name="_Toc42640446"/>
      <w:bookmarkEnd w:id="99"/>
      <w:bookmarkStart w:id="100" w:name="_Toc10863"/>
      <w:bookmarkEnd w:id="100"/>
      <w:bookmarkStart w:id="101" w:name="_Toc32658"/>
      <w:bookmarkEnd w:id="101"/>
      <w:bookmarkStart w:id="102" w:name="_Toc20966"/>
      <w:bookmarkEnd w:id="102"/>
      <w:bookmarkStart w:id="103" w:name="_Toc42641135"/>
      <w:bookmarkEnd w:id="103"/>
      <w:bookmarkStart w:id="104" w:name="_Toc42641828"/>
      <w:bookmarkEnd w:id="104"/>
      <w:bookmarkStart w:id="105" w:name="_Toc54567323"/>
      <w:bookmarkEnd w:id="105"/>
      <w:bookmarkStart w:id="106" w:name="_Toc54567324"/>
      <w:bookmarkEnd w:id="106"/>
      <w:bookmarkStart w:id="107" w:name="_Toc22257"/>
      <w:bookmarkEnd w:id="107"/>
      <w:bookmarkStart w:id="108" w:name="_Toc42642287"/>
      <w:bookmarkEnd w:id="108"/>
      <w:bookmarkStart w:id="109" w:name="_Toc42642000"/>
      <w:bookmarkEnd w:id="109"/>
      <w:bookmarkStart w:id="110" w:name="_Toc10380"/>
      <w:bookmarkEnd w:id="110"/>
      <w:bookmarkStart w:id="111" w:name="_Toc42642288"/>
      <w:bookmarkEnd w:id="111"/>
      <w:bookmarkStart w:id="112" w:name="_Toc5540"/>
      <w:bookmarkEnd w:id="112"/>
      <w:bookmarkStart w:id="113" w:name="_Toc42641136"/>
      <w:bookmarkEnd w:id="113"/>
      <w:bookmarkStart w:id="114" w:name="_Toc42640445"/>
      <w:bookmarkEnd w:id="114"/>
      <w:bookmarkStart w:id="115" w:name="_Toc24021"/>
      <w:bookmarkStart w:id="116" w:name="_Toc12261"/>
      <w:bookmarkStart w:id="117" w:name="_Toc25618"/>
      <w:bookmarkStart w:id="118" w:name="_Toc21946"/>
      <w:bookmarkStart w:id="119" w:name="_Toc31294"/>
      <w:bookmarkStart w:id="120" w:name="_Toc18506"/>
      <w:bookmarkStart w:id="121" w:name="_Toc10409781"/>
      <w:r>
        <w:rPr>
          <w:rFonts w:hint="eastAsia"/>
          <w:lang w:val="en-US" w:eastAsia="zh-CN"/>
        </w:rPr>
        <w:t>施工总体部署</w:t>
      </w:r>
      <w:bookmarkEnd w:id="115"/>
      <w:bookmarkEnd w:id="116"/>
      <w:bookmarkEnd w:id="117"/>
      <w:bookmarkEnd w:id="118"/>
    </w:p>
    <w:p w14:paraId="3DB05DBB">
      <w:pPr>
        <w:pStyle w:val="4"/>
        <w:bidi w:val="0"/>
        <w:ind w:left="720" w:leftChars="0" w:hanging="720" w:firstLineChars="0"/>
        <w:rPr>
          <w:rFonts w:hint="eastAsia"/>
          <w:lang w:val="en-US" w:eastAsia="zh-CN"/>
        </w:rPr>
      </w:pPr>
      <w:bookmarkStart w:id="122" w:name="_Toc30635"/>
      <w:bookmarkStart w:id="123" w:name="_Toc3018"/>
      <w:r>
        <w:rPr>
          <w:rFonts w:hint="eastAsia"/>
          <w:lang w:val="en-US" w:eastAsia="zh-CN"/>
        </w:rPr>
        <w:t>施工管理组织机构</w:t>
      </w:r>
      <w:bookmarkEnd w:id="122"/>
      <w:bookmarkEnd w:id="123"/>
    </w:p>
    <w:p w14:paraId="7E063B62">
      <w:pPr>
        <w:bidi w:val="0"/>
        <w:spacing w:line="360" w:lineRule="auto"/>
        <w:ind w:firstLine="480" w:firstLineChars="200"/>
        <w:rPr>
          <w:rFonts w:hint="default"/>
          <w:highlight w:val="none"/>
          <w:lang w:val="en-US" w:eastAsia="zh-CN"/>
        </w:rPr>
      </w:pPr>
      <w:r>
        <w:rPr>
          <w:rFonts w:hint="default"/>
          <w:highlight w:val="none"/>
          <w:lang w:val="en-US" w:eastAsia="zh-CN"/>
        </w:rPr>
        <w:t>由项目经理总揽全局施工，项目总工和副经理</w:t>
      </w:r>
      <w:r>
        <w:rPr>
          <w:rFonts w:hint="eastAsia"/>
          <w:highlight w:val="none"/>
          <w:lang w:val="en-US" w:eastAsia="zh-CN"/>
        </w:rPr>
        <w:t>以及安全总监</w:t>
      </w:r>
      <w:r>
        <w:rPr>
          <w:rFonts w:hint="default"/>
          <w:highlight w:val="none"/>
          <w:lang w:val="en-US" w:eastAsia="zh-CN"/>
        </w:rPr>
        <w:t>分别为</w:t>
      </w:r>
      <w:r>
        <w:rPr>
          <w:rFonts w:hint="eastAsia"/>
          <w:highlight w:val="none"/>
          <w:lang w:val="en-US" w:eastAsia="zh-CN"/>
        </w:rPr>
        <w:t>塔机安拆的</w:t>
      </w:r>
      <w:r>
        <w:rPr>
          <w:rFonts w:hint="default"/>
          <w:highlight w:val="none"/>
          <w:lang w:val="en-US" w:eastAsia="zh-CN"/>
        </w:rPr>
        <w:t>技术负责人</w:t>
      </w:r>
      <w:r>
        <w:rPr>
          <w:rFonts w:hint="eastAsia"/>
          <w:highlight w:val="none"/>
          <w:lang w:val="en-US" w:eastAsia="zh-CN"/>
        </w:rPr>
        <w:t>、</w:t>
      </w:r>
      <w:r>
        <w:rPr>
          <w:rFonts w:hint="default"/>
          <w:highlight w:val="none"/>
          <w:lang w:val="en-US" w:eastAsia="zh-CN"/>
        </w:rPr>
        <w:t>生产负责人</w:t>
      </w:r>
      <w:r>
        <w:rPr>
          <w:rFonts w:hint="eastAsia"/>
          <w:highlight w:val="none"/>
          <w:lang w:val="en-US" w:eastAsia="zh-CN"/>
        </w:rPr>
        <w:t>和安全监督责任人</w:t>
      </w:r>
      <w:r>
        <w:rPr>
          <w:rFonts w:hint="default"/>
          <w:highlight w:val="none"/>
          <w:lang w:val="en-US" w:eastAsia="zh-CN"/>
        </w:rPr>
        <w:t>，下设</w:t>
      </w:r>
      <w:r>
        <w:rPr>
          <w:rFonts w:hint="eastAsia"/>
          <w:highlight w:val="none"/>
          <w:lang w:val="en-US" w:eastAsia="zh-CN"/>
        </w:rPr>
        <w:t>七</w:t>
      </w:r>
      <w:r>
        <w:rPr>
          <w:rFonts w:hint="default"/>
          <w:highlight w:val="none"/>
          <w:lang w:val="en-US" w:eastAsia="zh-CN"/>
        </w:rPr>
        <w:t>部</w:t>
      </w:r>
      <w:r>
        <w:rPr>
          <w:rFonts w:hint="eastAsia"/>
          <w:highlight w:val="none"/>
          <w:lang w:val="en-US" w:eastAsia="zh-CN"/>
        </w:rPr>
        <w:t>二</w:t>
      </w:r>
      <w:r>
        <w:rPr>
          <w:rFonts w:hint="default"/>
          <w:highlight w:val="none"/>
          <w:lang w:val="en-US" w:eastAsia="zh-CN"/>
        </w:rPr>
        <w:t>室为</w:t>
      </w:r>
      <w:r>
        <w:rPr>
          <w:rFonts w:hint="eastAsia"/>
          <w:highlight w:val="none"/>
          <w:lang w:val="en-US" w:eastAsia="zh-CN"/>
        </w:rPr>
        <w:t>塔机安拆</w:t>
      </w:r>
      <w:r>
        <w:rPr>
          <w:rFonts w:hint="default"/>
          <w:highlight w:val="none"/>
          <w:lang w:val="en-US" w:eastAsia="zh-CN"/>
        </w:rPr>
        <w:t>提供技术、质量、安全、材料设备、资金及后勤保障，由现场技术管理人员和专职安全员直接负责</w:t>
      </w:r>
      <w:r>
        <w:rPr>
          <w:rFonts w:hint="eastAsia"/>
          <w:highlight w:val="none"/>
          <w:lang w:val="en-US" w:eastAsia="zh-CN"/>
        </w:rPr>
        <w:t>塔机安拆</w:t>
      </w:r>
      <w:r>
        <w:rPr>
          <w:rFonts w:hint="default"/>
          <w:highlight w:val="none"/>
          <w:lang w:val="en-US" w:eastAsia="zh-CN"/>
        </w:rPr>
        <w:t>的安全、质量和进度</w:t>
      </w:r>
      <w:r>
        <w:rPr>
          <w:rFonts w:hint="eastAsia"/>
          <w:highlight w:val="none"/>
          <w:lang w:val="en-US" w:eastAsia="zh-CN"/>
        </w:rPr>
        <w:t>的日常管理工作</w:t>
      </w:r>
      <w:r>
        <w:rPr>
          <w:rFonts w:hint="default"/>
          <w:highlight w:val="none"/>
          <w:lang w:val="en-US" w:eastAsia="zh-CN"/>
        </w:rPr>
        <w:t>，保证各队伍之间互相配合，按工期要求完成施工任务。</w:t>
      </w:r>
    </w:p>
    <w:p w14:paraId="096236C9">
      <w:pPr>
        <w:bidi w:val="0"/>
        <w:spacing w:line="360" w:lineRule="auto"/>
        <w:ind w:firstLine="480" w:firstLineChars="200"/>
        <w:rPr>
          <w:rFonts w:hint="eastAsia"/>
          <w:highlight w:val="none"/>
          <w:lang w:val="en-US" w:eastAsia="zh-CN"/>
        </w:rPr>
      </w:pPr>
      <w:r>
        <w:rPr>
          <w:rFonts w:hint="eastAsia"/>
          <w:highlight w:val="none"/>
          <w:lang w:val="en-US" w:eastAsia="zh-CN"/>
        </w:rPr>
        <w:t>同时要求专业分包单位安排工技术负责人、专职安全员驻场，并安排足够的专业技术人员（班组长）、持证安拆工、起重工、司索工、机械设备进行塔机的安拆工作。</w:t>
      </w:r>
    </w:p>
    <w:p w14:paraId="194371AA">
      <w:pPr>
        <w:ind w:left="0" w:leftChars="0" w:firstLine="0" w:firstLineChars="0"/>
        <w:jc w:val="center"/>
        <w:rPr>
          <w:rFonts w:hint="default" w:ascii="Times New Roman" w:hAnsi="Times New Roman" w:eastAsia="宋体"/>
          <w:highlight w:val="none"/>
          <w:lang w:val="en-US" w:eastAsia="zh-CN"/>
        </w:rPr>
      </w:pPr>
      <w:r>
        <w:rPr>
          <w:rFonts w:hint="default" w:ascii="Times New Roman" w:hAnsi="Times New Roman" w:eastAsia="宋体"/>
          <w:highlight w:val="none"/>
          <w:lang w:val="en-US" w:eastAsia="zh-CN"/>
        </w:rPr>
        <w:drawing>
          <wp:inline distT="0" distB="0" distL="114300" distR="114300">
            <wp:extent cx="4338955" cy="4237990"/>
            <wp:effectExtent l="0" t="0" r="0" b="0"/>
            <wp:docPr id="82" name="图片 82" descr="组织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组织流程图--(2)"/>
                    <pic:cNvPicPr>
                      <a:picLocks noChangeAspect="1"/>
                    </pic:cNvPicPr>
                  </pic:nvPicPr>
                  <pic:blipFill>
                    <a:blip r:embed="rId18"/>
                    <a:stretch>
                      <a:fillRect/>
                    </a:stretch>
                  </pic:blipFill>
                  <pic:spPr>
                    <a:xfrm>
                      <a:off x="0" y="0"/>
                      <a:ext cx="4338955" cy="4237990"/>
                    </a:xfrm>
                    <a:prstGeom prst="rect">
                      <a:avLst/>
                    </a:prstGeom>
                  </pic:spPr>
                </pic:pic>
              </a:graphicData>
            </a:graphic>
          </wp:inline>
        </w:drawing>
      </w:r>
    </w:p>
    <w:p w14:paraId="4530F706">
      <w:pPr>
        <w:pStyle w:val="15"/>
        <w:rPr>
          <w:rFonts w:hint="default"/>
          <w:lang w:val="en-US" w:eastAsia="zh-CN"/>
        </w:rPr>
      </w:pPr>
      <w:r>
        <w:t xml:space="preserve">图 </w:t>
      </w:r>
      <w:r>
        <w:fldChar w:fldCharType="begin"/>
      </w:r>
      <w:r>
        <w:instrText xml:space="preserve"> STYLEREF 2 \s </w:instrText>
      </w:r>
      <w:r>
        <w:fldChar w:fldCharType="separate"/>
      </w:r>
      <w:r>
        <w:t>3.1</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highlight w:val="none"/>
          <w:lang w:val="en-US" w:eastAsia="zh-CN"/>
        </w:rPr>
        <w:t>塔机安拆施工管理组织机构图</w:t>
      </w:r>
    </w:p>
    <w:p w14:paraId="75DC6760">
      <w:pPr>
        <w:pStyle w:val="4"/>
        <w:bidi w:val="0"/>
        <w:ind w:left="720" w:leftChars="0" w:hanging="720" w:firstLineChars="0"/>
        <w:rPr>
          <w:rFonts w:hint="eastAsia"/>
          <w:lang w:val="en-US" w:eastAsia="zh-CN"/>
        </w:rPr>
      </w:pPr>
      <w:bookmarkStart w:id="124" w:name="_Toc24913"/>
      <w:bookmarkStart w:id="125" w:name="_Toc11794"/>
      <w:r>
        <w:rPr>
          <w:rFonts w:hint="eastAsia"/>
          <w:lang w:val="en-US" w:eastAsia="zh-CN"/>
        </w:rPr>
        <w:t>施工任务划分</w:t>
      </w:r>
      <w:bookmarkEnd w:id="124"/>
      <w:bookmarkEnd w:id="125"/>
    </w:p>
    <w:p w14:paraId="02C13859">
      <w:pPr>
        <w:bidi w:val="0"/>
        <w:spacing w:line="360" w:lineRule="auto"/>
        <w:ind w:firstLine="480" w:firstLineChars="200"/>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项目经理部根据与建设单位签订的施工总承包合同，将</w:t>
      </w:r>
      <w:r>
        <w:rPr>
          <w:rFonts w:hint="eastAsia" w:ascii="Times New Roman" w:hAnsi="Times New Roman"/>
          <w:highlight w:val="none"/>
          <w:lang w:val="en-US" w:eastAsia="zh-CN"/>
        </w:rPr>
        <w:t>塔机</w:t>
      </w:r>
      <w:r>
        <w:rPr>
          <w:rFonts w:hint="eastAsia" w:ascii="Times New Roman" w:hAnsi="Times New Roman" w:eastAsia="宋体"/>
          <w:highlight w:val="none"/>
          <w:lang w:val="en-US" w:eastAsia="zh-CN"/>
        </w:rPr>
        <w:t>安拆施工任务合法发包给具有相应资质的施工协作单位，项目经理部管理人员负责日常进度、安全、质量、资源配置等管理工作。</w:t>
      </w:r>
    </w:p>
    <w:p w14:paraId="6E7FA956">
      <w:pPr>
        <w:pStyle w:val="15"/>
      </w:pPr>
      <w:r>
        <w:t xml:space="preserve">表 </w:t>
      </w:r>
      <w:r>
        <w:fldChar w:fldCharType="begin"/>
      </w:r>
      <w:r>
        <w:instrText xml:space="preserve"> STYLEREF 2 \s </w:instrText>
      </w:r>
      <w:r>
        <w:fldChar w:fldCharType="separate"/>
      </w:r>
      <w:r>
        <w:t>3.1</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塔机安拆施工任务划分计划表</w:t>
      </w:r>
    </w:p>
    <w:tbl>
      <w:tblPr>
        <w:tblStyle w:val="30"/>
        <w:tblW w:w="4998" w:type="pct"/>
        <w:jc w:val="center"/>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Layout w:type="autofit"/>
        <w:tblCellMar>
          <w:top w:w="0" w:type="dxa"/>
          <w:left w:w="108" w:type="dxa"/>
          <w:bottom w:w="0" w:type="dxa"/>
          <w:right w:w="108" w:type="dxa"/>
        </w:tblCellMar>
      </w:tblPr>
      <w:tblGrid>
        <w:gridCol w:w="871"/>
        <w:gridCol w:w="3986"/>
        <w:gridCol w:w="1999"/>
        <w:gridCol w:w="1663"/>
      </w:tblGrid>
      <w:tr w14:paraId="46DDFF6F">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108" w:type="dxa"/>
            <w:bottom w:w="0" w:type="dxa"/>
            <w:right w:w="108" w:type="dxa"/>
          </w:tblCellMar>
        </w:tblPrEx>
        <w:trPr>
          <w:trHeight w:val="454" w:hRule="atLeast"/>
          <w:tblHeader/>
          <w:jc w:val="center"/>
        </w:trPr>
        <w:tc>
          <w:tcPr>
            <w:tcW w:w="511" w:type="pct"/>
            <w:tcBorders>
              <w:tl2br w:val="nil"/>
              <w:tr2bl w:val="nil"/>
            </w:tcBorders>
            <w:shd w:val="clear" w:color="auto" w:fill="DAE3F3" w:themeFill="accent5" w:themeFillTint="32"/>
            <w:vAlign w:val="center"/>
          </w:tcPr>
          <w:p w14:paraId="7C1EF0F3">
            <w:pPr>
              <w:pStyle w:val="105"/>
              <w:bidi w:val="0"/>
              <w:rPr>
                <w:rFonts w:hint="eastAsia"/>
                <w:highlight w:val="none"/>
                <w:lang w:val="en-US" w:eastAsia="zh-CN"/>
              </w:rPr>
            </w:pPr>
            <w:r>
              <w:rPr>
                <w:rFonts w:hint="eastAsia"/>
                <w:highlight w:val="none"/>
                <w:lang w:val="en-US" w:eastAsia="zh-CN"/>
              </w:rPr>
              <w:t>序号</w:t>
            </w:r>
          </w:p>
        </w:tc>
        <w:tc>
          <w:tcPr>
            <w:tcW w:w="2339" w:type="pct"/>
            <w:tcBorders>
              <w:tl2br w:val="nil"/>
              <w:tr2bl w:val="nil"/>
            </w:tcBorders>
            <w:shd w:val="clear" w:color="auto" w:fill="DAE3F3" w:themeFill="accent5" w:themeFillTint="32"/>
            <w:vAlign w:val="center"/>
          </w:tcPr>
          <w:p w14:paraId="1A66E425">
            <w:pPr>
              <w:pStyle w:val="105"/>
              <w:bidi w:val="0"/>
              <w:rPr>
                <w:rFonts w:hint="default"/>
                <w:highlight w:val="none"/>
                <w:lang w:val="en-US" w:eastAsia="zh-CN"/>
              </w:rPr>
            </w:pPr>
            <w:r>
              <w:rPr>
                <w:rFonts w:hint="eastAsia"/>
                <w:highlight w:val="none"/>
                <w:lang w:val="en-US" w:eastAsia="zh-CN"/>
              </w:rPr>
              <w:t>塔机使用单位工程</w:t>
            </w:r>
          </w:p>
        </w:tc>
        <w:tc>
          <w:tcPr>
            <w:tcW w:w="1173" w:type="pct"/>
            <w:tcBorders>
              <w:tl2br w:val="nil"/>
              <w:tr2bl w:val="nil"/>
            </w:tcBorders>
            <w:shd w:val="clear" w:color="auto" w:fill="DAE3F3" w:themeFill="accent5" w:themeFillTint="32"/>
            <w:vAlign w:val="center"/>
          </w:tcPr>
          <w:p w14:paraId="633208B2">
            <w:pPr>
              <w:pStyle w:val="105"/>
              <w:bidi w:val="0"/>
              <w:rPr>
                <w:rFonts w:hint="default"/>
                <w:highlight w:val="none"/>
                <w:lang w:val="en-US" w:eastAsia="zh-CN"/>
              </w:rPr>
            </w:pPr>
            <w:r>
              <w:rPr>
                <w:rFonts w:hint="eastAsia"/>
                <w:highlight w:val="none"/>
                <w:lang w:val="en-US" w:eastAsia="zh-CN"/>
              </w:rPr>
              <w:t>专业分包单位</w:t>
            </w:r>
          </w:p>
        </w:tc>
        <w:tc>
          <w:tcPr>
            <w:tcW w:w="976" w:type="pct"/>
            <w:tcBorders>
              <w:tl2br w:val="nil"/>
              <w:tr2bl w:val="nil"/>
            </w:tcBorders>
            <w:shd w:val="clear" w:color="auto" w:fill="DAE3F3" w:themeFill="accent5" w:themeFillTint="32"/>
            <w:vAlign w:val="center"/>
          </w:tcPr>
          <w:p w14:paraId="5028BDB0">
            <w:pPr>
              <w:pStyle w:val="105"/>
              <w:bidi w:val="0"/>
              <w:rPr>
                <w:rFonts w:hint="eastAsia"/>
                <w:highlight w:val="none"/>
                <w:lang w:val="en-US" w:eastAsia="zh-CN"/>
              </w:rPr>
            </w:pPr>
            <w:r>
              <w:rPr>
                <w:rFonts w:hint="eastAsia"/>
                <w:highlight w:val="none"/>
                <w:lang w:val="en-US" w:eastAsia="zh-CN"/>
              </w:rPr>
              <w:t>备注</w:t>
            </w:r>
          </w:p>
        </w:tc>
      </w:tr>
      <w:tr w14:paraId="63C56147">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108" w:type="dxa"/>
            <w:bottom w:w="0" w:type="dxa"/>
            <w:right w:w="108" w:type="dxa"/>
          </w:tblCellMar>
        </w:tblPrEx>
        <w:trPr>
          <w:trHeight w:val="1786" w:hRule="atLeast"/>
          <w:jc w:val="center"/>
        </w:trPr>
        <w:tc>
          <w:tcPr>
            <w:tcW w:w="511" w:type="pct"/>
            <w:tcBorders>
              <w:tl2br w:val="nil"/>
              <w:tr2bl w:val="nil"/>
            </w:tcBorders>
            <w:vAlign w:val="center"/>
          </w:tcPr>
          <w:p w14:paraId="2AE0903F">
            <w:pPr>
              <w:pStyle w:val="105"/>
              <w:bidi w:val="0"/>
              <w:rPr>
                <w:rFonts w:hint="eastAsia"/>
                <w:highlight w:val="none"/>
                <w:lang w:val="en-US" w:eastAsia="zh-CN"/>
              </w:rPr>
            </w:pPr>
            <w:r>
              <w:rPr>
                <w:rFonts w:hint="eastAsia"/>
                <w:highlight w:val="none"/>
                <w:lang w:val="en-US" w:eastAsia="zh-CN"/>
              </w:rPr>
              <w:t>1</w:t>
            </w:r>
          </w:p>
        </w:tc>
        <w:tc>
          <w:tcPr>
            <w:tcW w:w="2339" w:type="pct"/>
            <w:tcBorders>
              <w:tl2br w:val="nil"/>
              <w:tr2bl w:val="nil"/>
            </w:tcBorders>
            <w:vAlign w:val="center"/>
          </w:tcPr>
          <w:p w14:paraId="1D6C70ED">
            <w:pPr>
              <w:pStyle w:val="105"/>
              <w:bidi w:val="0"/>
              <w:rPr>
                <w:rFonts w:hint="default"/>
                <w:highlight w:val="none"/>
                <w:lang w:val="en-US" w:eastAsia="zh-CN"/>
              </w:rPr>
            </w:pPr>
            <w:r>
              <w:rPr>
                <w:rFonts w:hint="eastAsia"/>
                <w:highlight w:val="none"/>
                <w:lang w:val="en-US" w:eastAsia="zh-CN"/>
              </w:rPr>
              <w:t>新渡坪大桥左</w:t>
            </w:r>
            <w:r>
              <w:rPr>
                <w:rFonts w:hint="default"/>
                <w:highlight w:val="none"/>
                <w:lang w:val="en-US" w:eastAsia="zh-CN"/>
              </w:rPr>
              <w:t>幅</w:t>
            </w:r>
            <w:r>
              <w:rPr>
                <w:rFonts w:hint="eastAsia"/>
                <w:highlight w:val="none"/>
                <w:lang w:val="en-US" w:eastAsia="zh-CN"/>
              </w:rPr>
              <w:t>7#墩施工。</w:t>
            </w:r>
          </w:p>
        </w:tc>
        <w:tc>
          <w:tcPr>
            <w:tcW w:w="1173" w:type="pct"/>
            <w:tcBorders>
              <w:tl2br w:val="nil"/>
              <w:tr2bl w:val="nil"/>
            </w:tcBorders>
            <w:vAlign w:val="center"/>
          </w:tcPr>
          <w:p w14:paraId="49646BEF">
            <w:pPr>
              <w:pStyle w:val="105"/>
              <w:bidi w:val="0"/>
              <w:rPr>
                <w:rFonts w:hint="default"/>
                <w:highlight w:val="none"/>
                <w:lang w:val="en-US" w:eastAsia="zh-CN"/>
              </w:rPr>
            </w:pPr>
            <w:r>
              <w:rPr>
                <w:rFonts w:hint="eastAsia"/>
                <w:highlight w:val="none"/>
                <w:lang w:val="en-US" w:eastAsia="zh-CN"/>
              </w:rPr>
              <w:t>四川科斗文智能装备有限公司</w:t>
            </w:r>
          </w:p>
        </w:tc>
        <w:tc>
          <w:tcPr>
            <w:tcW w:w="976" w:type="pct"/>
            <w:tcBorders>
              <w:tl2br w:val="nil"/>
              <w:tr2bl w:val="nil"/>
            </w:tcBorders>
            <w:vAlign w:val="center"/>
          </w:tcPr>
          <w:p w14:paraId="49934A5E">
            <w:pPr>
              <w:pStyle w:val="105"/>
              <w:bidi w:val="0"/>
              <w:rPr>
                <w:rFonts w:hint="default"/>
                <w:highlight w:val="none"/>
                <w:lang w:val="en-US" w:eastAsia="zh-CN"/>
              </w:rPr>
            </w:pPr>
          </w:p>
        </w:tc>
      </w:tr>
    </w:tbl>
    <w:p w14:paraId="47B3C373">
      <w:pPr>
        <w:pStyle w:val="3"/>
        <w:bidi w:val="0"/>
        <w:ind w:left="575" w:leftChars="0" w:hanging="575" w:firstLineChars="0"/>
        <w:rPr>
          <w:rFonts w:hint="eastAsia"/>
          <w:lang w:val="en-US" w:eastAsia="zh-CN"/>
        </w:rPr>
      </w:pPr>
      <w:bookmarkStart w:id="126" w:name="_Toc22295"/>
      <w:bookmarkStart w:id="127" w:name="_Toc14473"/>
      <w:bookmarkStart w:id="128" w:name="_Toc9350"/>
      <w:r>
        <w:rPr>
          <w:rFonts w:hint="eastAsia"/>
        </w:rPr>
        <w:t xml:space="preserve"> </w:t>
      </w:r>
      <w:bookmarkEnd w:id="119"/>
      <w:bookmarkEnd w:id="120"/>
      <w:bookmarkStart w:id="129" w:name="_Toc26167"/>
      <w:r>
        <w:rPr>
          <w:rFonts w:hint="eastAsia"/>
          <w:lang w:val="en-US" w:eastAsia="zh-CN"/>
        </w:rPr>
        <w:t>施工进度计划</w:t>
      </w:r>
      <w:bookmarkEnd w:id="126"/>
      <w:bookmarkEnd w:id="127"/>
      <w:bookmarkEnd w:id="128"/>
      <w:bookmarkEnd w:id="129"/>
    </w:p>
    <w:p w14:paraId="6D0E8A41">
      <w:pPr>
        <w:bidi w:val="0"/>
        <w:spacing w:line="360" w:lineRule="auto"/>
        <w:ind w:firstLine="480" w:firstLineChars="200"/>
        <w:rPr>
          <w:rFonts w:hint="default"/>
          <w:highlight w:val="none"/>
          <w:lang w:val="en-US" w:eastAsia="zh-CN"/>
        </w:rPr>
      </w:pPr>
      <w:r>
        <w:rPr>
          <w:rFonts w:hint="default"/>
          <w:highlight w:val="none"/>
          <w:lang w:val="en-US" w:eastAsia="zh-CN"/>
        </w:rPr>
        <w:t>每台</w:t>
      </w:r>
      <w:r>
        <w:rPr>
          <w:rFonts w:hint="eastAsia"/>
          <w:highlight w:val="none"/>
          <w:lang w:val="en-US" w:eastAsia="zh-CN"/>
        </w:rPr>
        <w:t>塔机</w:t>
      </w:r>
      <w:r>
        <w:rPr>
          <w:rFonts w:hint="default"/>
          <w:highlight w:val="none"/>
          <w:lang w:val="en-US" w:eastAsia="zh-CN"/>
        </w:rPr>
        <w:t>的安装时间主要考虑基础施工时间及首节安装时间，根据项目部工期安排及承台施工时间安排基础及首节安装时间，其他时间随着构筑物的上升而相应设置（同时需根据天气及环境因素调整合适的时间）。</w:t>
      </w:r>
    </w:p>
    <w:p w14:paraId="66521DFD">
      <w:pPr>
        <w:pStyle w:val="15"/>
      </w:pPr>
      <w:r>
        <w:t xml:space="preserve">表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新渡坪大桥主墩塔机使用时间汇总表</w:t>
      </w:r>
    </w:p>
    <w:tbl>
      <w:tblPr>
        <w:tblStyle w:val="30"/>
        <w:tblW w:w="4998" w:type="pct"/>
        <w:jc w:val="center"/>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Layout w:type="autofit"/>
        <w:tblCellMar>
          <w:top w:w="0" w:type="dxa"/>
          <w:left w:w="0" w:type="dxa"/>
          <w:bottom w:w="0" w:type="dxa"/>
          <w:right w:w="0" w:type="dxa"/>
        </w:tblCellMar>
      </w:tblPr>
      <w:tblGrid>
        <w:gridCol w:w="692"/>
        <w:gridCol w:w="1640"/>
        <w:gridCol w:w="1590"/>
        <w:gridCol w:w="1590"/>
        <w:gridCol w:w="1410"/>
        <w:gridCol w:w="1411"/>
      </w:tblGrid>
      <w:tr w14:paraId="1F274790">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0" w:type="dxa"/>
            <w:bottom w:w="0" w:type="dxa"/>
            <w:right w:w="0" w:type="dxa"/>
          </w:tblCellMar>
        </w:tblPrEx>
        <w:trPr>
          <w:trHeight w:val="454" w:hRule="atLeast"/>
          <w:tblHeader/>
          <w:jc w:val="center"/>
        </w:trPr>
        <w:tc>
          <w:tcPr>
            <w:tcW w:w="415" w:type="pct"/>
            <w:tcBorders>
              <w:tl2br w:val="nil"/>
              <w:tr2bl w:val="nil"/>
            </w:tcBorders>
            <w:shd w:val="clear" w:color="auto" w:fill="DAE3F3" w:themeFill="accent5" w:themeFillTint="32"/>
            <w:noWrap/>
            <w:tcMar>
              <w:top w:w="15" w:type="dxa"/>
              <w:left w:w="15" w:type="dxa"/>
              <w:right w:w="15" w:type="dxa"/>
            </w:tcMar>
            <w:vAlign w:val="center"/>
          </w:tcPr>
          <w:p w14:paraId="4A24FD32">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序号</w:t>
            </w:r>
          </w:p>
        </w:tc>
        <w:tc>
          <w:tcPr>
            <w:tcW w:w="984" w:type="pct"/>
            <w:tcBorders>
              <w:tl2br w:val="nil"/>
              <w:tr2bl w:val="nil"/>
            </w:tcBorders>
            <w:shd w:val="clear" w:color="auto" w:fill="DAE3F3" w:themeFill="accent5" w:themeFillTint="32"/>
            <w:noWrap/>
            <w:tcMar>
              <w:top w:w="15" w:type="dxa"/>
              <w:left w:w="15" w:type="dxa"/>
              <w:right w:w="15" w:type="dxa"/>
            </w:tcMar>
            <w:vAlign w:val="center"/>
          </w:tcPr>
          <w:p w14:paraId="7C97D3C8">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安装位置</w:t>
            </w:r>
          </w:p>
        </w:tc>
        <w:tc>
          <w:tcPr>
            <w:tcW w:w="954" w:type="pct"/>
            <w:tcBorders>
              <w:tl2br w:val="nil"/>
              <w:tr2bl w:val="nil"/>
            </w:tcBorders>
            <w:shd w:val="clear" w:color="auto" w:fill="DAE3F3" w:themeFill="accent5" w:themeFillTint="32"/>
            <w:noWrap/>
            <w:tcMar>
              <w:top w:w="15" w:type="dxa"/>
              <w:left w:w="15" w:type="dxa"/>
              <w:right w:w="15" w:type="dxa"/>
            </w:tcMar>
            <w:vAlign w:val="center"/>
          </w:tcPr>
          <w:p w14:paraId="7190FCF9">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塔机型号</w:t>
            </w:r>
          </w:p>
        </w:tc>
        <w:tc>
          <w:tcPr>
            <w:tcW w:w="954" w:type="pct"/>
            <w:tcBorders>
              <w:tl2br w:val="nil"/>
              <w:tr2bl w:val="nil"/>
            </w:tcBorders>
            <w:shd w:val="clear" w:color="auto" w:fill="DAE3F3" w:themeFill="accent5" w:themeFillTint="32"/>
            <w:noWrap/>
            <w:tcMar>
              <w:top w:w="15" w:type="dxa"/>
              <w:left w:w="15" w:type="dxa"/>
              <w:right w:w="15" w:type="dxa"/>
            </w:tcMar>
            <w:vAlign w:val="center"/>
          </w:tcPr>
          <w:p w14:paraId="7C46BF4B">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计划开始时间</w:t>
            </w:r>
          </w:p>
        </w:tc>
        <w:tc>
          <w:tcPr>
            <w:tcW w:w="846" w:type="pct"/>
            <w:tcBorders>
              <w:tl2br w:val="nil"/>
              <w:tr2bl w:val="nil"/>
            </w:tcBorders>
            <w:shd w:val="clear" w:color="auto" w:fill="DAE3F3" w:themeFill="accent5" w:themeFillTint="32"/>
            <w:noWrap/>
            <w:tcMar>
              <w:top w:w="15" w:type="dxa"/>
              <w:left w:w="15" w:type="dxa"/>
              <w:right w:w="15" w:type="dxa"/>
            </w:tcMar>
            <w:vAlign w:val="center"/>
          </w:tcPr>
          <w:p w14:paraId="295A053A">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计划结束时间</w:t>
            </w:r>
          </w:p>
        </w:tc>
        <w:tc>
          <w:tcPr>
            <w:tcW w:w="846" w:type="pct"/>
            <w:tcBorders>
              <w:tl2br w:val="nil"/>
              <w:tr2bl w:val="nil"/>
            </w:tcBorders>
            <w:shd w:val="clear" w:color="auto" w:fill="DAE3F3" w:themeFill="accent5" w:themeFillTint="32"/>
            <w:noWrap/>
            <w:tcMar>
              <w:top w:w="15" w:type="dxa"/>
              <w:left w:w="15" w:type="dxa"/>
              <w:right w:w="15" w:type="dxa"/>
            </w:tcMar>
            <w:vAlign w:val="center"/>
          </w:tcPr>
          <w:p w14:paraId="55418459">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使用期限</w:t>
            </w:r>
          </w:p>
        </w:tc>
      </w:tr>
      <w:tr w14:paraId="2CB6A381">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0" w:type="dxa"/>
            <w:bottom w:w="0" w:type="dxa"/>
            <w:right w:w="0" w:type="dxa"/>
          </w:tblCellMar>
        </w:tblPrEx>
        <w:trPr>
          <w:trHeight w:val="454" w:hRule="atLeast"/>
          <w:jc w:val="center"/>
        </w:trPr>
        <w:tc>
          <w:tcPr>
            <w:tcW w:w="415" w:type="pct"/>
            <w:tcBorders>
              <w:tl2br w:val="nil"/>
              <w:tr2bl w:val="nil"/>
            </w:tcBorders>
            <w:noWrap/>
            <w:tcMar>
              <w:top w:w="15" w:type="dxa"/>
              <w:left w:w="15" w:type="dxa"/>
              <w:right w:w="15" w:type="dxa"/>
            </w:tcMar>
            <w:vAlign w:val="center"/>
          </w:tcPr>
          <w:p w14:paraId="5D256A41">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0"/>
                <w:szCs w:val="20"/>
                <w:highlight w:val="none"/>
                <w:u w:val="none"/>
                <w:lang w:val="en-US" w:eastAsia="zh-CN"/>
              </w:rPr>
            </w:pPr>
            <w:r>
              <w:rPr>
                <w:rFonts w:hint="eastAsia" w:cs="宋体"/>
                <w:i w:val="0"/>
                <w:color w:val="000000"/>
                <w:sz w:val="20"/>
                <w:szCs w:val="20"/>
                <w:highlight w:val="none"/>
                <w:u w:val="none"/>
                <w:lang w:val="en-US" w:eastAsia="zh-CN"/>
              </w:rPr>
              <w:t>1</w:t>
            </w:r>
          </w:p>
        </w:tc>
        <w:tc>
          <w:tcPr>
            <w:tcW w:w="984" w:type="pct"/>
            <w:tcBorders>
              <w:tl2br w:val="nil"/>
              <w:tr2bl w:val="nil"/>
            </w:tcBorders>
            <w:noWrap/>
            <w:tcMar>
              <w:top w:w="15" w:type="dxa"/>
              <w:left w:w="15" w:type="dxa"/>
              <w:right w:w="15" w:type="dxa"/>
            </w:tcMar>
            <w:vAlign w:val="center"/>
          </w:tcPr>
          <w:p w14:paraId="012547ED">
            <w:pPr>
              <w:spacing w:after="0" w:afterLines="0" w:line="240" w:lineRule="auto"/>
              <w:ind w:firstLine="0" w:firstLineChars="0"/>
              <w:jc w:val="center"/>
              <w:rPr>
                <w:rFonts w:hint="eastAsia" w:ascii="宋体" w:hAnsi="宋体" w:eastAsia="宋体" w:cs="宋体"/>
                <w:i w:val="0"/>
                <w:color w:val="000000"/>
                <w:sz w:val="18"/>
                <w:szCs w:val="18"/>
                <w:highlight w:val="none"/>
                <w:u w:val="none"/>
                <w:lang w:val="en-US" w:eastAsia="zh-CN"/>
              </w:rPr>
            </w:pPr>
            <w:r>
              <w:rPr>
                <w:rFonts w:hint="eastAsia" w:cs="宋体"/>
                <w:bCs/>
                <w:color w:val="000000" w:themeColor="text1"/>
                <w:sz w:val="18"/>
                <w:szCs w:val="18"/>
                <w:highlight w:val="none"/>
                <w:lang w:val="en-US" w:eastAsia="zh-CN"/>
                <w14:textFill>
                  <w14:solidFill>
                    <w14:schemeClr w14:val="tx1"/>
                  </w14:solidFill>
                </w14:textFill>
              </w:rPr>
              <w:t>新渡坪左幅7#墩</w:t>
            </w:r>
          </w:p>
        </w:tc>
        <w:tc>
          <w:tcPr>
            <w:tcW w:w="954" w:type="pct"/>
            <w:tcBorders>
              <w:tl2br w:val="nil"/>
              <w:tr2bl w:val="nil"/>
            </w:tcBorders>
            <w:noWrap/>
            <w:tcMar>
              <w:top w:w="15" w:type="dxa"/>
              <w:left w:w="15" w:type="dxa"/>
              <w:right w:w="15" w:type="dxa"/>
            </w:tcMar>
            <w:vAlign w:val="center"/>
          </w:tcPr>
          <w:p w14:paraId="351361A5">
            <w:pPr>
              <w:spacing w:after="0" w:afterLines="0" w:line="240" w:lineRule="auto"/>
              <w:ind w:firstLine="0" w:firstLineChars="0"/>
              <w:jc w:val="center"/>
              <w:rPr>
                <w:rFonts w:hint="eastAsia" w:ascii="宋体" w:hAnsi="宋体" w:eastAsia="宋体" w:cs="宋体"/>
                <w:bCs/>
                <w:color w:val="000000" w:themeColor="text1"/>
                <w:sz w:val="18"/>
                <w:szCs w:val="18"/>
                <w:highlight w:val="none"/>
                <w:lang w:val="en-US" w:eastAsia="zh-CN"/>
                <w14:textFill>
                  <w14:solidFill>
                    <w14:schemeClr w14:val="tx1"/>
                  </w14:solidFill>
                </w14:textFill>
              </w:rPr>
            </w:pPr>
            <w:r>
              <w:rPr>
                <w:rFonts w:hint="eastAsia" w:ascii="宋体" w:hAnsi="宋体" w:eastAsia="宋体" w:cs="宋体"/>
                <w:bCs/>
                <w:color w:val="000000" w:themeColor="text1"/>
                <w:sz w:val="18"/>
                <w:szCs w:val="18"/>
                <w:highlight w:val="none"/>
                <w:lang w:val="en-US" w:eastAsia="zh-CN"/>
                <w14:textFill>
                  <w14:solidFill>
                    <w14:schemeClr w14:val="tx1"/>
                  </w14:solidFill>
                </w14:textFill>
              </w:rPr>
              <w:t>徐工</w:t>
            </w:r>
            <w:r>
              <w:rPr>
                <w:rFonts w:hint="eastAsia" w:cs="宋体"/>
                <w:bCs/>
                <w:color w:val="000000" w:themeColor="text1"/>
                <w:sz w:val="18"/>
                <w:szCs w:val="18"/>
                <w:highlight w:val="none"/>
                <w:lang w:val="en-US" w:eastAsia="zh-CN"/>
                <w14:textFill>
                  <w14:solidFill>
                    <w14:schemeClr w14:val="tx1"/>
                  </w14:solidFill>
                </w14:textFill>
              </w:rPr>
              <w:t>XGT7022-10S</w:t>
            </w:r>
          </w:p>
        </w:tc>
        <w:tc>
          <w:tcPr>
            <w:tcW w:w="954" w:type="pct"/>
            <w:tcBorders>
              <w:tl2br w:val="nil"/>
              <w:tr2bl w:val="nil"/>
            </w:tcBorders>
            <w:noWrap/>
            <w:tcMar>
              <w:top w:w="15" w:type="dxa"/>
              <w:left w:w="15" w:type="dxa"/>
              <w:right w:w="15" w:type="dxa"/>
            </w:tcMar>
            <w:vAlign w:val="center"/>
          </w:tcPr>
          <w:p w14:paraId="67CA964F">
            <w:pPr>
              <w:keepNext w:val="0"/>
              <w:keepLines w:val="0"/>
              <w:widowControl/>
              <w:suppressLineNumbers w:val="0"/>
              <w:jc w:val="center"/>
              <w:textAlignment w:val="center"/>
              <w:rPr>
                <w:rFonts w:hint="default" w:ascii="宋体" w:hAnsi="宋体" w:eastAsia="宋体" w:cs="宋体"/>
                <w:i w:val="0"/>
                <w:color w:val="auto"/>
                <w:sz w:val="18"/>
                <w:szCs w:val="18"/>
                <w:highlight w:val="none"/>
                <w:u w:val="none"/>
                <w:lang w:val="en-US"/>
              </w:rPr>
            </w:pPr>
          </w:p>
        </w:tc>
        <w:tc>
          <w:tcPr>
            <w:tcW w:w="846" w:type="pct"/>
            <w:tcBorders>
              <w:tl2br w:val="nil"/>
              <w:tr2bl w:val="nil"/>
            </w:tcBorders>
            <w:noWrap/>
            <w:tcMar>
              <w:top w:w="15" w:type="dxa"/>
              <w:left w:w="15" w:type="dxa"/>
              <w:right w:w="15" w:type="dxa"/>
            </w:tcMar>
            <w:vAlign w:val="center"/>
          </w:tcPr>
          <w:p w14:paraId="58383405">
            <w:pPr>
              <w:keepNext w:val="0"/>
              <w:keepLines w:val="0"/>
              <w:widowControl/>
              <w:suppressLineNumbers w:val="0"/>
              <w:jc w:val="center"/>
              <w:textAlignment w:val="center"/>
              <w:rPr>
                <w:rFonts w:hint="default" w:ascii="宋体" w:hAnsi="宋体" w:eastAsia="宋体" w:cs="宋体"/>
                <w:i w:val="0"/>
                <w:color w:val="auto"/>
                <w:sz w:val="18"/>
                <w:szCs w:val="18"/>
                <w:highlight w:val="none"/>
                <w:u w:val="none"/>
                <w:lang w:val="en-US"/>
              </w:rPr>
            </w:pPr>
          </w:p>
        </w:tc>
        <w:tc>
          <w:tcPr>
            <w:tcW w:w="846" w:type="pct"/>
            <w:tcBorders>
              <w:tl2br w:val="nil"/>
              <w:tr2bl w:val="nil"/>
            </w:tcBorders>
            <w:noWrap/>
            <w:tcMar>
              <w:top w:w="15" w:type="dxa"/>
              <w:left w:w="15" w:type="dxa"/>
              <w:right w:w="15" w:type="dxa"/>
            </w:tcMar>
            <w:vAlign w:val="center"/>
          </w:tcPr>
          <w:p w14:paraId="66E95163">
            <w:pPr>
              <w:keepNext w:val="0"/>
              <w:keepLines w:val="0"/>
              <w:widowControl/>
              <w:suppressLineNumbers w:val="0"/>
              <w:jc w:val="center"/>
              <w:textAlignment w:val="center"/>
              <w:rPr>
                <w:rFonts w:hint="default" w:ascii="宋体" w:hAnsi="宋体" w:eastAsia="宋体" w:cs="宋体"/>
                <w:i w:val="0"/>
                <w:color w:val="000000"/>
                <w:sz w:val="18"/>
                <w:szCs w:val="18"/>
                <w:highlight w:val="none"/>
                <w:u w:val="none"/>
                <w:lang w:val="en-US" w:eastAsia="zh-CN"/>
              </w:rPr>
            </w:pPr>
          </w:p>
        </w:tc>
      </w:tr>
    </w:tbl>
    <w:p w14:paraId="5B4BA1FE">
      <w:pPr>
        <w:pStyle w:val="15"/>
      </w:pPr>
      <w:bookmarkStart w:id="130" w:name="_Toc26659"/>
      <w:bookmarkStart w:id="131" w:name="_Toc27494"/>
      <w:bookmarkStart w:id="132" w:name="_Toc29155"/>
      <w:bookmarkStart w:id="133" w:name="_Toc12309"/>
      <w:bookmarkStart w:id="134" w:name="_Toc11288"/>
      <w:r>
        <w:t xml:space="preserve">表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塔机安装施工计划</w:t>
      </w:r>
    </w:p>
    <w:tbl>
      <w:tblPr>
        <w:tblStyle w:val="30"/>
        <w:tblW w:w="4998" w:type="pct"/>
        <w:jc w:val="center"/>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Layout w:type="autofit"/>
        <w:tblCellMar>
          <w:top w:w="15" w:type="dxa"/>
          <w:left w:w="15" w:type="dxa"/>
          <w:bottom w:w="15" w:type="dxa"/>
          <w:right w:w="15" w:type="dxa"/>
        </w:tblCellMar>
      </w:tblPr>
      <w:tblGrid>
        <w:gridCol w:w="1585"/>
        <w:gridCol w:w="5094"/>
        <w:gridCol w:w="1654"/>
      </w:tblGrid>
      <w:tr w14:paraId="7115339E">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shd w:val="clear" w:color="auto" w:fill="DAE3F3" w:themeFill="accent5" w:themeFillTint="32"/>
            <w:noWrap w:val="0"/>
            <w:vAlign w:val="center"/>
          </w:tcPr>
          <w:p w14:paraId="70863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工序</w:t>
            </w:r>
          </w:p>
        </w:tc>
        <w:tc>
          <w:tcPr>
            <w:tcW w:w="992" w:type="pct"/>
            <w:shd w:val="clear" w:color="auto" w:fill="DAE3F3" w:themeFill="accent5" w:themeFillTint="32"/>
            <w:noWrap w:val="0"/>
            <w:vAlign w:val="center"/>
          </w:tcPr>
          <w:p w14:paraId="4F834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 期（天）</w:t>
            </w:r>
          </w:p>
        </w:tc>
      </w:tr>
      <w:tr w14:paraId="74104814">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restart"/>
            <w:noWrap w:val="0"/>
            <w:vAlign w:val="center"/>
          </w:tcPr>
          <w:p w14:paraId="6644ACAA">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安装</w:t>
            </w:r>
          </w:p>
        </w:tc>
        <w:tc>
          <w:tcPr>
            <w:tcW w:w="3056" w:type="pct"/>
            <w:shd w:val="clear" w:color="auto" w:fill="auto"/>
            <w:noWrap w:val="0"/>
            <w:vAlign w:val="center"/>
          </w:tcPr>
          <w:p w14:paraId="4618A6D0">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b/>
                <w:bCs/>
                <w:color w:val="000000" w:themeColor="text1"/>
                <w:kern w:val="2"/>
                <w:sz w:val="21"/>
                <w:szCs w:val="21"/>
                <w:lang w:val="en-US" w:eastAsia="zh-CN" w:bidi="ar-SA"/>
                <w14:textFill>
                  <w14:solidFill>
                    <w14:schemeClr w14:val="tx1"/>
                  </w14:solidFill>
                </w14:textFill>
              </w:rPr>
            </w:pPr>
            <w:r>
              <w:rPr>
                <w:rFonts w:hint="eastAsia" w:ascii="仿宋" w:hAnsi="仿宋" w:eastAsia="仿宋" w:cs="仿宋"/>
                <w:kern w:val="2"/>
                <w:sz w:val="21"/>
                <w:szCs w:val="21"/>
                <w:lang w:val="en-US" w:eastAsia="zh-CN" w:bidi="ar-SA"/>
              </w:rPr>
              <w:t>基础节、标准节、爬升架</w:t>
            </w:r>
          </w:p>
        </w:tc>
        <w:tc>
          <w:tcPr>
            <w:tcW w:w="992" w:type="pct"/>
            <w:shd w:val="clear" w:color="auto" w:fill="auto"/>
            <w:noWrap w:val="0"/>
            <w:vAlign w:val="center"/>
          </w:tcPr>
          <w:p w14:paraId="34403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1</w:t>
            </w:r>
          </w:p>
        </w:tc>
      </w:tr>
      <w:tr w14:paraId="13C3EAA3">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880D209">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3FA5B550">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特殊节、回转总成，臂根节</w:t>
            </w:r>
          </w:p>
        </w:tc>
        <w:tc>
          <w:tcPr>
            <w:tcW w:w="992" w:type="pct"/>
            <w:noWrap w:val="0"/>
            <w:vAlign w:val="center"/>
          </w:tcPr>
          <w:p w14:paraId="05077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1EC645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424" w:hRule="atLeast"/>
          <w:jc w:val="center"/>
        </w:trPr>
        <w:tc>
          <w:tcPr>
            <w:tcW w:w="951" w:type="pct"/>
            <w:vMerge w:val="continue"/>
            <w:noWrap w:val="0"/>
            <w:vAlign w:val="center"/>
          </w:tcPr>
          <w:p w14:paraId="6403437F">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58EC694C">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平衡臂、平衡重、起重臂、钢丝绳</w:t>
            </w:r>
          </w:p>
        </w:tc>
        <w:tc>
          <w:tcPr>
            <w:tcW w:w="992" w:type="pct"/>
            <w:noWrap w:val="0"/>
            <w:vAlign w:val="center"/>
          </w:tcPr>
          <w:p w14:paraId="772D9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73365B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6112CC5">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2AE34302">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顶升加节</w:t>
            </w:r>
          </w:p>
        </w:tc>
        <w:tc>
          <w:tcPr>
            <w:tcW w:w="992" w:type="pct"/>
            <w:noWrap w:val="0"/>
            <w:vAlign w:val="center"/>
          </w:tcPr>
          <w:p w14:paraId="4881B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5B32090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noWrap w:val="0"/>
            <w:vAlign w:val="center"/>
          </w:tcPr>
          <w:p w14:paraId="19EA5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lang w:val="en-US" w:eastAsia="zh-CN"/>
              </w:rPr>
            </w:pPr>
            <w:r>
              <w:rPr>
                <w:rFonts w:hint="eastAsia" w:ascii="仿宋" w:hAnsi="仿宋" w:eastAsia="仿宋" w:cs="仿宋"/>
                <w:b/>
                <w:bCs/>
                <w:color w:val="000000" w:themeColor="text1"/>
                <w:kern w:val="2"/>
                <w:sz w:val="21"/>
                <w:szCs w:val="21"/>
                <w:lang w:val="en-US" w:eastAsia="zh-CN" w:bidi="ar-SA"/>
                <w14:textFill>
                  <w14:solidFill>
                    <w14:schemeClr w14:val="tx1"/>
                  </w14:solidFill>
                </w14:textFill>
              </w:rPr>
              <w:t>工期</w:t>
            </w:r>
          </w:p>
        </w:tc>
        <w:tc>
          <w:tcPr>
            <w:tcW w:w="992" w:type="pct"/>
            <w:noWrap w:val="0"/>
            <w:vAlign w:val="center"/>
          </w:tcPr>
          <w:p w14:paraId="172C0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r>
    </w:tbl>
    <w:p w14:paraId="0CBB0D83">
      <w:pPr>
        <w:pStyle w:val="3"/>
        <w:bidi w:val="0"/>
        <w:ind w:left="575" w:leftChars="0" w:hanging="575" w:firstLineChars="0"/>
      </w:pPr>
      <w:r>
        <w:t xml:space="preserve"> </w:t>
      </w:r>
      <w:bookmarkStart w:id="135" w:name="_Toc5753"/>
      <w:r>
        <w:rPr>
          <w:rFonts w:hint="eastAsia"/>
          <w:lang w:val="en-US" w:eastAsia="zh-CN"/>
        </w:rPr>
        <w:t>施工设备计划</w:t>
      </w:r>
      <w:bookmarkEnd w:id="130"/>
      <w:bookmarkEnd w:id="131"/>
      <w:bookmarkEnd w:id="132"/>
      <w:bookmarkEnd w:id="133"/>
      <w:bookmarkEnd w:id="134"/>
      <w:bookmarkEnd w:id="135"/>
    </w:p>
    <w:p w14:paraId="27C41570">
      <w:pPr>
        <w:pStyle w:val="15"/>
      </w:pPr>
      <w:bookmarkStart w:id="136" w:name="_Toc6681"/>
      <w:bookmarkStart w:id="137" w:name="_Toc1366"/>
      <w:r>
        <w:t xml:space="preserve">表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ascii="黑体" w:hAnsi="宋体" w:cs="黑体"/>
          <w:kern w:val="2"/>
          <w:sz w:val="21"/>
          <w:szCs w:val="21"/>
          <w:highlight w:val="none"/>
          <w:lang w:val="en-US" w:eastAsia="zh-CN" w:bidi="ar"/>
        </w:rPr>
        <w:t>塔机</w:t>
      </w:r>
      <w:r>
        <w:rPr>
          <w:rFonts w:hint="eastAsia" w:ascii="黑体" w:hAnsi="宋体" w:eastAsia="黑体" w:cs="黑体"/>
          <w:kern w:val="2"/>
          <w:sz w:val="21"/>
          <w:szCs w:val="21"/>
          <w:highlight w:val="none"/>
          <w:lang w:val="en-US" w:eastAsia="zh-CN" w:bidi="ar"/>
        </w:rPr>
        <w:t>基础施工设备表</w:t>
      </w:r>
    </w:p>
    <w:tbl>
      <w:tblPr>
        <w:tblStyle w:val="31"/>
        <w:tblW w:w="0" w:type="auto"/>
        <w:tblInd w:w="0"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852"/>
        <w:gridCol w:w="1766"/>
        <w:gridCol w:w="1582"/>
        <w:gridCol w:w="1404"/>
        <w:gridCol w:w="2900"/>
      </w:tblGrid>
      <w:tr w14:paraId="329624A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trPr>
        <w:tc>
          <w:tcPr>
            <w:tcW w:w="852" w:type="dxa"/>
            <w:tcBorders>
              <w:tl2br w:val="nil"/>
              <w:tr2bl w:val="nil"/>
            </w:tcBorders>
            <w:shd w:val="clear" w:color="auto" w:fill="DAE3F3" w:themeFill="accent5" w:themeFillTint="32"/>
            <w:noWrap w:val="0"/>
            <w:vAlign w:val="center"/>
          </w:tcPr>
          <w:p w14:paraId="58F33BE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序号</w:t>
            </w:r>
          </w:p>
        </w:tc>
        <w:tc>
          <w:tcPr>
            <w:tcW w:w="1766" w:type="dxa"/>
            <w:tcBorders>
              <w:tl2br w:val="nil"/>
              <w:tr2bl w:val="nil"/>
            </w:tcBorders>
            <w:shd w:val="clear" w:color="auto" w:fill="DAE3F3" w:themeFill="accent5" w:themeFillTint="32"/>
            <w:noWrap w:val="0"/>
            <w:vAlign w:val="center"/>
          </w:tcPr>
          <w:p w14:paraId="16F9460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名称</w:t>
            </w:r>
          </w:p>
        </w:tc>
        <w:tc>
          <w:tcPr>
            <w:tcW w:w="1582" w:type="dxa"/>
            <w:tcBorders>
              <w:tl2br w:val="nil"/>
              <w:tr2bl w:val="nil"/>
            </w:tcBorders>
            <w:shd w:val="clear" w:color="auto" w:fill="DAE3F3" w:themeFill="accent5" w:themeFillTint="32"/>
            <w:noWrap w:val="0"/>
            <w:vAlign w:val="center"/>
          </w:tcPr>
          <w:p w14:paraId="34FDA49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单位</w:t>
            </w:r>
          </w:p>
        </w:tc>
        <w:tc>
          <w:tcPr>
            <w:tcW w:w="1404" w:type="dxa"/>
            <w:tcBorders>
              <w:tl2br w:val="nil"/>
              <w:tr2bl w:val="nil"/>
            </w:tcBorders>
            <w:shd w:val="clear" w:color="auto" w:fill="DAE3F3" w:themeFill="accent5" w:themeFillTint="32"/>
            <w:noWrap w:val="0"/>
            <w:vAlign w:val="center"/>
          </w:tcPr>
          <w:p w14:paraId="7A73B79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数量</w:t>
            </w:r>
          </w:p>
        </w:tc>
        <w:tc>
          <w:tcPr>
            <w:tcW w:w="2900" w:type="dxa"/>
            <w:tcBorders>
              <w:tl2br w:val="nil"/>
              <w:tr2bl w:val="nil"/>
            </w:tcBorders>
            <w:shd w:val="clear" w:color="auto" w:fill="DAE3F3" w:themeFill="accent5" w:themeFillTint="32"/>
            <w:noWrap w:val="0"/>
            <w:vAlign w:val="center"/>
          </w:tcPr>
          <w:p w14:paraId="583D462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备注</w:t>
            </w:r>
          </w:p>
        </w:tc>
      </w:tr>
      <w:tr w14:paraId="72F851A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AA243C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1766" w:type="dxa"/>
            <w:tcBorders>
              <w:tl2br w:val="nil"/>
              <w:tr2bl w:val="nil"/>
            </w:tcBorders>
            <w:noWrap w:val="0"/>
            <w:vAlign w:val="center"/>
          </w:tcPr>
          <w:p w14:paraId="50434C8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挖掘机</w:t>
            </w:r>
          </w:p>
        </w:tc>
        <w:tc>
          <w:tcPr>
            <w:tcW w:w="1582" w:type="dxa"/>
            <w:tcBorders>
              <w:tl2br w:val="nil"/>
              <w:tr2bl w:val="nil"/>
            </w:tcBorders>
            <w:noWrap w:val="0"/>
            <w:vAlign w:val="center"/>
          </w:tcPr>
          <w:p w14:paraId="1194B64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台</w:t>
            </w:r>
          </w:p>
        </w:tc>
        <w:tc>
          <w:tcPr>
            <w:tcW w:w="1404" w:type="dxa"/>
            <w:tcBorders>
              <w:tl2br w:val="nil"/>
              <w:tr2bl w:val="nil"/>
            </w:tcBorders>
            <w:noWrap w:val="0"/>
            <w:vAlign w:val="center"/>
          </w:tcPr>
          <w:p w14:paraId="79A47F8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2873DA8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挖基坑、平场地</w:t>
            </w:r>
          </w:p>
        </w:tc>
      </w:tr>
      <w:tr w14:paraId="5068DB7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7868A20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1766" w:type="dxa"/>
            <w:tcBorders>
              <w:tl2br w:val="nil"/>
              <w:tr2bl w:val="nil"/>
            </w:tcBorders>
            <w:noWrap w:val="0"/>
            <w:vAlign w:val="center"/>
          </w:tcPr>
          <w:p w14:paraId="03D5C52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装载机</w:t>
            </w:r>
          </w:p>
        </w:tc>
        <w:tc>
          <w:tcPr>
            <w:tcW w:w="1582" w:type="dxa"/>
            <w:tcBorders>
              <w:tl2br w:val="nil"/>
              <w:tr2bl w:val="nil"/>
            </w:tcBorders>
            <w:noWrap w:val="0"/>
            <w:vAlign w:val="center"/>
          </w:tcPr>
          <w:p w14:paraId="59281B5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3B085C5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784BC63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装渣</w:t>
            </w:r>
          </w:p>
        </w:tc>
      </w:tr>
      <w:tr w14:paraId="4E9AB35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124FE2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1766" w:type="dxa"/>
            <w:tcBorders>
              <w:tl2br w:val="nil"/>
              <w:tr2bl w:val="nil"/>
            </w:tcBorders>
            <w:noWrap w:val="0"/>
            <w:vAlign w:val="center"/>
          </w:tcPr>
          <w:p w14:paraId="670B041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自卸式汽车</w:t>
            </w:r>
          </w:p>
        </w:tc>
        <w:tc>
          <w:tcPr>
            <w:tcW w:w="1582" w:type="dxa"/>
            <w:tcBorders>
              <w:tl2br w:val="nil"/>
              <w:tr2bl w:val="nil"/>
            </w:tcBorders>
            <w:noWrap w:val="0"/>
            <w:vAlign w:val="center"/>
          </w:tcPr>
          <w:p w14:paraId="210E207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辆</w:t>
            </w:r>
          </w:p>
        </w:tc>
        <w:tc>
          <w:tcPr>
            <w:tcW w:w="1404" w:type="dxa"/>
            <w:tcBorders>
              <w:tl2br w:val="nil"/>
              <w:tr2bl w:val="nil"/>
            </w:tcBorders>
            <w:noWrap w:val="0"/>
            <w:vAlign w:val="center"/>
          </w:tcPr>
          <w:p w14:paraId="395AE3F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10FB2AA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运渣</w:t>
            </w:r>
          </w:p>
        </w:tc>
      </w:tr>
      <w:tr w14:paraId="49CC456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90E8D8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w:t>
            </w:r>
          </w:p>
        </w:tc>
        <w:tc>
          <w:tcPr>
            <w:tcW w:w="1766" w:type="dxa"/>
            <w:tcBorders>
              <w:tl2br w:val="nil"/>
              <w:tr2bl w:val="nil"/>
            </w:tcBorders>
            <w:noWrap w:val="0"/>
            <w:vAlign w:val="center"/>
          </w:tcPr>
          <w:p w14:paraId="3EB9EA2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模板</w:t>
            </w:r>
          </w:p>
        </w:tc>
        <w:tc>
          <w:tcPr>
            <w:tcW w:w="1582" w:type="dxa"/>
            <w:tcBorders>
              <w:tl2br w:val="nil"/>
              <w:tr2bl w:val="nil"/>
            </w:tcBorders>
            <w:noWrap w:val="0"/>
            <w:vAlign w:val="center"/>
          </w:tcPr>
          <w:p w14:paraId="4B9FB7F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168636F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1648C46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定型钢模板</w:t>
            </w:r>
          </w:p>
        </w:tc>
      </w:tr>
      <w:tr w14:paraId="79FB0D2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C28D0B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w:t>
            </w:r>
          </w:p>
        </w:tc>
        <w:tc>
          <w:tcPr>
            <w:tcW w:w="1766" w:type="dxa"/>
            <w:tcBorders>
              <w:tl2br w:val="nil"/>
              <w:tr2bl w:val="nil"/>
            </w:tcBorders>
            <w:noWrap w:val="0"/>
            <w:vAlign w:val="center"/>
          </w:tcPr>
          <w:p w14:paraId="1493B23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钢筋冷弯机</w:t>
            </w:r>
          </w:p>
        </w:tc>
        <w:tc>
          <w:tcPr>
            <w:tcW w:w="1582" w:type="dxa"/>
            <w:tcBorders>
              <w:tl2br w:val="nil"/>
              <w:tr2bl w:val="nil"/>
            </w:tcBorders>
            <w:noWrap w:val="0"/>
            <w:vAlign w:val="center"/>
          </w:tcPr>
          <w:p w14:paraId="43ABB97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220E728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46332B9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钢筋场</w:t>
            </w:r>
          </w:p>
        </w:tc>
      </w:tr>
      <w:tr w14:paraId="30AC2BE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0045DB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6</w:t>
            </w:r>
          </w:p>
        </w:tc>
        <w:tc>
          <w:tcPr>
            <w:tcW w:w="1766" w:type="dxa"/>
            <w:tcBorders>
              <w:tl2br w:val="nil"/>
              <w:tr2bl w:val="nil"/>
            </w:tcBorders>
            <w:noWrap w:val="0"/>
            <w:vAlign w:val="center"/>
          </w:tcPr>
          <w:p w14:paraId="151EDE7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钢筋直切机</w:t>
            </w:r>
          </w:p>
        </w:tc>
        <w:tc>
          <w:tcPr>
            <w:tcW w:w="1582" w:type="dxa"/>
            <w:tcBorders>
              <w:tl2br w:val="nil"/>
              <w:tr2bl w:val="nil"/>
            </w:tcBorders>
            <w:noWrap w:val="0"/>
            <w:vAlign w:val="center"/>
          </w:tcPr>
          <w:p w14:paraId="1BDF6E5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273B296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00AEC74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钢筋场</w:t>
            </w:r>
          </w:p>
        </w:tc>
      </w:tr>
      <w:tr w14:paraId="1AE8720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4628F33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7</w:t>
            </w:r>
          </w:p>
        </w:tc>
        <w:tc>
          <w:tcPr>
            <w:tcW w:w="1766" w:type="dxa"/>
            <w:tcBorders>
              <w:tl2br w:val="nil"/>
              <w:tr2bl w:val="nil"/>
            </w:tcBorders>
            <w:noWrap w:val="0"/>
            <w:vAlign w:val="center"/>
          </w:tcPr>
          <w:p w14:paraId="45C7EB0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钢筋调直机</w:t>
            </w:r>
          </w:p>
        </w:tc>
        <w:tc>
          <w:tcPr>
            <w:tcW w:w="1582" w:type="dxa"/>
            <w:tcBorders>
              <w:tl2br w:val="nil"/>
              <w:tr2bl w:val="nil"/>
            </w:tcBorders>
            <w:noWrap w:val="0"/>
            <w:vAlign w:val="center"/>
          </w:tcPr>
          <w:p w14:paraId="6025CC1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3D106FF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4558105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钢筋场</w:t>
            </w:r>
          </w:p>
        </w:tc>
      </w:tr>
      <w:tr w14:paraId="2A8839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648FBEC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c>
          <w:tcPr>
            <w:tcW w:w="1766" w:type="dxa"/>
            <w:tcBorders>
              <w:tl2br w:val="nil"/>
              <w:tr2bl w:val="nil"/>
            </w:tcBorders>
            <w:noWrap w:val="0"/>
            <w:vAlign w:val="center"/>
          </w:tcPr>
          <w:p w14:paraId="6091D6D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电焊机</w:t>
            </w:r>
          </w:p>
        </w:tc>
        <w:tc>
          <w:tcPr>
            <w:tcW w:w="1582" w:type="dxa"/>
            <w:tcBorders>
              <w:tl2br w:val="nil"/>
              <w:tr2bl w:val="nil"/>
            </w:tcBorders>
            <w:noWrap w:val="0"/>
            <w:vAlign w:val="center"/>
          </w:tcPr>
          <w:p w14:paraId="02A2E43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1E92B2D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900" w:type="dxa"/>
            <w:tcBorders>
              <w:tl2br w:val="nil"/>
              <w:tr2bl w:val="nil"/>
            </w:tcBorders>
            <w:noWrap w:val="0"/>
            <w:vAlign w:val="center"/>
          </w:tcPr>
          <w:p w14:paraId="3C2E364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eastAsia="zh-CN"/>
              </w:rPr>
              <w:t>钢筋场</w:t>
            </w:r>
            <w:r>
              <w:rPr>
                <w:rFonts w:hint="eastAsia" w:ascii="仿宋" w:hAnsi="仿宋" w:eastAsia="仿宋" w:cs="仿宋"/>
                <w:b w:val="0"/>
                <w:bCs/>
                <w:sz w:val="21"/>
                <w:szCs w:val="21"/>
                <w:highlight w:val="none"/>
                <w:vertAlign w:val="baseline"/>
                <w:lang w:val="en-US" w:eastAsia="zh-CN"/>
              </w:rPr>
              <w:t>1台，现场1台</w:t>
            </w:r>
          </w:p>
        </w:tc>
      </w:tr>
      <w:tr w14:paraId="11F277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2350CC7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9</w:t>
            </w:r>
          </w:p>
        </w:tc>
        <w:tc>
          <w:tcPr>
            <w:tcW w:w="1766" w:type="dxa"/>
            <w:tcBorders>
              <w:tl2br w:val="nil"/>
              <w:tr2bl w:val="nil"/>
            </w:tcBorders>
            <w:noWrap w:val="0"/>
            <w:vAlign w:val="center"/>
          </w:tcPr>
          <w:p w14:paraId="7623F55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振捣棒</w:t>
            </w:r>
          </w:p>
        </w:tc>
        <w:tc>
          <w:tcPr>
            <w:tcW w:w="1582" w:type="dxa"/>
            <w:tcBorders>
              <w:tl2br w:val="nil"/>
              <w:tr2bl w:val="nil"/>
            </w:tcBorders>
            <w:noWrap w:val="0"/>
            <w:vAlign w:val="center"/>
          </w:tcPr>
          <w:p w14:paraId="39DED64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75CA1C9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900" w:type="dxa"/>
            <w:tcBorders>
              <w:tl2br w:val="nil"/>
              <w:tr2bl w:val="nil"/>
            </w:tcBorders>
            <w:noWrap w:val="0"/>
            <w:vAlign w:val="center"/>
          </w:tcPr>
          <w:p w14:paraId="7832370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振捣</w:t>
            </w:r>
          </w:p>
        </w:tc>
      </w:tr>
      <w:tr w14:paraId="3540BC4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2627984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10</w:t>
            </w:r>
          </w:p>
        </w:tc>
        <w:tc>
          <w:tcPr>
            <w:tcW w:w="1766" w:type="dxa"/>
            <w:tcBorders>
              <w:tl2br w:val="nil"/>
              <w:tr2bl w:val="nil"/>
            </w:tcBorders>
            <w:noWrap w:val="0"/>
            <w:vAlign w:val="center"/>
          </w:tcPr>
          <w:p w14:paraId="4DD3AF9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拌和站</w:t>
            </w:r>
          </w:p>
        </w:tc>
        <w:tc>
          <w:tcPr>
            <w:tcW w:w="1582" w:type="dxa"/>
            <w:tcBorders>
              <w:tl2br w:val="nil"/>
              <w:tr2bl w:val="nil"/>
            </w:tcBorders>
            <w:noWrap w:val="0"/>
            <w:vAlign w:val="center"/>
          </w:tcPr>
          <w:p w14:paraId="6621A61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0890EA3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042816E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673755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7025C48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11</w:t>
            </w:r>
          </w:p>
        </w:tc>
        <w:tc>
          <w:tcPr>
            <w:tcW w:w="1766" w:type="dxa"/>
            <w:tcBorders>
              <w:tl2br w:val="nil"/>
              <w:tr2bl w:val="nil"/>
            </w:tcBorders>
            <w:noWrap w:val="0"/>
            <w:vAlign w:val="center"/>
          </w:tcPr>
          <w:p w14:paraId="6205BC7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混凝土罐车</w:t>
            </w:r>
          </w:p>
        </w:tc>
        <w:tc>
          <w:tcPr>
            <w:tcW w:w="1582" w:type="dxa"/>
            <w:tcBorders>
              <w:tl2br w:val="nil"/>
              <w:tr2bl w:val="nil"/>
            </w:tcBorders>
            <w:noWrap w:val="0"/>
            <w:vAlign w:val="center"/>
          </w:tcPr>
          <w:p w14:paraId="764A366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辆</w:t>
            </w:r>
          </w:p>
        </w:tc>
        <w:tc>
          <w:tcPr>
            <w:tcW w:w="1404" w:type="dxa"/>
            <w:tcBorders>
              <w:tl2br w:val="nil"/>
              <w:tr2bl w:val="nil"/>
            </w:tcBorders>
            <w:noWrap w:val="0"/>
            <w:vAlign w:val="center"/>
          </w:tcPr>
          <w:p w14:paraId="4919330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2900" w:type="dxa"/>
            <w:tcBorders>
              <w:tl2br w:val="nil"/>
              <w:tr2bl w:val="nil"/>
            </w:tcBorders>
            <w:noWrap w:val="0"/>
            <w:vAlign w:val="center"/>
          </w:tcPr>
          <w:p w14:paraId="62B7A9F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4FC629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2EC5702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12</w:t>
            </w:r>
          </w:p>
        </w:tc>
        <w:tc>
          <w:tcPr>
            <w:tcW w:w="1766" w:type="dxa"/>
            <w:tcBorders>
              <w:tl2br w:val="nil"/>
              <w:tr2bl w:val="nil"/>
            </w:tcBorders>
            <w:noWrap w:val="0"/>
            <w:vAlign w:val="center"/>
          </w:tcPr>
          <w:p w14:paraId="3B39343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吊车</w:t>
            </w:r>
          </w:p>
        </w:tc>
        <w:tc>
          <w:tcPr>
            <w:tcW w:w="1582" w:type="dxa"/>
            <w:tcBorders>
              <w:tl2br w:val="nil"/>
              <w:tr2bl w:val="nil"/>
            </w:tcBorders>
            <w:noWrap w:val="0"/>
            <w:vAlign w:val="center"/>
          </w:tcPr>
          <w:p w14:paraId="06A3125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辆</w:t>
            </w:r>
          </w:p>
        </w:tc>
        <w:tc>
          <w:tcPr>
            <w:tcW w:w="1404" w:type="dxa"/>
            <w:tcBorders>
              <w:tl2br w:val="nil"/>
              <w:tr2bl w:val="nil"/>
            </w:tcBorders>
            <w:noWrap w:val="0"/>
            <w:vAlign w:val="center"/>
          </w:tcPr>
          <w:p w14:paraId="30B0B10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371562A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安装模板</w:t>
            </w:r>
          </w:p>
        </w:tc>
      </w:tr>
      <w:tr w14:paraId="124FCE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10FEECF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13</w:t>
            </w:r>
          </w:p>
        </w:tc>
        <w:tc>
          <w:tcPr>
            <w:tcW w:w="1766" w:type="dxa"/>
            <w:tcBorders>
              <w:tl2br w:val="nil"/>
              <w:tr2bl w:val="nil"/>
            </w:tcBorders>
            <w:noWrap w:val="0"/>
            <w:vAlign w:val="center"/>
          </w:tcPr>
          <w:p w14:paraId="0E67043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测量仪器</w:t>
            </w:r>
          </w:p>
        </w:tc>
        <w:tc>
          <w:tcPr>
            <w:tcW w:w="1582" w:type="dxa"/>
            <w:tcBorders>
              <w:tl2br w:val="nil"/>
              <w:tr2bl w:val="nil"/>
            </w:tcBorders>
            <w:noWrap w:val="0"/>
            <w:vAlign w:val="center"/>
          </w:tcPr>
          <w:p w14:paraId="5D0E3F2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2BBD7E3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0F35FF9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214D00E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1D03F30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14</w:t>
            </w:r>
          </w:p>
        </w:tc>
        <w:tc>
          <w:tcPr>
            <w:tcW w:w="1766" w:type="dxa"/>
            <w:tcBorders>
              <w:tl2br w:val="nil"/>
              <w:tr2bl w:val="nil"/>
            </w:tcBorders>
            <w:noWrap w:val="0"/>
            <w:vAlign w:val="center"/>
          </w:tcPr>
          <w:p w14:paraId="0AB38CB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试验仪器</w:t>
            </w:r>
          </w:p>
        </w:tc>
        <w:tc>
          <w:tcPr>
            <w:tcW w:w="1582" w:type="dxa"/>
            <w:tcBorders>
              <w:tl2br w:val="nil"/>
              <w:tr2bl w:val="nil"/>
            </w:tcBorders>
            <w:noWrap w:val="0"/>
            <w:vAlign w:val="center"/>
          </w:tcPr>
          <w:p w14:paraId="3D5FE90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77F008B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1ADF89C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3EF439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0F7205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15</w:t>
            </w:r>
          </w:p>
        </w:tc>
        <w:tc>
          <w:tcPr>
            <w:tcW w:w="1766" w:type="dxa"/>
            <w:tcBorders>
              <w:tl2br w:val="nil"/>
              <w:tr2bl w:val="nil"/>
            </w:tcBorders>
            <w:noWrap w:val="0"/>
            <w:vAlign w:val="center"/>
          </w:tcPr>
          <w:p w14:paraId="27771A5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板车</w:t>
            </w:r>
          </w:p>
        </w:tc>
        <w:tc>
          <w:tcPr>
            <w:tcW w:w="1582" w:type="dxa"/>
            <w:tcBorders>
              <w:tl2br w:val="nil"/>
              <w:tr2bl w:val="nil"/>
            </w:tcBorders>
            <w:noWrap w:val="0"/>
            <w:vAlign w:val="center"/>
          </w:tcPr>
          <w:p w14:paraId="13DE7D2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辆</w:t>
            </w:r>
          </w:p>
        </w:tc>
        <w:tc>
          <w:tcPr>
            <w:tcW w:w="1404" w:type="dxa"/>
            <w:tcBorders>
              <w:tl2br w:val="nil"/>
              <w:tr2bl w:val="nil"/>
            </w:tcBorders>
            <w:noWrap w:val="0"/>
            <w:vAlign w:val="center"/>
          </w:tcPr>
          <w:p w14:paraId="18BDED7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46A17F9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运送材料</w:t>
            </w:r>
          </w:p>
        </w:tc>
      </w:tr>
      <w:tr w14:paraId="5FC421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7893633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w:t>
            </w:r>
          </w:p>
        </w:tc>
        <w:tc>
          <w:tcPr>
            <w:tcW w:w="1766" w:type="dxa"/>
            <w:tcBorders>
              <w:tl2br w:val="nil"/>
              <w:tr2bl w:val="nil"/>
            </w:tcBorders>
            <w:noWrap w:val="0"/>
            <w:vAlign w:val="center"/>
          </w:tcPr>
          <w:p w14:paraId="46D66F9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小型夯实机</w:t>
            </w:r>
          </w:p>
        </w:tc>
        <w:tc>
          <w:tcPr>
            <w:tcW w:w="1582" w:type="dxa"/>
            <w:tcBorders>
              <w:tl2br w:val="nil"/>
              <w:tr2bl w:val="nil"/>
            </w:tcBorders>
            <w:noWrap w:val="0"/>
            <w:vAlign w:val="center"/>
          </w:tcPr>
          <w:p w14:paraId="09F1A09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台</w:t>
            </w:r>
          </w:p>
        </w:tc>
        <w:tc>
          <w:tcPr>
            <w:tcW w:w="1404" w:type="dxa"/>
            <w:tcBorders>
              <w:tl2br w:val="nil"/>
              <w:tr2bl w:val="nil"/>
            </w:tcBorders>
            <w:noWrap w:val="0"/>
            <w:vAlign w:val="center"/>
          </w:tcPr>
          <w:p w14:paraId="71D78B2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900" w:type="dxa"/>
            <w:tcBorders>
              <w:tl2br w:val="nil"/>
              <w:tr2bl w:val="nil"/>
            </w:tcBorders>
            <w:noWrap w:val="0"/>
            <w:vAlign w:val="center"/>
          </w:tcPr>
          <w:p w14:paraId="65F37B0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夯实基础</w:t>
            </w:r>
          </w:p>
        </w:tc>
      </w:tr>
    </w:tbl>
    <w:p w14:paraId="03C3482E">
      <w:pPr>
        <w:pStyle w:val="15"/>
      </w:pPr>
      <w:r>
        <w:t xml:space="preserve">表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w:t>
      </w:r>
      <w:r>
        <w:rPr>
          <w:rFonts w:hint="eastAsia" w:ascii="黑体" w:hAnsi="宋体" w:cs="黑体"/>
          <w:kern w:val="2"/>
          <w:sz w:val="21"/>
          <w:szCs w:val="21"/>
          <w:highlight w:val="none"/>
          <w:lang w:val="en-US" w:eastAsia="zh-CN" w:bidi="ar"/>
        </w:rPr>
        <w:t>塔机</w:t>
      </w:r>
      <w:r>
        <w:rPr>
          <w:rFonts w:hint="eastAsia" w:ascii="黑体" w:hAnsi="宋体" w:eastAsia="黑体" w:cs="黑体"/>
          <w:kern w:val="2"/>
          <w:sz w:val="21"/>
          <w:szCs w:val="21"/>
          <w:highlight w:val="none"/>
          <w:lang w:val="en-US" w:eastAsia="zh-CN" w:bidi="ar"/>
        </w:rPr>
        <w:t>安装吊索具和专用工具的配备统计表</w:t>
      </w:r>
    </w:p>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756"/>
        <w:gridCol w:w="1521"/>
        <w:gridCol w:w="2550"/>
        <w:gridCol w:w="786"/>
        <w:gridCol w:w="1561"/>
        <w:gridCol w:w="1301"/>
      </w:tblGrid>
      <w:tr w14:paraId="3E3CEE1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39" w:hRule="exact"/>
          <w:jc w:val="center"/>
        </w:trPr>
        <w:tc>
          <w:tcPr>
            <w:tcW w:w="756" w:type="dxa"/>
            <w:tcBorders>
              <w:tl2br w:val="nil"/>
              <w:tr2bl w:val="nil"/>
            </w:tcBorders>
            <w:shd w:val="clear" w:color="auto" w:fill="DAE3F3" w:themeFill="accent5" w:themeFillTint="32"/>
            <w:noWrap w:val="0"/>
            <w:vAlign w:val="center"/>
          </w:tcPr>
          <w:p w14:paraId="20A9F4B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序号</w:t>
            </w:r>
          </w:p>
        </w:tc>
        <w:tc>
          <w:tcPr>
            <w:tcW w:w="1521" w:type="dxa"/>
            <w:tcBorders>
              <w:tl2br w:val="nil"/>
              <w:tr2bl w:val="nil"/>
            </w:tcBorders>
            <w:shd w:val="clear" w:color="auto" w:fill="DAE3F3" w:themeFill="accent5" w:themeFillTint="32"/>
            <w:noWrap w:val="0"/>
            <w:vAlign w:val="center"/>
          </w:tcPr>
          <w:p w14:paraId="04D623C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名称</w:t>
            </w:r>
          </w:p>
        </w:tc>
        <w:tc>
          <w:tcPr>
            <w:tcW w:w="2550" w:type="dxa"/>
            <w:tcBorders>
              <w:tl2br w:val="nil"/>
              <w:tr2bl w:val="nil"/>
            </w:tcBorders>
            <w:shd w:val="clear" w:color="auto" w:fill="DAE3F3" w:themeFill="accent5" w:themeFillTint="32"/>
            <w:noWrap w:val="0"/>
            <w:vAlign w:val="center"/>
          </w:tcPr>
          <w:p w14:paraId="3132BAC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规格</w:t>
            </w:r>
          </w:p>
        </w:tc>
        <w:tc>
          <w:tcPr>
            <w:tcW w:w="786" w:type="dxa"/>
            <w:tcBorders>
              <w:tl2br w:val="nil"/>
              <w:tr2bl w:val="nil"/>
            </w:tcBorders>
            <w:shd w:val="clear" w:color="auto" w:fill="DAE3F3" w:themeFill="accent5" w:themeFillTint="32"/>
            <w:noWrap w:val="0"/>
            <w:vAlign w:val="center"/>
          </w:tcPr>
          <w:p w14:paraId="3DB75DB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精度等级</w:t>
            </w:r>
          </w:p>
        </w:tc>
        <w:tc>
          <w:tcPr>
            <w:tcW w:w="1561" w:type="dxa"/>
            <w:tcBorders>
              <w:tl2br w:val="nil"/>
              <w:tr2bl w:val="nil"/>
            </w:tcBorders>
            <w:shd w:val="clear" w:color="auto" w:fill="DAE3F3" w:themeFill="accent5" w:themeFillTint="32"/>
            <w:noWrap w:val="0"/>
            <w:vAlign w:val="center"/>
          </w:tcPr>
          <w:p w14:paraId="73BECF5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单位</w:t>
            </w:r>
          </w:p>
        </w:tc>
        <w:tc>
          <w:tcPr>
            <w:tcW w:w="1301" w:type="dxa"/>
            <w:tcBorders>
              <w:tl2br w:val="nil"/>
              <w:tr2bl w:val="nil"/>
            </w:tcBorders>
            <w:shd w:val="clear" w:color="auto" w:fill="DAE3F3" w:themeFill="accent5" w:themeFillTint="32"/>
            <w:noWrap w:val="0"/>
            <w:vAlign w:val="center"/>
          </w:tcPr>
          <w:p w14:paraId="3E996A3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备注</w:t>
            </w:r>
          </w:p>
        </w:tc>
      </w:tr>
      <w:tr w14:paraId="4BCC367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349C6ECE">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1521" w:type="dxa"/>
            <w:tcBorders>
              <w:tl2br w:val="nil"/>
              <w:tr2bl w:val="nil"/>
            </w:tcBorders>
            <w:noWrap w:val="0"/>
            <w:vAlign w:val="center"/>
          </w:tcPr>
          <w:p w14:paraId="70612D9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汽车吊车</w:t>
            </w:r>
          </w:p>
        </w:tc>
        <w:tc>
          <w:tcPr>
            <w:tcW w:w="2550" w:type="dxa"/>
            <w:tcBorders>
              <w:tl2br w:val="nil"/>
              <w:tr2bl w:val="nil"/>
            </w:tcBorders>
            <w:noWrap w:val="0"/>
            <w:vAlign w:val="center"/>
          </w:tcPr>
          <w:p w14:paraId="01C4A22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25t</w:t>
            </w:r>
          </w:p>
        </w:tc>
        <w:tc>
          <w:tcPr>
            <w:tcW w:w="786" w:type="dxa"/>
            <w:tcBorders>
              <w:tl2br w:val="nil"/>
              <w:tr2bl w:val="nil"/>
            </w:tcBorders>
            <w:noWrap w:val="0"/>
            <w:vAlign w:val="center"/>
          </w:tcPr>
          <w:p w14:paraId="601060B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4A5920C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1辆</w:t>
            </w:r>
          </w:p>
          <w:p w14:paraId="70F416A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301" w:type="dxa"/>
            <w:tcBorders>
              <w:tl2br w:val="nil"/>
              <w:tr2bl w:val="nil"/>
            </w:tcBorders>
            <w:noWrap w:val="0"/>
            <w:vAlign w:val="center"/>
          </w:tcPr>
          <w:p w14:paraId="7D21219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67DF0E9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3" w:hRule="exact"/>
          <w:jc w:val="center"/>
        </w:trPr>
        <w:tc>
          <w:tcPr>
            <w:tcW w:w="756" w:type="dxa"/>
            <w:tcBorders>
              <w:tl2br w:val="nil"/>
              <w:tr2bl w:val="nil"/>
            </w:tcBorders>
            <w:noWrap w:val="0"/>
            <w:vAlign w:val="center"/>
          </w:tcPr>
          <w:p w14:paraId="70749393">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1521" w:type="dxa"/>
            <w:tcBorders>
              <w:tl2br w:val="nil"/>
              <w:tr2bl w:val="nil"/>
            </w:tcBorders>
            <w:noWrap w:val="0"/>
            <w:vAlign w:val="center"/>
          </w:tcPr>
          <w:p w14:paraId="7F98DE5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w:t>
            </w:r>
          </w:p>
        </w:tc>
        <w:tc>
          <w:tcPr>
            <w:tcW w:w="2550" w:type="dxa"/>
            <w:tcBorders>
              <w:tl2br w:val="nil"/>
              <w:tr2bl w:val="nil"/>
            </w:tcBorders>
            <w:noWrap w:val="0"/>
            <w:vAlign w:val="center"/>
          </w:tcPr>
          <w:p w14:paraId="18AF729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18mm6×19W+IWR1870Mpa</w:t>
            </w:r>
          </w:p>
        </w:tc>
        <w:tc>
          <w:tcPr>
            <w:tcW w:w="786" w:type="dxa"/>
            <w:tcBorders>
              <w:tl2br w:val="nil"/>
              <w:tr2bl w:val="nil"/>
            </w:tcBorders>
            <w:noWrap w:val="0"/>
            <w:vAlign w:val="center"/>
          </w:tcPr>
          <w:p w14:paraId="4BAD46E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56061BE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4根</w:t>
            </w:r>
          </w:p>
        </w:tc>
        <w:tc>
          <w:tcPr>
            <w:tcW w:w="1301" w:type="dxa"/>
            <w:tcBorders>
              <w:tl2br w:val="nil"/>
              <w:tr2bl w:val="nil"/>
            </w:tcBorders>
            <w:noWrap w:val="0"/>
            <w:vAlign w:val="center"/>
          </w:tcPr>
          <w:p w14:paraId="1058897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777E421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3" w:hRule="exact"/>
          <w:jc w:val="center"/>
        </w:trPr>
        <w:tc>
          <w:tcPr>
            <w:tcW w:w="756" w:type="dxa"/>
            <w:tcBorders>
              <w:tl2br w:val="nil"/>
              <w:tr2bl w:val="nil"/>
            </w:tcBorders>
            <w:shd w:val="clear" w:color="auto" w:fill="auto"/>
            <w:noWrap w:val="0"/>
            <w:vAlign w:val="center"/>
          </w:tcPr>
          <w:p w14:paraId="6CC755C3">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3</w:t>
            </w:r>
          </w:p>
        </w:tc>
        <w:tc>
          <w:tcPr>
            <w:tcW w:w="1521" w:type="dxa"/>
            <w:tcBorders>
              <w:tl2br w:val="nil"/>
              <w:tr2bl w:val="nil"/>
            </w:tcBorders>
            <w:noWrap w:val="0"/>
            <w:vAlign w:val="center"/>
          </w:tcPr>
          <w:p w14:paraId="33A4187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w:t>
            </w:r>
          </w:p>
        </w:tc>
        <w:tc>
          <w:tcPr>
            <w:tcW w:w="2550" w:type="dxa"/>
            <w:tcBorders>
              <w:tl2br w:val="nil"/>
              <w:tr2bl w:val="nil"/>
            </w:tcBorders>
            <w:noWrap w:val="0"/>
            <w:vAlign w:val="center"/>
          </w:tcPr>
          <w:p w14:paraId="2327315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16mm6×19W+IWR1870Mpa</w:t>
            </w:r>
          </w:p>
        </w:tc>
        <w:tc>
          <w:tcPr>
            <w:tcW w:w="786" w:type="dxa"/>
            <w:tcBorders>
              <w:tl2br w:val="nil"/>
              <w:tr2bl w:val="nil"/>
            </w:tcBorders>
            <w:noWrap w:val="0"/>
            <w:vAlign w:val="center"/>
          </w:tcPr>
          <w:p w14:paraId="65A593D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59F5761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2根</w:t>
            </w:r>
          </w:p>
        </w:tc>
        <w:tc>
          <w:tcPr>
            <w:tcW w:w="1301" w:type="dxa"/>
            <w:tcBorders>
              <w:tl2br w:val="nil"/>
              <w:tr2bl w:val="nil"/>
            </w:tcBorders>
            <w:noWrap w:val="0"/>
            <w:vAlign w:val="center"/>
          </w:tcPr>
          <w:p w14:paraId="4B6204E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42BE89B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5018BEDC">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4</w:t>
            </w:r>
          </w:p>
        </w:tc>
        <w:tc>
          <w:tcPr>
            <w:tcW w:w="1521" w:type="dxa"/>
            <w:tcBorders>
              <w:tl2br w:val="nil"/>
              <w:tr2bl w:val="nil"/>
            </w:tcBorders>
            <w:noWrap w:val="0"/>
            <w:vAlign w:val="center"/>
          </w:tcPr>
          <w:p w14:paraId="6032965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钢丝绳卸扣</w:t>
            </w:r>
          </w:p>
        </w:tc>
        <w:tc>
          <w:tcPr>
            <w:tcW w:w="2550" w:type="dxa"/>
            <w:tcBorders>
              <w:tl2br w:val="nil"/>
              <w:tr2bl w:val="nil"/>
            </w:tcBorders>
            <w:noWrap w:val="0"/>
            <w:vAlign w:val="center"/>
          </w:tcPr>
          <w:p w14:paraId="5B0E3000">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GB/T 25854-6-DW5</w:t>
            </w:r>
          </w:p>
        </w:tc>
        <w:tc>
          <w:tcPr>
            <w:tcW w:w="786" w:type="dxa"/>
            <w:tcBorders>
              <w:tl2br w:val="nil"/>
              <w:tr2bl w:val="nil"/>
            </w:tcBorders>
            <w:noWrap w:val="0"/>
            <w:vAlign w:val="center"/>
          </w:tcPr>
          <w:p w14:paraId="1E6B7FF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02DD6B1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1对</w:t>
            </w:r>
          </w:p>
        </w:tc>
        <w:tc>
          <w:tcPr>
            <w:tcW w:w="1301" w:type="dxa"/>
            <w:tcBorders>
              <w:tl2br w:val="nil"/>
              <w:tr2bl w:val="nil"/>
            </w:tcBorders>
            <w:noWrap w:val="0"/>
            <w:vAlign w:val="center"/>
          </w:tcPr>
          <w:p w14:paraId="19D7186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5F4A510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74CB49D7">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5</w:t>
            </w:r>
          </w:p>
        </w:tc>
        <w:tc>
          <w:tcPr>
            <w:tcW w:w="1521" w:type="dxa"/>
            <w:tcBorders>
              <w:tl2br w:val="nil"/>
              <w:tr2bl w:val="nil"/>
            </w:tcBorders>
            <w:noWrap w:val="0"/>
            <w:vAlign w:val="center"/>
          </w:tcPr>
          <w:p w14:paraId="46506E7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倒链</w:t>
            </w:r>
          </w:p>
        </w:tc>
        <w:tc>
          <w:tcPr>
            <w:tcW w:w="2550" w:type="dxa"/>
            <w:tcBorders>
              <w:tl2br w:val="nil"/>
              <w:tr2bl w:val="nil"/>
            </w:tcBorders>
            <w:noWrap w:val="0"/>
            <w:vAlign w:val="center"/>
          </w:tcPr>
          <w:p w14:paraId="711BC61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2t、3t</w:t>
            </w:r>
          </w:p>
        </w:tc>
        <w:tc>
          <w:tcPr>
            <w:tcW w:w="786" w:type="dxa"/>
            <w:tcBorders>
              <w:tl2br w:val="nil"/>
              <w:tr2bl w:val="nil"/>
            </w:tcBorders>
            <w:noWrap w:val="0"/>
            <w:vAlign w:val="center"/>
          </w:tcPr>
          <w:p w14:paraId="699019E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77770F4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各2个</w:t>
            </w:r>
          </w:p>
        </w:tc>
        <w:tc>
          <w:tcPr>
            <w:tcW w:w="1301" w:type="dxa"/>
            <w:tcBorders>
              <w:tl2br w:val="nil"/>
              <w:tr2bl w:val="nil"/>
            </w:tcBorders>
            <w:noWrap w:val="0"/>
            <w:vAlign w:val="center"/>
          </w:tcPr>
          <w:p w14:paraId="57634E9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31B4B52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5A50F000">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6</w:t>
            </w:r>
          </w:p>
        </w:tc>
        <w:tc>
          <w:tcPr>
            <w:tcW w:w="1521" w:type="dxa"/>
            <w:tcBorders>
              <w:tl2br w:val="nil"/>
              <w:tr2bl w:val="nil"/>
            </w:tcBorders>
            <w:noWrap w:val="0"/>
            <w:vAlign w:val="center"/>
          </w:tcPr>
          <w:p w14:paraId="5ACB993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卡环</w:t>
            </w:r>
          </w:p>
        </w:tc>
        <w:tc>
          <w:tcPr>
            <w:tcW w:w="2550" w:type="dxa"/>
            <w:tcBorders>
              <w:tl2br w:val="nil"/>
              <w:tr2bl w:val="nil"/>
            </w:tcBorders>
            <w:noWrap w:val="0"/>
            <w:vAlign w:val="center"/>
          </w:tcPr>
          <w:p w14:paraId="6A2A641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10t</w:t>
            </w:r>
          </w:p>
        </w:tc>
        <w:tc>
          <w:tcPr>
            <w:tcW w:w="786" w:type="dxa"/>
            <w:tcBorders>
              <w:tl2br w:val="nil"/>
              <w:tr2bl w:val="nil"/>
            </w:tcBorders>
            <w:noWrap w:val="0"/>
            <w:vAlign w:val="center"/>
          </w:tcPr>
          <w:p w14:paraId="650861B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44437FD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2个</w:t>
            </w:r>
          </w:p>
        </w:tc>
        <w:tc>
          <w:tcPr>
            <w:tcW w:w="1301" w:type="dxa"/>
            <w:tcBorders>
              <w:tl2br w:val="nil"/>
              <w:tr2bl w:val="nil"/>
            </w:tcBorders>
            <w:noWrap w:val="0"/>
            <w:vAlign w:val="center"/>
          </w:tcPr>
          <w:p w14:paraId="0F69D21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6B587F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1E4F75C2">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7</w:t>
            </w:r>
          </w:p>
        </w:tc>
        <w:tc>
          <w:tcPr>
            <w:tcW w:w="1521" w:type="dxa"/>
            <w:tcBorders>
              <w:tl2br w:val="nil"/>
              <w:tr2bl w:val="nil"/>
            </w:tcBorders>
            <w:noWrap w:val="0"/>
            <w:vAlign w:val="center"/>
          </w:tcPr>
          <w:p w14:paraId="6B6B4B2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卡环</w:t>
            </w:r>
          </w:p>
        </w:tc>
        <w:tc>
          <w:tcPr>
            <w:tcW w:w="2550" w:type="dxa"/>
            <w:tcBorders>
              <w:tl2br w:val="nil"/>
              <w:tr2bl w:val="nil"/>
            </w:tcBorders>
            <w:noWrap w:val="0"/>
            <w:vAlign w:val="center"/>
          </w:tcPr>
          <w:p w14:paraId="43A48C2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5t</w:t>
            </w:r>
          </w:p>
        </w:tc>
        <w:tc>
          <w:tcPr>
            <w:tcW w:w="786" w:type="dxa"/>
            <w:tcBorders>
              <w:tl2br w:val="nil"/>
              <w:tr2bl w:val="nil"/>
            </w:tcBorders>
            <w:noWrap w:val="0"/>
            <w:vAlign w:val="center"/>
          </w:tcPr>
          <w:p w14:paraId="640C93A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30C3B33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 xml:space="preserve"> 4个</w:t>
            </w:r>
          </w:p>
        </w:tc>
        <w:tc>
          <w:tcPr>
            <w:tcW w:w="1301" w:type="dxa"/>
            <w:tcBorders>
              <w:tl2br w:val="nil"/>
              <w:tr2bl w:val="nil"/>
            </w:tcBorders>
            <w:noWrap w:val="0"/>
            <w:vAlign w:val="center"/>
          </w:tcPr>
          <w:p w14:paraId="06F5DB5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08401D7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119F3526">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8</w:t>
            </w:r>
          </w:p>
        </w:tc>
        <w:tc>
          <w:tcPr>
            <w:tcW w:w="1521" w:type="dxa"/>
            <w:tcBorders>
              <w:tl2br w:val="nil"/>
              <w:tr2bl w:val="nil"/>
            </w:tcBorders>
            <w:noWrap w:val="0"/>
            <w:vAlign w:val="center"/>
          </w:tcPr>
          <w:p w14:paraId="286FE3E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大锤</w:t>
            </w:r>
          </w:p>
        </w:tc>
        <w:tc>
          <w:tcPr>
            <w:tcW w:w="2550" w:type="dxa"/>
            <w:tcBorders>
              <w:tl2br w:val="nil"/>
              <w:tr2bl w:val="nil"/>
            </w:tcBorders>
            <w:noWrap w:val="0"/>
            <w:vAlign w:val="center"/>
          </w:tcPr>
          <w:p w14:paraId="254A858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20磅</w:t>
            </w:r>
          </w:p>
        </w:tc>
        <w:tc>
          <w:tcPr>
            <w:tcW w:w="786" w:type="dxa"/>
            <w:tcBorders>
              <w:tl2br w:val="nil"/>
              <w:tr2bl w:val="nil"/>
            </w:tcBorders>
            <w:noWrap w:val="0"/>
            <w:vAlign w:val="center"/>
          </w:tcPr>
          <w:p w14:paraId="6955310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75987A9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4把</w:t>
            </w:r>
          </w:p>
        </w:tc>
        <w:tc>
          <w:tcPr>
            <w:tcW w:w="1301" w:type="dxa"/>
            <w:tcBorders>
              <w:tl2br w:val="nil"/>
              <w:tr2bl w:val="nil"/>
            </w:tcBorders>
            <w:noWrap w:val="0"/>
            <w:vAlign w:val="center"/>
          </w:tcPr>
          <w:p w14:paraId="6BCE79A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2E09A7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12BBE824">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9</w:t>
            </w:r>
          </w:p>
        </w:tc>
        <w:tc>
          <w:tcPr>
            <w:tcW w:w="1521" w:type="dxa"/>
            <w:tcBorders>
              <w:tl2br w:val="nil"/>
              <w:tr2bl w:val="nil"/>
            </w:tcBorders>
            <w:noWrap w:val="0"/>
            <w:vAlign w:val="center"/>
          </w:tcPr>
          <w:p w14:paraId="10C1A7B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手锤</w:t>
            </w:r>
          </w:p>
        </w:tc>
        <w:tc>
          <w:tcPr>
            <w:tcW w:w="2550" w:type="dxa"/>
            <w:tcBorders>
              <w:tl2br w:val="nil"/>
              <w:tr2bl w:val="nil"/>
            </w:tcBorders>
            <w:noWrap w:val="0"/>
            <w:vAlign w:val="center"/>
          </w:tcPr>
          <w:p w14:paraId="1752BA4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8磅</w:t>
            </w:r>
          </w:p>
        </w:tc>
        <w:tc>
          <w:tcPr>
            <w:tcW w:w="786" w:type="dxa"/>
            <w:tcBorders>
              <w:tl2br w:val="nil"/>
              <w:tr2bl w:val="nil"/>
            </w:tcBorders>
            <w:noWrap w:val="0"/>
            <w:vAlign w:val="center"/>
          </w:tcPr>
          <w:p w14:paraId="3AE64CC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01C5714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2把</w:t>
            </w:r>
          </w:p>
        </w:tc>
        <w:tc>
          <w:tcPr>
            <w:tcW w:w="1301" w:type="dxa"/>
            <w:tcBorders>
              <w:tl2br w:val="nil"/>
              <w:tr2bl w:val="nil"/>
            </w:tcBorders>
            <w:noWrap w:val="0"/>
            <w:vAlign w:val="center"/>
          </w:tcPr>
          <w:p w14:paraId="3BA8B94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20C63B9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auto"/>
            <w:noWrap w:val="0"/>
            <w:vAlign w:val="center"/>
          </w:tcPr>
          <w:p w14:paraId="7E0677D5">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kern w:val="2"/>
                <w:sz w:val="21"/>
                <w:szCs w:val="21"/>
                <w:highlight w:val="none"/>
                <w:vertAlign w:val="baseline"/>
                <w:lang w:val="en-US" w:eastAsia="zh-CN" w:bidi="ar-SA"/>
              </w:rPr>
            </w:pPr>
            <w:r>
              <w:rPr>
                <w:rFonts w:hint="eastAsia" w:ascii="仿宋" w:hAnsi="仿宋" w:eastAsia="仿宋" w:cs="仿宋"/>
                <w:b w:val="0"/>
                <w:bCs/>
                <w:sz w:val="21"/>
                <w:szCs w:val="21"/>
                <w:highlight w:val="none"/>
                <w:vertAlign w:val="baseline"/>
                <w:lang w:val="en-US" w:eastAsia="zh-CN"/>
              </w:rPr>
              <w:t>10</w:t>
            </w:r>
          </w:p>
        </w:tc>
        <w:tc>
          <w:tcPr>
            <w:tcW w:w="1521" w:type="dxa"/>
            <w:tcBorders>
              <w:tl2br w:val="nil"/>
              <w:tr2bl w:val="nil"/>
            </w:tcBorders>
            <w:noWrap w:val="0"/>
            <w:vAlign w:val="center"/>
          </w:tcPr>
          <w:p w14:paraId="70E5136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溜绳</w:t>
            </w:r>
          </w:p>
        </w:tc>
        <w:tc>
          <w:tcPr>
            <w:tcW w:w="2550" w:type="dxa"/>
            <w:tcBorders>
              <w:tl2br w:val="nil"/>
              <w:tr2bl w:val="nil"/>
            </w:tcBorders>
            <w:noWrap w:val="0"/>
            <w:vAlign w:val="center"/>
          </w:tcPr>
          <w:p w14:paraId="1BDEC7F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（16（50m</w:t>
            </w:r>
          </w:p>
        </w:tc>
        <w:tc>
          <w:tcPr>
            <w:tcW w:w="786" w:type="dxa"/>
            <w:tcBorders>
              <w:tl2br w:val="nil"/>
              <w:tr2bl w:val="nil"/>
            </w:tcBorders>
            <w:noWrap w:val="0"/>
            <w:vAlign w:val="center"/>
          </w:tcPr>
          <w:p w14:paraId="21CC4D4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19610CF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1根</w:t>
            </w:r>
          </w:p>
        </w:tc>
        <w:tc>
          <w:tcPr>
            <w:tcW w:w="1301" w:type="dxa"/>
            <w:tcBorders>
              <w:tl2br w:val="nil"/>
              <w:tr2bl w:val="nil"/>
            </w:tcBorders>
            <w:noWrap w:val="0"/>
            <w:vAlign w:val="center"/>
          </w:tcPr>
          <w:p w14:paraId="30A34C5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53FD5B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3A6AF73B">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11</w:t>
            </w:r>
          </w:p>
        </w:tc>
        <w:tc>
          <w:tcPr>
            <w:tcW w:w="1521" w:type="dxa"/>
            <w:tcBorders>
              <w:tl2br w:val="nil"/>
              <w:tr2bl w:val="nil"/>
            </w:tcBorders>
            <w:noWrap w:val="0"/>
            <w:vAlign w:val="center"/>
          </w:tcPr>
          <w:p w14:paraId="0691CF7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小绳扣</w:t>
            </w:r>
          </w:p>
        </w:tc>
        <w:tc>
          <w:tcPr>
            <w:tcW w:w="2550" w:type="dxa"/>
            <w:tcBorders>
              <w:tl2br w:val="nil"/>
              <w:tr2bl w:val="nil"/>
            </w:tcBorders>
            <w:noWrap w:val="0"/>
            <w:vAlign w:val="center"/>
          </w:tcPr>
          <w:p w14:paraId="27C7611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（1（2m</w:t>
            </w:r>
          </w:p>
        </w:tc>
        <w:tc>
          <w:tcPr>
            <w:tcW w:w="786" w:type="dxa"/>
            <w:tcBorders>
              <w:tl2br w:val="nil"/>
              <w:tr2bl w:val="nil"/>
            </w:tcBorders>
            <w:noWrap w:val="0"/>
            <w:vAlign w:val="center"/>
          </w:tcPr>
          <w:p w14:paraId="6CD1C9B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52B37CF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1根</w:t>
            </w:r>
          </w:p>
        </w:tc>
        <w:tc>
          <w:tcPr>
            <w:tcW w:w="1301" w:type="dxa"/>
            <w:tcBorders>
              <w:tl2br w:val="nil"/>
              <w:tr2bl w:val="nil"/>
            </w:tcBorders>
            <w:noWrap w:val="0"/>
            <w:vAlign w:val="center"/>
          </w:tcPr>
          <w:p w14:paraId="4832522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bl>
    <w:p w14:paraId="02C1B4C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eastAsia="zh-CN"/>
        </w:rPr>
        <w:t>注：</w:t>
      </w:r>
      <w:r>
        <w:rPr>
          <w:rFonts w:hint="eastAsia" w:ascii="仿宋" w:hAnsi="仿宋" w:eastAsia="仿宋" w:cs="仿宋"/>
          <w:color w:val="000000"/>
          <w:sz w:val="21"/>
          <w:szCs w:val="21"/>
          <w:highlight w:val="none"/>
        </w:rPr>
        <w:t>施工机械、机具进行检修，保证运转良好；做好易损、易坏件的备品工作；机械、机具有关的负荷实验、计量鉴定证书、使用证、能力鉴定等资料应齐全。</w:t>
      </w:r>
    </w:p>
    <w:p w14:paraId="254BABF6">
      <w:pPr>
        <w:pStyle w:val="15"/>
        <w:spacing w:line="360" w:lineRule="auto"/>
        <w:ind w:firstLine="0" w:firstLineChars="0"/>
        <w:jc w:val="center"/>
      </w:pPr>
      <w:r>
        <w:t xml:space="preserve">表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rPr>
          <w:rFonts w:hint="eastAsia"/>
          <w:lang w:val="en-US" w:eastAsia="zh-CN"/>
        </w:rPr>
        <w:t xml:space="preserve"> </w:t>
      </w:r>
      <w:r>
        <w:rPr>
          <w:rFonts w:hint="eastAsia" w:ascii="黑体" w:hAnsi="宋体" w:cs="黑体"/>
          <w:kern w:val="2"/>
          <w:sz w:val="21"/>
          <w:szCs w:val="21"/>
          <w:highlight w:val="none"/>
          <w:lang w:val="en-US" w:eastAsia="zh-CN" w:bidi="ar"/>
        </w:rPr>
        <w:t>塔机</w:t>
      </w:r>
      <w:r>
        <w:rPr>
          <w:rFonts w:hint="eastAsia" w:ascii="黑体" w:hAnsi="宋体" w:eastAsia="黑体" w:cs="黑体"/>
          <w:kern w:val="2"/>
          <w:sz w:val="21"/>
          <w:szCs w:val="21"/>
          <w:highlight w:val="none"/>
          <w:lang w:val="en-US" w:eastAsia="zh-CN" w:bidi="ar"/>
        </w:rPr>
        <w:t>安装安全器具</w:t>
      </w:r>
    </w:p>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821"/>
        <w:gridCol w:w="2408"/>
        <w:gridCol w:w="2127"/>
        <w:gridCol w:w="1560"/>
        <w:gridCol w:w="1522"/>
      </w:tblGrid>
      <w:tr w14:paraId="0E2835D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shd w:val="clear" w:color="auto" w:fill="DAE3F3" w:themeFill="accent5" w:themeFillTint="32"/>
            <w:noWrap w:val="0"/>
            <w:vAlign w:val="center"/>
          </w:tcPr>
          <w:p w14:paraId="79B0833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序号</w:t>
            </w:r>
          </w:p>
        </w:tc>
        <w:tc>
          <w:tcPr>
            <w:tcW w:w="2408" w:type="dxa"/>
            <w:tcBorders>
              <w:tl2br w:val="nil"/>
              <w:tr2bl w:val="nil"/>
            </w:tcBorders>
            <w:shd w:val="clear" w:color="auto" w:fill="DAE3F3" w:themeFill="accent5" w:themeFillTint="32"/>
            <w:noWrap w:val="0"/>
            <w:vAlign w:val="center"/>
          </w:tcPr>
          <w:p w14:paraId="452AE7B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名  称</w:t>
            </w:r>
          </w:p>
        </w:tc>
        <w:tc>
          <w:tcPr>
            <w:tcW w:w="2127" w:type="dxa"/>
            <w:tcBorders>
              <w:tl2br w:val="nil"/>
              <w:tr2bl w:val="nil"/>
            </w:tcBorders>
            <w:shd w:val="clear" w:color="auto" w:fill="DAE3F3" w:themeFill="accent5" w:themeFillTint="32"/>
            <w:noWrap w:val="0"/>
            <w:vAlign w:val="center"/>
          </w:tcPr>
          <w:p w14:paraId="426F995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规  格</w:t>
            </w:r>
          </w:p>
        </w:tc>
        <w:tc>
          <w:tcPr>
            <w:tcW w:w="1560" w:type="dxa"/>
            <w:tcBorders>
              <w:tl2br w:val="nil"/>
              <w:tr2bl w:val="nil"/>
            </w:tcBorders>
            <w:shd w:val="clear" w:color="auto" w:fill="DAE3F3" w:themeFill="accent5" w:themeFillTint="32"/>
            <w:noWrap w:val="0"/>
            <w:vAlign w:val="center"/>
          </w:tcPr>
          <w:p w14:paraId="20DA9DE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单位</w:t>
            </w:r>
          </w:p>
        </w:tc>
        <w:tc>
          <w:tcPr>
            <w:tcW w:w="1522" w:type="dxa"/>
            <w:tcBorders>
              <w:tl2br w:val="nil"/>
              <w:tr2bl w:val="nil"/>
            </w:tcBorders>
            <w:shd w:val="clear" w:color="auto" w:fill="DAE3F3" w:themeFill="accent5" w:themeFillTint="32"/>
            <w:noWrap w:val="0"/>
            <w:vAlign w:val="center"/>
          </w:tcPr>
          <w:p w14:paraId="4EB9D2C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数量</w:t>
            </w:r>
          </w:p>
        </w:tc>
      </w:tr>
      <w:tr w14:paraId="083EE4D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4AE160E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408" w:type="dxa"/>
            <w:tcBorders>
              <w:tl2br w:val="nil"/>
              <w:tr2bl w:val="nil"/>
            </w:tcBorders>
            <w:noWrap w:val="0"/>
            <w:vAlign w:val="center"/>
          </w:tcPr>
          <w:p w14:paraId="7362A07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安全带</w:t>
            </w:r>
          </w:p>
        </w:tc>
        <w:tc>
          <w:tcPr>
            <w:tcW w:w="2127" w:type="dxa"/>
            <w:tcBorders>
              <w:tl2br w:val="nil"/>
              <w:tr2bl w:val="nil"/>
            </w:tcBorders>
            <w:noWrap w:val="0"/>
            <w:vAlign w:val="center"/>
          </w:tcPr>
          <w:p w14:paraId="3A8652E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615AB0A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条</w:t>
            </w:r>
          </w:p>
        </w:tc>
        <w:tc>
          <w:tcPr>
            <w:tcW w:w="1522" w:type="dxa"/>
            <w:tcBorders>
              <w:tl2br w:val="nil"/>
              <w:tr2bl w:val="nil"/>
            </w:tcBorders>
            <w:noWrap w:val="0"/>
            <w:vAlign w:val="center"/>
          </w:tcPr>
          <w:p w14:paraId="6F77437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3A199A7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59C521D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408" w:type="dxa"/>
            <w:tcBorders>
              <w:tl2br w:val="nil"/>
              <w:tr2bl w:val="nil"/>
            </w:tcBorders>
            <w:noWrap w:val="0"/>
            <w:vAlign w:val="center"/>
          </w:tcPr>
          <w:p w14:paraId="3A81770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工具袋</w:t>
            </w:r>
          </w:p>
        </w:tc>
        <w:tc>
          <w:tcPr>
            <w:tcW w:w="2127" w:type="dxa"/>
            <w:tcBorders>
              <w:tl2br w:val="nil"/>
              <w:tr2bl w:val="nil"/>
            </w:tcBorders>
            <w:noWrap w:val="0"/>
            <w:vAlign w:val="center"/>
          </w:tcPr>
          <w:p w14:paraId="19EC5A3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5E5E6D7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07F3558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34EE920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7FEB24A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2408" w:type="dxa"/>
            <w:tcBorders>
              <w:tl2br w:val="nil"/>
              <w:tr2bl w:val="nil"/>
            </w:tcBorders>
            <w:noWrap w:val="0"/>
            <w:vAlign w:val="center"/>
          </w:tcPr>
          <w:p w14:paraId="1E6E030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安全帽</w:t>
            </w:r>
          </w:p>
        </w:tc>
        <w:tc>
          <w:tcPr>
            <w:tcW w:w="2127" w:type="dxa"/>
            <w:tcBorders>
              <w:tl2br w:val="nil"/>
              <w:tr2bl w:val="nil"/>
            </w:tcBorders>
            <w:noWrap w:val="0"/>
            <w:vAlign w:val="center"/>
          </w:tcPr>
          <w:p w14:paraId="562B887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189D08E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0BE756A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1FAB295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4E0B776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w:t>
            </w:r>
          </w:p>
        </w:tc>
        <w:tc>
          <w:tcPr>
            <w:tcW w:w="2408" w:type="dxa"/>
            <w:tcBorders>
              <w:tl2br w:val="nil"/>
              <w:tr2bl w:val="nil"/>
            </w:tcBorders>
            <w:noWrap w:val="0"/>
            <w:vAlign w:val="center"/>
          </w:tcPr>
          <w:p w14:paraId="2D7B196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防滑鞋</w:t>
            </w:r>
          </w:p>
        </w:tc>
        <w:tc>
          <w:tcPr>
            <w:tcW w:w="2127" w:type="dxa"/>
            <w:tcBorders>
              <w:tl2br w:val="nil"/>
              <w:tr2bl w:val="nil"/>
            </w:tcBorders>
            <w:noWrap w:val="0"/>
            <w:vAlign w:val="center"/>
          </w:tcPr>
          <w:p w14:paraId="75E3847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6855949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双</w:t>
            </w:r>
          </w:p>
        </w:tc>
        <w:tc>
          <w:tcPr>
            <w:tcW w:w="1522" w:type="dxa"/>
            <w:tcBorders>
              <w:tl2br w:val="nil"/>
              <w:tr2bl w:val="nil"/>
            </w:tcBorders>
            <w:noWrap w:val="0"/>
            <w:vAlign w:val="center"/>
          </w:tcPr>
          <w:p w14:paraId="44612C7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5BB573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6F897BC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w:t>
            </w:r>
          </w:p>
        </w:tc>
        <w:tc>
          <w:tcPr>
            <w:tcW w:w="2408" w:type="dxa"/>
            <w:tcBorders>
              <w:tl2br w:val="nil"/>
              <w:tr2bl w:val="nil"/>
            </w:tcBorders>
            <w:noWrap w:val="0"/>
            <w:vAlign w:val="center"/>
          </w:tcPr>
          <w:p w14:paraId="31CFBD5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手套</w:t>
            </w:r>
          </w:p>
        </w:tc>
        <w:tc>
          <w:tcPr>
            <w:tcW w:w="2127" w:type="dxa"/>
            <w:tcBorders>
              <w:tl2br w:val="nil"/>
              <w:tr2bl w:val="nil"/>
            </w:tcBorders>
            <w:noWrap w:val="0"/>
            <w:vAlign w:val="center"/>
          </w:tcPr>
          <w:p w14:paraId="4A21702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3B39B6B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双</w:t>
            </w:r>
          </w:p>
        </w:tc>
        <w:tc>
          <w:tcPr>
            <w:tcW w:w="1522" w:type="dxa"/>
            <w:tcBorders>
              <w:tl2br w:val="nil"/>
              <w:tr2bl w:val="nil"/>
            </w:tcBorders>
            <w:noWrap w:val="0"/>
            <w:vAlign w:val="center"/>
          </w:tcPr>
          <w:p w14:paraId="779AA3D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w:t>
            </w:r>
          </w:p>
        </w:tc>
      </w:tr>
      <w:tr w14:paraId="4888A1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3A78EA1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6</w:t>
            </w:r>
          </w:p>
        </w:tc>
        <w:tc>
          <w:tcPr>
            <w:tcW w:w="2408" w:type="dxa"/>
            <w:tcBorders>
              <w:tl2br w:val="nil"/>
              <w:tr2bl w:val="nil"/>
            </w:tcBorders>
            <w:noWrap w:val="0"/>
            <w:vAlign w:val="center"/>
          </w:tcPr>
          <w:p w14:paraId="468EADF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对讲机（口哨）</w:t>
            </w:r>
          </w:p>
        </w:tc>
        <w:tc>
          <w:tcPr>
            <w:tcW w:w="2127" w:type="dxa"/>
            <w:tcBorders>
              <w:tl2br w:val="nil"/>
              <w:tr2bl w:val="nil"/>
            </w:tcBorders>
            <w:noWrap w:val="0"/>
            <w:vAlign w:val="center"/>
          </w:tcPr>
          <w:p w14:paraId="495EB56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21FA601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61CE624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r>
    </w:tbl>
    <w:p w14:paraId="2323C993">
      <w:pPr>
        <w:pStyle w:val="3"/>
        <w:bidi w:val="0"/>
        <w:ind w:left="575" w:leftChars="0" w:hanging="575" w:firstLineChars="0"/>
        <w:rPr>
          <w:rFonts w:hint="default"/>
          <w:lang w:val="en-US" w:eastAsia="zh-CN"/>
        </w:rPr>
      </w:pPr>
      <w:bookmarkStart w:id="138" w:name="_Toc16523"/>
      <w:bookmarkStart w:id="139" w:name="_Toc18000"/>
      <w:r>
        <w:rPr>
          <w:rFonts w:hint="eastAsia"/>
          <w:lang w:val="en-US" w:eastAsia="zh-CN"/>
        </w:rPr>
        <w:t>施工</w:t>
      </w:r>
      <w:r>
        <w:rPr>
          <w:rFonts w:hint="eastAsia"/>
        </w:rPr>
        <w:t>材料</w:t>
      </w:r>
      <w:r>
        <w:rPr>
          <w:rFonts w:hint="eastAsia"/>
          <w:lang w:val="en-US" w:eastAsia="zh-CN"/>
        </w:rPr>
        <w:t>与安全工机具</w:t>
      </w:r>
      <w:bookmarkEnd w:id="136"/>
      <w:bookmarkEnd w:id="137"/>
      <w:bookmarkEnd w:id="138"/>
      <w:bookmarkEnd w:id="139"/>
    </w:p>
    <w:bookmarkEnd w:id="121"/>
    <w:p w14:paraId="5951855E">
      <w:pPr>
        <w:ind w:firstLine="480"/>
        <w:rPr>
          <w:highlight w:val="none"/>
        </w:rPr>
      </w:pPr>
      <w:bookmarkStart w:id="140" w:name="_Toc10409791"/>
      <w:r>
        <w:rPr>
          <w:rFonts w:hint="eastAsia"/>
          <w:highlight w:val="none"/>
        </w:rPr>
        <w:t>工程材料根据</w:t>
      </w:r>
      <w:r>
        <w:rPr>
          <w:rFonts w:hint="eastAsia"/>
          <w:highlight w:val="none"/>
          <w:lang w:val="en-US" w:eastAsia="zh-CN"/>
        </w:rPr>
        <w:t>工</w:t>
      </w:r>
      <w:r>
        <w:rPr>
          <w:rFonts w:hint="eastAsia"/>
          <w:highlight w:val="none"/>
        </w:rPr>
        <w:t>期要求，结合施工进度，在保证原材质量的前提下，所有工程材料满足业主及施工现场进度要求。</w:t>
      </w:r>
    </w:p>
    <w:p w14:paraId="67EAE5FD">
      <w:pPr>
        <w:ind w:firstLine="480"/>
        <w:rPr>
          <w:highlight w:val="none"/>
        </w:rPr>
      </w:pPr>
      <w:r>
        <w:rPr>
          <w:rFonts w:hint="eastAsia"/>
          <w:highlight w:val="none"/>
        </w:rPr>
        <w:t>水泥、钢材</w:t>
      </w:r>
      <w:r>
        <w:rPr>
          <w:rFonts w:hint="eastAsia"/>
          <w:highlight w:val="none"/>
          <w:lang w:val="en-US" w:eastAsia="zh-CN"/>
        </w:rPr>
        <w:t>等</w:t>
      </w:r>
      <w:r>
        <w:rPr>
          <w:rFonts w:hint="eastAsia"/>
          <w:highlight w:val="none"/>
        </w:rPr>
        <w:t>主材由业主方提供。</w:t>
      </w:r>
    </w:p>
    <w:p w14:paraId="04C2E8F3">
      <w:pPr>
        <w:ind w:firstLine="480"/>
        <w:rPr>
          <w:highlight w:val="none"/>
        </w:rPr>
      </w:pPr>
      <w:r>
        <w:rPr>
          <w:rFonts w:hint="eastAsia"/>
          <w:highlight w:val="none"/>
        </w:rPr>
        <w:t>项目通过自建拌合站专门负责供应混凝土，其生产能力及运输能力均能满足施工需求。</w:t>
      </w:r>
    </w:p>
    <w:p w14:paraId="03560A63">
      <w:pPr>
        <w:ind w:firstLine="480"/>
        <w:rPr>
          <w:rFonts w:hint="eastAsia"/>
          <w:highlight w:val="none"/>
        </w:rPr>
      </w:pPr>
      <w:r>
        <w:rPr>
          <w:rFonts w:hint="eastAsia"/>
          <w:highlight w:val="none"/>
        </w:rPr>
        <w:t>由项目部出资购买的材料及甲供材料，现场技术员均应按制度规定提前向物设部报备，其他施工辅材由现场技术员督促协作单位购买进场。</w:t>
      </w:r>
    </w:p>
    <w:p w14:paraId="3E3B6664">
      <w:pPr>
        <w:pStyle w:val="15"/>
        <w:spacing w:line="360" w:lineRule="auto"/>
        <w:ind w:firstLine="0" w:firstLineChars="0"/>
        <w:jc w:val="center"/>
        <w:rPr>
          <w:rFonts w:hint="default" w:ascii="黑体" w:hAnsi="宋体" w:eastAsia="黑体" w:cs="黑体"/>
          <w:kern w:val="2"/>
          <w:sz w:val="21"/>
          <w:szCs w:val="21"/>
          <w:highlight w:val="none"/>
          <w:lang w:val="en-US" w:eastAsia="zh-CN" w:bidi="ar"/>
        </w:rPr>
      </w:pPr>
      <w:r>
        <w:rPr>
          <w:highlight w:val="none"/>
        </w:rPr>
        <w:t>表3</w:t>
      </w:r>
      <w:r>
        <w:rPr>
          <w:rFonts w:hint="eastAsia"/>
          <w:highlight w:val="none"/>
          <w:lang w:val="en-US" w:eastAsia="zh-CN"/>
        </w:rPr>
        <w:t>.4</w:t>
      </w:r>
      <w:r>
        <w:rPr>
          <w:highlight w:val="none"/>
        </w:rPr>
        <w:t>-</w:t>
      </w:r>
      <w:r>
        <w:rPr>
          <w:rFonts w:hint="eastAsia"/>
          <w:highlight w:val="none"/>
          <w:lang w:val="en-US" w:eastAsia="zh-CN"/>
        </w:rPr>
        <w:t>1每台</w:t>
      </w:r>
      <w:r>
        <w:rPr>
          <w:rFonts w:hint="eastAsia" w:ascii="黑体" w:hAnsi="宋体" w:cs="黑体"/>
          <w:kern w:val="2"/>
          <w:sz w:val="21"/>
          <w:szCs w:val="21"/>
          <w:highlight w:val="none"/>
          <w:lang w:val="en-US" w:eastAsia="zh-CN" w:bidi="ar"/>
        </w:rPr>
        <w:t>塔机</w:t>
      </w:r>
      <w:r>
        <w:rPr>
          <w:rFonts w:hint="eastAsia" w:ascii="黑体" w:hAnsi="宋体" w:eastAsia="黑体" w:cs="黑体"/>
          <w:kern w:val="2"/>
          <w:sz w:val="21"/>
          <w:szCs w:val="21"/>
          <w:highlight w:val="none"/>
          <w:lang w:val="en-US" w:eastAsia="zh-CN" w:bidi="ar"/>
        </w:rPr>
        <w:t>基础材料用量表</w:t>
      </w:r>
    </w:p>
    <w:tbl>
      <w:tblPr>
        <w:tblStyle w:val="30"/>
        <w:tblW w:w="0" w:type="auto"/>
        <w:jc w:val="center"/>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Layout w:type="fixed"/>
        <w:tblCellMar>
          <w:top w:w="0" w:type="dxa"/>
          <w:left w:w="0" w:type="dxa"/>
          <w:bottom w:w="0" w:type="dxa"/>
          <w:right w:w="0" w:type="dxa"/>
        </w:tblCellMar>
      </w:tblPr>
      <w:tblGrid>
        <w:gridCol w:w="1382"/>
        <w:gridCol w:w="1382"/>
        <w:gridCol w:w="1382"/>
        <w:gridCol w:w="1382"/>
        <w:gridCol w:w="1382"/>
        <w:gridCol w:w="1594"/>
      </w:tblGrid>
      <w:tr w14:paraId="3529CAF1">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tblHeader/>
          <w:jc w:val="center"/>
        </w:trPr>
        <w:tc>
          <w:tcPr>
            <w:tcW w:w="1382" w:type="dxa"/>
            <w:tcBorders>
              <w:top w:val="doub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649B3D1B">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序号</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680BE9A7">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名称</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23B723F0">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规格</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71B869B7">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根数</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41B35144">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单位</w:t>
            </w:r>
          </w:p>
        </w:tc>
        <w:tc>
          <w:tcPr>
            <w:tcW w:w="1594" w:type="dxa"/>
            <w:tcBorders>
              <w:top w:val="doub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shd w:val="clear" w:color="auto" w:fill="DAE3F3" w:themeFill="accent5" w:themeFillTint="32"/>
            <w:noWrap/>
            <w:tcMar>
              <w:top w:w="15" w:type="dxa"/>
              <w:left w:w="15" w:type="dxa"/>
              <w:right w:w="15" w:type="dxa"/>
            </w:tcMar>
            <w:vAlign w:val="center"/>
          </w:tcPr>
          <w:p w14:paraId="0C748B9D">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数量</w:t>
            </w:r>
          </w:p>
        </w:tc>
      </w:tr>
      <w:tr w14:paraId="04E6B44B">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95B5243">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1</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0F694D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Φ25钢筋</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5DBA7D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HRB400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811CDE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64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12B437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6531E991">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64@1500mm</w:t>
            </w:r>
          </w:p>
        </w:tc>
      </w:tr>
      <w:tr w14:paraId="27C3B58C">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CD76FB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2</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8731FB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Φ25钢筋</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4D2736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HRB400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708E6D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64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00EA5C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086B0E3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64@1500mm</w:t>
            </w:r>
          </w:p>
        </w:tc>
      </w:tr>
      <w:tr w14:paraId="08379C41">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4703B8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3</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BFD837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Φ25圆钢</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F711D3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Q235B</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DF5FC6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12</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843839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0C550EB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12</w:t>
            </w:r>
          </w:p>
        </w:tc>
      </w:tr>
      <w:tr w14:paraId="55F4CD43">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B4C4989">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BCC290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Φ12钢筋</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A8A7A3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HRB400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3C87CC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256</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80E3739">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3D8090AB">
            <w:pPr>
              <w:keepNext w:val="0"/>
              <w:keepLines w:val="0"/>
              <w:widowControl/>
              <w:suppressLineNumbers w:val="0"/>
              <w:spacing w:line="240" w:lineRule="auto"/>
              <w:ind w:firstLine="0" w:firstLineChars="0"/>
              <w:jc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256@300mm</w:t>
            </w:r>
          </w:p>
        </w:tc>
      </w:tr>
      <w:tr w14:paraId="61B7DAA2">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B39799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5</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E880B7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水泥</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0C226D1">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P4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DA2F28D">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A4FAA4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521CE013">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sz w:val="21"/>
                <w:szCs w:val="21"/>
                <w:highlight w:val="none"/>
                <w:u w:val="none"/>
                <w:lang w:val="en-US" w:eastAsia="zh-CN"/>
              </w:rPr>
              <w:t>-</w:t>
            </w:r>
          </w:p>
        </w:tc>
      </w:tr>
      <w:tr w14:paraId="10321D19">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9D06F3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6</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0003D2D">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砂</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B6C84E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2123C16">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7FF191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62F1B72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r>
      <w:tr w14:paraId="52E68D7D">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94947B1">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7</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76147F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碎石</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FBC587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C7AFE53">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F13641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0B606D5B">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r>
      <w:tr w14:paraId="37413FF8">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C02793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8</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AFC7543">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接地杆</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EAA4514">
            <w:pPr>
              <w:spacing w:line="240" w:lineRule="auto"/>
              <w:ind w:firstLine="0" w:firstLineChars="0"/>
              <w:jc w:val="center"/>
              <w:rPr>
                <w:rFonts w:hint="eastAsia" w:ascii="仿宋" w:hAnsi="仿宋" w:eastAsia="仿宋" w:cs="仿宋"/>
                <w:i w:val="0"/>
                <w:color w:val="000000"/>
                <w:sz w:val="21"/>
                <w:szCs w:val="21"/>
                <w:highlight w:val="none"/>
                <w:u w:val="none"/>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DB8A368">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098CD5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m</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7E2F602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p>
        </w:tc>
      </w:tr>
      <w:tr w14:paraId="6201DCBA">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F59295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9</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38BE13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锚栓</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F626B4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M12*40-8</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4B55B20">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0887BA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个</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6886911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4</w:t>
            </w:r>
          </w:p>
        </w:tc>
      </w:tr>
      <w:tr w14:paraId="01658BDE">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A7D49D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10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00A6C9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螺母</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6B70E89">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M12-8</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52DDC3E">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E9607E2">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个</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136536D2">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8</w:t>
            </w:r>
          </w:p>
        </w:tc>
      </w:tr>
      <w:tr w14:paraId="2F690EF3">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F72BBB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11</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EDB24F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枕木</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712A48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20987C4">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16</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17039C2">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5358268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16</w:t>
            </w:r>
          </w:p>
        </w:tc>
      </w:tr>
      <w:tr w14:paraId="3B2A976A">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60584D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12</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241DFB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麻绳</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4FC926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F51AF4B">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91061B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m</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39FD43C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50</w:t>
            </w:r>
          </w:p>
        </w:tc>
      </w:tr>
      <w:tr w14:paraId="0C6D0D66">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0EDE758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13</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212B544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预埋螺栓</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43399AC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M48-1350</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7F634533">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24</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606944F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double" w:color="2F5496" w:themeColor="accent5" w:themeShade="BF" w:sz="4" w:space="0"/>
              <w:right w:val="double" w:color="2F5496" w:themeColor="accent5" w:themeShade="BF" w:sz="4" w:space="0"/>
            </w:tcBorders>
            <w:noWrap/>
            <w:tcMar>
              <w:top w:w="15" w:type="dxa"/>
              <w:left w:w="15" w:type="dxa"/>
              <w:right w:w="15" w:type="dxa"/>
            </w:tcMar>
            <w:vAlign w:val="center"/>
          </w:tcPr>
          <w:p w14:paraId="151E691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24</w:t>
            </w:r>
          </w:p>
        </w:tc>
      </w:tr>
    </w:tbl>
    <w:p w14:paraId="73CCDFC3">
      <w:pPr>
        <w:adjustRightInd w:val="0"/>
        <w:snapToGrid w:val="0"/>
        <w:spacing w:line="360" w:lineRule="auto"/>
        <w:rPr>
          <w:rFonts w:ascii="宋体" w:hAnsi="宋体" w:eastAsia="宋体"/>
          <w:snapToGrid w:val="0"/>
          <w:kern w:val="0"/>
          <w:sz w:val="24"/>
          <w:szCs w:val="20"/>
          <w:highlight w:val="none"/>
        </w:rPr>
      </w:pPr>
      <w:r>
        <w:rPr>
          <w:rFonts w:hint="eastAsia" w:ascii="宋体" w:hAnsi="宋体" w:eastAsia="宋体"/>
          <w:snapToGrid w:val="0"/>
          <w:kern w:val="0"/>
          <w:sz w:val="24"/>
          <w:szCs w:val="20"/>
          <w:highlight w:val="none"/>
        </w:rPr>
        <w:br w:type="page"/>
      </w:r>
    </w:p>
    <w:p w14:paraId="208E5FBD">
      <w:pPr>
        <w:pStyle w:val="2"/>
        <w:bidi w:val="0"/>
        <w:ind w:left="432" w:leftChars="0" w:hanging="432" w:firstLineChars="0"/>
        <w:rPr>
          <w:rFonts w:hint="eastAsia"/>
        </w:rPr>
      </w:pPr>
      <w:bookmarkStart w:id="141" w:name="_Toc42641834"/>
      <w:bookmarkEnd w:id="141"/>
      <w:bookmarkStart w:id="142" w:name="_Toc42641835"/>
      <w:bookmarkEnd w:id="142"/>
      <w:bookmarkStart w:id="143" w:name="_Toc42642007"/>
      <w:bookmarkEnd w:id="143"/>
      <w:bookmarkStart w:id="144" w:name="_Toc42642293"/>
      <w:bookmarkEnd w:id="144"/>
      <w:bookmarkStart w:id="145" w:name="_Toc42642006"/>
      <w:bookmarkEnd w:id="145"/>
      <w:bookmarkStart w:id="146" w:name="_Toc42642294"/>
      <w:bookmarkEnd w:id="146"/>
      <w:bookmarkStart w:id="147" w:name="_Toc30301"/>
      <w:bookmarkStart w:id="148" w:name="_Toc1768"/>
      <w:bookmarkStart w:id="149" w:name="_Toc3445"/>
      <w:r>
        <w:rPr>
          <w:rFonts w:hint="eastAsia"/>
        </w:rPr>
        <w:t>施工工艺</w:t>
      </w:r>
      <w:bookmarkEnd w:id="140"/>
      <w:bookmarkEnd w:id="147"/>
      <w:bookmarkEnd w:id="148"/>
      <w:bookmarkEnd w:id="149"/>
    </w:p>
    <w:p w14:paraId="6C14B36A">
      <w:pPr>
        <w:pStyle w:val="3"/>
        <w:bidi w:val="0"/>
        <w:ind w:left="575" w:leftChars="0" w:hanging="575" w:firstLineChars="0"/>
      </w:pPr>
      <w:bookmarkStart w:id="150" w:name="_Toc24313"/>
      <w:bookmarkStart w:id="151" w:name="_Toc12984"/>
      <w:bookmarkStart w:id="152" w:name="_Toc22706"/>
      <w:bookmarkStart w:id="153" w:name="_Toc21345"/>
      <w:bookmarkStart w:id="154" w:name="_Toc23545"/>
      <w:bookmarkStart w:id="155" w:name="_Toc10409792"/>
      <w:r>
        <w:rPr>
          <w:rFonts w:hint="eastAsia"/>
        </w:rPr>
        <w:t>塔机安装施工工艺流程</w:t>
      </w:r>
      <w:bookmarkEnd w:id="150"/>
      <w:bookmarkEnd w:id="151"/>
      <w:bookmarkEnd w:id="152"/>
    </w:p>
    <w:p w14:paraId="23C8ADF6">
      <w:pPr>
        <w:bidi w:val="0"/>
        <w:ind w:firstLine="480" w:firstLineChars="200"/>
        <w:rPr>
          <w:rFonts w:hint="default"/>
          <w:highlight w:val="none"/>
          <w:lang w:val="en-US" w:eastAsia="zh-CN"/>
        </w:rPr>
      </w:pPr>
      <w:r>
        <w:rPr>
          <w:rFonts w:hint="eastAsia"/>
          <w:highlight w:val="none"/>
          <w:lang w:val="en-US" w:eastAsia="zh-CN"/>
        </w:rPr>
        <w:t>塔机</w:t>
      </w:r>
      <w:r>
        <w:rPr>
          <w:rFonts w:hint="default"/>
          <w:highlight w:val="none"/>
          <w:lang w:val="en-US" w:eastAsia="zh-CN"/>
        </w:rPr>
        <w:t>安装主要包括基础施工、部件组装、部件吊装、顶升、调试等。</w:t>
      </w:r>
      <w:r>
        <w:rPr>
          <w:rFonts w:hint="eastAsia"/>
          <w:highlight w:val="none"/>
          <w:lang w:val="en-US" w:eastAsia="zh-CN"/>
        </w:rPr>
        <w:t>XGT7022-10S塔机</w:t>
      </w:r>
      <w:r>
        <w:rPr>
          <w:rFonts w:hint="default"/>
          <w:highlight w:val="none"/>
          <w:lang w:val="en-US" w:eastAsia="zh-CN"/>
        </w:rPr>
        <w:t>安装工艺流程如下：</w:t>
      </w:r>
    </w:p>
    <w:p w14:paraId="4599EE90">
      <w:pPr>
        <w:spacing w:line="360" w:lineRule="auto"/>
        <w:ind w:firstLine="480" w:firstLineChars="200"/>
        <w:rPr>
          <w:rFonts w:hint="default"/>
          <w:highlight w:val="none"/>
          <w:lang w:val="en-US" w:eastAsia="zh-CN"/>
        </w:rPr>
      </w:pPr>
      <w:r>
        <w:rPr>
          <w:rFonts w:hint="eastAsia"/>
          <w:highlight w:val="none"/>
          <w:lang w:val="en-US" w:eastAsia="zh-CN"/>
        </w:rPr>
        <w:t>安装基础节→安装一节标准节→安装爬升架→安装特殊节、回转总成→安装起重臂臂节一→安装平衡臂、平衡臂拉杆→安装两块3.25t平衡重→安装剩余起重臂→安装剩余平衡重→穿绕牵引、起升钢丝绳→塔机试运行</w:t>
      </w:r>
    </w:p>
    <w:p w14:paraId="6656207A">
      <w:pPr>
        <w:pStyle w:val="3"/>
        <w:bidi w:val="0"/>
        <w:ind w:left="575" w:leftChars="0" w:hanging="575" w:firstLineChars="0"/>
        <w:rPr>
          <w:rFonts w:hint="default"/>
          <w:lang w:val="en-US" w:eastAsia="zh-CN"/>
        </w:rPr>
      </w:pPr>
      <w:bookmarkStart w:id="156" w:name="_Toc10920"/>
      <w:r>
        <w:rPr>
          <w:rFonts w:hint="eastAsia"/>
          <w:lang w:val="en-US" w:eastAsia="zh-CN"/>
        </w:rPr>
        <w:t>主要设备选型</w:t>
      </w:r>
      <w:bookmarkEnd w:id="153"/>
      <w:bookmarkEnd w:id="154"/>
      <w:bookmarkEnd w:id="156"/>
    </w:p>
    <w:p w14:paraId="0BA286F2">
      <w:pPr>
        <w:pStyle w:val="4"/>
        <w:bidi w:val="0"/>
        <w:ind w:left="720" w:leftChars="0" w:hanging="720" w:firstLineChars="0"/>
      </w:pPr>
      <w:r>
        <w:rPr>
          <w:rFonts w:hint="eastAsia"/>
        </w:rPr>
        <w:t>辅助起重设备选型</w:t>
      </w:r>
    </w:p>
    <w:p w14:paraId="0985545A">
      <w:pPr>
        <w:bidi w:val="0"/>
        <w:ind w:firstLine="480" w:firstLineChars="200"/>
        <w:rPr>
          <w:rFonts w:hint="default" w:eastAsia="宋体"/>
          <w:highlight w:val="none"/>
          <w:lang w:val="en-US" w:eastAsia="zh-CN"/>
        </w:rPr>
      </w:pPr>
      <w:r>
        <w:rPr>
          <w:rFonts w:hint="eastAsia"/>
          <w:highlight w:val="none"/>
          <w:lang w:val="en-US" w:eastAsia="zh-CN"/>
        </w:rPr>
        <w:t>结合XGT7022-10S塔机主要部件重量，选用</w:t>
      </w:r>
      <w:r>
        <w:rPr>
          <w:rFonts w:hint="default"/>
          <w:highlight w:val="none"/>
          <w:lang w:val="en-US" w:eastAsia="zh-CN"/>
        </w:rPr>
        <w:t>一台</w:t>
      </w:r>
      <w:r>
        <w:rPr>
          <w:rFonts w:hint="eastAsia"/>
          <w:highlight w:val="none"/>
          <w:lang w:val="en-US" w:eastAsia="zh-CN"/>
        </w:rPr>
        <w:t>STC250E5-1型</w:t>
      </w:r>
      <w:r>
        <w:rPr>
          <w:rFonts w:hint="default"/>
          <w:highlight w:val="none"/>
          <w:lang w:val="en-US" w:eastAsia="zh-CN"/>
        </w:rPr>
        <w:t>汽车吊进行</w:t>
      </w:r>
      <w:r>
        <w:rPr>
          <w:rFonts w:hint="eastAsia"/>
          <w:highlight w:val="none"/>
          <w:lang w:val="en-US" w:eastAsia="zh-CN"/>
        </w:rPr>
        <w:t>塔机</w:t>
      </w:r>
      <w:r>
        <w:rPr>
          <w:rFonts w:hint="default"/>
          <w:highlight w:val="none"/>
          <w:lang w:val="en-US" w:eastAsia="zh-CN"/>
        </w:rPr>
        <w:t>部件组装</w:t>
      </w:r>
      <w:r>
        <w:rPr>
          <w:rFonts w:hint="eastAsia"/>
          <w:highlight w:val="none"/>
          <w:lang w:val="en-US" w:eastAsia="zh-CN"/>
        </w:rPr>
        <w:t>、</w:t>
      </w:r>
      <w:r>
        <w:rPr>
          <w:rFonts w:hint="default"/>
          <w:highlight w:val="none"/>
          <w:lang w:val="en-US" w:eastAsia="zh-CN"/>
        </w:rPr>
        <w:t>吊装</w:t>
      </w:r>
      <w:r>
        <w:rPr>
          <w:rFonts w:hint="eastAsia"/>
          <w:highlight w:val="none"/>
          <w:lang w:val="en-US" w:eastAsia="zh-CN"/>
        </w:rPr>
        <w:t>作业</w:t>
      </w:r>
      <w:r>
        <w:rPr>
          <w:rFonts w:hint="default"/>
          <w:highlight w:val="none"/>
          <w:lang w:val="en-US" w:eastAsia="zh-CN"/>
        </w:rPr>
        <w:t>，工作半径</w:t>
      </w:r>
      <w:r>
        <w:rPr>
          <w:rFonts w:hint="eastAsia"/>
          <w:highlight w:val="none"/>
          <w:lang w:val="en-US" w:eastAsia="zh-CN"/>
        </w:rPr>
        <w:t>不超过11</w:t>
      </w:r>
      <w:r>
        <w:rPr>
          <w:rFonts w:hint="default"/>
          <w:highlight w:val="none"/>
          <w:lang w:val="en-US" w:eastAsia="zh-CN"/>
        </w:rPr>
        <w:t>米</w:t>
      </w:r>
      <w:r>
        <w:rPr>
          <w:rFonts w:hint="eastAsia"/>
          <w:highlight w:val="none"/>
          <w:lang w:val="en-US" w:eastAsia="zh-CN"/>
        </w:rPr>
        <w:t>，允许吊重7.6t＞5.75t(爬升架）</w:t>
      </w:r>
      <w:r>
        <w:rPr>
          <w:rFonts w:hint="default"/>
          <w:highlight w:val="none"/>
          <w:lang w:val="en-US" w:eastAsia="zh-CN"/>
        </w:rPr>
        <w:t>满足使用要求。</w:t>
      </w:r>
      <w:r>
        <w:rPr>
          <w:rFonts w:hint="eastAsia"/>
          <w:highlight w:val="none"/>
          <w:lang w:val="en-US" w:eastAsia="zh-CN"/>
        </w:rPr>
        <w:t>施工场地</w:t>
      </w:r>
      <w:r>
        <w:rPr>
          <w:rFonts w:hint="eastAsia"/>
          <w:highlight w:val="none"/>
        </w:rPr>
        <w:t>局部冲沟发育</w:t>
      </w:r>
      <w:r>
        <w:rPr>
          <w:rFonts w:hint="eastAsia"/>
          <w:highlight w:val="none"/>
          <w:lang w:eastAsia="zh-CN"/>
        </w:rPr>
        <w:t>，</w:t>
      </w:r>
      <w:r>
        <w:rPr>
          <w:rFonts w:hint="eastAsia"/>
          <w:highlight w:val="none"/>
          <w:lang w:val="en-US" w:eastAsia="zh-CN"/>
        </w:rPr>
        <w:t>原地面经过清表后</w:t>
      </w:r>
      <w:r>
        <w:rPr>
          <w:rFonts w:hint="eastAsia"/>
          <w:highlight w:val="none"/>
        </w:rPr>
        <w:t>上层杂填土、素填土已清理出场,现阶段场区内</w:t>
      </w:r>
      <w:r>
        <w:rPr>
          <w:rFonts w:hint="eastAsia"/>
          <w:highlight w:val="none"/>
          <w:lang w:val="en-US" w:eastAsia="zh-CN"/>
        </w:rPr>
        <w:t>基本采用片石、碎石土回填完善，</w:t>
      </w:r>
      <w:r>
        <w:rPr>
          <w:rFonts w:hint="eastAsia"/>
          <w:highlight w:val="none"/>
        </w:rPr>
        <w:t>地基土承载力</w:t>
      </w:r>
      <w:r>
        <w:rPr>
          <w:rFonts w:hint="eastAsia"/>
          <w:highlight w:val="none"/>
          <w:lang w:val="en-US" w:eastAsia="zh-CN"/>
        </w:rPr>
        <w:t>不低于</w:t>
      </w:r>
      <w:r>
        <w:rPr>
          <w:rFonts w:hint="eastAsia"/>
          <w:highlight w:val="none"/>
        </w:rPr>
        <w:t>150kpa</w:t>
      </w:r>
      <w:r>
        <w:rPr>
          <w:rFonts w:hint="eastAsia"/>
          <w:highlight w:val="none"/>
          <w:lang w:eastAsia="zh-CN"/>
        </w:rPr>
        <w:t>，</w:t>
      </w:r>
      <w:r>
        <w:rPr>
          <w:rFonts w:hint="eastAsia" w:ascii="宋体" w:hAnsi="宋体" w:eastAsia="宋体" w:cs="Times New Roman"/>
          <w:highlight w:val="none"/>
          <w:lang w:val="en-US" w:eastAsia="zh-CN"/>
        </w:rPr>
        <w:t>符合起重吊装作业要对吊装场地的地基承载力要求。</w:t>
      </w:r>
    </w:p>
    <w:p w14:paraId="688A6673">
      <w:pPr>
        <w:bidi w:val="0"/>
        <w:jc w:val="center"/>
      </w:pPr>
      <w:r>
        <w:drawing>
          <wp:inline distT="0" distB="0" distL="114300" distR="114300">
            <wp:extent cx="4432935" cy="3712210"/>
            <wp:effectExtent l="0" t="0" r="5715" b="254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9"/>
                    <a:stretch>
                      <a:fillRect/>
                    </a:stretch>
                  </pic:blipFill>
                  <pic:spPr>
                    <a:xfrm>
                      <a:off x="0" y="0"/>
                      <a:ext cx="4432935" cy="3712210"/>
                    </a:xfrm>
                    <a:prstGeom prst="rect">
                      <a:avLst/>
                    </a:prstGeom>
                    <a:noFill/>
                    <a:ln>
                      <a:noFill/>
                    </a:ln>
                  </pic:spPr>
                </pic:pic>
              </a:graphicData>
            </a:graphic>
          </wp:inline>
        </w:drawing>
      </w:r>
    </w:p>
    <w:p w14:paraId="4A9A559D">
      <w:pPr>
        <w:pStyle w:val="41"/>
        <w:bidi w:val="0"/>
        <w:rPr>
          <w:rFonts w:hint="eastAsia"/>
          <w:highlight w:val="none"/>
          <w:lang w:val="en-US" w:eastAsia="zh-CN"/>
        </w:rPr>
      </w:pPr>
      <w:r>
        <w:t xml:space="preserve">图 </w:t>
      </w:r>
      <w:r>
        <w:fldChar w:fldCharType="begin"/>
      </w:r>
      <w:r>
        <w:instrText xml:space="preserve"> STYLEREF 3 \s </w:instrText>
      </w:r>
      <w:r>
        <w:fldChar w:fldCharType="separate"/>
      </w:r>
      <w:r>
        <w:t>4.2.1</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w:t>
      </w:r>
      <w:r>
        <w:rPr>
          <w:rFonts w:hint="eastAsia"/>
          <w:highlight w:val="none"/>
          <w:lang w:val="en-US" w:eastAsia="zh-CN"/>
        </w:rPr>
        <w:t>25t汽车吊</w:t>
      </w:r>
      <w:r>
        <w:rPr>
          <w:rFonts w:hint="eastAsia"/>
          <w:highlight w:val="none"/>
        </w:rPr>
        <w:t>吊起重量表</w:t>
      </w:r>
    </w:p>
    <w:p w14:paraId="5D9D2E5B">
      <w:pPr>
        <w:bidi w:val="0"/>
        <w:jc w:val="center"/>
      </w:pPr>
      <w:r>
        <w:drawing>
          <wp:inline distT="0" distB="0" distL="114300" distR="114300">
            <wp:extent cx="5273040" cy="4614545"/>
            <wp:effectExtent l="0" t="0" r="3810" b="1460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0"/>
                    <a:stretch>
                      <a:fillRect/>
                    </a:stretch>
                  </pic:blipFill>
                  <pic:spPr>
                    <a:xfrm>
                      <a:off x="0" y="0"/>
                      <a:ext cx="5273040" cy="4614545"/>
                    </a:xfrm>
                    <a:prstGeom prst="rect">
                      <a:avLst/>
                    </a:prstGeom>
                    <a:noFill/>
                    <a:ln>
                      <a:noFill/>
                    </a:ln>
                  </pic:spPr>
                </pic:pic>
              </a:graphicData>
            </a:graphic>
          </wp:inline>
        </w:drawing>
      </w:r>
    </w:p>
    <w:p w14:paraId="77664AC0">
      <w:pPr>
        <w:pStyle w:val="15"/>
        <w:bidi w:val="0"/>
        <w:jc w:val="center"/>
        <w:rPr>
          <w:rFonts w:hint="default"/>
          <w:lang w:val="en-US" w:eastAsia="zh-CN"/>
        </w:rPr>
      </w:pPr>
      <w:r>
        <w:t xml:space="preserve">图 </w:t>
      </w:r>
      <w:r>
        <w:fldChar w:fldCharType="begin"/>
      </w:r>
      <w:r>
        <w:instrText xml:space="preserve"> STYLEREF 3 \s </w:instrText>
      </w:r>
      <w:r>
        <w:fldChar w:fldCharType="separate"/>
      </w:r>
      <w:r>
        <w:t>4.2.1</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w:t>
      </w:r>
      <w:r>
        <w:rPr>
          <w:rFonts w:hint="eastAsia"/>
          <w:highlight w:val="none"/>
          <w:lang w:val="en-US" w:eastAsia="zh-CN"/>
        </w:rPr>
        <w:t>25t汽车吊吊起重性能曲线</w:t>
      </w:r>
    </w:p>
    <w:p w14:paraId="1BEFDEAA">
      <w:pPr>
        <w:pStyle w:val="4"/>
        <w:bidi w:val="0"/>
        <w:ind w:left="720" w:leftChars="0" w:hanging="720" w:firstLineChars="0"/>
        <w:rPr>
          <w:rFonts w:hint="eastAsia"/>
          <w:lang w:val="en-US" w:eastAsia="zh-CN"/>
        </w:rPr>
      </w:pPr>
      <w:r>
        <w:rPr>
          <w:rFonts w:hint="eastAsia"/>
          <w:lang w:val="en-US" w:eastAsia="zh-CN"/>
        </w:rPr>
        <w:t>吊装钢丝绳选型</w:t>
      </w:r>
    </w:p>
    <w:p w14:paraId="062FE3BB">
      <w:pPr>
        <w:rPr>
          <w:color w:val="auto"/>
        </w:rPr>
      </w:pPr>
      <w:r>
        <w:rPr>
          <w:rFonts w:hint="eastAsia"/>
          <w:color w:val="auto"/>
          <w:lang w:val="en-US" w:eastAsia="zh-CN"/>
        </w:rPr>
        <w:t>1、</w:t>
      </w:r>
      <w:r>
        <w:rPr>
          <w:color w:val="auto"/>
        </w:rPr>
        <w:t>钢丝绳选型依据</w:t>
      </w:r>
    </w:p>
    <w:p w14:paraId="0B65EECD">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4CFDCF07">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70E4A187">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752F742A">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1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4"/>
        <w:gridCol w:w="832"/>
        <w:gridCol w:w="7286"/>
      </w:tblGrid>
      <w:tr w14:paraId="38BE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DFC396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473469B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54AD3B52">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6237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C0624A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38FA6E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15C5BCC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1DF6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749B33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67D49B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6AAC1001">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——接头形式效能近似系数，压制接头取，插编接头取5；</w:t>
            </w:r>
          </w:p>
        </w:tc>
      </w:tr>
      <w:tr w14:paraId="53C5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59EB6D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49FC730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5D391A1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——肢的数量与垂直方向角度的相关系数，两肢吊索取，3～4肢吊索取；</w:t>
            </w:r>
          </w:p>
        </w:tc>
      </w:tr>
      <w:tr w14:paraId="1647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86EB9E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7CCC0A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2CD336BA">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7D70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9C62FB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6ED101F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0BCC12F7">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——质量与力的转换系数，取值为0665。</w:t>
            </w:r>
          </w:p>
        </w:tc>
      </w:tr>
    </w:tbl>
    <w:p w14:paraId="5432BA07">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53E64925">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00C7F164">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1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9"/>
        <w:gridCol w:w="7327"/>
      </w:tblGrid>
      <w:tr w14:paraId="3253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1AAA3A8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1475275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396A7BC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0966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 w:type="dxa"/>
          </w:tcPr>
          <w:p w14:paraId="0781797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5583AA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1E38C3BB">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0D29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 w:type="dxa"/>
          </w:tcPr>
          <w:p w14:paraId="41AF4A8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620968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65A87194">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14E5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AD8CCC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9736AA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13D5438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39DB1C7B">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采用四点吊的</w:t>
      </w:r>
      <w:r>
        <w:rPr>
          <w:rFonts w:hint="eastAsia" w:ascii="Times New Roman" w:hAnsi="Times New Roman" w:cs="Times New Roman"/>
          <w:highlight w:val="none"/>
          <w:lang w:eastAsia="zh-CN"/>
        </w:rPr>
        <w:t>塔机</w:t>
      </w:r>
      <w:r>
        <w:rPr>
          <w:rFonts w:hint="eastAsia" w:ascii="Times New Roman" w:hAnsi="Times New Roman" w:eastAsia="宋体" w:cs="Times New Roman"/>
          <w:highlight w:val="none"/>
        </w:rPr>
        <w:t>主要部件</w:t>
      </w:r>
      <w:r>
        <w:rPr>
          <w:rFonts w:hint="eastAsia" w:cs="Times New Roman"/>
          <w:highlight w:val="none"/>
          <w:lang w:val="en-US" w:eastAsia="zh-CN"/>
        </w:rPr>
        <w:t>中</w:t>
      </w:r>
      <w:r>
        <w:rPr>
          <w:rFonts w:hint="eastAsia" w:ascii="Times New Roman" w:hAnsi="Times New Roman" w:eastAsia="宋体" w:cs="Times New Roman"/>
          <w:highlight w:val="none"/>
        </w:rPr>
        <w:t>最大重量为</w:t>
      </w:r>
      <w:r>
        <w:rPr>
          <w:rFonts w:hint="eastAsia" w:ascii="Times New Roman" w:hAnsi="Times New Roman" w:cs="Times New Roman"/>
          <w:highlight w:val="none"/>
          <w:lang w:val="en-US" w:eastAsia="zh-CN"/>
        </w:rPr>
        <w:t>爬升架</w:t>
      </w:r>
      <w:r>
        <w:rPr>
          <w:rFonts w:hint="eastAsia" w:ascii="Times New Roman" w:hAnsi="Times New Roman" w:eastAsia="宋体" w:cs="Times New Roman"/>
          <w:highlight w:val="none"/>
        </w:rPr>
        <w:t>，</w:t>
      </w:r>
      <w:r>
        <w:rPr>
          <w:rFonts w:hint="eastAsia" w:ascii="Times New Roman" w:hAnsi="Times New Roman" w:cs="Times New Roman"/>
          <w:highlight w:val="none"/>
          <w:lang w:val="en-US" w:eastAsia="zh-CN"/>
        </w:rPr>
        <w:t>爬升架</w:t>
      </w:r>
      <w:r>
        <w:rPr>
          <w:rFonts w:hint="eastAsia" w:ascii="Times New Roman" w:hAnsi="Times New Roman" w:eastAsia="宋体" w:cs="Times New Roman"/>
          <w:highlight w:val="none"/>
        </w:rPr>
        <w:t>起重量约</w:t>
      </w:r>
      <w:r>
        <w:rPr>
          <w:rFonts w:hint="eastAsia" w:ascii="Times New Roman" w:hAnsi="Times New Roman" w:cs="Times New Roman"/>
          <w:highlight w:val="none"/>
          <w:lang w:val="en-US" w:eastAsia="zh-CN"/>
        </w:rPr>
        <w:t>5.75</w:t>
      </w:r>
      <w:r>
        <w:rPr>
          <w:rFonts w:hint="eastAsia" w:cs="Times New Roman"/>
          <w:highlight w:val="none"/>
          <w:lang w:val="en-US" w:eastAsia="zh-CN"/>
        </w:rPr>
        <w:t>t</w:t>
      </w:r>
      <w:r>
        <w:rPr>
          <w:rFonts w:hint="eastAsia" w:ascii="Times New Roman" w:hAnsi="Times New Roman" w:eastAsia="宋体" w:cs="Times New Roman"/>
          <w:highlight w:val="none"/>
        </w:rPr>
        <w:t>，钢丝绳与</w:t>
      </w:r>
      <w:r>
        <w:rPr>
          <w:rFonts w:hint="eastAsia" w:ascii="Times New Roman" w:hAnsi="Times New Roman" w:cs="Times New Roman"/>
          <w:highlight w:val="none"/>
          <w:lang w:val="en-US" w:eastAsia="zh-CN"/>
        </w:rPr>
        <w:t>爬升架</w:t>
      </w:r>
      <w:r>
        <w:rPr>
          <w:rFonts w:hint="eastAsia" w:ascii="Times New Roman" w:hAnsi="Times New Roman" w:eastAsia="宋体" w:cs="Times New Roman"/>
          <w:highlight w:val="none"/>
        </w:rPr>
        <w:t>成60°夹角，以</w:t>
      </w:r>
      <w:r>
        <w:rPr>
          <w:rFonts w:hint="eastAsia" w:cs="Times New Roman"/>
          <w:highlight w:val="none"/>
          <w:lang w:val="en-US" w:eastAsia="zh-CN"/>
        </w:rPr>
        <w:t>爬升架</w:t>
      </w:r>
      <w:r>
        <w:rPr>
          <w:rFonts w:hint="eastAsia" w:ascii="Times New Roman" w:hAnsi="Times New Roman" w:eastAsia="宋体" w:cs="Times New Roman"/>
          <w:highlight w:val="none"/>
        </w:rPr>
        <w:t>四个销轴孔作为吊装孔，钢丝绳采用压制接头。</w:t>
      </w:r>
    </w:p>
    <w:p w14:paraId="6AD5428C">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每根钢丝绳最小破断拉力：</w:t>
      </w:r>
    </w:p>
    <w:p w14:paraId="605403D7">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r>
            <m:rPr>
              <m:nor/>
              <m:sty m:val="p"/>
            </m:rPr>
            <w:rPr>
              <w:b w:val="0"/>
              <w:i w:val="0"/>
              <w:highlight w:val="none"/>
            </w:rPr>
            <m:t>=</m:t>
          </m:r>
          <m:f>
            <m:fPr>
              <m:ctrlPr>
                <w:rPr>
                  <w:rFonts w:ascii="Cambria Math" w:hAnsi="Cambria Math"/>
                  <w:highlight w:val="none"/>
                </w:rPr>
              </m:ctrlPr>
            </m:fPr>
            <m:num>
              <m:r>
                <m:rPr>
                  <m:nor/>
                  <m:sty m:val="p"/>
                </m:rPr>
                <w:rPr>
                  <w:b w:val="0"/>
                  <w:i w:val="0"/>
                  <w:highlight w:val="none"/>
                </w:rPr>
                <m:t>WLL×</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m</m:t>
                  </m:r>
                  <m:ctrlPr>
                    <w:rPr>
                      <w:rFonts w:ascii="Cambria Math" w:hAnsi="Cambria Math"/>
                      <w:highlight w:val="none"/>
                    </w:rPr>
                  </m:ctrlPr>
                </m:sub>
              </m:sSub>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u</m:t>
                  </m:r>
                  <m:ctrlPr>
                    <w:rPr>
                      <w:rFonts w:ascii="Cambria Math" w:hAnsi="Cambria Math"/>
                      <w:highlight w:val="none"/>
                    </w:rPr>
                  </m:ctrlPr>
                </m:sub>
              </m:sSub>
              <m:ctrlPr>
                <w:rPr>
                  <w:rFonts w:ascii="Cambria Math" w:hAnsi="Cambria Math"/>
                  <w:highlight w:val="none"/>
                </w:rPr>
              </m:ctrlPr>
            </m:num>
            <m:den>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e</m:t>
                  </m:r>
                  <m:ctrlPr>
                    <w:rPr>
                      <w:rFonts w:ascii="Cambria Math" w:hAnsi="Cambria Math"/>
                      <w:highlight w:val="none"/>
                    </w:rPr>
                  </m:ctrlPr>
                </m:sub>
              </m:sSub>
              <m:r>
                <m:rPr>
                  <m:nor/>
                  <m:sty m:val="p"/>
                </m:rPr>
                <w:rPr>
                  <w:b w:val="0"/>
                  <w:i w:val="0"/>
                  <w:highlight w:val="none"/>
                </w:rPr>
                <m:t>×K</m:t>
              </m:r>
              <m:ctrlPr>
                <w:rPr>
                  <w:rFonts w:ascii="Cambria Math" w:hAnsi="Cambria Math"/>
                  <w:highlight w:val="none"/>
                </w:rPr>
              </m:ctrlPr>
            </m:den>
          </m:f>
          <m:r>
            <m:rPr>
              <m:nor/>
              <m:sty m:val="p"/>
            </m:rPr>
            <w:rPr>
              <w:b w:val="0"/>
              <w:i w:val="0"/>
              <w:highlight w:val="none"/>
            </w:rPr>
            <m:t>=</m:t>
          </m:r>
          <m:f>
            <m:fPr>
              <m:ctrlPr>
                <w:rPr>
                  <w:rFonts w:ascii="Cambria Math" w:hAnsi="Cambria Math"/>
                  <w:highlight w:val="none"/>
                </w:rPr>
              </m:ctrlPr>
            </m:fPr>
            <m:num>
              <m:r>
                <m:rPr>
                  <m:nor/>
                  <m:sty m:val="p"/>
                </m:rPr>
                <w:rPr>
                  <w:rFonts w:hint="default" w:ascii="Cambria Math" w:hAnsi="Cambria Math"/>
                  <w:b w:val="0"/>
                  <w:i w:val="0"/>
                  <w:highlight w:val="none"/>
                  <w:lang w:val="en-US" w:eastAsia="zh-CN"/>
                </w:rPr>
                <m:t>5.75</m:t>
              </m:r>
              <m:r>
                <m:rPr>
                  <m:nor/>
                  <m:sty m:val="p"/>
                </m:rPr>
                <w:rPr>
                  <w:b w:val="0"/>
                  <w:i w:val="0"/>
                  <w:highlight w:val="none"/>
                </w:rPr>
                <m:t>×9.80665×6</m:t>
              </m:r>
              <m:ctrlPr>
                <w:rPr>
                  <w:rFonts w:ascii="Cambria Math" w:hAnsi="Cambria Math"/>
                  <w:highlight w:val="none"/>
                </w:rPr>
              </m:ctrlPr>
            </m:num>
            <m:den>
              <m:r>
                <m:rPr>
                  <m:nor/>
                  <m:sty m:val="p"/>
                </m:rPr>
                <w:rPr>
                  <w:b w:val="0"/>
                  <w:i w:val="0"/>
                  <w:highlight w:val="none"/>
                </w:rPr>
                <m:t>0.9×2.1</m:t>
              </m:r>
              <m:ctrlPr>
                <w:rPr>
                  <w:rFonts w:ascii="Cambria Math" w:hAnsi="Cambria Math"/>
                  <w:highlight w:val="none"/>
                </w:rPr>
              </m:ctrlPr>
            </m:den>
          </m:f>
          <m:r>
            <m:rPr>
              <m:nor/>
              <m:sty m:val="p"/>
            </m:rPr>
            <w:rPr>
              <w:b w:val="0"/>
              <w:i w:val="0"/>
              <w:highlight w:val="none"/>
            </w:rPr>
            <m:t>=</m:t>
          </m:r>
          <m:r>
            <m:rPr>
              <m:nor/>
              <m:sty m:val="p"/>
            </m:rPr>
            <w:rPr>
              <w:rFonts w:hint="default" w:ascii="Cambria Math" w:hAnsi="Cambria Math"/>
              <w:b w:val="0"/>
              <w:i w:val="0"/>
              <w:highlight w:val="none"/>
              <w:lang w:val="en-US" w:eastAsia="zh-CN"/>
            </w:rPr>
            <m:t>179.02</m:t>
          </m:r>
          <m:r>
            <m:rPr>
              <m:nor/>
              <m:sty m:val="p"/>
            </m:rPr>
            <w:rPr>
              <w:b w:val="0"/>
              <w:i w:val="0"/>
              <w:highlight w:val="none"/>
            </w:rPr>
            <m:t>kN</m:t>
          </m:r>
        </m:oMath>
      </m:oMathPara>
    </w:p>
    <w:p w14:paraId="33EFE3FD">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则钢丝绳最小公称直径：</w:t>
      </w:r>
    </w:p>
    <w:p w14:paraId="41247D7F">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r>
            <m:rPr>
              <m:nor/>
              <m:sty m:val="p"/>
            </m:rPr>
            <w:rPr>
              <w:b w:val="0"/>
              <w:i w:val="0"/>
              <w:highlight w:val="none"/>
            </w:rPr>
            <m:t>D=</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num>
                <m:den>
                  <m:sSup>
                    <m:sSupPr>
                      <m:ctrlPr>
                        <w:rPr>
                          <w:rFonts w:ascii="Cambria Math" w:hAnsi="Cambria Math"/>
                          <w:highlight w:val="none"/>
                        </w:rPr>
                      </m:ctrlPr>
                    </m:sSupPr>
                    <m:e>
                      <m:r>
                        <m:rPr>
                          <m:nor/>
                          <m:sty m:val="p"/>
                        </m:rPr>
                        <w:rPr>
                          <w:b w:val="0"/>
                          <w:i w:val="0"/>
                          <w:highlight w:val="none"/>
                        </w:rPr>
                        <m:t>K</m:t>
                      </m:r>
                      <m:ctrlPr>
                        <w:rPr>
                          <w:rFonts w:ascii="Cambria Math" w:hAnsi="Cambria Math"/>
                          <w:highlight w:val="none"/>
                        </w:rPr>
                      </m:ctrlPr>
                    </m:e>
                    <m:sup>
                      <m:r>
                        <m:rPr>
                          <m:nor/>
                          <m:sty m:val="p"/>
                        </m:rPr>
                        <w:rPr>
                          <w:b w:val="0"/>
                          <w:i w:val="0"/>
                          <w:highlight w:val="none"/>
                        </w:rPr>
                        <m:t>'</m:t>
                      </m:r>
                      <m:ctrlPr>
                        <w:rPr>
                          <w:rFonts w:ascii="Cambria Math" w:hAnsi="Cambria Math"/>
                          <w:highlight w:val="none"/>
                        </w:rPr>
                      </m:ctrlPr>
                    </m:sup>
                  </m:sSup>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R</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r>
                    <m:rPr>
                      <m:nor/>
                      <m:sty m:val="p"/>
                    </m:rPr>
                    <w:rPr>
                      <w:rFonts w:hint="default" w:ascii="Cambria Math" w:hAnsi="Cambria Math"/>
                      <w:b w:val="0"/>
                      <w:i w:val="0"/>
                      <w:highlight w:val="none"/>
                      <w:lang w:val="en-US" w:eastAsia="zh-CN"/>
                    </w:rPr>
                    <m:t>179.02</m:t>
                  </m:r>
                  <m:ctrlPr>
                    <w:rPr>
                      <w:rFonts w:ascii="Cambria Math" w:hAnsi="Cambria Math"/>
                      <w:highlight w:val="none"/>
                    </w:rPr>
                  </m:ctrlPr>
                </m:num>
                <m:den>
                  <m:r>
                    <m:rPr>
                      <m:nor/>
                      <m:sty m:val="p"/>
                    </m:rPr>
                    <w:rPr>
                      <w:b w:val="0"/>
                      <w:i w:val="0"/>
                      <w:highlight w:val="none"/>
                    </w:rPr>
                    <m:t>0.33×1</m:t>
                  </m:r>
                  <m:r>
                    <m:rPr>
                      <m:nor/>
                      <m:sty m:val="p"/>
                    </m:rPr>
                    <w:rPr>
                      <w:rFonts w:hint="default" w:ascii="Cambria Math" w:hAnsi="Cambria Math"/>
                      <w:b w:val="0"/>
                      <w:i w:val="0"/>
                      <w:highlight w:val="none"/>
                      <w:lang w:val="en-US" w:eastAsia="zh-CN"/>
                    </w:rPr>
                    <m:t>87</m:t>
                  </m:r>
                  <m:r>
                    <m:rPr>
                      <m:nor/>
                      <m:sty m:val="p"/>
                    </m:rPr>
                    <w:rPr>
                      <w:b w:val="0"/>
                      <w:i w:val="0"/>
                      <w:highlight w:val="none"/>
                    </w:rPr>
                    <m:t>0</m:t>
                  </m:r>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
            <m:rPr>
              <m:nor/>
              <m:sty m:val="p"/>
            </m:rPr>
            <w:rPr>
              <w:rFonts w:hint="default" w:ascii="Cambria Math" w:hAnsi="Cambria Math"/>
              <w:b w:val="0"/>
              <w:i w:val="0"/>
              <w:highlight w:val="none"/>
              <w:lang w:val="en-US" w:eastAsia="zh-CN"/>
            </w:rPr>
            <m:t>17.04</m:t>
          </m:r>
          <m:r>
            <m:rPr>
              <m:nor/>
              <m:sty m:val="p"/>
            </m:rPr>
            <w:rPr>
              <w:b w:val="0"/>
              <w:i w:val="0"/>
              <w:highlight w:val="none"/>
            </w:rPr>
            <m:t>mm</m:t>
          </m:r>
        </m:oMath>
      </m:oMathPara>
    </w:p>
    <w:p w14:paraId="40639581">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w:t>
      </w:r>
      <w:r>
        <w:rPr>
          <w:rFonts w:hint="eastAsia" w:ascii="Times New Roman" w:hAnsi="Times New Roman" w:eastAsia="宋体" w:cs="Times New Roman"/>
          <w:highlight w:val="none"/>
          <w:lang w:val="en-US" w:eastAsia="zh-CN"/>
        </w:rPr>
        <w:t>φ</w:t>
      </w:r>
      <w:r>
        <w:rPr>
          <w:rFonts w:hint="eastAsia" w:ascii="Times New Roman" w:hAnsi="Times New Roman" w:cs="Times New Roman"/>
          <w:highlight w:val="none"/>
          <w:lang w:val="en-US" w:eastAsia="zh-CN"/>
        </w:rPr>
        <w:t>18</w:t>
      </w:r>
      <w:r>
        <w:rPr>
          <w:rFonts w:hint="eastAsia" w:ascii="Times New Roman" w:hAnsi="Times New Roman" w:eastAsia="宋体" w:cs="Times New Roman"/>
          <w:highlight w:val="none"/>
        </w:rPr>
        <w:t>mm钢丝绳可满足要求。</w:t>
      </w:r>
    </w:p>
    <w:p w14:paraId="530C2CE8">
      <w:pPr>
        <w:ind w:firstLine="480"/>
      </w:pPr>
      <w:r>
        <w:rPr>
          <w:rFonts w:hint="eastAsia"/>
        </w:rPr>
        <w:t>采用两点吊的塔吊主要部件中最大重量为平衡重，平衡重最大重量约</w:t>
      </w:r>
      <w:r>
        <w:rPr>
          <w:rFonts w:hint="eastAsia"/>
          <w:lang w:val="en-US" w:eastAsia="zh-CN"/>
        </w:rPr>
        <w:t>3.25</w:t>
      </w:r>
      <w:r>
        <w:rPr>
          <w:rFonts w:hint="eastAsia"/>
        </w:rPr>
        <w:t>t，钢丝绳与</w:t>
      </w:r>
      <w:r>
        <w:rPr>
          <w:rFonts w:hint="eastAsia"/>
          <w:lang w:val="en-US" w:eastAsia="zh-CN"/>
        </w:rPr>
        <w:t>平衡重</w:t>
      </w:r>
      <w:r>
        <w:rPr>
          <w:rFonts w:hint="eastAsia"/>
        </w:rPr>
        <w:t>成60°夹角，</w:t>
      </w:r>
      <w:r>
        <w:rPr>
          <w:rFonts w:hint="eastAsia"/>
          <w:lang w:val="en-US" w:eastAsia="zh-CN"/>
        </w:rPr>
        <w:t>平衡重</w:t>
      </w:r>
      <w:r>
        <w:rPr>
          <w:rFonts w:hint="eastAsia"/>
        </w:rPr>
        <w:t>吊装采用两点吊，在</w:t>
      </w:r>
      <w:r>
        <w:rPr>
          <w:rFonts w:hint="eastAsia"/>
          <w:lang w:val="en-US" w:eastAsia="zh-CN"/>
        </w:rPr>
        <w:t>平衡重</w:t>
      </w:r>
      <w:r>
        <w:rPr>
          <w:rFonts w:hint="eastAsia"/>
        </w:rPr>
        <w:t>上设置2个吊点，钢丝绳采用压制接头。</w:t>
      </w:r>
    </w:p>
    <w:p w14:paraId="228D6BFB">
      <w:pPr>
        <w:ind w:firstLine="480"/>
      </w:pPr>
      <w:r>
        <w:rPr>
          <w:rFonts w:hint="eastAsia"/>
        </w:rPr>
        <w:t>每根钢丝绳最小破断拉力：</w:t>
      </w:r>
    </w:p>
    <w:p w14:paraId="207F773F">
      <w:pPr>
        <w:tabs>
          <w:tab w:val="left" w:pos="1320"/>
        </w:tabs>
        <w:ind w:firstLine="0" w:firstLineChars="0"/>
        <w:jc w:val="center"/>
        <w:rPr>
          <w:i/>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ascii="Cambria Math" w:hAnsi="Cambria Math"/>
                  <w:b w:val="0"/>
                  <w:i w:val="0"/>
                </w:rPr>
                <m:t>3.</m:t>
              </m:r>
              <m:r>
                <m:rPr>
                  <m:nor/>
                  <m:sty m:val="p"/>
                </m:rPr>
                <w:rPr>
                  <w:rFonts w:hint="default" w:ascii="Cambria Math" w:hAnsi="Cambria Math"/>
                  <w:b w:val="0"/>
                  <w:i w:val="0"/>
                  <w:lang w:val="en-US" w:eastAsia="zh-CN"/>
                </w:rPr>
                <m:t>25</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151.77</m:t>
          </m:r>
          <m:r>
            <m:rPr>
              <m:nor/>
              <m:sty m:val="p"/>
            </m:rPr>
            <w:rPr>
              <w:b w:val="0"/>
              <w:i w:val="0"/>
            </w:rPr>
            <m:t>kN</m:t>
          </m:r>
        </m:oMath>
      </m:oMathPara>
    </w:p>
    <w:p w14:paraId="3667CC27">
      <w:pPr>
        <w:ind w:firstLine="480"/>
      </w:pPr>
      <w:r>
        <w:rPr>
          <w:rFonts w:hint="eastAsia"/>
        </w:rPr>
        <w:t>则钢丝绳最小公称直径：</w:t>
      </w:r>
    </w:p>
    <w:p w14:paraId="44DB8081">
      <w:pPr>
        <w:tabs>
          <w:tab w:val="left" w:pos="1320"/>
        </w:tabs>
        <w:ind w:firstLine="0" w:firstLineChars="0"/>
        <w:jc w:val="center"/>
        <w:rPr>
          <w:i/>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149.44</m:t>
                  </m:r>
                  <m:ctrlPr>
                    <w:rPr>
                      <w:rFonts w:ascii="Cambria Math" w:hAnsi="Cambria Math"/>
                    </w:rPr>
                  </m:ctrlPr>
                </m:num>
                <m:den>
                  <m:r>
                    <m:rPr>
                      <m:nor/>
                      <m:sty m:val="p"/>
                    </m:rPr>
                    <w:rPr>
                      <w:b w:val="0"/>
                      <w:i w:val="0"/>
                    </w:rPr>
                    <m:t>0.33×1</m:t>
                  </m:r>
                  <m:r>
                    <m:rPr>
                      <m:nor/>
                      <m:sty m:val="p"/>
                    </m:rPr>
                    <w:rPr>
                      <w:rFonts w:ascii="Cambria Math" w:hAnsi="Cambria Math"/>
                      <w:b w:val="0"/>
                      <w:i w:val="0"/>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15.69</m:t>
          </m:r>
          <m:r>
            <m:rPr>
              <m:nor/>
              <m:sty m:val="p"/>
            </m:rPr>
            <w:rPr>
              <w:b w:val="0"/>
              <w:i w:val="0"/>
            </w:rPr>
            <m:t>mm</m:t>
          </m:r>
        </m:oMath>
      </m:oMathPara>
    </w:p>
    <w:p w14:paraId="6FEE7FDA">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w:p>
    <w:p w14:paraId="0DED9656">
      <w:pPr>
        <w:ind w:firstLine="480"/>
        <w:rPr>
          <w:rFonts w:ascii="Times New Roman" w:hAnsi="Times New Roman" w:eastAsia="宋体" w:cs="Times New Roman"/>
          <w:highlight w:val="none"/>
        </w:rPr>
      </w:pPr>
      <w:r>
        <w:rPr>
          <w:rFonts w:hint="eastAsia" w:ascii="宋体" w:hAnsi="宋体" w:eastAsia="宋体" w:cs="宋体"/>
          <w:highlight w:val="none"/>
        </w:rPr>
        <w:t>采用</w:t>
      </w:r>
      <w:r>
        <w:rPr>
          <w:rFonts w:hint="eastAsia" w:ascii="SJQY" w:hAnsi="SJQY" w:eastAsia="SJQY" w:cs="Times New Roman"/>
          <w:highlight w:val="none"/>
          <w:lang w:val="en-US" w:eastAsia="zh-CN"/>
        </w:rPr>
        <w:t>φ</w:t>
      </w:r>
      <w:r>
        <w:rPr>
          <w:rFonts w:hint="eastAsia" w:ascii="Times New Roman" w:hAnsi="Times New Roman" w:cs="Times New Roman"/>
          <w:highlight w:val="none"/>
          <w:lang w:val="en-US" w:eastAsia="zh-CN"/>
        </w:rPr>
        <w:t>16</w:t>
      </w:r>
      <w:r>
        <w:rPr>
          <w:rFonts w:hint="eastAsia" w:ascii="Times New Roman" w:hAnsi="Times New Roman" w:eastAsia="宋体" w:cs="Times New Roman"/>
          <w:highlight w:val="none"/>
        </w:rPr>
        <w:t>mm钢丝绳可满足要求。</w:t>
      </w:r>
    </w:p>
    <w:p w14:paraId="5CBEBC27">
      <w:pPr>
        <w:bidi w:val="0"/>
        <w:rPr>
          <w:highlight w:val="none"/>
          <w:lang w:val="en-US" w:eastAsia="zh-CN"/>
        </w:rPr>
      </w:pPr>
      <w:bookmarkStart w:id="157" w:name="_Toc132535969"/>
      <w:r>
        <w:rPr>
          <w:rFonts w:hint="eastAsia"/>
          <w:highlight w:val="none"/>
          <w:lang w:val="en-US" w:eastAsia="zh-CN"/>
        </w:rPr>
        <w:t>卸扣选型</w:t>
      </w:r>
      <w:bookmarkEnd w:id="157"/>
    </w:p>
    <w:p w14:paraId="41A4DDB7">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卸扣根据《一般起重用D形和弓形锻造卸扣》（GB/T25854-2010）的规定选用。</w:t>
      </w:r>
    </w:p>
    <w:p w14:paraId="0648627C">
      <w:pPr>
        <w:keepNext/>
        <w:tabs>
          <w:tab w:val="left" w:pos="360"/>
        </w:tabs>
        <w:spacing w:line="360" w:lineRule="auto"/>
        <w:jc w:val="center"/>
        <w:rPr>
          <w:rFonts w:ascii="Times New Roman" w:hAnsi="Times New Roman" w:eastAsia="黑体" w:cs="Times New Roman"/>
          <w:kern w:val="2"/>
          <w:sz w:val="21"/>
          <w:highlight w:val="none"/>
          <w:lang w:val="en-US" w:eastAsia="zh-CN" w:bidi="ar-SA"/>
        </w:rPr>
      </w:pPr>
      <w:r>
        <w:rPr>
          <w:rFonts w:hint="eastAsia" w:ascii="Times New Roman" w:hAnsi="Times New Roman" w:eastAsia="黑体" w:cs="Times New Roman"/>
          <w:kern w:val="2"/>
          <w:sz w:val="21"/>
          <w:highlight w:val="none"/>
          <w:lang w:val="en-US" w:eastAsia="zh-CN" w:bidi="ar-SA"/>
        </w:rPr>
        <w:t>表4.2.2</w:t>
      </w:r>
      <w:r>
        <w:rPr>
          <w:rFonts w:ascii="Times New Roman" w:hAnsi="Times New Roman" w:eastAsia="黑体" w:cs="Times New Roman"/>
          <w:kern w:val="2"/>
          <w:sz w:val="21"/>
          <w:highlight w:val="none"/>
          <w:lang w:val="en-US" w:eastAsia="zh-CN" w:bidi="ar-SA"/>
        </w:rPr>
        <w:noBreakHyphen/>
      </w:r>
      <w:r>
        <w:rPr>
          <w:rFonts w:hint="eastAsia" w:ascii="Times New Roman" w:hAnsi="Times New Roman" w:eastAsia="黑体" w:cs="Times New Roman"/>
          <w:kern w:val="2"/>
          <w:sz w:val="21"/>
          <w:highlight w:val="none"/>
          <w:lang w:val="en-US" w:eastAsia="zh-CN" w:bidi="ar-SA"/>
        </w:rPr>
        <w:t>1D形卸扣尺寸</w:t>
      </w:r>
    </w:p>
    <w:tbl>
      <w:tblPr>
        <w:tblStyle w:val="16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3"/>
        <w:gridCol w:w="1104"/>
        <w:gridCol w:w="1104"/>
        <w:gridCol w:w="982"/>
        <w:gridCol w:w="982"/>
        <w:gridCol w:w="1125"/>
        <w:gridCol w:w="927"/>
        <w:gridCol w:w="1009"/>
      </w:tblGrid>
      <w:tr w14:paraId="5EFBB9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6" w:type="pct"/>
            <w:gridSpan w:val="3"/>
            <w:shd w:val="clear" w:color="auto" w:fill="4472C4"/>
            <w:vAlign w:val="center"/>
          </w:tcPr>
          <w:p w14:paraId="1A1B26BA">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极限工作荷载WLL</w:t>
            </w:r>
          </w:p>
        </w:tc>
        <w:tc>
          <w:tcPr>
            <w:tcW w:w="589" w:type="pct"/>
            <w:vMerge w:val="restart"/>
            <w:shd w:val="clear" w:color="auto" w:fill="4472C4"/>
            <w:vAlign w:val="center"/>
          </w:tcPr>
          <w:p w14:paraId="3C8DAF18">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d</w:t>
            </w:r>
            <w:r>
              <w:rPr>
                <w:rFonts w:ascii="Times New Roman" w:hAnsi="Times New Roman" w:eastAsia="仿宋" w:cs="Times New Roman"/>
                <w:b/>
                <w:color w:val="FFFFFF"/>
                <w:kern w:val="0"/>
                <w:sz w:val="21"/>
                <w:szCs w:val="21"/>
                <w:highlight w:val="none"/>
                <w:vertAlign w:val="superscript"/>
                <w:lang w:val="en-US" w:eastAsia="zh-CN" w:bidi="ar-SA"/>
              </w:rPr>
              <w:t>a</w:t>
            </w:r>
          </w:p>
          <w:p w14:paraId="7C723F25">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589" w:type="pct"/>
            <w:vMerge w:val="restart"/>
            <w:shd w:val="clear" w:color="auto" w:fill="4472C4"/>
            <w:vAlign w:val="center"/>
          </w:tcPr>
          <w:p w14:paraId="1B401A5A">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D</w:t>
            </w:r>
            <w:r>
              <w:rPr>
                <w:rFonts w:ascii="Times New Roman" w:hAnsi="Times New Roman" w:eastAsia="仿宋" w:cs="Times New Roman"/>
                <w:b/>
                <w:color w:val="FFFFFF"/>
                <w:kern w:val="0"/>
                <w:sz w:val="21"/>
                <w:szCs w:val="21"/>
                <w:highlight w:val="none"/>
                <w:vertAlign w:val="superscript"/>
                <w:lang w:val="en-US" w:eastAsia="zh-CN" w:bidi="ar-SA"/>
              </w:rPr>
              <w:t>b</w:t>
            </w:r>
          </w:p>
          <w:p w14:paraId="1C0EFF4C">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675" w:type="pct"/>
            <w:vMerge w:val="restart"/>
            <w:shd w:val="clear" w:color="auto" w:fill="4472C4"/>
            <w:vAlign w:val="center"/>
          </w:tcPr>
          <w:p w14:paraId="397AFEC8">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vertAlign w:val="superscript"/>
                <w:lang w:val="en-US" w:eastAsia="zh-CN" w:bidi="ar-SA"/>
              </w:rPr>
            </w:pPr>
            <w:r>
              <w:rPr>
                <w:rFonts w:ascii="Times New Roman" w:hAnsi="Times New Roman" w:eastAsia="仿宋" w:cs="Times New Roman"/>
                <w:b/>
                <w:color w:val="FFFFFF"/>
                <w:kern w:val="0"/>
                <w:sz w:val="21"/>
                <w:szCs w:val="21"/>
                <w:highlight w:val="none"/>
                <w:lang w:val="en-US" w:eastAsia="zh-CN" w:bidi="ar-SA"/>
              </w:rPr>
              <w:t>e</w:t>
            </w:r>
            <w:r>
              <w:rPr>
                <w:rFonts w:ascii="Times New Roman" w:hAnsi="Times New Roman" w:eastAsia="仿宋" w:cs="Times New Roman"/>
                <w:b/>
                <w:color w:val="FFFFFF"/>
                <w:kern w:val="0"/>
                <w:sz w:val="21"/>
                <w:szCs w:val="21"/>
                <w:highlight w:val="none"/>
                <w:vertAlign w:val="superscript"/>
                <w:lang w:val="en-US" w:eastAsia="zh-CN" w:bidi="ar-SA"/>
              </w:rPr>
              <w:t>c</w:t>
            </w:r>
          </w:p>
          <w:p w14:paraId="4A44E612">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556" w:type="pct"/>
            <w:vMerge w:val="restart"/>
            <w:shd w:val="clear" w:color="auto" w:fill="4472C4"/>
            <w:vAlign w:val="center"/>
          </w:tcPr>
          <w:p w14:paraId="32B3B16E">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S</w:t>
            </w:r>
            <w:r>
              <w:rPr>
                <w:rFonts w:ascii="Times New Roman" w:hAnsi="Times New Roman" w:eastAsia="仿宋" w:cs="Times New Roman"/>
                <w:b/>
                <w:color w:val="FFFFFF"/>
                <w:kern w:val="0"/>
                <w:sz w:val="21"/>
                <w:szCs w:val="21"/>
                <w:highlight w:val="none"/>
                <w:vertAlign w:val="superscript"/>
                <w:lang w:val="en-US" w:eastAsia="zh-CN" w:bidi="ar-SA"/>
              </w:rPr>
              <w:t>d</w:t>
            </w:r>
          </w:p>
          <w:p w14:paraId="2F8BD615">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min</w:t>
            </w:r>
          </w:p>
        </w:tc>
        <w:tc>
          <w:tcPr>
            <w:tcW w:w="605" w:type="pct"/>
            <w:vMerge w:val="restart"/>
            <w:shd w:val="clear" w:color="auto" w:fill="4472C4"/>
            <w:vAlign w:val="center"/>
          </w:tcPr>
          <w:p w14:paraId="3D08B927">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vertAlign w:val="superscript"/>
                <w:lang w:val="en-US" w:eastAsia="zh-CN" w:bidi="ar-SA"/>
              </w:rPr>
            </w:pPr>
            <w:r>
              <w:rPr>
                <w:rFonts w:ascii="Times New Roman" w:hAnsi="Times New Roman" w:eastAsia="仿宋" w:cs="Times New Roman"/>
                <w:b/>
                <w:color w:val="FFFFFF"/>
                <w:kern w:val="0"/>
                <w:sz w:val="21"/>
                <w:szCs w:val="21"/>
                <w:highlight w:val="none"/>
                <w:lang w:val="en-US" w:eastAsia="zh-CN" w:bidi="ar-SA"/>
              </w:rPr>
              <w:t>W</w:t>
            </w:r>
            <w:r>
              <w:rPr>
                <w:rFonts w:ascii="Times New Roman" w:hAnsi="Times New Roman" w:eastAsia="仿宋" w:cs="Times New Roman"/>
                <w:b/>
                <w:color w:val="FFFFFF"/>
                <w:kern w:val="0"/>
                <w:sz w:val="21"/>
                <w:szCs w:val="21"/>
                <w:highlight w:val="none"/>
                <w:vertAlign w:val="superscript"/>
                <w:lang w:val="en-US" w:eastAsia="zh-CN" w:bidi="ar-SA"/>
              </w:rPr>
              <w:t>b</w:t>
            </w:r>
          </w:p>
          <w:p w14:paraId="68728BD6">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min</w:t>
            </w:r>
          </w:p>
        </w:tc>
      </w:tr>
      <w:tr w14:paraId="693D1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4472C4"/>
            <w:vAlign w:val="center"/>
          </w:tcPr>
          <w:p w14:paraId="405D57B0">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4级</w:t>
            </w:r>
          </w:p>
        </w:tc>
        <w:tc>
          <w:tcPr>
            <w:tcW w:w="662" w:type="pct"/>
            <w:shd w:val="clear" w:color="auto" w:fill="4472C4"/>
            <w:vAlign w:val="center"/>
          </w:tcPr>
          <w:p w14:paraId="1A85691C">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6级</w:t>
            </w:r>
          </w:p>
        </w:tc>
        <w:tc>
          <w:tcPr>
            <w:tcW w:w="662" w:type="pct"/>
            <w:shd w:val="clear" w:color="auto" w:fill="4472C4"/>
            <w:vAlign w:val="center"/>
          </w:tcPr>
          <w:p w14:paraId="0463F612">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8级</w:t>
            </w:r>
          </w:p>
        </w:tc>
        <w:tc>
          <w:tcPr>
            <w:tcW w:w="589" w:type="pct"/>
            <w:vMerge w:val="continue"/>
            <w:shd w:val="clear" w:color="auto" w:fill="auto"/>
            <w:vAlign w:val="center"/>
          </w:tcPr>
          <w:p w14:paraId="4FD4FBB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589" w:type="pct"/>
            <w:vMerge w:val="continue"/>
            <w:shd w:val="clear" w:color="auto" w:fill="auto"/>
            <w:vAlign w:val="center"/>
          </w:tcPr>
          <w:p w14:paraId="17C434C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675" w:type="pct"/>
            <w:vMerge w:val="continue"/>
            <w:shd w:val="clear" w:color="auto" w:fill="auto"/>
            <w:vAlign w:val="center"/>
          </w:tcPr>
          <w:p w14:paraId="57453B3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556" w:type="pct"/>
            <w:vMerge w:val="continue"/>
            <w:shd w:val="clear" w:color="auto" w:fill="auto"/>
            <w:vAlign w:val="center"/>
          </w:tcPr>
          <w:p w14:paraId="1A9A9F2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605" w:type="pct"/>
            <w:vMerge w:val="continue"/>
            <w:shd w:val="clear" w:color="auto" w:fill="auto"/>
            <w:vAlign w:val="center"/>
          </w:tcPr>
          <w:p w14:paraId="5AC9193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r>
      <w:tr w14:paraId="42601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6" w:type="pct"/>
            <w:gridSpan w:val="3"/>
            <w:shd w:val="clear" w:color="auto" w:fill="auto"/>
            <w:vAlign w:val="center"/>
          </w:tcPr>
          <w:p w14:paraId="0442388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t</w:t>
            </w:r>
          </w:p>
        </w:tc>
        <w:tc>
          <w:tcPr>
            <w:tcW w:w="3014" w:type="pct"/>
            <w:gridSpan w:val="5"/>
            <w:shd w:val="clear" w:color="auto" w:fill="auto"/>
            <w:vAlign w:val="center"/>
          </w:tcPr>
          <w:p w14:paraId="32848BB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mm</w:t>
            </w:r>
          </w:p>
        </w:tc>
      </w:tr>
      <w:tr w14:paraId="60178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206FC4C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w:t>
            </w:r>
          </w:p>
        </w:tc>
        <w:tc>
          <w:tcPr>
            <w:tcW w:w="662" w:type="pct"/>
            <w:shd w:val="clear" w:color="auto" w:fill="auto"/>
            <w:vAlign w:val="center"/>
          </w:tcPr>
          <w:p w14:paraId="6EF7E6D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w:t>
            </w:r>
          </w:p>
        </w:tc>
        <w:tc>
          <w:tcPr>
            <w:tcW w:w="662" w:type="pct"/>
            <w:shd w:val="clear" w:color="auto" w:fill="auto"/>
            <w:vAlign w:val="center"/>
          </w:tcPr>
          <w:p w14:paraId="40DD3BB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589" w:type="pct"/>
            <w:shd w:val="clear" w:color="auto" w:fill="auto"/>
            <w:vAlign w:val="center"/>
          </w:tcPr>
          <w:p w14:paraId="4B0D620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w:t>
            </w:r>
          </w:p>
        </w:tc>
        <w:tc>
          <w:tcPr>
            <w:tcW w:w="589" w:type="pct"/>
            <w:shd w:val="clear" w:color="auto" w:fill="auto"/>
            <w:vAlign w:val="center"/>
          </w:tcPr>
          <w:p w14:paraId="0F21F28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w:t>
            </w:r>
          </w:p>
        </w:tc>
        <w:tc>
          <w:tcPr>
            <w:tcW w:w="675" w:type="pct"/>
            <w:shd w:val="clear" w:color="auto" w:fill="auto"/>
            <w:vAlign w:val="center"/>
          </w:tcPr>
          <w:p w14:paraId="3C906B7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w:t>
            </w:r>
          </w:p>
        </w:tc>
        <w:tc>
          <w:tcPr>
            <w:tcW w:w="556" w:type="pct"/>
            <w:shd w:val="clear" w:color="auto" w:fill="auto"/>
            <w:vAlign w:val="center"/>
          </w:tcPr>
          <w:p w14:paraId="6FE6507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605" w:type="pct"/>
            <w:shd w:val="clear" w:color="auto" w:fill="auto"/>
            <w:vAlign w:val="center"/>
          </w:tcPr>
          <w:p w14:paraId="7067C6A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w:t>
            </w:r>
          </w:p>
        </w:tc>
      </w:tr>
      <w:tr w14:paraId="1F93D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13113B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662" w:type="pct"/>
            <w:shd w:val="clear" w:color="auto" w:fill="auto"/>
            <w:vAlign w:val="center"/>
          </w:tcPr>
          <w:p w14:paraId="1DDA6D5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662" w:type="pct"/>
            <w:shd w:val="clear" w:color="auto" w:fill="auto"/>
            <w:vAlign w:val="center"/>
          </w:tcPr>
          <w:p w14:paraId="4ADE910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w:t>
            </w:r>
          </w:p>
        </w:tc>
        <w:tc>
          <w:tcPr>
            <w:tcW w:w="589" w:type="pct"/>
            <w:shd w:val="clear" w:color="auto" w:fill="auto"/>
            <w:vAlign w:val="center"/>
          </w:tcPr>
          <w:p w14:paraId="17A16B0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w:t>
            </w:r>
          </w:p>
        </w:tc>
        <w:tc>
          <w:tcPr>
            <w:tcW w:w="589" w:type="pct"/>
            <w:shd w:val="clear" w:color="auto" w:fill="auto"/>
            <w:vAlign w:val="center"/>
          </w:tcPr>
          <w:p w14:paraId="642BB3B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75" w:type="pct"/>
            <w:shd w:val="clear" w:color="auto" w:fill="auto"/>
            <w:vAlign w:val="center"/>
          </w:tcPr>
          <w:p w14:paraId="076AB69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88</w:t>
            </w:r>
          </w:p>
        </w:tc>
        <w:tc>
          <w:tcPr>
            <w:tcW w:w="556" w:type="pct"/>
            <w:shd w:val="clear" w:color="auto" w:fill="auto"/>
            <w:vAlign w:val="center"/>
          </w:tcPr>
          <w:p w14:paraId="08D8FDB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605" w:type="pct"/>
            <w:shd w:val="clear" w:color="auto" w:fill="auto"/>
            <w:vAlign w:val="center"/>
          </w:tcPr>
          <w:p w14:paraId="0D5F3BA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r>
      <w:tr w14:paraId="34090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05139F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w:t>
            </w:r>
          </w:p>
        </w:tc>
        <w:tc>
          <w:tcPr>
            <w:tcW w:w="662" w:type="pct"/>
            <w:shd w:val="clear" w:color="auto" w:fill="auto"/>
            <w:vAlign w:val="center"/>
          </w:tcPr>
          <w:p w14:paraId="5A56452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w:t>
            </w:r>
          </w:p>
        </w:tc>
        <w:tc>
          <w:tcPr>
            <w:tcW w:w="662" w:type="pct"/>
            <w:shd w:val="clear" w:color="auto" w:fill="auto"/>
            <w:vAlign w:val="center"/>
          </w:tcPr>
          <w:p w14:paraId="4BDE809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589" w:type="pct"/>
            <w:shd w:val="clear" w:color="auto" w:fill="auto"/>
            <w:vAlign w:val="center"/>
          </w:tcPr>
          <w:p w14:paraId="65183D0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589" w:type="pct"/>
            <w:shd w:val="clear" w:color="auto" w:fill="auto"/>
            <w:vAlign w:val="center"/>
          </w:tcPr>
          <w:p w14:paraId="57B7561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c>
          <w:tcPr>
            <w:tcW w:w="675" w:type="pct"/>
            <w:shd w:val="clear" w:color="auto" w:fill="auto"/>
            <w:vAlign w:val="center"/>
          </w:tcPr>
          <w:p w14:paraId="0972021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99</w:t>
            </w:r>
          </w:p>
        </w:tc>
        <w:tc>
          <w:tcPr>
            <w:tcW w:w="556" w:type="pct"/>
            <w:shd w:val="clear" w:color="auto" w:fill="auto"/>
            <w:vAlign w:val="center"/>
          </w:tcPr>
          <w:p w14:paraId="73D03D9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605" w:type="pct"/>
            <w:shd w:val="clear" w:color="auto" w:fill="auto"/>
            <w:vAlign w:val="center"/>
          </w:tcPr>
          <w:p w14:paraId="0B2BDC28">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r>
      <w:tr w14:paraId="34C3B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6BF497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662" w:type="pct"/>
            <w:shd w:val="clear" w:color="auto" w:fill="auto"/>
            <w:vAlign w:val="center"/>
          </w:tcPr>
          <w:p w14:paraId="4EF11F4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662" w:type="pct"/>
            <w:shd w:val="clear" w:color="auto" w:fill="auto"/>
            <w:vAlign w:val="center"/>
          </w:tcPr>
          <w:p w14:paraId="4CC6DF4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589" w:type="pct"/>
            <w:shd w:val="clear" w:color="auto" w:fill="auto"/>
            <w:vAlign w:val="center"/>
          </w:tcPr>
          <w:p w14:paraId="15ACFF8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c>
          <w:tcPr>
            <w:tcW w:w="589" w:type="pct"/>
            <w:shd w:val="clear" w:color="auto" w:fill="auto"/>
            <w:vAlign w:val="center"/>
          </w:tcPr>
          <w:p w14:paraId="23CE254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675" w:type="pct"/>
            <w:shd w:val="clear" w:color="auto" w:fill="auto"/>
            <w:vAlign w:val="center"/>
          </w:tcPr>
          <w:p w14:paraId="6B9B43F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110</w:t>
            </w:r>
          </w:p>
        </w:tc>
        <w:tc>
          <w:tcPr>
            <w:tcW w:w="556" w:type="pct"/>
            <w:shd w:val="clear" w:color="auto" w:fill="auto"/>
            <w:vAlign w:val="center"/>
          </w:tcPr>
          <w:p w14:paraId="3AFB07D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c>
          <w:tcPr>
            <w:tcW w:w="605" w:type="pct"/>
            <w:shd w:val="clear" w:color="auto" w:fill="auto"/>
            <w:vAlign w:val="center"/>
          </w:tcPr>
          <w:p w14:paraId="012B764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r>
      <w:tr w14:paraId="6AA62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4BA1DB4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w:t>
            </w:r>
          </w:p>
        </w:tc>
        <w:tc>
          <w:tcPr>
            <w:tcW w:w="662" w:type="pct"/>
            <w:shd w:val="clear" w:color="auto" w:fill="auto"/>
            <w:vAlign w:val="center"/>
          </w:tcPr>
          <w:p w14:paraId="06A8D95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662" w:type="pct"/>
            <w:shd w:val="clear" w:color="auto" w:fill="auto"/>
            <w:vAlign w:val="center"/>
          </w:tcPr>
          <w:p w14:paraId="1B31D01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589" w:type="pct"/>
            <w:shd w:val="clear" w:color="auto" w:fill="auto"/>
            <w:vAlign w:val="center"/>
          </w:tcPr>
          <w:p w14:paraId="1F2CD98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589" w:type="pct"/>
            <w:shd w:val="clear" w:color="auto" w:fill="auto"/>
            <w:vAlign w:val="center"/>
          </w:tcPr>
          <w:p w14:paraId="345C629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c>
          <w:tcPr>
            <w:tcW w:w="675" w:type="pct"/>
            <w:shd w:val="clear" w:color="auto" w:fill="auto"/>
            <w:vAlign w:val="center"/>
          </w:tcPr>
          <w:p w14:paraId="66BACEB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w:t>
            </w:r>
          </w:p>
        </w:tc>
        <w:tc>
          <w:tcPr>
            <w:tcW w:w="556" w:type="pct"/>
            <w:shd w:val="clear" w:color="auto" w:fill="auto"/>
            <w:vAlign w:val="center"/>
          </w:tcPr>
          <w:p w14:paraId="3243970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112</w:t>
            </w:r>
          </w:p>
        </w:tc>
        <w:tc>
          <w:tcPr>
            <w:tcW w:w="605" w:type="pct"/>
            <w:shd w:val="clear" w:color="auto" w:fill="auto"/>
            <w:vAlign w:val="center"/>
          </w:tcPr>
          <w:p w14:paraId="1EE2BC8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r>
      <w:tr w14:paraId="0ACCF4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40021D2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662" w:type="pct"/>
            <w:shd w:val="clear" w:color="auto" w:fill="auto"/>
            <w:vAlign w:val="center"/>
          </w:tcPr>
          <w:p w14:paraId="3003C44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662" w:type="pct"/>
            <w:shd w:val="clear" w:color="auto" w:fill="auto"/>
            <w:vAlign w:val="center"/>
          </w:tcPr>
          <w:p w14:paraId="50413B1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589" w:type="pct"/>
            <w:shd w:val="clear" w:color="auto" w:fill="auto"/>
            <w:vAlign w:val="center"/>
          </w:tcPr>
          <w:p w14:paraId="272AF77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c>
          <w:tcPr>
            <w:tcW w:w="589" w:type="pct"/>
            <w:shd w:val="clear" w:color="auto" w:fill="auto"/>
            <w:vAlign w:val="center"/>
          </w:tcPr>
          <w:p w14:paraId="0EBAAF6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75" w:type="pct"/>
            <w:shd w:val="clear" w:color="auto" w:fill="auto"/>
            <w:vAlign w:val="center"/>
          </w:tcPr>
          <w:p w14:paraId="2BABC47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13</w:t>
            </w:r>
          </w:p>
        </w:tc>
        <w:tc>
          <w:tcPr>
            <w:tcW w:w="556" w:type="pct"/>
            <w:shd w:val="clear" w:color="auto" w:fill="auto"/>
            <w:vAlign w:val="center"/>
          </w:tcPr>
          <w:p w14:paraId="211816D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05" w:type="pct"/>
            <w:shd w:val="clear" w:color="auto" w:fill="auto"/>
            <w:vAlign w:val="center"/>
          </w:tcPr>
          <w:p w14:paraId="2292E2C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r>
      <w:tr w14:paraId="6D708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62C5213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662" w:type="pct"/>
            <w:shd w:val="clear" w:color="auto" w:fill="auto"/>
            <w:vAlign w:val="center"/>
          </w:tcPr>
          <w:p w14:paraId="02E6A52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662" w:type="pct"/>
            <w:shd w:val="clear" w:color="auto" w:fill="auto"/>
            <w:vAlign w:val="center"/>
          </w:tcPr>
          <w:p w14:paraId="2EA683C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589" w:type="pct"/>
            <w:shd w:val="clear" w:color="auto" w:fill="auto"/>
            <w:vAlign w:val="center"/>
          </w:tcPr>
          <w:p w14:paraId="6F0528C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589" w:type="pct"/>
            <w:shd w:val="clear" w:color="auto" w:fill="auto"/>
            <w:vAlign w:val="center"/>
          </w:tcPr>
          <w:p w14:paraId="571A922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675" w:type="pct"/>
            <w:shd w:val="clear" w:color="auto" w:fill="auto"/>
            <w:vAlign w:val="center"/>
          </w:tcPr>
          <w:p w14:paraId="282470C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15</w:t>
            </w:r>
          </w:p>
        </w:tc>
        <w:tc>
          <w:tcPr>
            <w:tcW w:w="556" w:type="pct"/>
            <w:shd w:val="clear" w:color="auto" w:fill="auto"/>
            <w:vAlign w:val="center"/>
          </w:tcPr>
          <w:p w14:paraId="000DA5D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140</w:t>
            </w:r>
          </w:p>
        </w:tc>
        <w:tc>
          <w:tcPr>
            <w:tcW w:w="605" w:type="pct"/>
            <w:shd w:val="clear" w:color="auto" w:fill="auto"/>
            <w:vAlign w:val="center"/>
          </w:tcPr>
          <w:p w14:paraId="73A3595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r>
      <w:tr w14:paraId="0E704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8ADC45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662" w:type="pct"/>
            <w:shd w:val="clear" w:color="auto" w:fill="auto"/>
            <w:vAlign w:val="center"/>
          </w:tcPr>
          <w:p w14:paraId="047F3D6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62" w:type="pct"/>
            <w:shd w:val="clear" w:color="auto" w:fill="auto"/>
            <w:vAlign w:val="center"/>
          </w:tcPr>
          <w:p w14:paraId="0DED6B2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589" w:type="pct"/>
            <w:shd w:val="clear" w:color="auto" w:fill="auto"/>
            <w:vAlign w:val="center"/>
          </w:tcPr>
          <w:p w14:paraId="6C2BAF4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589" w:type="pct"/>
            <w:shd w:val="clear" w:color="auto" w:fill="auto"/>
            <w:vAlign w:val="center"/>
          </w:tcPr>
          <w:p w14:paraId="55E751B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675" w:type="pct"/>
            <w:shd w:val="clear" w:color="auto" w:fill="auto"/>
            <w:vAlign w:val="center"/>
          </w:tcPr>
          <w:p w14:paraId="3E66226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178</w:t>
            </w:r>
          </w:p>
        </w:tc>
        <w:tc>
          <w:tcPr>
            <w:tcW w:w="556" w:type="pct"/>
            <w:shd w:val="clear" w:color="auto" w:fill="auto"/>
            <w:vAlign w:val="center"/>
          </w:tcPr>
          <w:p w14:paraId="7923C9B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160</w:t>
            </w:r>
          </w:p>
        </w:tc>
        <w:tc>
          <w:tcPr>
            <w:tcW w:w="605" w:type="pct"/>
            <w:shd w:val="clear" w:color="auto" w:fill="auto"/>
            <w:vAlign w:val="center"/>
          </w:tcPr>
          <w:p w14:paraId="2E05BB3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r>
      <w:tr w14:paraId="0BFB2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22D21F1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662" w:type="pct"/>
            <w:shd w:val="clear" w:color="auto" w:fill="auto"/>
            <w:vAlign w:val="center"/>
          </w:tcPr>
          <w:p w14:paraId="42B7F61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662" w:type="pct"/>
            <w:shd w:val="clear" w:color="auto" w:fill="auto"/>
            <w:vAlign w:val="center"/>
          </w:tcPr>
          <w:p w14:paraId="359C02A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589" w:type="pct"/>
            <w:shd w:val="clear" w:color="auto" w:fill="auto"/>
            <w:vAlign w:val="center"/>
          </w:tcPr>
          <w:p w14:paraId="2FBBBD0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589" w:type="pct"/>
            <w:shd w:val="clear" w:color="auto" w:fill="auto"/>
            <w:vAlign w:val="center"/>
          </w:tcPr>
          <w:p w14:paraId="20713F0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675" w:type="pct"/>
            <w:shd w:val="clear" w:color="auto" w:fill="auto"/>
            <w:vAlign w:val="center"/>
          </w:tcPr>
          <w:p w14:paraId="0AC6D75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198</w:t>
            </w:r>
          </w:p>
        </w:tc>
        <w:tc>
          <w:tcPr>
            <w:tcW w:w="556" w:type="pct"/>
            <w:shd w:val="clear" w:color="auto" w:fill="auto"/>
            <w:vAlign w:val="center"/>
          </w:tcPr>
          <w:p w14:paraId="61583F2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180</w:t>
            </w:r>
          </w:p>
        </w:tc>
        <w:tc>
          <w:tcPr>
            <w:tcW w:w="605" w:type="pct"/>
            <w:shd w:val="clear" w:color="auto" w:fill="auto"/>
            <w:vAlign w:val="center"/>
          </w:tcPr>
          <w:p w14:paraId="306C8D98">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r>
      <w:tr w14:paraId="7EFD4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3EE739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62" w:type="pct"/>
            <w:shd w:val="clear" w:color="auto" w:fill="auto"/>
            <w:vAlign w:val="center"/>
          </w:tcPr>
          <w:p w14:paraId="384CBC2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62" w:type="pct"/>
            <w:shd w:val="clear" w:color="auto" w:fill="auto"/>
            <w:vAlign w:val="center"/>
          </w:tcPr>
          <w:p w14:paraId="79B504B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589" w:type="pct"/>
            <w:shd w:val="clear" w:color="auto" w:fill="auto"/>
            <w:vAlign w:val="center"/>
          </w:tcPr>
          <w:p w14:paraId="414A419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589" w:type="pct"/>
            <w:shd w:val="clear" w:color="auto" w:fill="auto"/>
            <w:vAlign w:val="center"/>
          </w:tcPr>
          <w:p w14:paraId="5DFF15C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c>
          <w:tcPr>
            <w:tcW w:w="675" w:type="pct"/>
            <w:shd w:val="clear" w:color="auto" w:fill="auto"/>
            <w:vAlign w:val="center"/>
          </w:tcPr>
          <w:p w14:paraId="024973D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220</w:t>
            </w:r>
          </w:p>
        </w:tc>
        <w:tc>
          <w:tcPr>
            <w:tcW w:w="556" w:type="pct"/>
            <w:shd w:val="clear" w:color="auto" w:fill="auto"/>
            <w:vAlign w:val="center"/>
          </w:tcPr>
          <w:p w14:paraId="448F157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200</w:t>
            </w:r>
          </w:p>
        </w:tc>
        <w:tc>
          <w:tcPr>
            <w:tcW w:w="605" w:type="pct"/>
            <w:shd w:val="clear" w:color="auto" w:fill="auto"/>
            <w:vAlign w:val="center"/>
          </w:tcPr>
          <w:p w14:paraId="7098B7E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r>
    </w:tbl>
    <w:p w14:paraId="2B473CC5">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四点吊的</w:t>
      </w:r>
      <w:r>
        <w:rPr>
          <w:rFonts w:hint="eastAsia" w:ascii="Times New Roman" w:hAnsi="Times New Roman" w:cs="Times New Roman"/>
          <w:highlight w:val="none"/>
          <w:lang w:eastAsia="zh-CN"/>
        </w:rPr>
        <w:t>塔机</w:t>
      </w:r>
      <w:r>
        <w:rPr>
          <w:rFonts w:hint="eastAsia" w:ascii="Times New Roman" w:hAnsi="Times New Roman" w:eastAsia="宋体" w:cs="Times New Roman"/>
          <w:highlight w:val="none"/>
        </w:rPr>
        <w:t>主要部件</w:t>
      </w:r>
      <w:r>
        <w:rPr>
          <w:rFonts w:hint="eastAsia" w:cs="Times New Roman"/>
          <w:highlight w:val="none"/>
          <w:lang w:val="en-US" w:eastAsia="zh-CN"/>
        </w:rPr>
        <w:t>为</w:t>
      </w:r>
      <w:r>
        <w:rPr>
          <w:rFonts w:hint="eastAsia" w:ascii="Times New Roman" w:hAnsi="Times New Roman" w:cs="Times New Roman"/>
          <w:highlight w:val="none"/>
          <w:lang w:val="en-US" w:eastAsia="zh-CN"/>
        </w:rPr>
        <w:t>爬升架</w:t>
      </w:r>
      <w:r>
        <w:rPr>
          <w:rFonts w:hint="eastAsia" w:cs="Times New Roman"/>
          <w:highlight w:val="none"/>
          <w:lang w:eastAsia="zh-CN"/>
        </w:rPr>
        <w:t>，</w:t>
      </w:r>
      <w:r>
        <w:rPr>
          <w:rFonts w:hint="eastAsia" w:ascii="Times New Roman" w:hAnsi="Times New Roman" w:cs="Times New Roman"/>
          <w:highlight w:val="none"/>
          <w:lang w:val="en-US" w:eastAsia="zh-CN"/>
        </w:rPr>
        <w:t>爬升架</w:t>
      </w:r>
      <w:r>
        <w:rPr>
          <w:rFonts w:hint="eastAsia" w:ascii="Times New Roman" w:hAnsi="Times New Roman" w:eastAsia="宋体" w:cs="Times New Roman"/>
          <w:highlight w:val="none"/>
        </w:rPr>
        <w:t>最大重量约</w:t>
      </w:r>
      <w:r>
        <w:rPr>
          <w:rFonts w:hint="eastAsia" w:ascii="Times New Roman" w:hAnsi="Times New Roman" w:cs="Times New Roman"/>
          <w:highlight w:val="none"/>
          <w:lang w:val="en-US" w:eastAsia="zh-CN"/>
        </w:rPr>
        <w:t>5.75</w:t>
      </w:r>
      <w:r>
        <w:rPr>
          <w:rFonts w:hint="eastAsia" w:ascii="Times New Roman" w:hAnsi="Times New Roman" w:eastAsia="宋体" w:cs="Times New Roman"/>
          <w:highlight w:val="none"/>
          <w:lang w:val="en-US" w:eastAsia="zh-CN"/>
        </w:rPr>
        <w:t>t</w:t>
      </w:r>
      <w:r>
        <w:rPr>
          <w:rFonts w:hint="eastAsia" w:ascii="Times New Roman" w:hAnsi="Times New Roman" w:eastAsia="宋体" w:cs="Times New Roman"/>
          <w:highlight w:val="none"/>
        </w:rPr>
        <w:t>，钢丝绳连接卸扣工作荷载：</w:t>
      </w:r>
    </w:p>
    <w:p w14:paraId="33190F2F">
      <w:pPr>
        <w:ind w:firstLine="480"/>
        <w:rPr>
          <w:rFonts w:ascii="Times New Roman" w:hAnsi="Times New Roman" w:eastAsia="宋体" w:cs="Times New Roman"/>
          <w:highlight w:val="none"/>
        </w:rPr>
      </w:pPr>
      <m:oMath>
        <m:r>
          <m:rPr>
            <m:nor/>
            <m:sty m:val="p"/>
          </m:rPr>
          <w:rPr>
            <w:rFonts w:hint="eastAsia" w:ascii="Cambria Math" w:hAnsi="Cambria Math" w:eastAsia="宋体" w:cs="Times New Roman"/>
            <w:b w:val="0"/>
            <w:i w:val="0"/>
            <w:highlight w:val="none"/>
            <w:lang w:val="en-US" w:eastAsia="zh-CN"/>
          </w:rPr>
          <m:t>WL</m:t>
        </m:r>
        <m:sSub>
          <m:sSubPr>
            <m:ctrlPr>
              <w:rPr>
                <w:rFonts w:hint="eastAsia" w:ascii="Cambria Math" w:hAnsi="Cambria Math" w:eastAsia="宋体" w:cs="Times New Roman"/>
                <w:highlight w:val="none"/>
                <w:lang w:val="en-US" w:eastAsia="zh-CN"/>
              </w:rPr>
            </m:ctrlPr>
          </m:sSubPr>
          <m:e>
            <m:r>
              <m:rPr>
                <m:nor/>
                <m:sty m:val="p"/>
              </m:rPr>
              <w:rPr>
                <w:rFonts w:hint="eastAsia" w:ascii="Cambria Math" w:hAnsi="Cambria Math" w:eastAsia="宋体" w:cs="Times New Roman"/>
                <w:b w:val="0"/>
                <w:i w:val="0"/>
                <w:highlight w:val="none"/>
                <w:lang w:val="en-US" w:eastAsia="zh-CN"/>
              </w:rPr>
              <m:t>L</m:t>
            </m:r>
            <m:ctrlPr>
              <w:rPr>
                <w:rFonts w:hint="eastAsia" w:ascii="Cambria Math" w:hAnsi="Cambria Math" w:eastAsia="宋体" w:cs="Times New Roman"/>
                <w:highlight w:val="none"/>
                <w:lang w:val="en-US" w:eastAsia="zh-CN"/>
              </w:rPr>
            </m:ctrlPr>
          </m:e>
          <m:sub>
            <m:r>
              <m:rPr>
                <m:nor/>
                <m:sty m:val="p"/>
              </m:rPr>
              <w:rPr>
                <w:rFonts w:hint="eastAsia" w:ascii="Cambria Math" w:hAnsi="Cambria Math" w:eastAsia="宋体" w:cs="Times New Roman"/>
                <w:b w:val="0"/>
                <w:i w:val="0"/>
                <w:highlight w:val="none"/>
                <w:lang w:val="en-US" w:eastAsia="zh-CN"/>
              </w:rPr>
              <m:t>0</m:t>
            </m:r>
            <m:ctrlPr>
              <w:rPr>
                <w:rFonts w:hint="eastAsia" w:ascii="Cambria Math" w:hAnsi="Cambria Math" w:eastAsia="宋体" w:cs="Times New Roman"/>
                <w:highlight w:val="none"/>
                <w:lang w:val="en-US" w:eastAsia="zh-CN"/>
              </w:rPr>
            </m:ctrlPr>
          </m:sub>
        </m:sSub>
        <m:r>
          <m:rPr>
            <m:nor/>
            <m:sty m:val="p"/>
          </m:rPr>
          <w:rPr>
            <w:rFonts w:hint="eastAsia" w:ascii="Cambria Math" w:hAnsi="Cambria Math" w:eastAsia="宋体" w:cs="Times New Roman"/>
            <w:b w:val="0"/>
            <w:i w:val="0"/>
            <w:highlight w:val="none"/>
            <w:lang w:val="en-US" w:eastAsia="zh-CN"/>
          </w:rPr>
          <m:t>=</m:t>
        </m:r>
        <m:f>
          <m:fPr>
            <m:ctrlPr>
              <w:rPr>
                <w:rFonts w:hint="eastAsia" w:ascii="Cambria Math" w:hAnsi="Cambria Math" w:eastAsia="宋体" w:cs="Times New Roman"/>
                <w:highlight w:val="none"/>
                <w:lang w:val="en-US" w:eastAsia="zh-CN"/>
              </w:rPr>
            </m:ctrlPr>
          </m:fPr>
          <m:num>
            <m:r>
              <m:rPr>
                <m:sty m:val="p"/>
              </m:rPr>
              <w:rPr>
                <w:rFonts w:hint="default" w:ascii="Cambria Math" w:hAnsi="Cambria Math" w:cs="Times New Roman"/>
                <w:highlight w:val="none"/>
                <w:lang w:val="en-US" w:eastAsia="zh-CN"/>
              </w:rPr>
              <m:t>179.02</m:t>
            </m:r>
            <m:ctrlPr>
              <w:rPr>
                <w:rFonts w:hint="eastAsia" w:ascii="Cambria Math" w:hAnsi="Cambria Math" w:eastAsia="宋体" w:cs="Times New Roman"/>
                <w:highlight w:val="none"/>
                <w:lang w:val="en-US" w:eastAsia="zh-CN"/>
              </w:rPr>
            </m:ctrlPr>
          </m:num>
          <m:den>
            <m:r>
              <m:rPr>
                <m:nor/>
                <m:sty m:val="p"/>
              </m:rPr>
              <w:rPr>
                <w:rFonts w:hint="eastAsia" w:ascii="Cambria Math" w:hAnsi="Cambria Math" w:eastAsia="宋体" w:cs="Times New Roman"/>
                <w:b w:val="0"/>
                <w:i w:val="0"/>
                <w:highlight w:val="none"/>
                <w:lang w:val="en-US" w:eastAsia="zh-CN"/>
              </w:rPr>
              <m:t>6</m:t>
            </m:r>
            <m:ctrlPr>
              <w:rPr>
                <w:rFonts w:hint="eastAsia" w:ascii="Cambria Math" w:hAnsi="Cambria Math" w:eastAsia="宋体" w:cs="Times New Roman"/>
                <w:highlight w:val="none"/>
                <w:lang w:val="en-US" w:eastAsia="zh-CN"/>
              </w:rPr>
            </m:ctrlPr>
          </m:den>
        </m:f>
        <m:r>
          <m:rPr>
            <m:nor/>
            <m:sty m:val="p"/>
          </m:rPr>
          <w:rPr>
            <w:rFonts w:hint="eastAsia" w:ascii="Cambria Math" w:hAnsi="Cambria Math" w:eastAsia="宋体" w:cs="Times New Roman"/>
            <w:b w:val="0"/>
            <w:i w:val="0"/>
            <w:highlight w:val="none"/>
            <w:lang w:val="en-US" w:eastAsia="zh-CN"/>
          </w:rPr>
          <m:t>=</m:t>
        </m:r>
        <m:r>
          <m:rPr>
            <m:nor/>
            <m:sty m:val="p"/>
          </m:rPr>
          <w:rPr>
            <w:rFonts w:hint="default" w:ascii="Cambria Math" w:hAnsi="Cambria Math" w:cs="Times New Roman"/>
            <w:b w:val="0"/>
            <w:i w:val="0"/>
            <w:highlight w:val="none"/>
            <w:lang w:val="en-US" w:eastAsia="zh-CN"/>
          </w:rPr>
          <m:t>29.84</m:t>
        </m:r>
        <m:r>
          <m:rPr>
            <m:nor/>
            <m:sty m:val="p"/>
          </m:rPr>
          <w:rPr>
            <w:rFonts w:hint="default" w:ascii="Cambria Math" w:hAnsi="Cambria Math" w:eastAsia="宋体" w:cs="Times New Roman"/>
            <w:b w:val="0"/>
            <w:i w:val="0"/>
            <w:highlight w:val="none"/>
            <w:lang w:val="en-US" w:eastAsia="zh-CN"/>
          </w:rPr>
          <m:t>kN</m:t>
        </m:r>
      </m:oMath>
      <w:r>
        <w:rPr>
          <w:rFonts w:hint="eastAsia" w:ascii="Times New Roman" w:hAnsi="Times New Roman" w:eastAsia="宋体" w:cs="Times New Roman"/>
          <w:highlight w:val="none"/>
        </w:rPr>
        <w:t>，选用卸扣GB/T25854-6-DW</w:t>
      </w:r>
      <w:r>
        <w:rPr>
          <w:rFonts w:hint="eastAsia" w:ascii="Times New Roman" w:hAnsi="Times New Roman" w:cs="Times New Roman"/>
          <w:highlight w:val="none"/>
          <w:lang w:val="en-US" w:eastAsia="zh-CN"/>
        </w:rPr>
        <w:t>5</w:t>
      </w:r>
      <w:r>
        <w:rPr>
          <w:rFonts w:hint="eastAsia" w:ascii="Times New Roman" w:hAnsi="Times New Roman" w:eastAsia="宋体" w:cs="Times New Roman"/>
          <w:highlight w:val="none"/>
        </w:rPr>
        <w:t>。</w:t>
      </w:r>
    </w:p>
    <w:p w14:paraId="4899DA47">
      <w:pPr>
        <w:ind w:firstLine="480"/>
        <w:rPr>
          <w:rFonts w:ascii="Times New Roman" w:hAnsi="Times New Roman" w:eastAsia="宋体" w:cs="Times New Roman"/>
          <w:highlight w:val="none"/>
        </w:rPr>
      </w:pPr>
      <w:r>
        <w:rPr>
          <w:rFonts w:hint="eastAsia" w:cs="Times New Roman"/>
          <w:highlight w:val="none"/>
          <w:lang w:val="en-US" w:eastAsia="zh-CN"/>
        </w:rPr>
        <w:t>两</w:t>
      </w:r>
      <w:r>
        <w:rPr>
          <w:rFonts w:hint="eastAsia" w:ascii="Times New Roman" w:hAnsi="Times New Roman" w:eastAsia="宋体" w:cs="Times New Roman"/>
          <w:highlight w:val="none"/>
        </w:rPr>
        <w:t>点吊的</w:t>
      </w:r>
      <w:r>
        <w:rPr>
          <w:rFonts w:hint="eastAsia" w:ascii="Times New Roman" w:hAnsi="Times New Roman" w:cs="Times New Roman"/>
          <w:highlight w:val="none"/>
          <w:lang w:eastAsia="zh-CN"/>
        </w:rPr>
        <w:t>塔机</w:t>
      </w:r>
      <w:r>
        <w:rPr>
          <w:rFonts w:hint="eastAsia" w:ascii="Times New Roman" w:hAnsi="Times New Roman" w:eastAsia="宋体" w:cs="Times New Roman"/>
          <w:highlight w:val="none"/>
        </w:rPr>
        <w:t>主要部件</w:t>
      </w:r>
      <w:r>
        <w:rPr>
          <w:rFonts w:hint="eastAsia" w:cs="Times New Roman"/>
          <w:highlight w:val="none"/>
          <w:lang w:val="en-US" w:eastAsia="zh-CN"/>
        </w:rPr>
        <w:t>为</w:t>
      </w:r>
      <w:r>
        <w:rPr>
          <w:rFonts w:hint="eastAsia" w:ascii="Times New Roman" w:hAnsi="Times New Roman" w:cs="Times New Roman"/>
          <w:highlight w:val="none"/>
          <w:lang w:val="en-US" w:eastAsia="zh-CN"/>
        </w:rPr>
        <w:t>平衡重</w:t>
      </w:r>
      <w:r>
        <w:rPr>
          <w:rFonts w:hint="eastAsia" w:cs="Times New Roman"/>
          <w:highlight w:val="none"/>
          <w:lang w:eastAsia="zh-CN"/>
        </w:rPr>
        <w:t>，</w:t>
      </w:r>
      <w:r>
        <w:rPr>
          <w:rFonts w:hint="eastAsia" w:ascii="Times New Roman" w:hAnsi="Times New Roman" w:cs="Times New Roman"/>
          <w:highlight w:val="none"/>
          <w:lang w:val="en-US" w:eastAsia="zh-CN"/>
        </w:rPr>
        <w:t>平衡重</w:t>
      </w:r>
      <w:r>
        <w:rPr>
          <w:rFonts w:hint="eastAsia" w:ascii="Times New Roman" w:hAnsi="Times New Roman" w:eastAsia="宋体" w:cs="Times New Roman"/>
          <w:highlight w:val="none"/>
        </w:rPr>
        <w:t>最大重量</w:t>
      </w:r>
      <w:r>
        <w:rPr>
          <w:rFonts w:hint="eastAsia" w:ascii="Times New Roman" w:hAnsi="Times New Roman" w:cs="Times New Roman"/>
          <w:highlight w:val="none"/>
          <w:lang w:val="en-US" w:eastAsia="zh-CN"/>
        </w:rPr>
        <w:t>约3.25</w:t>
      </w:r>
      <w:r>
        <w:rPr>
          <w:rFonts w:hint="eastAsia" w:ascii="Times New Roman" w:hAnsi="Times New Roman" w:eastAsia="宋体" w:cs="Times New Roman"/>
          <w:highlight w:val="none"/>
          <w:lang w:val="en-US" w:eastAsia="zh-CN"/>
        </w:rPr>
        <w:t>t</w:t>
      </w:r>
      <w:r>
        <w:rPr>
          <w:rFonts w:hint="eastAsia" w:ascii="Times New Roman" w:hAnsi="Times New Roman" w:eastAsia="宋体" w:cs="Times New Roman"/>
          <w:highlight w:val="none"/>
        </w:rPr>
        <w:t>，钢丝绳连接卸扣工作荷载：</w:t>
      </w:r>
    </w:p>
    <w:p w14:paraId="4F3B97A0">
      <w:pPr>
        <w:ind w:firstLine="480"/>
        <w:rPr>
          <w:rFonts w:hint="eastAsia" w:ascii="Times New Roman" w:hAnsi="Times New Roman" w:eastAsia="宋体" w:cs="Times New Roman"/>
          <w:highlight w:val="none"/>
        </w:rPr>
      </w:pPr>
      <m:oMath>
        <m:r>
          <m:rPr>
            <m:nor/>
            <m:sty m:val="p"/>
          </m:rPr>
          <w:rPr>
            <w:rFonts w:ascii="Cambria Math" w:cs="Times New Roman"/>
            <w:b w:val="0"/>
            <w:i w:val="0"/>
            <w:highlight w:val="none"/>
          </w:rPr>
          <m:t>WL</m:t>
        </m:r>
        <m:sSub>
          <m:sSubPr>
            <m:ctrlPr>
              <w:rPr>
                <w:rFonts w:ascii="Cambria Math" w:hAnsi="Cambria Math" w:cs="Times New Roman"/>
                <w:i/>
                <w:highlight w:val="none"/>
              </w:rPr>
            </m:ctrlPr>
          </m:sSubPr>
          <m:e>
            <m:r>
              <m:rPr>
                <m:nor/>
                <m:sty m:val="p"/>
              </m:rPr>
              <w:rPr>
                <w:rFonts w:ascii="Cambria Math" w:cs="Times New Roman"/>
                <w:b w:val="0"/>
                <w:i w:val="0"/>
                <w:highlight w:val="none"/>
              </w:rPr>
              <m:t>L</m:t>
            </m:r>
            <m:ctrlPr>
              <w:rPr>
                <w:rFonts w:ascii="Cambria Math" w:hAnsi="Cambria Math" w:cs="Times New Roman"/>
                <w:i/>
                <w:highlight w:val="none"/>
              </w:rPr>
            </m:ctrlPr>
          </m:e>
          <m:sub>
            <m:r>
              <m:rPr>
                <m:nor/>
                <m:sty m:val="p"/>
              </m:rPr>
              <w:rPr>
                <w:rFonts w:ascii="Cambria Math" w:cs="Times New Roman"/>
                <w:b w:val="0"/>
                <w:i w:val="0"/>
                <w:highlight w:val="none"/>
              </w:rPr>
              <m:t>0</m:t>
            </m:r>
            <m:ctrlPr>
              <w:rPr>
                <w:rFonts w:ascii="Cambria Math" w:hAnsi="Cambria Math" w:cs="Times New Roman"/>
                <w:i/>
                <w:highlight w:val="none"/>
              </w:rPr>
            </m:ctrlPr>
          </m:sub>
        </m:sSub>
        <m:r>
          <m:rPr>
            <m:nor/>
            <m:sty m:val="p"/>
          </m:rPr>
          <w:rPr>
            <w:rFonts w:ascii="Cambria Math" w:cs="Times New Roman"/>
            <w:b w:val="0"/>
            <w:i w:val="0"/>
            <w:highlight w:val="none"/>
          </w:rPr>
          <m:t>=</m:t>
        </m:r>
        <m:f>
          <m:fPr>
            <m:ctrlPr>
              <w:rPr>
                <w:rFonts w:ascii="Cambria Math" w:hAnsi="Cambria Math" w:cs="Times New Roman"/>
                <w:i/>
                <w:highlight w:val="none"/>
              </w:rPr>
            </m:ctrlPr>
          </m:fPr>
          <m:num>
            <m:r>
              <m:rPr/>
              <w:rPr>
                <w:rFonts w:hint="default" w:ascii="Cambria Math" w:hAnsi="Cambria Math" w:cs="Times New Roman"/>
                <w:highlight w:val="none"/>
                <w:lang w:val="en-US" w:eastAsia="zh-CN"/>
              </w:rPr>
              <m:t>151.77</m:t>
            </m:r>
            <m:ctrlPr>
              <w:rPr>
                <w:rFonts w:ascii="Cambria Math" w:hAnsi="Cambria Math" w:cs="Times New Roman"/>
                <w:i/>
                <w:highlight w:val="none"/>
              </w:rPr>
            </m:ctrlPr>
          </m:num>
          <m:den>
            <m:r>
              <m:rPr>
                <m:nor/>
                <m:sty m:val="p"/>
              </m:rPr>
              <w:rPr>
                <w:rFonts w:ascii="Cambria Math" w:cs="Times New Roman"/>
                <w:b w:val="0"/>
                <w:i w:val="0"/>
                <w:highlight w:val="none"/>
              </w:rPr>
              <m:t>6</m:t>
            </m:r>
            <m:ctrlPr>
              <w:rPr>
                <w:rFonts w:ascii="Cambria Math" w:hAnsi="Cambria Math" w:cs="Times New Roman"/>
                <w:i/>
                <w:highlight w:val="none"/>
              </w:rPr>
            </m:ctrlPr>
          </m:den>
        </m:f>
        <m:r>
          <m:rPr>
            <m:nor/>
            <m:sty m:val="p"/>
          </m:rPr>
          <w:rPr>
            <w:rFonts w:ascii="Cambria Math" w:cs="Times New Roman"/>
            <w:b w:val="0"/>
            <w:i w:val="0"/>
            <w:highlight w:val="none"/>
          </w:rPr>
          <m:t>=</m:t>
        </m:r>
        <m:r>
          <m:rPr>
            <m:nor/>
            <m:sty m:val="p"/>
          </m:rPr>
          <w:rPr>
            <w:rFonts w:hint="default" w:ascii="Cambria Math" w:cs="Times New Roman"/>
            <w:b w:val="0"/>
            <w:i w:val="0"/>
            <w:highlight w:val="none"/>
            <w:lang w:val="en-US" w:eastAsia="zh-CN"/>
          </w:rPr>
          <m:t>25.30</m:t>
        </m:r>
        <m:r>
          <m:rPr>
            <m:nor/>
            <m:sty m:val="p"/>
          </m:rPr>
          <w:rPr>
            <w:rFonts w:hint="eastAsia" w:ascii="Cambria Math" w:cs="Times New Roman"/>
            <w:b w:val="0"/>
            <w:i w:val="0"/>
            <w:highlight w:val="none"/>
            <w:lang w:val="en-US" w:eastAsia="zh-CN"/>
          </w:rPr>
          <m:t>k</m:t>
        </m:r>
        <m:r>
          <m:rPr>
            <m:nor/>
            <m:sty m:val="p"/>
          </m:rPr>
          <w:rPr>
            <w:rFonts w:ascii="Cambria Math" w:cs="Times New Roman"/>
            <w:b w:val="0"/>
            <w:i w:val="0"/>
            <w:highlight w:val="none"/>
          </w:rPr>
          <m:t>N</m:t>
        </m:r>
      </m:oMath>
      <w:r>
        <w:rPr>
          <w:rFonts w:hint="eastAsia" w:ascii="Times New Roman" w:hAnsi="Times New Roman" w:eastAsia="宋体" w:cs="Times New Roman"/>
          <w:highlight w:val="none"/>
        </w:rPr>
        <w:t>，选用卸扣GB/T25854-6-DW</w:t>
      </w:r>
      <w:r>
        <w:rPr>
          <w:rFonts w:hint="eastAsia" w:ascii="Times New Roman" w:hAnsi="Times New Roman" w:cs="Times New Roman"/>
          <w:highlight w:val="none"/>
          <w:lang w:val="en-US" w:eastAsia="zh-CN"/>
        </w:rPr>
        <w:t>5</w:t>
      </w:r>
      <w:r>
        <w:rPr>
          <w:rFonts w:hint="eastAsia" w:ascii="Times New Roman" w:hAnsi="Times New Roman" w:eastAsia="宋体" w:cs="Times New Roman"/>
          <w:highlight w:val="none"/>
        </w:rPr>
        <w:t>。</w:t>
      </w:r>
    </w:p>
    <w:p w14:paraId="22DB5F92">
      <w:pPr>
        <w:ind w:firstLine="420" w:firstLineChars="0"/>
        <w:rPr>
          <w:highlight w:val="none"/>
        </w:rPr>
      </w:pPr>
      <w:r>
        <w:rPr>
          <w:color w:val="auto"/>
          <w:highlight w:val="none"/>
        </w:rPr>
        <w:t>根据</w:t>
      </w:r>
      <w:r>
        <w:rPr>
          <w:rFonts w:hint="eastAsia"/>
          <w:color w:val="auto"/>
          <w:highlight w:val="none"/>
          <w:lang w:eastAsia="zh-CN"/>
        </w:rPr>
        <w:t>塔机</w:t>
      </w:r>
      <w:r>
        <w:rPr>
          <w:color w:val="auto"/>
          <w:highlight w:val="none"/>
        </w:rPr>
        <w:t>基础设计参数及</w:t>
      </w:r>
      <w:r>
        <w:rPr>
          <w:rFonts w:hint="eastAsia"/>
          <w:color w:val="auto"/>
          <w:highlight w:val="none"/>
          <w:lang w:eastAsia="zh-CN"/>
        </w:rPr>
        <w:t>塔机</w:t>
      </w:r>
      <w:r>
        <w:rPr>
          <w:color w:val="auto"/>
          <w:highlight w:val="none"/>
        </w:rPr>
        <w:t>主要部件重量及吊</w:t>
      </w:r>
      <w:r>
        <w:rPr>
          <w:rFonts w:hint="eastAsia"/>
          <w:color w:val="auto"/>
          <w:highlight w:val="none"/>
        </w:rPr>
        <w:t>装</w:t>
      </w:r>
      <w:r>
        <w:rPr>
          <w:color w:val="auto"/>
          <w:highlight w:val="none"/>
        </w:rPr>
        <w:t>高度，确定安装过程中所需的最大吊重、最大钢丝绳夹角，结合施工现场实际情况，确定起重钢丝绳型号。钢丝绳及卸扣选型见下表。</w:t>
      </w:r>
    </w:p>
    <w:p w14:paraId="6D8DC8A9">
      <w:pPr>
        <w:pStyle w:val="15"/>
        <w:rPr>
          <w:color w:val="auto"/>
          <w:highlight w:val="none"/>
        </w:rPr>
      </w:pPr>
      <w:r>
        <w:rPr>
          <w:color w:val="auto"/>
          <w:highlight w:val="none"/>
        </w:rPr>
        <w:t>表</w:t>
      </w:r>
      <w:r>
        <w:rPr>
          <w:rFonts w:hint="eastAsia"/>
          <w:color w:val="auto"/>
          <w:highlight w:val="none"/>
          <w:lang w:val="en-US" w:eastAsia="zh-CN"/>
        </w:rPr>
        <w:t>4.2.2-2</w:t>
      </w:r>
      <w:r>
        <w:rPr>
          <w:color w:val="auto"/>
          <w:highlight w:val="none"/>
        </w:rPr>
        <w:t>钢丝绳选型表</w:t>
      </w:r>
    </w:p>
    <w:tbl>
      <w:tblPr>
        <w:tblStyle w:val="31"/>
        <w:tblW w:w="650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9"/>
        <w:gridCol w:w="1559"/>
        <w:gridCol w:w="2835"/>
        <w:gridCol w:w="567"/>
        <w:gridCol w:w="567"/>
      </w:tblGrid>
      <w:tr w14:paraId="6E3A0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979" w:type="dxa"/>
            <w:vAlign w:val="center"/>
          </w:tcPr>
          <w:p w14:paraId="1E8BDD9B">
            <w:pPr>
              <w:pStyle w:val="166"/>
              <w:rPr>
                <w:b w:val="0"/>
                <w:color w:val="auto"/>
              </w:rPr>
            </w:pPr>
            <w:r>
              <w:rPr>
                <w:b/>
                <w:color w:val="auto"/>
              </w:rPr>
              <w:t>序号</w:t>
            </w:r>
          </w:p>
        </w:tc>
        <w:tc>
          <w:tcPr>
            <w:tcW w:w="1559" w:type="dxa"/>
            <w:vAlign w:val="center"/>
          </w:tcPr>
          <w:p w14:paraId="5F3CBD3C">
            <w:pPr>
              <w:pStyle w:val="166"/>
              <w:rPr>
                <w:b w:val="0"/>
                <w:color w:val="auto"/>
              </w:rPr>
            </w:pPr>
            <w:r>
              <w:rPr>
                <w:b/>
                <w:color w:val="auto"/>
              </w:rPr>
              <w:t>设备名称</w:t>
            </w:r>
          </w:p>
        </w:tc>
        <w:tc>
          <w:tcPr>
            <w:tcW w:w="2835" w:type="dxa"/>
            <w:vAlign w:val="center"/>
          </w:tcPr>
          <w:p w14:paraId="16AC168F">
            <w:pPr>
              <w:pStyle w:val="166"/>
              <w:rPr>
                <w:b w:val="0"/>
                <w:color w:val="auto"/>
              </w:rPr>
            </w:pPr>
            <w:r>
              <w:rPr>
                <w:b/>
                <w:color w:val="auto"/>
              </w:rPr>
              <w:t>规格型号</w:t>
            </w:r>
          </w:p>
        </w:tc>
        <w:tc>
          <w:tcPr>
            <w:tcW w:w="567" w:type="dxa"/>
            <w:vAlign w:val="center"/>
          </w:tcPr>
          <w:p w14:paraId="01C20C6B">
            <w:pPr>
              <w:pStyle w:val="166"/>
              <w:rPr>
                <w:b w:val="0"/>
                <w:color w:val="auto"/>
              </w:rPr>
            </w:pPr>
            <w:r>
              <w:rPr>
                <w:b/>
                <w:color w:val="auto"/>
              </w:rPr>
              <w:t>单位</w:t>
            </w:r>
          </w:p>
        </w:tc>
        <w:tc>
          <w:tcPr>
            <w:tcW w:w="567" w:type="dxa"/>
            <w:vAlign w:val="center"/>
          </w:tcPr>
          <w:p w14:paraId="06B8DE46">
            <w:pPr>
              <w:pStyle w:val="166"/>
              <w:rPr>
                <w:b w:val="0"/>
                <w:color w:val="auto"/>
              </w:rPr>
            </w:pPr>
            <w:r>
              <w:rPr>
                <w:b/>
                <w:color w:val="auto"/>
              </w:rPr>
              <w:t>数量</w:t>
            </w:r>
          </w:p>
        </w:tc>
      </w:tr>
      <w:tr w14:paraId="78442A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79" w:type="dxa"/>
            <w:vAlign w:val="center"/>
          </w:tcPr>
          <w:p w14:paraId="2FC243D7">
            <w:pPr>
              <w:pStyle w:val="166"/>
              <w:rPr>
                <w:rFonts w:hint="default" w:eastAsia="宋体"/>
                <w:color w:val="auto"/>
                <w:lang w:val="en-US" w:eastAsia="zh-CN"/>
              </w:rPr>
            </w:pPr>
            <w:r>
              <w:rPr>
                <w:rFonts w:hint="eastAsia"/>
                <w:color w:val="auto"/>
                <w:lang w:val="en-US" w:eastAsia="zh-CN"/>
              </w:rPr>
              <w:t>1</w:t>
            </w:r>
          </w:p>
        </w:tc>
        <w:tc>
          <w:tcPr>
            <w:tcW w:w="1559" w:type="dxa"/>
            <w:vAlign w:val="center"/>
          </w:tcPr>
          <w:p w14:paraId="7AA6E8E1">
            <w:pPr>
              <w:pStyle w:val="166"/>
              <w:rPr>
                <w:color w:val="auto"/>
              </w:rPr>
            </w:pPr>
            <w:r>
              <w:rPr>
                <w:color w:val="auto"/>
              </w:rPr>
              <w:t>起重用钢丝绳</w:t>
            </w:r>
          </w:p>
        </w:tc>
        <w:tc>
          <w:tcPr>
            <w:tcW w:w="2835" w:type="dxa"/>
            <w:vAlign w:val="center"/>
          </w:tcPr>
          <w:p w14:paraId="0DC5F848">
            <w:pPr>
              <w:pStyle w:val="166"/>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18</w:t>
            </w:r>
            <w:r>
              <w:rPr>
                <w:rFonts w:hint="eastAsia" w:ascii="Times New Roman" w:hAnsi="Times New Roman" w:eastAsia="宋体" w:cs="Times New Roman"/>
                <w:color w:val="auto"/>
                <w:kern w:val="2"/>
                <w:sz w:val="21"/>
                <w:szCs w:val="21"/>
                <w:highlight w:val="none"/>
                <w:lang w:val="en-US" w:eastAsia="zh-CN" w:bidi="ar-SA"/>
              </w:rPr>
              <w:t>mm6×19W+IWR1870Mpa</w:t>
            </w:r>
          </w:p>
        </w:tc>
        <w:tc>
          <w:tcPr>
            <w:tcW w:w="567" w:type="dxa"/>
            <w:vAlign w:val="center"/>
          </w:tcPr>
          <w:p w14:paraId="6382F595">
            <w:pPr>
              <w:pStyle w:val="166"/>
              <w:rPr>
                <w:color w:val="auto"/>
              </w:rPr>
            </w:pPr>
            <w:r>
              <w:rPr>
                <w:color w:val="auto"/>
              </w:rPr>
              <w:t>根</w:t>
            </w:r>
          </w:p>
        </w:tc>
        <w:tc>
          <w:tcPr>
            <w:tcW w:w="567" w:type="dxa"/>
            <w:vAlign w:val="center"/>
          </w:tcPr>
          <w:p w14:paraId="33DA2E9F">
            <w:pPr>
              <w:pStyle w:val="166"/>
              <w:rPr>
                <w:rFonts w:hint="eastAsia" w:eastAsia="宋体"/>
                <w:color w:val="auto"/>
                <w:lang w:eastAsia="zh-CN"/>
              </w:rPr>
            </w:pPr>
            <w:r>
              <w:rPr>
                <w:rFonts w:hint="eastAsia"/>
                <w:color w:val="auto"/>
                <w:lang w:val="en-US" w:eastAsia="zh-CN"/>
              </w:rPr>
              <w:t>4</w:t>
            </w:r>
          </w:p>
        </w:tc>
      </w:tr>
      <w:tr w14:paraId="688517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79" w:type="dxa"/>
            <w:shd w:val="clear" w:color="auto" w:fill="auto"/>
            <w:vAlign w:val="center"/>
          </w:tcPr>
          <w:p w14:paraId="25C499F6">
            <w:pPr>
              <w:pStyle w:val="166"/>
              <w:ind w:firstLine="0" w:firstLineChars="0"/>
              <w:rPr>
                <w:rFonts w:hint="default" w:ascii="宋体" w:hAnsi="宋体" w:eastAsia="宋体" w:cstheme="minorBidi"/>
                <w:color w:val="auto"/>
                <w:kern w:val="2"/>
                <w:sz w:val="21"/>
                <w:szCs w:val="22"/>
                <w:lang w:val="en-US" w:eastAsia="zh-CN" w:bidi="ar-SA"/>
              </w:rPr>
            </w:pPr>
            <w:r>
              <w:rPr>
                <w:rFonts w:hint="eastAsia"/>
                <w:color w:val="auto"/>
                <w:lang w:val="en-US" w:eastAsia="zh-CN"/>
              </w:rPr>
              <w:t>2</w:t>
            </w:r>
          </w:p>
        </w:tc>
        <w:tc>
          <w:tcPr>
            <w:tcW w:w="1559" w:type="dxa"/>
            <w:shd w:val="clear" w:color="auto" w:fill="auto"/>
            <w:vAlign w:val="center"/>
          </w:tcPr>
          <w:p w14:paraId="0163205C">
            <w:pPr>
              <w:pStyle w:val="166"/>
              <w:ind w:firstLine="0" w:firstLineChars="0"/>
              <w:rPr>
                <w:rFonts w:ascii="宋体" w:hAnsi="宋体" w:eastAsia="宋体" w:cstheme="minorBidi"/>
                <w:color w:val="auto"/>
                <w:kern w:val="2"/>
                <w:sz w:val="21"/>
                <w:szCs w:val="22"/>
                <w:lang w:val="en-US" w:eastAsia="zh-CN" w:bidi="ar-SA"/>
              </w:rPr>
            </w:pPr>
            <w:r>
              <w:rPr>
                <w:color w:val="auto"/>
              </w:rPr>
              <w:t>起重用钢丝绳</w:t>
            </w:r>
          </w:p>
        </w:tc>
        <w:tc>
          <w:tcPr>
            <w:tcW w:w="2835" w:type="dxa"/>
            <w:shd w:val="clear" w:color="auto" w:fill="auto"/>
            <w:vAlign w:val="center"/>
          </w:tcPr>
          <w:p w14:paraId="12D807B9">
            <w:pPr>
              <w:pStyle w:val="166"/>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16</w:t>
            </w:r>
            <w:r>
              <w:rPr>
                <w:rFonts w:hint="eastAsia" w:ascii="Times New Roman" w:hAnsi="Times New Roman" w:eastAsia="宋体" w:cs="Times New Roman"/>
                <w:color w:val="auto"/>
                <w:kern w:val="2"/>
                <w:sz w:val="21"/>
                <w:szCs w:val="21"/>
                <w:highlight w:val="none"/>
                <w:lang w:val="en-US" w:eastAsia="zh-CN" w:bidi="ar-SA"/>
              </w:rPr>
              <w:t>mm6×19W+IWR1870Mpa</w:t>
            </w:r>
          </w:p>
        </w:tc>
        <w:tc>
          <w:tcPr>
            <w:tcW w:w="567" w:type="dxa"/>
            <w:shd w:val="clear" w:color="auto" w:fill="auto"/>
            <w:vAlign w:val="center"/>
          </w:tcPr>
          <w:p w14:paraId="4F608B68">
            <w:pPr>
              <w:pStyle w:val="166"/>
              <w:ind w:firstLine="0" w:firstLineChars="0"/>
              <w:rPr>
                <w:rFonts w:ascii="宋体" w:hAnsi="宋体" w:eastAsia="宋体" w:cstheme="minorBidi"/>
                <w:color w:val="auto"/>
                <w:kern w:val="2"/>
                <w:sz w:val="21"/>
                <w:szCs w:val="22"/>
                <w:lang w:val="en-US" w:eastAsia="zh-CN" w:bidi="ar-SA"/>
              </w:rPr>
            </w:pPr>
            <w:r>
              <w:rPr>
                <w:color w:val="auto"/>
              </w:rPr>
              <w:t>根</w:t>
            </w:r>
          </w:p>
        </w:tc>
        <w:tc>
          <w:tcPr>
            <w:tcW w:w="567" w:type="dxa"/>
            <w:shd w:val="clear" w:color="auto" w:fill="auto"/>
            <w:vAlign w:val="center"/>
          </w:tcPr>
          <w:p w14:paraId="3BDA637F">
            <w:pPr>
              <w:pStyle w:val="166"/>
              <w:ind w:firstLine="0" w:firstLineChars="0"/>
              <w:rPr>
                <w:rFonts w:hint="eastAsia" w:ascii="宋体" w:hAnsi="宋体" w:eastAsia="宋体" w:cstheme="minorBidi"/>
                <w:color w:val="auto"/>
                <w:kern w:val="2"/>
                <w:sz w:val="21"/>
                <w:szCs w:val="22"/>
                <w:lang w:val="en-US" w:eastAsia="zh-CN" w:bidi="ar-SA"/>
              </w:rPr>
            </w:pPr>
            <w:r>
              <w:rPr>
                <w:rFonts w:hint="eastAsia"/>
                <w:color w:val="auto"/>
                <w:lang w:val="en-US" w:eastAsia="zh-CN"/>
              </w:rPr>
              <w:t>2</w:t>
            </w:r>
          </w:p>
        </w:tc>
      </w:tr>
      <w:tr w14:paraId="4AB81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79" w:type="dxa"/>
            <w:vAlign w:val="center"/>
          </w:tcPr>
          <w:p w14:paraId="5A3229ED">
            <w:pPr>
              <w:pStyle w:val="166"/>
              <w:rPr>
                <w:rFonts w:hint="default"/>
                <w:color w:val="auto"/>
                <w:lang w:val="en-US" w:eastAsia="zh-CN"/>
              </w:rPr>
            </w:pPr>
            <w:r>
              <w:rPr>
                <w:rFonts w:hint="eastAsia"/>
                <w:color w:val="auto"/>
                <w:lang w:val="en-US" w:eastAsia="zh-CN"/>
              </w:rPr>
              <w:t>3</w:t>
            </w:r>
          </w:p>
        </w:tc>
        <w:tc>
          <w:tcPr>
            <w:tcW w:w="1559" w:type="dxa"/>
            <w:vAlign w:val="center"/>
          </w:tcPr>
          <w:p w14:paraId="569D6ECB">
            <w:pPr>
              <w:pStyle w:val="166"/>
              <w:ind w:firstLine="0" w:firstLineChars="0"/>
              <w:rPr>
                <w:rFonts w:ascii="Times New Roman" w:hAnsi="Times New Roman" w:eastAsia="宋体" w:cstheme="minorBidi"/>
                <w:color w:val="auto"/>
                <w:kern w:val="2"/>
                <w:sz w:val="21"/>
                <w:szCs w:val="21"/>
                <w:lang w:val="en-US" w:eastAsia="zh-CN" w:bidi="ar-SA"/>
              </w:rPr>
            </w:pPr>
            <w:r>
              <w:rPr>
                <w:color w:val="auto"/>
              </w:rPr>
              <w:t>卸扣</w:t>
            </w:r>
          </w:p>
        </w:tc>
        <w:tc>
          <w:tcPr>
            <w:tcW w:w="2835" w:type="dxa"/>
            <w:vAlign w:val="center"/>
          </w:tcPr>
          <w:p w14:paraId="6BE2BE7A">
            <w:pPr>
              <w:pStyle w:val="166"/>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GB/T 25854-6-DW5</w:t>
            </w:r>
          </w:p>
        </w:tc>
        <w:tc>
          <w:tcPr>
            <w:tcW w:w="567" w:type="dxa"/>
            <w:vAlign w:val="center"/>
          </w:tcPr>
          <w:p w14:paraId="7C56EF10">
            <w:pPr>
              <w:pStyle w:val="166"/>
              <w:ind w:firstLine="0" w:firstLineChars="0"/>
              <w:rPr>
                <w:rFonts w:ascii="Times New Roman" w:hAnsi="Times New Roman" w:eastAsia="宋体" w:cstheme="minorBidi"/>
                <w:color w:val="auto"/>
                <w:kern w:val="2"/>
                <w:sz w:val="21"/>
                <w:szCs w:val="21"/>
                <w:lang w:val="en-US" w:eastAsia="zh-CN" w:bidi="ar-SA"/>
              </w:rPr>
            </w:pPr>
            <w:r>
              <w:rPr>
                <w:color w:val="auto"/>
              </w:rPr>
              <w:t>个</w:t>
            </w:r>
          </w:p>
        </w:tc>
        <w:tc>
          <w:tcPr>
            <w:tcW w:w="567" w:type="dxa"/>
            <w:vAlign w:val="center"/>
          </w:tcPr>
          <w:p w14:paraId="64983CE7">
            <w:pPr>
              <w:pStyle w:val="166"/>
              <w:ind w:firstLine="0" w:firstLineChars="0"/>
              <w:rPr>
                <w:rFonts w:ascii="Times New Roman" w:hAnsi="Times New Roman" w:eastAsia="宋体" w:cstheme="minorBidi"/>
                <w:color w:val="auto"/>
                <w:kern w:val="2"/>
                <w:sz w:val="21"/>
                <w:szCs w:val="21"/>
                <w:lang w:val="en-US" w:eastAsia="zh-CN" w:bidi="ar-SA"/>
              </w:rPr>
            </w:pPr>
            <w:r>
              <w:rPr>
                <w:color w:val="auto"/>
              </w:rPr>
              <w:t>4</w:t>
            </w:r>
          </w:p>
        </w:tc>
      </w:tr>
      <w:bookmarkEnd w:id="155"/>
    </w:tbl>
    <w:p w14:paraId="168BFC03">
      <w:pPr>
        <w:pStyle w:val="3"/>
        <w:bidi w:val="0"/>
        <w:ind w:left="575" w:leftChars="0" w:hanging="575" w:firstLineChars="0"/>
        <w:rPr>
          <w:rFonts w:hint="eastAsia"/>
          <w:lang w:val="en-US" w:eastAsia="zh-CN"/>
        </w:rPr>
      </w:pPr>
      <w:bookmarkStart w:id="158" w:name="_Toc25689"/>
      <w:bookmarkStart w:id="159" w:name="_Toc25257"/>
      <w:r>
        <w:rPr>
          <w:rFonts w:hint="eastAsia"/>
          <w:lang w:val="en-US" w:eastAsia="zh-CN"/>
        </w:rPr>
        <w:t xml:space="preserve"> </w:t>
      </w:r>
      <w:bookmarkStart w:id="160" w:name="_Toc10146"/>
      <w:bookmarkStart w:id="161" w:name="_Toc6030"/>
      <w:r>
        <w:rPr>
          <w:rFonts w:hint="eastAsia"/>
          <w:lang w:val="en-US" w:eastAsia="zh-CN"/>
        </w:rPr>
        <w:t>塔机安装前施工准备</w:t>
      </w:r>
      <w:bookmarkEnd w:id="158"/>
      <w:bookmarkEnd w:id="159"/>
      <w:bookmarkEnd w:id="160"/>
      <w:bookmarkEnd w:id="161"/>
    </w:p>
    <w:p w14:paraId="00BF59A8">
      <w:pPr>
        <w:pStyle w:val="4"/>
        <w:bidi w:val="0"/>
        <w:ind w:left="720" w:leftChars="0" w:hanging="720" w:firstLineChars="0"/>
        <w:rPr>
          <w:rFonts w:hint="default"/>
          <w:lang w:val="en-US"/>
        </w:rPr>
      </w:pPr>
      <w:r>
        <w:rPr>
          <w:rFonts w:hint="eastAsia"/>
          <w:lang w:val="en-US" w:eastAsia="zh-CN"/>
        </w:rPr>
        <w:t>工艺准备</w:t>
      </w:r>
    </w:p>
    <w:p w14:paraId="6B15E3C3">
      <w:pPr>
        <w:bidi w:val="0"/>
        <w:spacing w:line="360" w:lineRule="auto"/>
        <w:ind w:firstLine="480" w:firstLineChars="200"/>
        <w:rPr>
          <w:rFonts w:hint="eastAsia"/>
          <w:highlight w:val="none"/>
        </w:rPr>
      </w:pPr>
      <w:r>
        <w:rPr>
          <w:rFonts w:hint="eastAsia"/>
          <w:highlight w:val="none"/>
          <w:lang w:eastAsia="zh-CN"/>
        </w:rPr>
        <w:t>塔机</w:t>
      </w:r>
      <w:r>
        <w:rPr>
          <w:rFonts w:hint="eastAsia"/>
          <w:highlight w:val="none"/>
        </w:rPr>
        <w:t>基础</w:t>
      </w:r>
      <w:r>
        <w:rPr>
          <w:rFonts w:hint="eastAsia"/>
          <w:highlight w:val="none"/>
          <w:lang w:val="en-US" w:eastAsia="zh-CN"/>
        </w:rPr>
        <w:t>混凝土</w:t>
      </w:r>
      <w:r>
        <w:rPr>
          <w:rFonts w:hint="eastAsia"/>
          <w:highlight w:val="none"/>
        </w:rPr>
        <w:t>平台制作：吊装前，应根据</w:t>
      </w:r>
      <w:r>
        <w:rPr>
          <w:rFonts w:hint="eastAsia"/>
          <w:highlight w:val="none"/>
          <w:lang w:val="en-US" w:eastAsia="zh-CN"/>
        </w:rPr>
        <w:t>XGT7022-10S</w:t>
      </w:r>
      <w:r>
        <w:rPr>
          <w:rFonts w:hint="eastAsia"/>
          <w:highlight w:val="none"/>
        </w:rPr>
        <w:t>塔式起重机的支反力及尺寸误差要求设计制作</w:t>
      </w:r>
      <w:r>
        <w:rPr>
          <w:rFonts w:hint="eastAsia"/>
          <w:highlight w:val="none"/>
          <w:lang w:val="en-US" w:eastAsia="zh-CN"/>
        </w:rPr>
        <w:t>混凝土</w:t>
      </w:r>
      <w:r>
        <w:rPr>
          <w:rFonts w:hint="eastAsia"/>
          <w:highlight w:val="none"/>
        </w:rPr>
        <w:t>平台，制作完成后应对结构</w:t>
      </w:r>
      <w:r>
        <w:rPr>
          <w:rFonts w:hint="eastAsia"/>
          <w:highlight w:val="none"/>
          <w:lang w:val="en-US" w:eastAsia="zh-CN"/>
        </w:rPr>
        <w:t>等</w:t>
      </w:r>
      <w:r>
        <w:rPr>
          <w:rFonts w:hint="eastAsia"/>
          <w:highlight w:val="none"/>
        </w:rPr>
        <w:t>施工工艺进行检查，确认是否符合设计和塔式起重机基础规范要求。</w:t>
      </w:r>
    </w:p>
    <w:p w14:paraId="10EC24C7">
      <w:pPr>
        <w:bidi w:val="0"/>
        <w:spacing w:line="360" w:lineRule="auto"/>
        <w:ind w:firstLine="480" w:firstLineChars="200"/>
        <w:rPr>
          <w:rFonts w:hint="eastAsia"/>
          <w:highlight w:val="none"/>
        </w:rPr>
      </w:pPr>
      <w:r>
        <w:rPr>
          <w:rFonts w:hint="eastAsia"/>
          <w:highlight w:val="none"/>
        </w:rPr>
        <w:t>使用前需安装单位、项目部协同监理工程师及业主合验，并确认合格后方能用于安装施工。</w:t>
      </w:r>
    </w:p>
    <w:p w14:paraId="72063E45">
      <w:pPr>
        <w:pStyle w:val="4"/>
        <w:bidi w:val="0"/>
        <w:ind w:left="720" w:leftChars="0" w:hanging="720" w:firstLineChars="0"/>
        <w:rPr>
          <w:rFonts w:hint="default"/>
          <w:lang w:val="en-US"/>
        </w:rPr>
      </w:pPr>
      <w:r>
        <w:rPr>
          <w:rFonts w:hint="eastAsia"/>
          <w:lang w:val="en-US" w:eastAsia="zh-CN"/>
        </w:rPr>
        <w:t>组织准备</w:t>
      </w:r>
    </w:p>
    <w:p w14:paraId="3A24FDE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（1）施工队伍应有合格的安装资质，且熟悉塔式起重机安</w:t>
      </w:r>
      <w:r>
        <w:rPr>
          <w:rFonts w:hint="eastAsia" w:ascii="宋体" w:hAnsi="宋体" w:eastAsia="宋体"/>
          <w:highlight w:val="none"/>
          <w:lang w:val="en-US" w:eastAsia="zh-CN"/>
        </w:rPr>
        <w:t>装</w:t>
      </w:r>
      <w:r>
        <w:rPr>
          <w:rFonts w:hint="eastAsia" w:ascii="宋体" w:hAnsi="宋体" w:eastAsia="宋体"/>
          <w:highlight w:val="none"/>
        </w:rPr>
        <w:t>工艺。</w:t>
      </w:r>
    </w:p>
    <w:p w14:paraId="7D69A8DA">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（2）成立安装安全领导小组和安装工作小组，对整个安装过程进行有效监管。</w:t>
      </w:r>
    </w:p>
    <w:p w14:paraId="44011747">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（3）组织学习安全技术措施，现场进行技术交底，落实每项工作。</w:t>
      </w:r>
    </w:p>
    <w:p w14:paraId="1D4D1EC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（4）所有进行安装的有关人员，均需持证上岗，并针对本工程经过培训。</w:t>
      </w:r>
    </w:p>
    <w:p w14:paraId="3569AA60">
      <w:pPr>
        <w:bidi w:val="0"/>
        <w:spacing w:line="360" w:lineRule="auto"/>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w:t>
      </w:r>
      <w:r>
        <w:rPr>
          <w:rFonts w:hint="eastAsia"/>
          <w:highlight w:val="none"/>
          <w:lang w:val="en-US" w:eastAsia="zh-CN"/>
        </w:rPr>
        <w:t>5</w:t>
      </w:r>
      <w:r>
        <w:rPr>
          <w:rFonts w:hint="default" w:ascii="宋体" w:hAnsi="宋体" w:eastAsia="宋体"/>
          <w:highlight w:val="none"/>
          <w:lang w:val="en-US" w:eastAsia="zh-CN"/>
        </w:rPr>
        <w:t>）</w:t>
      </w:r>
      <w:r>
        <w:rPr>
          <w:rFonts w:hint="eastAsia"/>
          <w:highlight w:val="none"/>
          <w:lang w:val="en-US" w:eastAsia="zh-CN"/>
        </w:rPr>
        <w:t>塔机</w:t>
      </w:r>
      <w:r>
        <w:rPr>
          <w:rFonts w:hint="default" w:ascii="宋体" w:hAnsi="宋体" w:eastAsia="宋体"/>
          <w:highlight w:val="none"/>
          <w:lang w:val="en-US" w:eastAsia="zh-CN"/>
        </w:rPr>
        <w:t>在施工现场的安装位置，必须保证</w:t>
      </w:r>
      <w:r>
        <w:rPr>
          <w:rFonts w:hint="eastAsia"/>
          <w:highlight w:val="none"/>
          <w:lang w:val="en-US" w:eastAsia="zh-CN"/>
        </w:rPr>
        <w:t>塔机</w:t>
      </w:r>
      <w:r>
        <w:rPr>
          <w:rFonts w:hint="default" w:ascii="宋体" w:hAnsi="宋体" w:eastAsia="宋体"/>
          <w:highlight w:val="none"/>
          <w:lang w:val="en-US" w:eastAsia="zh-CN"/>
        </w:rPr>
        <w:t>的最大旋转部分与周围建筑物的距离不小于1.5m，</w:t>
      </w:r>
      <w:r>
        <w:rPr>
          <w:rFonts w:hint="eastAsia"/>
          <w:highlight w:val="none"/>
          <w:lang w:val="en-US" w:eastAsia="zh-CN"/>
        </w:rPr>
        <w:t>塔机</w:t>
      </w:r>
      <w:r>
        <w:rPr>
          <w:rFonts w:hint="default" w:ascii="宋体" w:hAnsi="宋体" w:eastAsia="宋体"/>
          <w:highlight w:val="none"/>
          <w:lang w:val="en-US" w:eastAsia="zh-CN"/>
        </w:rPr>
        <w:t>任何部位与架空电线的安全距离应符合下表的规定。</w:t>
      </w:r>
    </w:p>
    <w:p w14:paraId="25CDD003">
      <w:pPr>
        <w:bidi w:val="0"/>
        <w:spacing w:line="360" w:lineRule="auto"/>
        <w:ind w:firstLine="480" w:firstLineChars="200"/>
        <w:jc w:val="center"/>
        <w:rPr>
          <w:rFonts w:hint="default" w:ascii="宋体" w:hAnsi="宋体" w:eastAsia="宋体"/>
          <w:highlight w:val="none"/>
          <w:lang w:val="en-US" w:eastAsia="zh-CN"/>
        </w:rPr>
      </w:pPr>
      <w:r>
        <w:rPr>
          <w:rFonts w:hint="eastAsia" w:ascii="宋体" w:hAnsi="宋体" w:eastAsia="宋体"/>
          <w:highlight w:val="none"/>
        </w:rPr>
        <w:t>表4-</w:t>
      </w:r>
      <w:r>
        <w:rPr>
          <w:rFonts w:hint="eastAsia" w:ascii="宋体" w:hAnsi="宋体" w:eastAsia="宋体"/>
          <w:highlight w:val="none"/>
        </w:rPr>
        <w:fldChar w:fldCharType="begin"/>
      </w:r>
      <w:r>
        <w:rPr>
          <w:rFonts w:hint="eastAsia" w:ascii="宋体" w:hAnsi="宋体" w:eastAsia="宋体"/>
          <w:highlight w:val="none"/>
        </w:rPr>
        <w:instrText xml:space="preserve"> SEQ 表4- \* ARABIC </w:instrText>
      </w:r>
      <w:r>
        <w:rPr>
          <w:rFonts w:hint="eastAsia" w:ascii="宋体" w:hAnsi="宋体" w:eastAsia="宋体"/>
          <w:highlight w:val="none"/>
        </w:rPr>
        <w:fldChar w:fldCharType="separate"/>
      </w:r>
      <w:r>
        <w:rPr>
          <w:rFonts w:hint="eastAsia" w:ascii="宋体" w:hAnsi="宋体" w:eastAsia="宋体"/>
          <w:highlight w:val="none"/>
        </w:rPr>
        <w:t>1</w:t>
      </w:r>
      <w:r>
        <w:rPr>
          <w:rFonts w:hint="eastAsia" w:ascii="宋体" w:hAnsi="宋体" w:eastAsia="宋体"/>
          <w:highlight w:val="none"/>
        </w:rPr>
        <w:fldChar w:fldCharType="end"/>
      </w:r>
      <w:r>
        <w:rPr>
          <w:rFonts w:hint="eastAsia" w:ascii="宋体" w:hAnsi="宋体" w:eastAsia="宋体"/>
          <w:highlight w:val="none"/>
          <w:lang w:val="en-US" w:eastAsia="zh-CN"/>
        </w:rPr>
        <w:t>起重机在带电线路之间安全距离</w:t>
      </w:r>
    </w:p>
    <w:tbl>
      <w:tblPr>
        <w:tblStyle w:val="30"/>
        <w:tblW w:w="4999"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Layout w:type="autofit"/>
        <w:tblCellMar>
          <w:top w:w="15" w:type="dxa"/>
          <w:left w:w="15" w:type="dxa"/>
          <w:bottom w:w="15" w:type="dxa"/>
          <w:right w:w="15" w:type="dxa"/>
        </w:tblCellMar>
      </w:tblPr>
      <w:tblGrid>
        <w:gridCol w:w="2698"/>
        <w:gridCol w:w="857"/>
        <w:gridCol w:w="1129"/>
        <w:gridCol w:w="1129"/>
        <w:gridCol w:w="1654"/>
        <w:gridCol w:w="867"/>
      </w:tblGrid>
      <w:tr w14:paraId="7D4DA87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15" w:type="dxa"/>
            <w:left w:w="15" w:type="dxa"/>
            <w:bottom w:w="15" w:type="dxa"/>
            <w:right w:w="15" w:type="dxa"/>
          </w:tblCellMar>
        </w:tblPrEx>
        <w:trPr>
          <w:trHeight w:val="397" w:hRule="atLeast"/>
          <w:jc w:val="center"/>
        </w:trPr>
        <w:tc>
          <w:tcPr>
            <w:tcW w:w="1619" w:type="pct"/>
            <w:vMerge w:val="restart"/>
            <w:tcBorders>
              <w:tl2br w:val="nil"/>
              <w:tr2bl w:val="nil"/>
            </w:tcBorders>
            <w:shd w:val="clear" w:color="auto" w:fill="DAE3F3" w:themeFill="accent5" w:themeFillTint="32"/>
            <w:noWrap/>
            <w:vAlign w:val="center"/>
          </w:tcPr>
          <w:p w14:paraId="208A6C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安全距离/m</w:t>
            </w:r>
          </w:p>
        </w:tc>
        <w:tc>
          <w:tcPr>
            <w:tcW w:w="3380" w:type="pct"/>
            <w:gridSpan w:val="5"/>
            <w:tcBorders>
              <w:tl2br w:val="nil"/>
              <w:tr2bl w:val="nil"/>
            </w:tcBorders>
            <w:shd w:val="clear" w:color="auto" w:fill="DAE3F3" w:themeFill="accent5" w:themeFillTint="32"/>
            <w:noWrap/>
            <w:vAlign w:val="center"/>
          </w:tcPr>
          <w:p w14:paraId="1878F7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电压/kV</w:t>
            </w:r>
          </w:p>
        </w:tc>
      </w:tr>
      <w:tr w14:paraId="444F176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15" w:type="dxa"/>
            <w:left w:w="15" w:type="dxa"/>
            <w:bottom w:w="15" w:type="dxa"/>
            <w:right w:w="15" w:type="dxa"/>
          </w:tblCellMar>
        </w:tblPrEx>
        <w:trPr>
          <w:trHeight w:val="397" w:hRule="atLeast"/>
          <w:jc w:val="center"/>
        </w:trPr>
        <w:tc>
          <w:tcPr>
            <w:tcW w:w="1619" w:type="pct"/>
            <w:vMerge w:val="continue"/>
            <w:tcBorders>
              <w:tl2br w:val="nil"/>
              <w:tr2bl w:val="nil"/>
            </w:tcBorders>
            <w:shd w:val="clear" w:color="auto" w:fill="DAE3F3" w:themeFill="accent5" w:themeFillTint="32"/>
            <w:noWrap/>
            <w:vAlign w:val="center"/>
          </w:tcPr>
          <w:p w14:paraId="371B20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p>
        </w:tc>
        <w:tc>
          <w:tcPr>
            <w:tcW w:w="857" w:type="dxa"/>
            <w:tcBorders>
              <w:tl2br w:val="nil"/>
              <w:tr2bl w:val="nil"/>
            </w:tcBorders>
            <w:shd w:val="clear" w:color="auto" w:fill="DAE3F3" w:themeFill="accent5" w:themeFillTint="32"/>
            <w:noWrap/>
            <w:vAlign w:val="center"/>
          </w:tcPr>
          <w:p w14:paraId="438F71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w:t>
            </w:r>
          </w:p>
        </w:tc>
        <w:tc>
          <w:tcPr>
            <w:tcW w:w="1129" w:type="dxa"/>
            <w:tcBorders>
              <w:tl2br w:val="nil"/>
              <w:tr2bl w:val="nil"/>
            </w:tcBorders>
            <w:shd w:val="clear" w:color="auto" w:fill="DAE3F3" w:themeFill="accent5" w:themeFillTint="32"/>
            <w:noWrap/>
            <w:vAlign w:val="center"/>
          </w:tcPr>
          <w:p w14:paraId="64F65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1~15</w:t>
            </w:r>
          </w:p>
        </w:tc>
        <w:tc>
          <w:tcPr>
            <w:tcW w:w="1129" w:type="dxa"/>
            <w:tcBorders>
              <w:tl2br w:val="nil"/>
              <w:tr2bl w:val="nil"/>
            </w:tcBorders>
            <w:shd w:val="clear" w:color="auto" w:fill="DAE3F3" w:themeFill="accent5" w:themeFillTint="32"/>
            <w:noWrap/>
            <w:vAlign w:val="center"/>
          </w:tcPr>
          <w:p w14:paraId="46BA28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20</w:t>
            </w:r>
            <w:r>
              <w:rPr>
                <w:rFonts w:hint="eastAsia" w:ascii="宋体" w:hAnsi="宋体" w:eastAsia="宋体"/>
                <w:highlight w:val="none"/>
                <w:lang w:val="en-US" w:eastAsia="zh-CN"/>
              </w:rPr>
              <w:t>~</w:t>
            </w:r>
            <w:r>
              <w:rPr>
                <w:rFonts w:hint="default" w:ascii="宋体" w:hAnsi="宋体" w:eastAsia="宋体"/>
                <w:highlight w:val="none"/>
                <w:lang w:val="en-US" w:eastAsia="zh-CN"/>
              </w:rPr>
              <w:t>40</w:t>
            </w:r>
          </w:p>
        </w:tc>
        <w:tc>
          <w:tcPr>
            <w:tcW w:w="1654" w:type="dxa"/>
            <w:tcBorders>
              <w:tl2br w:val="nil"/>
              <w:tr2bl w:val="nil"/>
            </w:tcBorders>
            <w:shd w:val="clear" w:color="auto" w:fill="DAE3F3" w:themeFill="accent5" w:themeFillTint="32"/>
            <w:noWrap/>
            <w:vAlign w:val="center"/>
          </w:tcPr>
          <w:p w14:paraId="54192B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60~110</w:t>
            </w:r>
          </w:p>
        </w:tc>
        <w:tc>
          <w:tcPr>
            <w:tcW w:w="867" w:type="dxa"/>
            <w:tcBorders>
              <w:tl2br w:val="nil"/>
              <w:tr2bl w:val="nil"/>
            </w:tcBorders>
            <w:shd w:val="clear" w:color="auto" w:fill="DAE3F3" w:themeFill="accent5" w:themeFillTint="32"/>
            <w:noWrap/>
            <w:vAlign w:val="center"/>
          </w:tcPr>
          <w:p w14:paraId="7A622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22</w:t>
            </w:r>
            <w:r>
              <w:rPr>
                <w:rFonts w:hint="eastAsia" w:ascii="宋体" w:hAnsi="宋体" w:eastAsia="宋体"/>
                <w:highlight w:val="none"/>
                <w:lang w:val="en-US" w:eastAsia="zh-CN"/>
              </w:rPr>
              <w:t>0</w:t>
            </w:r>
          </w:p>
        </w:tc>
      </w:tr>
      <w:tr w14:paraId="24C5C55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15" w:type="dxa"/>
            <w:left w:w="15" w:type="dxa"/>
            <w:bottom w:w="15" w:type="dxa"/>
            <w:right w:w="15" w:type="dxa"/>
          </w:tblCellMar>
        </w:tblPrEx>
        <w:trPr>
          <w:trHeight w:val="397" w:hRule="atLeast"/>
          <w:jc w:val="center"/>
        </w:trPr>
        <w:tc>
          <w:tcPr>
            <w:tcW w:w="1619" w:type="pct"/>
            <w:tcBorders>
              <w:tl2br w:val="nil"/>
              <w:tr2bl w:val="nil"/>
            </w:tcBorders>
            <w:shd w:val="clear" w:color="auto" w:fill="auto"/>
            <w:noWrap/>
            <w:vAlign w:val="center"/>
          </w:tcPr>
          <w:p w14:paraId="17B6F5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沿垂直方向</w:t>
            </w:r>
          </w:p>
        </w:tc>
        <w:tc>
          <w:tcPr>
            <w:tcW w:w="857" w:type="dxa"/>
            <w:tcBorders>
              <w:tl2br w:val="nil"/>
              <w:tr2bl w:val="nil"/>
            </w:tcBorders>
            <w:shd w:val="clear" w:color="auto" w:fill="auto"/>
            <w:noWrap/>
            <w:vAlign w:val="center"/>
          </w:tcPr>
          <w:p w14:paraId="58460D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1.5</w:t>
            </w:r>
          </w:p>
        </w:tc>
        <w:tc>
          <w:tcPr>
            <w:tcW w:w="1129" w:type="dxa"/>
            <w:tcBorders>
              <w:tl2br w:val="nil"/>
              <w:tr2bl w:val="nil"/>
            </w:tcBorders>
            <w:shd w:val="clear" w:color="auto" w:fill="auto"/>
            <w:noWrap/>
            <w:vAlign w:val="center"/>
          </w:tcPr>
          <w:p w14:paraId="43BD11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3.</w:t>
            </w:r>
            <w:r>
              <w:rPr>
                <w:rFonts w:hint="eastAsia" w:ascii="宋体" w:hAnsi="宋体" w:eastAsia="宋体"/>
                <w:highlight w:val="none"/>
                <w:lang w:val="en-US" w:eastAsia="zh-CN"/>
              </w:rPr>
              <w:t>0</w:t>
            </w:r>
          </w:p>
        </w:tc>
        <w:tc>
          <w:tcPr>
            <w:tcW w:w="1129" w:type="dxa"/>
            <w:tcBorders>
              <w:tl2br w:val="nil"/>
              <w:tr2bl w:val="nil"/>
            </w:tcBorders>
            <w:shd w:val="clear" w:color="auto" w:fill="auto"/>
            <w:noWrap/>
            <w:vAlign w:val="center"/>
          </w:tcPr>
          <w:p w14:paraId="329303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4</w:t>
            </w:r>
            <w:r>
              <w:rPr>
                <w:rFonts w:hint="eastAsia" w:ascii="宋体" w:hAnsi="宋体" w:eastAsia="宋体"/>
                <w:highlight w:val="none"/>
                <w:lang w:val="en-US" w:eastAsia="zh-CN"/>
              </w:rPr>
              <w:t>.0</w:t>
            </w:r>
          </w:p>
        </w:tc>
        <w:tc>
          <w:tcPr>
            <w:tcW w:w="1654" w:type="dxa"/>
            <w:tcBorders>
              <w:tl2br w:val="nil"/>
              <w:tr2bl w:val="nil"/>
            </w:tcBorders>
            <w:shd w:val="clear" w:color="auto" w:fill="auto"/>
            <w:noWrap/>
            <w:vAlign w:val="center"/>
          </w:tcPr>
          <w:p w14:paraId="270B81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5</w:t>
            </w:r>
            <w:r>
              <w:rPr>
                <w:rFonts w:hint="eastAsia" w:ascii="宋体" w:hAnsi="宋体" w:eastAsia="宋体"/>
                <w:highlight w:val="none"/>
                <w:lang w:val="en-US" w:eastAsia="zh-CN"/>
              </w:rPr>
              <w:t>.0</w:t>
            </w:r>
          </w:p>
        </w:tc>
        <w:tc>
          <w:tcPr>
            <w:tcW w:w="867" w:type="dxa"/>
            <w:tcBorders>
              <w:tl2br w:val="nil"/>
              <w:tr2bl w:val="nil"/>
            </w:tcBorders>
            <w:shd w:val="clear" w:color="auto" w:fill="auto"/>
            <w:noWrap/>
            <w:vAlign w:val="center"/>
          </w:tcPr>
          <w:p w14:paraId="2B53E6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6</w:t>
            </w:r>
            <w:r>
              <w:rPr>
                <w:rFonts w:hint="eastAsia" w:ascii="宋体" w:hAnsi="宋体" w:eastAsia="宋体"/>
                <w:highlight w:val="none"/>
                <w:lang w:val="en-US" w:eastAsia="zh-CN"/>
              </w:rPr>
              <w:t>.0</w:t>
            </w:r>
          </w:p>
        </w:tc>
      </w:tr>
      <w:tr w14:paraId="6007C54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15" w:type="dxa"/>
            <w:left w:w="15" w:type="dxa"/>
            <w:bottom w:w="15" w:type="dxa"/>
            <w:right w:w="15" w:type="dxa"/>
          </w:tblCellMar>
        </w:tblPrEx>
        <w:trPr>
          <w:trHeight w:val="397" w:hRule="atLeast"/>
          <w:jc w:val="center"/>
        </w:trPr>
        <w:tc>
          <w:tcPr>
            <w:tcW w:w="1619" w:type="pct"/>
            <w:tcBorders>
              <w:tl2br w:val="nil"/>
              <w:tr2bl w:val="nil"/>
            </w:tcBorders>
            <w:shd w:val="clear" w:color="auto" w:fill="auto"/>
            <w:noWrap/>
            <w:vAlign w:val="center"/>
          </w:tcPr>
          <w:p w14:paraId="74E18C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沿水平方向</w:t>
            </w:r>
          </w:p>
        </w:tc>
        <w:tc>
          <w:tcPr>
            <w:tcW w:w="857" w:type="dxa"/>
            <w:tcBorders>
              <w:tl2br w:val="nil"/>
              <w:tr2bl w:val="nil"/>
            </w:tcBorders>
            <w:shd w:val="clear" w:color="auto" w:fill="auto"/>
            <w:noWrap/>
            <w:vAlign w:val="center"/>
          </w:tcPr>
          <w:p w14:paraId="0366CF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w:t>
            </w:r>
            <w:r>
              <w:rPr>
                <w:rFonts w:hint="eastAsia" w:ascii="宋体" w:hAnsi="宋体" w:eastAsia="宋体"/>
                <w:highlight w:val="none"/>
                <w:lang w:val="en-US" w:eastAsia="zh-CN"/>
              </w:rPr>
              <w:t>0</w:t>
            </w:r>
          </w:p>
        </w:tc>
        <w:tc>
          <w:tcPr>
            <w:tcW w:w="1129" w:type="dxa"/>
            <w:tcBorders>
              <w:tl2br w:val="nil"/>
              <w:tr2bl w:val="nil"/>
            </w:tcBorders>
            <w:shd w:val="clear" w:color="auto" w:fill="auto"/>
            <w:noWrap/>
            <w:vAlign w:val="center"/>
          </w:tcPr>
          <w:p w14:paraId="76867E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1.5</w:t>
            </w:r>
          </w:p>
        </w:tc>
        <w:tc>
          <w:tcPr>
            <w:tcW w:w="1129" w:type="dxa"/>
            <w:tcBorders>
              <w:tl2br w:val="nil"/>
              <w:tr2bl w:val="nil"/>
            </w:tcBorders>
            <w:shd w:val="clear" w:color="auto" w:fill="auto"/>
            <w:noWrap/>
            <w:vAlign w:val="center"/>
          </w:tcPr>
          <w:p w14:paraId="4F40A9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2</w:t>
            </w:r>
            <w:r>
              <w:rPr>
                <w:rFonts w:hint="eastAsia" w:ascii="宋体" w:hAnsi="宋体" w:eastAsia="宋体"/>
                <w:highlight w:val="none"/>
                <w:lang w:val="en-US" w:eastAsia="zh-CN"/>
              </w:rPr>
              <w:t>.0</w:t>
            </w:r>
          </w:p>
        </w:tc>
        <w:tc>
          <w:tcPr>
            <w:tcW w:w="1654" w:type="dxa"/>
            <w:tcBorders>
              <w:tl2br w:val="nil"/>
              <w:tr2bl w:val="nil"/>
            </w:tcBorders>
            <w:shd w:val="clear" w:color="auto" w:fill="auto"/>
            <w:noWrap/>
            <w:vAlign w:val="center"/>
          </w:tcPr>
          <w:p w14:paraId="3332F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4</w:t>
            </w:r>
            <w:r>
              <w:rPr>
                <w:rFonts w:hint="eastAsia" w:ascii="宋体" w:hAnsi="宋体" w:eastAsia="宋体"/>
                <w:highlight w:val="none"/>
                <w:lang w:val="en-US" w:eastAsia="zh-CN"/>
              </w:rPr>
              <w:t>.0</w:t>
            </w:r>
          </w:p>
        </w:tc>
        <w:tc>
          <w:tcPr>
            <w:tcW w:w="867" w:type="dxa"/>
            <w:tcBorders>
              <w:tl2br w:val="nil"/>
              <w:tr2bl w:val="nil"/>
            </w:tcBorders>
            <w:shd w:val="clear" w:color="auto" w:fill="auto"/>
            <w:noWrap/>
            <w:vAlign w:val="center"/>
          </w:tcPr>
          <w:p w14:paraId="20DB4E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6.</w:t>
            </w:r>
            <w:r>
              <w:rPr>
                <w:rFonts w:hint="eastAsia" w:ascii="宋体" w:hAnsi="宋体" w:eastAsia="宋体"/>
                <w:highlight w:val="none"/>
                <w:lang w:val="en-US" w:eastAsia="zh-CN"/>
              </w:rPr>
              <w:t>0</w:t>
            </w:r>
          </w:p>
        </w:tc>
      </w:tr>
    </w:tbl>
    <w:p w14:paraId="4DA858A3">
      <w:pPr>
        <w:bidi w:val="0"/>
        <w:spacing w:line="360" w:lineRule="auto"/>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w:t>
      </w:r>
      <w:r>
        <w:rPr>
          <w:rFonts w:hint="eastAsia"/>
          <w:highlight w:val="none"/>
          <w:lang w:val="en-US" w:eastAsia="zh-CN"/>
        </w:rPr>
        <w:t>6</w:t>
      </w:r>
      <w:r>
        <w:rPr>
          <w:rFonts w:hint="eastAsia" w:ascii="宋体" w:hAnsi="宋体" w:eastAsia="宋体"/>
          <w:highlight w:val="none"/>
          <w:lang w:val="en-US" w:eastAsia="zh-CN"/>
        </w:rPr>
        <w:t>）</w:t>
      </w:r>
      <w:r>
        <w:rPr>
          <w:rFonts w:hint="default" w:ascii="宋体" w:hAnsi="宋体" w:eastAsia="宋体"/>
          <w:highlight w:val="none"/>
          <w:lang w:val="en-US" w:eastAsia="zh-CN"/>
        </w:rPr>
        <w:t>两台塔机之间的最小架设距离应保证处于低位塔机的起重臂端部与另一台塔机的塔身之间至少有2m的距离</w:t>
      </w:r>
      <w:r>
        <w:rPr>
          <w:rFonts w:hint="eastAsia" w:ascii="宋体" w:hAnsi="宋体" w:eastAsia="宋体"/>
          <w:highlight w:val="none"/>
          <w:lang w:val="en-US" w:eastAsia="zh-CN"/>
        </w:rPr>
        <w:t>；</w:t>
      </w:r>
      <w:r>
        <w:rPr>
          <w:rFonts w:hint="default" w:ascii="宋体" w:hAnsi="宋体" w:eastAsia="宋体"/>
          <w:highlight w:val="none"/>
          <w:lang w:val="en-US" w:eastAsia="zh-CN"/>
        </w:rPr>
        <w:t>处于高位塔机的最低位置的部件</w:t>
      </w:r>
      <w:r>
        <w:rPr>
          <w:rFonts w:hint="eastAsia" w:ascii="宋体" w:hAnsi="宋体" w:eastAsia="宋体"/>
          <w:highlight w:val="none"/>
          <w:lang w:val="en-US" w:eastAsia="zh-CN"/>
        </w:rPr>
        <w:t>（</w:t>
      </w:r>
      <w:r>
        <w:rPr>
          <w:rFonts w:hint="default" w:ascii="宋体" w:hAnsi="宋体" w:eastAsia="宋体"/>
          <w:highlight w:val="none"/>
          <w:lang w:val="en-US" w:eastAsia="zh-CN"/>
        </w:rPr>
        <w:t>吊钩升至最高点或平衡重的最低部位</w:t>
      </w:r>
      <w:r>
        <w:rPr>
          <w:rFonts w:hint="eastAsia" w:ascii="宋体" w:hAnsi="宋体" w:eastAsia="宋体"/>
          <w:highlight w:val="none"/>
          <w:lang w:val="en-US" w:eastAsia="zh-CN"/>
        </w:rPr>
        <w:t>）</w:t>
      </w:r>
      <w:r>
        <w:rPr>
          <w:rFonts w:hint="default" w:ascii="宋体" w:hAnsi="宋体" w:eastAsia="宋体"/>
          <w:highlight w:val="none"/>
          <w:lang w:val="en-US" w:eastAsia="zh-CN"/>
        </w:rPr>
        <w:t>与低位塔机中处于最高位置部件之间的垂直距离不应小于2m</w:t>
      </w:r>
      <w:r>
        <w:rPr>
          <w:rFonts w:hint="eastAsia" w:ascii="宋体" w:hAnsi="宋体" w:eastAsia="宋体"/>
          <w:highlight w:val="none"/>
          <w:lang w:val="en-US" w:eastAsia="zh-CN"/>
        </w:rPr>
        <w:t>。</w:t>
      </w:r>
    </w:p>
    <w:p w14:paraId="51B1023A">
      <w:pPr>
        <w:bidi w:val="0"/>
        <w:ind w:left="0" w:leftChars="0" w:firstLine="0" w:firstLineChars="0"/>
        <w:jc w:val="center"/>
        <w:rPr>
          <w:highlight w:val="none"/>
        </w:rPr>
      </w:pPr>
      <w:r>
        <w:rPr>
          <w:highlight w:val="none"/>
        </w:rPr>
        <w:drawing>
          <wp:inline distT="0" distB="0" distL="0" distR="0">
            <wp:extent cx="2167890" cy="3743325"/>
            <wp:effectExtent l="0" t="0" r="3810"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1"/>
                    <a:srcRect l="8275" t="3236" r="4255" b="2941"/>
                    <a:stretch>
                      <a:fillRect/>
                    </a:stretch>
                  </pic:blipFill>
                  <pic:spPr>
                    <a:xfrm>
                      <a:off x="0" y="0"/>
                      <a:ext cx="2167890" cy="3743325"/>
                    </a:xfrm>
                    <a:prstGeom prst="rect">
                      <a:avLst/>
                    </a:prstGeom>
                    <a:ln>
                      <a:noFill/>
                    </a:ln>
                  </pic:spPr>
                </pic:pic>
              </a:graphicData>
            </a:graphic>
          </wp:inline>
        </w:drawing>
      </w:r>
    </w:p>
    <w:p w14:paraId="6576141D">
      <w:pPr>
        <w:pStyle w:val="15"/>
        <w:bidi w:val="0"/>
        <w:ind w:left="0" w:leftChars="0" w:firstLine="0" w:firstLineChars="0"/>
        <w:jc w:val="center"/>
        <w:rPr>
          <w:rFonts w:hint="default" w:eastAsia="黑体"/>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w:t>
      </w:r>
      <w:r>
        <w:rPr>
          <w:highlight w:val="none"/>
        </w:rPr>
        <w:fldChar w:fldCharType="end"/>
      </w:r>
      <w:r>
        <w:rPr>
          <w:rFonts w:hint="eastAsia"/>
          <w:highlight w:val="none"/>
          <w:lang w:val="en-US" w:eastAsia="zh-CN"/>
        </w:rPr>
        <w:t>相邻塔机安装示意图</w:t>
      </w:r>
    </w:p>
    <w:p w14:paraId="007C6CB6">
      <w:pPr>
        <w:pStyle w:val="4"/>
        <w:bidi w:val="0"/>
        <w:ind w:left="720" w:leftChars="0" w:hanging="720" w:firstLineChars="0"/>
        <w:rPr>
          <w:rFonts w:hint="default"/>
          <w:lang w:val="en-US"/>
        </w:rPr>
      </w:pPr>
      <w:r>
        <w:rPr>
          <w:rFonts w:hint="eastAsia"/>
        </w:rPr>
        <w:t>工索具、起重设备</w:t>
      </w:r>
      <w:r>
        <w:rPr>
          <w:rFonts w:hint="eastAsia"/>
          <w:lang w:val="en-US" w:eastAsia="zh-CN"/>
        </w:rPr>
        <w:t>准备</w:t>
      </w:r>
    </w:p>
    <w:p w14:paraId="1589AD04">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（1）准备好安装人员的安全带，安全绳，防滑鞋，安全帽等。</w:t>
      </w:r>
    </w:p>
    <w:p w14:paraId="4FABCD2E">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（2）定好吊装主要部件的尺寸，重量，高度，确定起重设备规格，并准备好吊装机具，安装工具（扳手、大锤、钢丝绳、手拉葫芦、氧气乙炔）等。</w:t>
      </w:r>
    </w:p>
    <w:p w14:paraId="016BFDB2">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（3）所有起重设备应进行试吊，确保设备完好。</w:t>
      </w:r>
    </w:p>
    <w:p w14:paraId="629301A1">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（4）所有手动吊装、焊接、测量等工具，均需经计量检验合格，方可用于本工程。</w:t>
      </w:r>
    </w:p>
    <w:p w14:paraId="2FAA8BD8">
      <w:pPr>
        <w:pStyle w:val="4"/>
        <w:bidi w:val="0"/>
        <w:ind w:left="720" w:leftChars="0" w:hanging="720" w:firstLineChars="0"/>
        <w:rPr>
          <w:rFonts w:hint="default"/>
          <w:lang w:val="en-US"/>
        </w:rPr>
      </w:pPr>
      <w:r>
        <w:rPr>
          <w:rFonts w:hint="eastAsia"/>
          <w:lang w:val="en-US" w:eastAsia="zh-CN"/>
        </w:rPr>
        <w:t>检查准备</w:t>
      </w:r>
    </w:p>
    <w:p w14:paraId="5169E823">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正式施工前，做好主要施工机具和分项工艺的检验工作。根据检验结果，对工艺进行进一步的修改及细化。</w:t>
      </w:r>
    </w:p>
    <w:p w14:paraId="46BF7F5C">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（1）设备检查</w:t>
      </w:r>
    </w:p>
    <w:p w14:paraId="7EFE75D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a</w:t>
      </w:r>
      <w:r>
        <w:rPr>
          <w:rFonts w:hint="eastAsia"/>
          <w:highlight w:val="none"/>
          <w:lang w:eastAsia="zh-CN"/>
        </w:rPr>
        <w:t>塔机</w:t>
      </w:r>
      <w:r>
        <w:rPr>
          <w:rFonts w:hint="eastAsia" w:ascii="宋体" w:hAnsi="宋体" w:eastAsia="宋体"/>
          <w:highlight w:val="none"/>
        </w:rPr>
        <w:t>所有钢构件无变形、无裂纹；</w:t>
      </w:r>
      <w:r>
        <w:rPr>
          <w:rFonts w:hint="eastAsia"/>
          <w:highlight w:val="none"/>
          <w:lang w:eastAsia="zh-CN"/>
        </w:rPr>
        <w:t>塔机</w:t>
      </w:r>
      <w:r>
        <w:rPr>
          <w:rFonts w:hint="eastAsia" w:ascii="宋体" w:hAnsi="宋体" w:eastAsia="宋体"/>
          <w:highlight w:val="none"/>
        </w:rPr>
        <w:t>所有电机机座是否固定牢靠，传动部位有无变形、裂纹；</w:t>
      </w:r>
    </w:p>
    <w:p w14:paraId="6E7FC721">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b</w:t>
      </w:r>
      <w:r>
        <w:rPr>
          <w:rFonts w:hint="eastAsia"/>
          <w:highlight w:val="none"/>
          <w:lang w:eastAsia="zh-CN"/>
        </w:rPr>
        <w:t>塔机</w:t>
      </w:r>
      <w:r>
        <w:rPr>
          <w:rFonts w:hint="eastAsia" w:ascii="宋体" w:hAnsi="宋体" w:eastAsia="宋体"/>
          <w:highlight w:val="none"/>
        </w:rPr>
        <w:t>所有滑轮部位有无防钢丝绳脱槽装置，滑轮轴有无磨损，滑轮座是否固定牢靠；</w:t>
      </w:r>
      <w:r>
        <w:rPr>
          <w:rFonts w:hint="eastAsia"/>
          <w:highlight w:val="none"/>
          <w:lang w:eastAsia="zh-CN"/>
        </w:rPr>
        <w:t>塔机</w:t>
      </w:r>
      <w:r>
        <w:rPr>
          <w:rFonts w:hint="eastAsia" w:ascii="宋体" w:hAnsi="宋体" w:eastAsia="宋体"/>
          <w:highlight w:val="none"/>
        </w:rPr>
        <w:t>所有防护栏杆是否完好，焊接牢靠，无锈蚀；</w:t>
      </w:r>
    </w:p>
    <w:p w14:paraId="02C340F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c</w:t>
      </w:r>
      <w:r>
        <w:rPr>
          <w:rFonts w:hint="eastAsia"/>
          <w:highlight w:val="none"/>
          <w:lang w:eastAsia="zh-CN"/>
        </w:rPr>
        <w:t>塔机</w:t>
      </w:r>
      <w:r>
        <w:rPr>
          <w:rFonts w:hint="eastAsia" w:ascii="宋体" w:hAnsi="宋体" w:eastAsia="宋体"/>
          <w:highlight w:val="none"/>
        </w:rPr>
        <w:t>所有柱销孔和销柱体符合要求，无晃动、无严重磨损；</w:t>
      </w:r>
    </w:p>
    <w:p w14:paraId="3631657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d</w:t>
      </w:r>
      <w:r>
        <w:rPr>
          <w:rFonts w:hint="eastAsia"/>
          <w:highlight w:val="none"/>
          <w:lang w:eastAsia="zh-CN"/>
        </w:rPr>
        <w:t>塔机</w:t>
      </w:r>
      <w:r>
        <w:rPr>
          <w:rFonts w:hint="eastAsia" w:ascii="宋体" w:hAnsi="宋体" w:eastAsia="宋体"/>
          <w:highlight w:val="none"/>
        </w:rPr>
        <w:t>所有柱销上的开口销是否配套，并开口；</w:t>
      </w:r>
    </w:p>
    <w:p w14:paraId="173292BA">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e检查钢丝绳磨损状况；检查顶升套架围栏支撑连接部位部件是否完好；</w:t>
      </w:r>
    </w:p>
    <w:p w14:paraId="25339D47">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f检查顶升套架机构滑动部位及支撑的爪钩等处是否完好；</w:t>
      </w:r>
    </w:p>
    <w:p w14:paraId="22A8C7D8">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 xml:space="preserve">g检查顶升套架标准节安装推入机构是否完好，各部件无变形； </w:t>
      </w:r>
    </w:p>
    <w:p w14:paraId="7131C63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h检查回转支撑机构是否润滑良好，螺栓是否紧固；</w:t>
      </w:r>
    </w:p>
    <w:p w14:paraId="739EFBB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i检查电器是否完好无损，电缆线无老化、裸露，各电气绝缘保证良好；</w:t>
      </w:r>
    </w:p>
    <w:p w14:paraId="394BD18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j幅度、力矩、超重、回转、吊钩高度限位器和电铃等安全装置齐全，并保证其灵敏可靠；检查吊钩保险、大钢丝绳卷筒保险、防小钢丝绳断绳装置等保险装置是否完好；检查司机楼、闸箱等是否完好，固定牢靠；</w:t>
      </w:r>
    </w:p>
    <w:p w14:paraId="2CA15208">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k检查刹车部位是否完好，刹车皮是否磨损严重；</w:t>
      </w:r>
    </w:p>
    <w:p w14:paraId="04B8435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l查</w:t>
      </w:r>
      <w:r>
        <w:rPr>
          <w:rFonts w:hint="eastAsia"/>
          <w:highlight w:val="none"/>
          <w:lang w:eastAsia="zh-CN"/>
        </w:rPr>
        <w:t>塔机</w:t>
      </w:r>
      <w:r>
        <w:rPr>
          <w:rFonts w:hint="eastAsia" w:ascii="宋体" w:hAnsi="宋体" w:eastAsia="宋体"/>
          <w:highlight w:val="none"/>
        </w:rPr>
        <w:t>小车行走轮是否润滑良好，有无严重磨损和裂纹；检查配重、配重吊环是否牢固，完好。</w:t>
      </w:r>
    </w:p>
    <w:p w14:paraId="24362B61">
      <w:pPr>
        <w:pStyle w:val="3"/>
        <w:bidi w:val="0"/>
        <w:ind w:left="575" w:leftChars="0" w:hanging="575" w:firstLineChars="0"/>
        <w:rPr>
          <w:rFonts w:hint="eastAsia"/>
        </w:rPr>
      </w:pPr>
      <w:bookmarkStart w:id="162" w:name="_Toc18873"/>
      <w:bookmarkStart w:id="163" w:name="_Toc4365"/>
      <w:r>
        <w:rPr>
          <w:rFonts w:hint="eastAsia"/>
        </w:rPr>
        <w:t xml:space="preserve"> </w:t>
      </w:r>
      <w:bookmarkStart w:id="164" w:name="_Toc15762"/>
      <w:r>
        <w:rPr>
          <w:rFonts w:hint="eastAsia"/>
        </w:rPr>
        <w:t>塔机安装具体步骤</w:t>
      </w:r>
      <w:bookmarkEnd w:id="162"/>
      <w:bookmarkEnd w:id="163"/>
      <w:bookmarkEnd w:id="164"/>
    </w:p>
    <w:p w14:paraId="60F0F265">
      <w:pPr>
        <w:pStyle w:val="4"/>
        <w:bidi w:val="0"/>
        <w:ind w:left="720" w:leftChars="0" w:hanging="720" w:firstLineChars="0"/>
        <w:rPr>
          <w:rFonts w:hint="default"/>
          <w:lang w:val="en-US" w:eastAsia="zh-CN"/>
        </w:rPr>
      </w:pPr>
      <w:r>
        <w:rPr>
          <w:rFonts w:hint="eastAsia"/>
          <w:lang w:eastAsia="zh-CN"/>
        </w:rPr>
        <w:t>塔机</w:t>
      </w:r>
      <w:r>
        <w:rPr>
          <w:rFonts w:hint="eastAsia"/>
        </w:rPr>
        <w:t>基础</w:t>
      </w:r>
    </w:p>
    <w:p w14:paraId="4350E5DA">
      <w:pPr>
        <w:bidi w:val="0"/>
        <w:ind w:firstLine="480" w:firstLineChars="200"/>
        <w:rPr>
          <w:rFonts w:hint="default"/>
          <w:highlight w:val="none"/>
          <w:lang w:val="en-US" w:eastAsia="zh-CN"/>
        </w:rPr>
      </w:pPr>
      <w:bookmarkStart w:id="165" w:name="_Toc437075970"/>
      <w:bookmarkStart w:id="166" w:name="_Toc436231254"/>
      <w:bookmarkStart w:id="167" w:name="_Toc530055670"/>
      <w:bookmarkStart w:id="168" w:name="_Toc455129802"/>
      <w:bookmarkStart w:id="169" w:name="_Toc436231006"/>
      <w:r>
        <w:rPr>
          <w:rFonts w:hint="eastAsia"/>
          <w:highlight w:val="none"/>
          <w:lang w:val="en-US" w:eastAsia="zh-CN"/>
        </w:rPr>
        <w:t>徐工XGT7022-10S塔机</w:t>
      </w:r>
      <w:r>
        <w:rPr>
          <w:rFonts w:hint="default"/>
          <w:highlight w:val="none"/>
          <w:lang w:val="en-US" w:eastAsia="zh-CN"/>
        </w:rPr>
        <w:t>基础</w:t>
      </w:r>
      <w:r>
        <w:rPr>
          <w:rFonts w:hint="eastAsia"/>
          <w:lang w:val="en-US" w:eastAsia="zh-CN"/>
        </w:rPr>
        <w:t>采用混凝土基础形式，地基承载力≥0.2MPa，如现场地耐力不符合，根据说明书选择对应的基础尺寸</w:t>
      </w:r>
      <w:r>
        <w:rPr>
          <w:rFonts w:hint="default"/>
          <w:highlight w:val="none"/>
          <w:lang w:val="en-US" w:eastAsia="zh-CN"/>
        </w:rPr>
        <w:t>。如下图、表所示：</w:t>
      </w:r>
    </w:p>
    <w:p w14:paraId="6DEB31FD">
      <w:pPr>
        <w:pStyle w:val="15"/>
        <w:bidi w:val="0"/>
      </w:pPr>
      <w:r>
        <w:drawing>
          <wp:inline distT="0" distB="0" distL="114300" distR="114300">
            <wp:extent cx="4608830" cy="3300730"/>
            <wp:effectExtent l="0" t="0" r="1270" b="1397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2"/>
                    <a:stretch>
                      <a:fillRect/>
                    </a:stretch>
                  </pic:blipFill>
                  <pic:spPr>
                    <a:xfrm>
                      <a:off x="0" y="0"/>
                      <a:ext cx="4608830" cy="3300730"/>
                    </a:xfrm>
                    <a:prstGeom prst="rect">
                      <a:avLst/>
                    </a:prstGeom>
                    <a:noFill/>
                    <a:ln>
                      <a:noFill/>
                    </a:ln>
                  </pic:spPr>
                </pic:pic>
              </a:graphicData>
            </a:graphic>
          </wp:inline>
        </w:drawing>
      </w:r>
    </w:p>
    <w:p w14:paraId="028E6802">
      <w:pPr>
        <w:pStyle w:val="15"/>
      </w:pPr>
      <w:r>
        <w:t xml:space="preserve">图 </w:t>
      </w:r>
      <w:r>
        <w:fldChar w:fldCharType="begin"/>
      </w:r>
      <w:r>
        <w:instrText xml:space="preserve"> STYLEREF 2 \s </w:instrText>
      </w:r>
      <w:r>
        <w:fldChar w:fldCharType="separate"/>
      </w:r>
      <w:r>
        <w:t>4.4</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塔</w:t>
      </w:r>
      <w:r>
        <w:rPr>
          <w:rFonts w:hint="default"/>
          <w:highlight w:val="none"/>
          <w:lang w:val="en-US" w:eastAsia="zh-CN"/>
        </w:rPr>
        <w:t>机基础施工图</w:t>
      </w:r>
    </w:p>
    <w:bookmarkEnd w:id="165"/>
    <w:bookmarkEnd w:id="166"/>
    <w:bookmarkEnd w:id="167"/>
    <w:bookmarkEnd w:id="168"/>
    <w:bookmarkEnd w:id="169"/>
    <w:p w14:paraId="060799AD">
      <w:pPr>
        <w:pStyle w:val="4"/>
        <w:bidi w:val="0"/>
        <w:ind w:left="720" w:leftChars="0" w:hanging="720" w:firstLineChars="0"/>
        <w:rPr>
          <w:rFonts w:hint="default"/>
          <w:lang w:val="en-US" w:eastAsia="zh-CN"/>
        </w:rPr>
      </w:pPr>
      <w:bookmarkStart w:id="170" w:name="_Toc21000"/>
      <w:bookmarkStart w:id="171" w:name="_Toc27855"/>
      <w:bookmarkStart w:id="172" w:name="_Toc29396"/>
      <w:r>
        <w:rPr>
          <w:rFonts w:hint="eastAsia"/>
          <w:lang w:val="en-US" w:eastAsia="zh-CN"/>
        </w:rPr>
        <w:t>塔机安装步骤</w:t>
      </w:r>
      <w:bookmarkEnd w:id="170"/>
      <w:bookmarkEnd w:id="171"/>
      <w:bookmarkEnd w:id="172"/>
    </w:p>
    <w:p w14:paraId="7521C7B3">
      <w:pPr>
        <w:spacing w:line="360" w:lineRule="auto"/>
        <w:ind w:firstLine="480" w:firstLineChars="200"/>
        <w:rPr>
          <w:rFonts w:hint="default"/>
          <w:highlight w:val="none"/>
          <w:lang w:val="en-US" w:eastAsia="zh-CN"/>
        </w:rPr>
      </w:pPr>
      <w:bookmarkStart w:id="173" w:name="_Toc12424"/>
      <w:bookmarkStart w:id="174" w:name="_Toc26757"/>
      <w:bookmarkStart w:id="175" w:name="_Toc16960"/>
      <w:r>
        <w:rPr>
          <w:rFonts w:hint="eastAsia"/>
          <w:highlight w:val="none"/>
          <w:lang w:val="en-US" w:eastAsia="zh-CN"/>
        </w:rPr>
        <w:t>安装基础节→安装一节标准节→安装爬升架→安装特殊节、回转总成→安装起重臂臂节一→安装平衡臂、平衡臂拉杆→安装两块3.25t平衡重→安装剩余起重臂→安装剩余平衡重→穿绕牵引、起升钢丝绳→塔机试运行</w:t>
      </w:r>
    </w:p>
    <w:p w14:paraId="4EC434BB">
      <w:pPr>
        <w:pStyle w:val="4"/>
        <w:bidi w:val="0"/>
        <w:ind w:left="720" w:leftChars="0" w:hanging="720" w:firstLineChars="0"/>
        <w:rPr>
          <w:rFonts w:hint="default"/>
          <w:lang w:val="en-US" w:eastAsia="zh-CN"/>
        </w:rPr>
      </w:pPr>
      <w:r>
        <w:rPr>
          <w:rFonts w:hint="eastAsia"/>
          <w:lang w:val="en-US" w:eastAsia="zh-CN"/>
        </w:rPr>
        <w:t xml:space="preserve"> XGT7022-10S塔机</w:t>
      </w:r>
      <w:r>
        <w:rPr>
          <w:rFonts w:hint="default"/>
          <w:lang w:val="en-US" w:eastAsia="zh-CN"/>
        </w:rPr>
        <w:t>安装</w:t>
      </w:r>
      <w:bookmarkEnd w:id="173"/>
      <w:bookmarkEnd w:id="174"/>
      <w:bookmarkEnd w:id="175"/>
    </w:p>
    <w:p w14:paraId="0C5CDE75">
      <w:pPr>
        <w:pStyle w:val="5"/>
        <w:bidi w:val="0"/>
        <w:ind w:left="864" w:leftChars="0" w:hanging="864" w:firstLineChars="0"/>
        <w:rPr>
          <w:rFonts w:hint="default"/>
          <w:lang w:val="en-US" w:eastAsia="zh-CN"/>
        </w:rPr>
      </w:pPr>
      <w:r>
        <w:rPr>
          <w:rFonts w:hint="eastAsia"/>
          <w:lang w:val="en-US" w:eastAsia="zh-CN"/>
        </w:rPr>
        <w:t>吊装设备的设置</w:t>
      </w:r>
    </w:p>
    <w:p w14:paraId="1F20EA52">
      <w:pPr>
        <w:ind w:firstLine="482" w:firstLineChars="200"/>
        <w:rPr>
          <w:rFonts w:hint="default"/>
          <w:b/>
          <w:bCs/>
          <w:highlight w:val="none"/>
          <w:lang w:val="en-US" w:eastAsia="zh-CN"/>
        </w:rPr>
      </w:pPr>
      <w:r>
        <w:rPr>
          <w:rFonts w:hint="eastAsia"/>
          <w:b/>
          <w:bCs/>
          <w:highlight w:val="none"/>
          <w:lang w:val="en-US" w:eastAsia="zh-CN"/>
        </w:rPr>
        <w:t>1、塔机</w:t>
      </w:r>
      <w:r>
        <w:rPr>
          <w:rFonts w:hint="default"/>
          <w:b/>
          <w:bCs/>
          <w:highlight w:val="none"/>
          <w:lang w:val="en-US" w:eastAsia="zh-CN"/>
        </w:rPr>
        <w:t>各安装部件重量表及吊点位置</w:t>
      </w:r>
    </w:p>
    <w:p w14:paraId="2A18AC04">
      <w:pPr>
        <w:bidi w:val="0"/>
        <w:ind w:firstLine="480" w:firstLineChars="200"/>
        <w:rPr>
          <w:highlight w:val="none"/>
        </w:rPr>
      </w:pPr>
      <w:r>
        <w:rPr>
          <w:rFonts w:hint="eastAsia"/>
          <w:highlight w:val="none"/>
        </w:rPr>
        <w:t>安装臂架时吊索吊挂的位置：</w:t>
      </w:r>
    </w:p>
    <w:p w14:paraId="3A442A77">
      <w:pPr>
        <w:spacing w:line="360" w:lineRule="auto"/>
        <w:ind w:left="0" w:leftChars="0" w:firstLine="0" w:firstLineChars="0"/>
        <w:jc w:val="center"/>
        <w:rPr>
          <w:color w:val="000000"/>
          <w:sz w:val="24"/>
          <w:szCs w:val="24"/>
          <w:highlight w:val="none"/>
        </w:rPr>
      </w:pPr>
      <w:r>
        <w:rPr>
          <w:color w:val="000000"/>
          <w:sz w:val="24"/>
          <w:szCs w:val="24"/>
          <w:highlight w:val="none"/>
        </w:rPr>
        <w:drawing>
          <wp:inline distT="0" distB="0" distL="114300" distR="114300">
            <wp:extent cx="4087495" cy="1127760"/>
            <wp:effectExtent l="0" t="0" r="8255" b="15240"/>
            <wp:docPr id="10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8"/>
                    <pic:cNvPicPr>
                      <a:picLocks noChangeAspect="1"/>
                    </pic:cNvPicPr>
                  </pic:nvPicPr>
                  <pic:blipFill>
                    <a:blip r:embed="rId23"/>
                    <a:stretch>
                      <a:fillRect/>
                    </a:stretch>
                  </pic:blipFill>
                  <pic:spPr>
                    <a:xfrm>
                      <a:off x="0" y="0"/>
                      <a:ext cx="4087495" cy="1127760"/>
                    </a:xfrm>
                    <a:prstGeom prst="rect">
                      <a:avLst/>
                    </a:prstGeom>
                    <a:noFill/>
                    <a:ln w="9525" cap="flat" cmpd="sng">
                      <a:noFill/>
                      <a:prstDash val="solid"/>
                      <a:miter/>
                      <a:headEnd type="none" w="med" len="med"/>
                      <a:tailEnd type="none" w="med" len="med"/>
                    </a:ln>
                  </pic:spPr>
                </pic:pic>
              </a:graphicData>
            </a:graphic>
          </wp:inline>
        </w:drawing>
      </w:r>
    </w:p>
    <w:p w14:paraId="0229CD34">
      <w:pPr>
        <w:pStyle w:val="15"/>
      </w:pPr>
      <w:r>
        <w:t xml:space="preserve">图 </w:t>
      </w:r>
      <w:r>
        <w:fldChar w:fldCharType="begin"/>
      </w:r>
      <w:r>
        <w:instrText xml:space="preserve"> STYLEREF 2 \s </w:instrText>
      </w:r>
      <w:r>
        <w:fldChar w:fldCharType="separate"/>
      </w:r>
      <w:r>
        <w:t>4.4</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w:t>
      </w:r>
      <w:r>
        <w:rPr>
          <w:rFonts w:hint="eastAsia"/>
          <w:highlight w:val="none"/>
        </w:rPr>
        <w:t>各个安装部件上均设置有固定吊点</w:t>
      </w:r>
    </w:p>
    <w:p w14:paraId="6185F756">
      <w:pPr>
        <w:ind w:firstLine="482" w:firstLineChars="200"/>
        <w:rPr>
          <w:rFonts w:hint="default"/>
          <w:b/>
          <w:bCs/>
          <w:highlight w:val="none"/>
          <w:lang w:val="en-US" w:eastAsia="zh-CN"/>
        </w:rPr>
      </w:pPr>
      <w:r>
        <w:rPr>
          <w:rFonts w:hint="eastAsia"/>
          <w:b/>
          <w:bCs/>
          <w:highlight w:val="none"/>
          <w:lang w:val="en-US" w:eastAsia="zh-CN"/>
        </w:rPr>
        <w:t>2、塔机</w:t>
      </w:r>
      <w:r>
        <w:rPr>
          <w:rFonts w:hint="default"/>
          <w:b/>
          <w:bCs/>
          <w:highlight w:val="none"/>
          <w:lang w:val="en-US" w:eastAsia="zh-CN"/>
        </w:rPr>
        <w:t>安装用吊车型号、性能及布置位置</w:t>
      </w:r>
    </w:p>
    <w:p w14:paraId="6BB6CEE4">
      <w:pPr>
        <w:ind w:firstLine="480" w:firstLineChars="200"/>
        <w:rPr>
          <w:rFonts w:hint="default"/>
          <w:highlight w:val="none"/>
          <w:lang w:val="en-US" w:eastAsia="zh-CN"/>
        </w:rPr>
      </w:pPr>
      <w:r>
        <w:rPr>
          <w:rFonts w:hint="eastAsia"/>
          <w:highlight w:val="none"/>
          <w:lang w:val="en-US" w:eastAsia="zh-CN"/>
        </w:rPr>
        <w:t>XGT7022-10S塔机</w:t>
      </w:r>
      <w:r>
        <w:rPr>
          <w:rFonts w:hint="default"/>
          <w:highlight w:val="none"/>
          <w:lang w:val="en-US" w:eastAsia="zh-CN"/>
        </w:rPr>
        <w:t>安装汽车吊选择为：选用一台</w:t>
      </w:r>
      <w:r>
        <w:rPr>
          <w:rFonts w:hint="eastAsia"/>
          <w:highlight w:val="none"/>
          <w:lang w:val="en-US" w:eastAsia="zh-CN"/>
        </w:rPr>
        <w:t>25t汽车</w:t>
      </w:r>
      <w:r>
        <w:rPr>
          <w:rFonts w:hint="default"/>
          <w:highlight w:val="none"/>
          <w:lang w:val="en-US" w:eastAsia="zh-CN"/>
        </w:rPr>
        <w:t>吊进行</w:t>
      </w:r>
      <w:r>
        <w:rPr>
          <w:rFonts w:hint="eastAsia"/>
          <w:highlight w:val="none"/>
          <w:lang w:val="en-US" w:eastAsia="zh-CN"/>
        </w:rPr>
        <w:t>塔机</w:t>
      </w:r>
      <w:r>
        <w:rPr>
          <w:rFonts w:hint="default"/>
          <w:highlight w:val="none"/>
          <w:lang w:val="en-US" w:eastAsia="zh-CN"/>
        </w:rPr>
        <w:t>部件组装同时进行吊装，</w:t>
      </w:r>
      <w:r>
        <w:rPr>
          <w:rFonts w:hint="eastAsia"/>
          <w:highlight w:val="none"/>
          <w:lang w:val="en-US" w:eastAsia="zh-CN"/>
        </w:rPr>
        <w:t>工作半径11米，</w:t>
      </w:r>
      <w:r>
        <w:rPr>
          <w:rFonts w:hint="default"/>
          <w:highlight w:val="none"/>
          <w:lang w:val="en-US" w:eastAsia="zh-CN"/>
        </w:rPr>
        <w:t>满足使用要求。</w:t>
      </w:r>
    </w:p>
    <w:p w14:paraId="49E0B11D">
      <w:pPr>
        <w:pStyle w:val="15"/>
        <w:bidi w:val="0"/>
        <w:spacing w:line="360" w:lineRule="auto"/>
        <w:ind w:left="0" w:leftChars="0" w:firstLine="0" w:firstLineChars="0"/>
        <w:jc w:val="center"/>
        <w:rPr>
          <w:rFonts w:hint="eastAsia"/>
          <w:highlight w:val="none"/>
          <w:lang w:val="en-US" w:eastAsia="zh-CN"/>
        </w:rPr>
      </w:pPr>
      <w:r>
        <w:rPr>
          <w:highlight w:val="none"/>
        </w:rPr>
        <w:t>表4-</w:t>
      </w:r>
      <w:r>
        <w:rPr>
          <w:highlight w:val="none"/>
        </w:rPr>
        <w:fldChar w:fldCharType="begin"/>
      </w:r>
      <w:r>
        <w:rPr>
          <w:highlight w:val="none"/>
        </w:rPr>
        <w:instrText xml:space="preserve"> SEQ 表4- \* ARABIC </w:instrText>
      </w:r>
      <w:r>
        <w:rPr>
          <w:highlight w:val="none"/>
        </w:rPr>
        <w:fldChar w:fldCharType="separate"/>
      </w:r>
      <w:r>
        <w:rPr>
          <w:highlight w:val="none"/>
        </w:rPr>
        <w:t>2</w:t>
      </w:r>
      <w:r>
        <w:rPr>
          <w:highlight w:val="none"/>
        </w:rPr>
        <w:fldChar w:fldCharType="end"/>
      </w:r>
      <w:r>
        <w:rPr>
          <w:rFonts w:hint="eastAsia"/>
          <w:highlight w:val="none"/>
          <w:lang w:val="en-US" w:eastAsia="zh-CN"/>
        </w:rPr>
        <w:t xml:space="preserve"> XGT7022-10S塔机各部件重量表</w:t>
      </w:r>
    </w:p>
    <w:p w14:paraId="7604E8A3">
      <w:pPr>
        <w:pStyle w:val="16"/>
        <w:jc w:val="center"/>
        <w:rPr>
          <w:rFonts w:hint="eastAsia"/>
          <w:lang w:val="en-US" w:eastAsia="zh-CN"/>
        </w:rPr>
      </w:pPr>
      <w:r>
        <w:drawing>
          <wp:inline distT="0" distB="0" distL="114300" distR="114300">
            <wp:extent cx="5269230" cy="2239645"/>
            <wp:effectExtent l="0" t="0" r="7620" b="825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4"/>
                    <a:stretch>
                      <a:fillRect/>
                    </a:stretch>
                  </pic:blipFill>
                  <pic:spPr>
                    <a:xfrm>
                      <a:off x="0" y="0"/>
                      <a:ext cx="5269230" cy="2239645"/>
                    </a:xfrm>
                    <a:prstGeom prst="rect">
                      <a:avLst/>
                    </a:prstGeom>
                    <a:noFill/>
                    <a:ln>
                      <a:noFill/>
                    </a:ln>
                  </pic:spPr>
                </pic:pic>
              </a:graphicData>
            </a:graphic>
          </wp:inline>
        </w:drawing>
      </w:r>
    </w:p>
    <w:p w14:paraId="63017848">
      <w:pPr>
        <w:jc w:val="center"/>
        <w:rPr>
          <w:rFonts w:hint="default"/>
          <w:highlight w:val="none"/>
          <w:lang w:val="en-US" w:eastAsia="zh-CN"/>
        </w:rPr>
      </w:pPr>
      <w:r>
        <w:drawing>
          <wp:inline distT="0" distB="0" distL="114300" distR="114300">
            <wp:extent cx="5271770" cy="7305040"/>
            <wp:effectExtent l="0" t="0" r="5080" b="1016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5"/>
                    <a:stretch>
                      <a:fillRect/>
                    </a:stretch>
                  </pic:blipFill>
                  <pic:spPr>
                    <a:xfrm>
                      <a:off x="0" y="0"/>
                      <a:ext cx="5271770" cy="7305040"/>
                    </a:xfrm>
                    <a:prstGeom prst="rect">
                      <a:avLst/>
                    </a:prstGeom>
                    <a:noFill/>
                    <a:ln>
                      <a:noFill/>
                    </a:ln>
                  </pic:spPr>
                </pic:pic>
              </a:graphicData>
            </a:graphic>
          </wp:inline>
        </w:drawing>
      </w:r>
      <w:r>
        <w:drawing>
          <wp:inline distT="0" distB="0" distL="114300" distR="114300">
            <wp:extent cx="5269230" cy="6630670"/>
            <wp:effectExtent l="0" t="0" r="7620" b="1778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6"/>
                    <a:stretch>
                      <a:fillRect/>
                    </a:stretch>
                  </pic:blipFill>
                  <pic:spPr>
                    <a:xfrm>
                      <a:off x="0" y="0"/>
                      <a:ext cx="5269230" cy="6630670"/>
                    </a:xfrm>
                    <a:prstGeom prst="rect">
                      <a:avLst/>
                    </a:prstGeom>
                    <a:noFill/>
                    <a:ln>
                      <a:noFill/>
                    </a:ln>
                  </pic:spPr>
                </pic:pic>
              </a:graphicData>
            </a:graphic>
          </wp:inline>
        </w:drawing>
      </w:r>
      <w:r>
        <w:drawing>
          <wp:inline distT="0" distB="0" distL="114300" distR="114300">
            <wp:extent cx="5271770" cy="7181850"/>
            <wp:effectExtent l="0" t="0" r="5080"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7"/>
                    <a:stretch>
                      <a:fillRect/>
                    </a:stretch>
                  </pic:blipFill>
                  <pic:spPr>
                    <a:xfrm>
                      <a:off x="0" y="0"/>
                      <a:ext cx="5271770" cy="7181850"/>
                    </a:xfrm>
                    <a:prstGeom prst="rect">
                      <a:avLst/>
                    </a:prstGeom>
                    <a:noFill/>
                    <a:ln>
                      <a:noFill/>
                    </a:ln>
                  </pic:spPr>
                </pic:pic>
              </a:graphicData>
            </a:graphic>
          </wp:inline>
        </w:drawing>
      </w:r>
      <w:r>
        <w:drawing>
          <wp:inline distT="0" distB="0" distL="114300" distR="114300">
            <wp:extent cx="5269230" cy="7465060"/>
            <wp:effectExtent l="0" t="0" r="7620" b="254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8"/>
                    <a:stretch>
                      <a:fillRect/>
                    </a:stretch>
                  </pic:blipFill>
                  <pic:spPr>
                    <a:xfrm>
                      <a:off x="0" y="0"/>
                      <a:ext cx="5269230" cy="7465060"/>
                    </a:xfrm>
                    <a:prstGeom prst="rect">
                      <a:avLst/>
                    </a:prstGeom>
                    <a:noFill/>
                    <a:ln>
                      <a:noFill/>
                    </a:ln>
                  </pic:spPr>
                </pic:pic>
              </a:graphicData>
            </a:graphic>
          </wp:inline>
        </w:drawing>
      </w:r>
    </w:p>
    <w:p w14:paraId="10AF0192">
      <w:pPr>
        <w:bidi w:val="0"/>
        <w:jc w:val="center"/>
      </w:pPr>
      <w:r>
        <w:drawing>
          <wp:inline distT="0" distB="0" distL="114300" distR="114300">
            <wp:extent cx="4432935" cy="3712210"/>
            <wp:effectExtent l="0" t="0" r="5715" b="254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9"/>
                    <a:stretch>
                      <a:fillRect/>
                    </a:stretch>
                  </pic:blipFill>
                  <pic:spPr>
                    <a:xfrm>
                      <a:off x="0" y="0"/>
                      <a:ext cx="4432935" cy="3712210"/>
                    </a:xfrm>
                    <a:prstGeom prst="rect">
                      <a:avLst/>
                    </a:prstGeom>
                    <a:noFill/>
                    <a:ln>
                      <a:noFill/>
                    </a:ln>
                  </pic:spPr>
                </pic:pic>
              </a:graphicData>
            </a:graphic>
          </wp:inline>
        </w:drawing>
      </w:r>
    </w:p>
    <w:p w14:paraId="707460DB">
      <w:pPr>
        <w:bidi w:val="0"/>
        <w:jc w:val="center"/>
        <w:rPr>
          <w:rFonts w:hint="eastAsia"/>
          <w:highlight w:val="none"/>
          <w:lang w:val="en-US" w:eastAsia="zh-CN"/>
        </w:rPr>
      </w:pPr>
    </w:p>
    <w:p w14:paraId="42952920">
      <w:pPr>
        <w:pStyle w:val="41"/>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2</w:t>
      </w:r>
      <w:r>
        <w:rPr>
          <w:highlight w:val="none"/>
        </w:rPr>
        <w:fldChar w:fldCharType="end"/>
      </w:r>
      <w:r>
        <w:rPr>
          <w:rFonts w:hint="eastAsia"/>
          <w:highlight w:val="none"/>
          <w:lang w:val="en-US" w:eastAsia="zh-CN"/>
        </w:rPr>
        <w:t xml:space="preserve"> 25t汽车吊</w:t>
      </w:r>
      <w:r>
        <w:rPr>
          <w:rFonts w:hint="eastAsia"/>
          <w:highlight w:val="none"/>
        </w:rPr>
        <w:t>吊起重量表</w:t>
      </w:r>
    </w:p>
    <w:p w14:paraId="419E8188">
      <w:pPr>
        <w:bidi w:val="0"/>
        <w:jc w:val="center"/>
        <w:rPr>
          <w:rFonts w:hint="default" w:eastAsia="宋体"/>
          <w:highlight w:val="none"/>
          <w:lang w:val="en-US" w:eastAsia="zh-CN"/>
        </w:rPr>
      </w:pPr>
      <w:r>
        <w:drawing>
          <wp:inline distT="0" distB="0" distL="114300" distR="114300">
            <wp:extent cx="5273040" cy="4614545"/>
            <wp:effectExtent l="0" t="0" r="3810" b="1460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0"/>
                    <a:stretch>
                      <a:fillRect/>
                    </a:stretch>
                  </pic:blipFill>
                  <pic:spPr>
                    <a:xfrm>
                      <a:off x="0" y="0"/>
                      <a:ext cx="5273040" cy="4614545"/>
                    </a:xfrm>
                    <a:prstGeom prst="rect">
                      <a:avLst/>
                    </a:prstGeom>
                    <a:noFill/>
                    <a:ln>
                      <a:noFill/>
                    </a:ln>
                  </pic:spPr>
                </pic:pic>
              </a:graphicData>
            </a:graphic>
          </wp:inline>
        </w:drawing>
      </w:r>
    </w:p>
    <w:p w14:paraId="4BFCCAC6">
      <w:pPr>
        <w:pStyle w:val="15"/>
        <w:bidi w:val="0"/>
        <w:ind w:left="0" w:leftChars="0" w:firstLine="0" w:firstLineChars="0"/>
        <w:jc w:val="center"/>
        <w:rPr>
          <w:rFonts w:hint="eastAsia"/>
          <w:highlight w:val="none"/>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3</w:t>
      </w:r>
      <w:r>
        <w:rPr>
          <w:highlight w:val="none"/>
        </w:rPr>
        <w:fldChar w:fldCharType="end"/>
      </w:r>
      <w:r>
        <w:rPr>
          <w:rFonts w:hint="eastAsia"/>
          <w:highlight w:val="none"/>
          <w:lang w:val="en-US" w:eastAsia="zh-CN"/>
        </w:rPr>
        <w:t xml:space="preserve"> 25t汽车吊</w:t>
      </w:r>
      <w:r>
        <w:rPr>
          <w:rFonts w:hint="eastAsia"/>
          <w:highlight w:val="none"/>
        </w:rPr>
        <w:t>起重量表</w:t>
      </w:r>
    </w:p>
    <w:p w14:paraId="49CFA25E">
      <w:pPr>
        <w:pStyle w:val="5"/>
        <w:bidi w:val="0"/>
        <w:ind w:left="864" w:leftChars="0" w:hanging="864" w:firstLineChars="0"/>
        <w:rPr>
          <w:rFonts w:hint="default"/>
          <w:lang w:val="en-US" w:eastAsia="zh-CN"/>
        </w:rPr>
      </w:pPr>
      <w:r>
        <w:rPr>
          <w:rFonts w:hint="eastAsia"/>
        </w:rPr>
        <w:t>安装</w:t>
      </w:r>
      <w:r>
        <w:rPr>
          <w:rFonts w:hint="eastAsia"/>
          <w:lang w:val="en-US" w:eastAsia="zh-CN"/>
        </w:rPr>
        <w:t>一节</w:t>
      </w:r>
      <w:r>
        <w:rPr>
          <w:rFonts w:hint="eastAsia"/>
        </w:rPr>
        <w:t>基础节</w:t>
      </w:r>
      <w:r>
        <w:rPr>
          <w:rFonts w:hint="eastAsia"/>
          <w:lang w:val="en-US" w:eastAsia="zh-CN"/>
        </w:rPr>
        <w:t>和标准节</w:t>
      </w:r>
    </w:p>
    <w:p w14:paraId="609F81C7">
      <w:pPr>
        <w:widowControl w:val="0"/>
        <w:adjustRightInd/>
        <w:snapToGrid/>
        <w:ind w:firstLine="480"/>
        <w:rPr>
          <w:rFonts w:ascii="Times New Roman" w:hAnsi="Times New Roman" w:eastAsia="宋体" w:cs="Times New Roman"/>
          <w:szCs w:val="21"/>
          <w:highlight w:val="none"/>
        </w:rPr>
      </w:pP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吊装采用四点吊，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以顶部四个销轴孔作为吊装孔，采用4根</w:t>
      </w:r>
      <w:r>
        <w:rPr>
          <w:rFonts w:hint="eastAsia" w:ascii="Times New Roman" w:hAnsi="Times New Roman" w:cs="Times New Roman"/>
          <w:szCs w:val="21"/>
          <w:highlight w:val="none"/>
          <w:lang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73D2DB6D">
      <w:pPr>
        <w:ind w:left="0" w:leftChars="0" w:firstLine="420" w:firstLineChars="0"/>
        <w:jc w:val="left"/>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至</w:t>
      </w:r>
      <w:r>
        <w:rPr>
          <w:rFonts w:hint="eastAsia" w:ascii="Times New Roman" w:hAnsi="Times New Roman" w:cs="Times New Roman"/>
          <w:szCs w:val="21"/>
          <w:highlight w:val="none"/>
          <w:lang w:eastAsia="zh-CN"/>
        </w:rPr>
        <w:t>塔机</w:t>
      </w:r>
      <w:r>
        <w:rPr>
          <w:rFonts w:hint="eastAsia" w:ascii="Times New Roman" w:hAnsi="Times New Roman" w:eastAsia="宋体" w:cs="Times New Roman"/>
          <w:szCs w:val="21"/>
          <w:highlight w:val="none"/>
        </w:rPr>
        <w:t>固定支腿上方，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底部销轴孔与预埋固定支腿轴孔对齐，作业人员插入与预埋固定支腿的连接销轴，完成</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与固定支腿的连接，并在销轴端部插入开口销固定。</w:t>
      </w:r>
      <w:r>
        <w:rPr>
          <w:rFonts w:hint="eastAsia" w:ascii="Times New Roman" w:hAnsi="Times New Roman" w:cs="Times New Roman"/>
          <w:szCs w:val="21"/>
          <w:highlight w:val="none"/>
          <w:lang w:val="en-US" w:eastAsia="zh-CN"/>
        </w:rPr>
        <w:t>采用同样的方法吊装一节标准节，</w:t>
      </w:r>
      <w:r>
        <w:rPr>
          <w:rFonts w:hint="eastAsia" w:ascii="Times New Roman" w:hAnsi="Times New Roman" w:eastAsia="宋体" w:cs="Times New Roman"/>
          <w:szCs w:val="21"/>
          <w:highlight w:val="none"/>
        </w:rPr>
        <w:t>吊装示意如下图所示</w:t>
      </w:r>
    </w:p>
    <w:p w14:paraId="50068BED">
      <w:pPr>
        <w:ind w:left="0" w:leftChars="0" w:firstLine="420" w:firstLineChars="0"/>
        <w:jc w:val="center"/>
      </w:pPr>
      <w:r>
        <w:drawing>
          <wp:inline distT="0" distB="0" distL="114300" distR="114300">
            <wp:extent cx="3493770" cy="2958465"/>
            <wp:effectExtent l="0" t="0" r="0" b="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29"/>
                    <a:srcRect t="4548"/>
                    <a:stretch>
                      <a:fillRect/>
                    </a:stretch>
                  </pic:blipFill>
                  <pic:spPr>
                    <a:xfrm>
                      <a:off x="0" y="0"/>
                      <a:ext cx="3493770" cy="2958465"/>
                    </a:xfrm>
                    <a:prstGeom prst="rect">
                      <a:avLst/>
                    </a:prstGeom>
                    <a:noFill/>
                    <a:ln>
                      <a:noFill/>
                    </a:ln>
                  </pic:spPr>
                </pic:pic>
              </a:graphicData>
            </a:graphic>
          </wp:inline>
        </w:drawing>
      </w:r>
      <w:r>
        <w:drawing>
          <wp:inline distT="0" distB="0" distL="114300" distR="114300">
            <wp:extent cx="5117465" cy="2717800"/>
            <wp:effectExtent l="0" t="0" r="6985" b="635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30"/>
                    <a:stretch>
                      <a:fillRect/>
                    </a:stretch>
                  </pic:blipFill>
                  <pic:spPr>
                    <a:xfrm>
                      <a:off x="0" y="0"/>
                      <a:ext cx="5117465" cy="2717800"/>
                    </a:xfrm>
                    <a:prstGeom prst="rect">
                      <a:avLst/>
                    </a:prstGeom>
                    <a:noFill/>
                    <a:ln>
                      <a:noFill/>
                    </a:ln>
                  </pic:spPr>
                </pic:pic>
              </a:graphicData>
            </a:graphic>
          </wp:inline>
        </w:drawing>
      </w:r>
    </w:p>
    <w:p w14:paraId="1490A198">
      <w:pPr>
        <w:pStyle w:val="15"/>
        <w:ind w:left="0" w:leftChars="0" w:firstLine="420" w:firstLineChars="0"/>
        <w:jc w:val="cente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w:t>
      </w:r>
      <w:r>
        <w:rPr>
          <w:rFonts w:hint="eastAsia"/>
          <w:highlight w:val="none"/>
          <w:lang w:val="en-US" w:eastAsia="zh-CN"/>
        </w:rPr>
        <w:t>基础节吊装示意图</w:t>
      </w:r>
    </w:p>
    <w:p w14:paraId="287F4BEA">
      <w:pPr>
        <w:pStyle w:val="5"/>
        <w:bidi w:val="0"/>
        <w:ind w:left="864" w:leftChars="0" w:hanging="864" w:firstLineChars="0"/>
        <w:rPr>
          <w:rFonts w:hint="eastAsia"/>
          <w:lang w:val="en-US" w:eastAsia="zh-CN"/>
        </w:rPr>
      </w:pPr>
      <w:r>
        <w:rPr>
          <w:rFonts w:hint="eastAsia"/>
          <w:lang w:val="en-US" w:eastAsia="zh-CN"/>
        </w:rPr>
        <w:t>安装爬升架</w:t>
      </w:r>
    </w:p>
    <w:p w14:paraId="04C7922E">
      <w:pPr>
        <w:widowControl w:val="0"/>
        <w:adjustRightInd/>
        <w:snapToGrid/>
        <w:ind w:firstLine="480"/>
        <w:rPr>
          <w:rFonts w:hint="eastAsia" w:ascii="Times New Roman" w:hAnsi="Times New Roman" w:eastAsia="宋体" w:cs="Times New Roman"/>
          <w:szCs w:val="21"/>
          <w:highlight w:val="none"/>
        </w:rPr>
      </w:pPr>
      <w:r>
        <w:rPr>
          <w:rFonts w:hint="eastAsia" w:ascii="宋体" w:hAnsi="宋体" w:eastAsia="宋体" w:cs="宋体"/>
          <w:szCs w:val="21"/>
          <w:highlight w:val="none"/>
        </w:rPr>
        <w:t>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配合人工在地面上将</w:t>
      </w:r>
      <w:r>
        <w:rPr>
          <w:rFonts w:hint="eastAsia" w:ascii="宋体" w:hAnsi="宋体" w:cs="宋体"/>
          <w:szCs w:val="21"/>
          <w:highlight w:val="none"/>
          <w:lang w:eastAsia="zh-CN"/>
        </w:rPr>
        <w:t>套架</w:t>
      </w:r>
      <w:r>
        <w:rPr>
          <w:rFonts w:hint="eastAsia" w:ascii="宋体" w:hAnsi="宋体" w:eastAsia="宋体" w:cs="宋体"/>
          <w:szCs w:val="21"/>
          <w:highlight w:val="none"/>
        </w:rPr>
        <w:t>架体、平台、顶升横梁、油缸及液压站等拼装成整体，</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吊装采用四点吊，以</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顶部四个销轴孔作为吊装孔，采用4根</w:t>
      </w:r>
      <w:r>
        <w:rPr>
          <w:rFonts w:hint="eastAsia" w:ascii="Times New Roman" w:hAnsi="Times New Roman" w:cs="Times New Roman"/>
          <w:szCs w:val="21"/>
          <w:highlight w:val="none"/>
          <w:lang w:val="en-US" w:eastAsia="zh-CN"/>
        </w:rPr>
        <w:t>18mm6×19W+IWR1870Mpa</w:t>
      </w:r>
      <w:r>
        <w:rPr>
          <w:rFonts w:hint="eastAsia" w:ascii="Times New Roman" w:hAnsi="Times New Roman" w:cs="Times New Roman"/>
          <w:szCs w:val="21"/>
          <w:highlight w:val="none"/>
          <w:lang w:eastAsia="zh-CN"/>
        </w:rPr>
        <w:t>的</w:t>
      </w:r>
      <w:r>
        <w:rPr>
          <w:rFonts w:hint="eastAsia" w:ascii="Times New Roman" w:hAnsi="Times New Roman" w:eastAsia="宋体" w:cs="Times New Roman"/>
          <w:szCs w:val="21"/>
          <w:highlight w:val="none"/>
        </w:rPr>
        <w:t>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77438A1E">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eastAsia="zh-CN"/>
        </w:rPr>
        <w:t>套架</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eastAsia="zh-CN"/>
        </w:rPr>
        <w:t>套架</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eastAsia="zh-CN"/>
        </w:rPr>
        <w:t>套架</w:t>
      </w:r>
      <w:r>
        <w:rPr>
          <w:rFonts w:hint="eastAsia" w:ascii="Times New Roman" w:hAnsi="Times New Roman" w:eastAsia="宋体" w:cs="Times New Roman"/>
          <w:szCs w:val="21"/>
          <w:highlight w:val="none"/>
        </w:rPr>
        <w:t>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缓慢落钩，将</w:t>
      </w:r>
      <w:r>
        <w:rPr>
          <w:rFonts w:hint="eastAsia" w:cs="Times New Roman"/>
          <w:szCs w:val="21"/>
          <w:highlight w:val="none"/>
          <w:lang w:eastAsia="zh-CN"/>
        </w:rPr>
        <w:t>套架</w:t>
      </w:r>
      <w:r>
        <w:rPr>
          <w:rFonts w:hint="eastAsia" w:ascii="Times New Roman" w:hAnsi="Times New Roman" w:eastAsia="宋体" w:cs="Times New Roman"/>
          <w:szCs w:val="21"/>
          <w:highlight w:val="none"/>
        </w:rPr>
        <w:t>套入</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对应的</w:t>
      </w:r>
      <w:r>
        <w:rPr>
          <w:rFonts w:hint="eastAsia" w:cs="Times New Roman"/>
          <w:szCs w:val="21"/>
          <w:highlight w:val="none"/>
          <w:lang w:eastAsia="zh-CN"/>
        </w:rPr>
        <w:t>套架</w:t>
      </w:r>
      <w:r>
        <w:rPr>
          <w:rFonts w:hint="eastAsia" w:ascii="Times New Roman" w:hAnsi="Times New Roman" w:eastAsia="宋体" w:cs="Times New Roman"/>
          <w:szCs w:val="21"/>
          <w:highlight w:val="none"/>
        </w:rPr>
        <w:t>爬爪处，将安全带系挂在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横杆上，将爬爪放在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踏步上，并通过安全销固定。</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吊装示意如下图所示。</w:t>
      </w:r>
    </w:p>
    <w:p w14:paraId="0F2369F1">
      <w:pPr>
        <w:bidi w:val="0"/>
        <w:ind w:left="0" w:leftChars="0" w:firstLine="0" w:firstLineChars="0"/>
        <w:jc w:val="center"/>
      </w:pPr>
      <w:r>
        <w:drawing>
          <wp:inline distT="0" distB="0" distL="114300" distR="114300">
            <wp:extent cx="3493770" cy="3099435"/>
            <wp:effectExtent l="0" t="0" r="11430" b="571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29"/>
                    <a:stretch>
                      <a:fillRect/>
                    </a:stretch>
                  </pic:blipFill>
                  <pic:spPr>
                    <a:xfrm>
                      <a:off x="0" y="0"/>
                      <a:ext cx="3493770" cy="3099435"/>
                    </a:xfrm>
                    <a:prstGeom prst="rect">
                      <a:avLst/>
                    </a:prstGeom>
                    <a:noFill/>
                    <a:ln>
                      <a:noFill/>
                    </a:ln>
                  </pic:spPr>
                </pic:pic>
              </a:graphicData>
            </a:graphic>
          </wp:inline>
        </w:drawing>
      </w:r>
      <w:r>
        <w:drawing>
          <wp:inline distT="0" distB="0" distL="114300" distR="114300">
            <wp:extent cx="1640205" cy="2445385"/>
            <wp:effectExtent l="0" t="0" r="17145" b="12065"/>
            <wp:docPr id="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pic:cNvPicPr>
                      <a:picLocks noChangeAspect="1"/>
                    </pic:cNvPicPr>
                  </pic:nvPicPr>
                  <pic:blipFill>
                    <a:blip r:embed="rId31"/>
                    <a:srcRect l="11975"/>
                    <a:stretch>
                      <a:fillRect/>
                    </a:stretch>
                  </pic:blipFill>
                  <pic:spPr>
                    <a:xfrm>
                      <a:off x="0" y="0"/>
                      <a:ext cx="1640205" cy="2445385"/>
                    </a:xfrm>
                    <a:prstGeom prst="rect">
                      <a:avLst/>
                    </a:prstGeom>
                    <a:noFill/>
                    <a:ln>
                      <a:noFill/>
                    </a:ln>
                  </pic:spPr>
                </pic:pic>
              </a:graphicData>
            </a:graphic>
          </wp:inline>
        </w:drawing>
      </w:r>
    </w:p>
    <w:p w14:paraId="54024AD3">
      <w:pPr>
        <w:pStyle w:val="15"/>
        <w:bidi w:val="0"/>
        <w:ind w:left="0" w:leftChars="0" w:firstLine="0" w:firstLineChars="0"/>
        <w:jc w:val="center"/>
        <w:rPr>
          <w:rFonts w:hint="eastAsia"/>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3</w:t>
      </w:r>
      <w:r>
        <w:fldChar w:fldCharType="end"/>
      </w:r>
      <w:r>
        <w:rPr>
          <w:rFonts w:hint="eastAsia"/>
          <w:lang w:val="en-US" w:eastAsia="zh-CN"/>
        </w:rPr>
        <w:t xml:space="preserve"> </w:t>
      </w:r>
      <w:r>
        <w:rPr>
          <w:rFonts w:hint="eastAsia"/>
          <w:highlight w:val="none"/>
          <w:lang w:val="en-US" w:eastAsia="zh-CN"/>
        </w:rPr>
        <w:t>顶升套架总成整体吊装示意图</w:t>
      </w:r>
    </w:p>
    <w:p w14:paraId="5242DB1E">
      <w:pPr>
        <w:pStyle w:val="5"/>
        <w:bidi w:val="0"/>
        <w:ind w:left="864" w:leftChars="0" w:hanging="864" w:firstLineChars="0"/>
        <w:rPr>
          <w:rFonts w:hint="eastAsia"/>
          <w:lang w:val="en-US" w:eastAsia="zh-CN"/>
        </w:rPr>
      </w:pPr>
      <w:bookmarkStart w:id="176" w:name="_Toc7277"/>
      <w:bookmarkStart w:id="177" w:name="_Toc8128"/>
      <w:r>
        <w:rPr>
          <w:rFonts w:hint="eastAsia"/>
          <w:lang w:val="en-US" w:eastAsia="zh-CN"/>
        </w:rPr>
        <w:t>安装</w:t>
      </w:r>
      <w:bookmarkEnd w:id="176"/>
      <w:bookmarkEnd w:id="177"/>
      <w:r>
        <w:rPr>
          <w:rFonts w:hint="eastAsia"/>
          <w:lang w:val="en-US" w:eastAsia="zh-CN"/>
        </w:rPr>
        <w:t>特殊节、回转总成</w:t>
      </w:r>
    </w:p>
    <w:p w14:paraId="60612DAD">
      <w:pPr>
        <w:widowControl w:val="0"/>
        <w:adjustRightInd/>
        <w:snapToGrid/>
        <w:ind w:firstLine="480"/>
        <w:rPr>
          <w:rFonts w:hint="eastAsia" w:ascii="Times New Roman" w:hAnsi="Times New Roman" w:eastAsia="宋体" w:cs="Times New Roman"/>
          <w:szCs w:val="21"/>
          <w:highlight w:val="none"/>
        </w:rPr>
      </w:pPr>
      <w:r>
        <w:rPr>
          <w:rFonts w:hint="eastAsia"/>
          <w:highlight w:val="none"/>
          <w:lang w:val="en-US" w:eastAsia="zh-CN"/>
        </w:rPr>
        <w:t>特殊节</w:t>
      </w:r>
      <w:r>
        <w:rPr>
          <w:rFonts w:hint="eastAsia" w:ascii="Times New Roman" w:hAnsi="Times New Roman" w:eastAsia="宋体" w:cs="Times New Roman"/>
          <w:szCs w:val="21"/>
          <w:highlight w:val="none"/>
        </w:rPr>
        <w:t>吊装采用四点吊，以</w:t>
      </w:r>
      <w:r>
        <w:rPr>
          <w:rFonts w:hint="eastAsia"/>
          <w:highlight w:val="none"/>
          <w:lang w:val="en-US" w:eastAsia="zh-CN"/>
        </w:rPr>
        <w:t>特殊节</w:t>
      </w:r>
      <w:r>
        <w:rPr>
          <w:rFonts w:hint="eastAsia" w:ascii="Times New Roman" w:hAnsi="Times New Roman" w:eastAsia="宋体" w:cs="Times New Roman"/>
          <w:szCs w:val="21"/>
          <w:highlight w:val="none"/>
        </w:rPr>
        <w:t>顶部四个销轴孔作为吊装孔，采用4根</w:t>
      </w:r>
      <w:r>
        <w:rPr>
          <w:rFonts w:hint="eastAsia" w:cs="Times New Roman"/>
          <w:szCs w:val="21"/>
          <w:highlight w:val="none"/>
          <w:lang w:val="en-US"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2EDF091A">
      <w:pPr>
        <w:spacing w:line="360" w:lineRule="auto"/>
        <w:ind w:firstLine="480" w:firstLineChars="20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特殊节</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特殊节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特殊节</w:t>
      </w:r>
      <w:r>
        <w:rPr>
          <w:rFonts w:hint="eastAsia" w:ascii="Times New Roman" w:hAnsi="Times New Roman" w:eastAsia="宋体" w:cs="Times New Roman"/>
          <w:szCs w:val="21"/>
          <w:highlight w:val="none"/>
        </w:rPr>
        <w:t>至</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highlight w:val="none"/>
          <w:lang w:val="en-US" w:eastAsia="zh-CN"/>
        </w:rPr>
        <w:t>特殊节</w:t>
      </w:r>
      <w:r>
        <w:rPr>
          <w:rFonts w:hint="eastAsia" w:ascii="Times New Roman" w:hAnsi="Times New Roman" w:eastAsia="宋体" w:cs="Times New Roman"/>
          <w:szCs w:val="21"/>
          <w:highlight w:val="none"/>
        </w:rPr>
        <w:t>销轴孔与</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销轴孔对齐，将安全带系挂在</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顶部的横杆上，站立在</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顶部的平台上，插入</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与</w:t>
      </w:r>
      <w:r>
        <w:rPr>
          <w:rFonts w:hint="eastAsia"/>
          <w:highlight w:val="none"/>
          <w:lang w:val="en-US" w:eastAsia="zh-CN"/>
        </w:rPr>
        <w:t>特殊节</w:t>
      </w:r>
      <w:r>
        <w:rPr>
          <w:rFonts w:hint="eastAsia" w:ascii="Times New Roman" w:hAnsi="Times New Roman" w:eastAsia="宋体" w:cs="Times New Roman"/>
          <w:szCs w:val="21"/>
          <w:highlight w:val="none"/>
        </w:rPr>
        <w:t>的连接销轴，完成</w:t>
      </w:r>
      <w:r>
        <w:rPr>
          <w:rFonts w:hint="eastAsia"/>
          <w:highlight w:val="none"/>
          <w:lang w:val="en-US" w:eastAsia="zh-CN"/>
        </w:rPr>
        <w:t>特殊节</w:t>
      </w:r>
      <w:r>
        <w:rPr>
          <w:rFonts w:hint="eastAsia" w:ascii="Times New Roman" w:hAnsi="Times New Roman" w:eastAsia="宋体" w:cs="Times New Roman"/>
          <w:szCs w:val="21"/>
          <w:highlight w:val="none"/>
        </w:rPr>
        <w:t>与</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的连接。</w:t>
      </w:r>
    </w:p>
    <w:p w14:paraId="712CEF30">
      <w:pPr>
        <w:spacing w:line="360" w:lineRule="auto"/>
        <w:ind w:firstLine="480" w:firstLineChars="200"/>
        <w:rPr>
          <w:rFonts w:hint="eastAsia" w:cs="宋体"/>
          <w:sz w:val="24"/>
          <w:szCs w:val="24"/>
          <w:highlight w:val="none"/>
          <w:lang w:val="en-US" w:eastAsia="zh-CN"/>
        </w:rPr>
      </w:pPr>
      <w:r>
        <w:rPr>
          <w:rFonts w:hint="eastAsia"/>
          <w:highlight w:val="none"/>
          <w:lang w:val="en-US" w:eastAsia="zh-CN"/>
        </w:rPr>
        <w:t>特殊节</w:t>
      </w:r>
      <w:r>
        <w:rPr>
          <w:rFonts w:hint="eastAsia" w:cs="宋体"/>
          <w:sz w:val="24"/>
          <w:szCs w:val="24"/>
          <w:highlight w:val="none"/>
          <w:lang w:val="en-US" w:eastAsia="zh-CN"/>
        </w:rPr>
        <w:t>的安装示意图如下</w:t>
      </w:r>
    </w:p>
    <w:p w14:paraId="330B1E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3088640" cy="3099435"/>
            <wp:effectExtent l="0" t="0" r="16510" b="571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29"/>
                    <a:srcRect r="11596"/>
                    <a:stretch>
                      <a:fillRect/>
                    </a:stretch>
                  </pic:blipFill>
                  <pic:spPr>
                    <a:xfrm>
                      <a:off x="0" y="0"/>
                      <a:ext cx="3088640" cy="3099435"/>
                    </a:xfrm>
                    <a:prstGeom prst="rect">
                      <a:avLst/>
                    </a:prstGeom>
                    <a:noFill/>
                    <a:ln>
                      <a:noFill/>
                    </a:ln>
                  </pic:spPr>
                </pic:pic>
              </a:graphicData>
            </a:graphic>
          </wp:inline>
        </w:drawing>
      </w:r>
      <w:r>
        <w:drawing>
          <wp:inline distT="0" distB="0" distL="114300" distR="114300">
            <wp:extent cx="2114550" cy="3117850"/>
            <wp:effectExtent l="0" t="0" r="0" b="6350"/>
            <wp:docPr id="7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1"/>
                    <pic:cNvPicPr>
                      <a:picLocks noChangeAspect="1"/>
                    </pic:cNvPicPr>
                  </pic:nvPicPr>
                  <pic:blipFill>
                    <a:blip r:embed="rId32"/>
                    <a:stretch>
                      <a:fillRect/>
                    </a:stretch>
                  </pic:blipFill>
                  <pic:spPr>
                    <a:xfrm>
                      <a:off x="0" y="0"/>
                      <a:ext cx="2114550" cy="3117850"/>
                    </a:xfrm>
                    <a:prstGeom prst="rect">
                      <a:avLst/>
                    </a:prstGeom>
                    <a:noFill/>
                    <a:ln>
                      <a:noFill/>
                    </a:ln>
                  </pic:spPr>
                </pic:pic>
              </a:graphicData>
            </a:graphic>
          </wp:inline>
        </w:drawing>
      </w:r>
    </w:p>
    <w:p w14:paraId="36F35079">
      <w:pPr>
        <w:pStyle w:val="15"/>
        <w:spacing w:line="360" w:lineRule="auto"/>
        <w:ind w:firstLine="420" w:firstLineChars="200"/>
        <w:jc w:val="cente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4</w:t>
      </w:r>
      <w:r>
        <w:fldChar w:fldCharType="end"/>
      </w:r>
      <w:r>
        <w:rPr>
          <w:rFonts w:hint="eastAsia"/>
          <w:lang w:val="en-US" w:eastAsia="zh-CN"/>
        </w:rPr>
        <w:t xml:space="preserve"> </w:t>
      </w:r>
      <w:r>
        <w:rPr>
          <w:rFonts w:hint="eastAsia"/>
          <w:highlight w:val="none"/>
          <w:lang w:val="en-US" w:eastAsia="zh-CN"/>
        </w:rPr>
        <w:t>特殊节整体吊装示意图</w:t>
      </w:r>
    </w:p>
    <w:p w14:paraId="04F6944F">
      <w:pPr>
        <w:keepNext w:val="0"/>
        <w:keepLines w:val="0"/>
        <w:widowControl/>
        <w:suppressLineNumbers w:val="0"/>
        <w:ind w:firstLine="420" w:firstLineChars="0"/>
        <w:jc w:val="left"/>
        <w:rPr>
          <w:rFonts w:hint="eastAsia" w:ascii="宋体" w:hAnsi="宋体" w:eastAsia="宋体" w:cs="宋体"/>
          <w:szCs w:val="21"/>
          <w:highlight w:val="none"/>
          <w:lang w:val="en-US" w:eastAsia="zh-CN"/>
        </w:rPr>
      </w:pPr>
      <w:r>
        <w:rPr>
          <w:rFonts w:hint="eastAsia" w:cs="宋体"/>
          <w:szCs w:val="21"/>
          <w:highlight w:val="none"/>
          <w:lang w:val="en-US" w:eastAsia="zh-CN"/>
        </w:rPr>
        <w:t>采用吊机</w:t>
      </w:r>
      <w:r>
        <w:rPr>
          <w:rFonts w:hint="eastAsia" w:ascii="宋体" w:hAnsi="宋体" w:eastAsia="宋体" w:cs="宋体"/>
          <w:szCs w:val="21"/>
          <w:highlight w:val="none"/>
        </w:rPr>
        <w:t>配合人工</w:t>
      </w:r>
      <w:r>
        <w:rPr>
          <w:rFonts w:hint="eastAsia" w:ascii="宋体" w:hAnsi="宋体" w:eastAsia="宋体" w:cs="宋体"/>
          <w:szCs w:val="21"/>
          <w:highlight w:val="none"/>
          <w:lang w:val="en-US" w:eastAsia="zh-CN"/>
        </w:rPr>
        <w:t>在地面上</w:t>
      </w:r>
      <w:r>
        <w:rPr>
          <w:rFonts w:hint="eastAsia" w:cs="宋体"/>
          <w:szCs w:val="21"/>
          <w:highlight w:val="none"/>
          <w:lang w:val="en-US" w:eastAsia="zh-CN"/>
        </w:rPr>
        <w:t xml:space="preserve"> </w:t>
      </w:r>
      <w:r>
        <w:rPr>
          <w:rFonts w:hint="eastAsia" w:ascii="宋体" w:hAnsi="宋体" w:eastAsia="宋体" w:cs="宋体"/>
          <w:szCs w:val="21"/>
          <w:highlight w:val="none"/>
          <w:lang w:val="en-US" w:eastAsia="zh-CN"/>
        </w:rPr>
        <w:t>，先将</w:t>
      </w:r>
      <w:r>
        <w:rPr>
          <w:rFonts w:hint="eastAsia" w:ascii="宋体" w:hAnsi="宋体" w:eastAsia="宋体" w:cs="宋体"/>
          <w:color w:val="000000"/>
          <w:kern w:val="0"/>
          <w:sz w:val="24"/>
          <w:szCs w:val="24"/>
          <w:lang w:val="en-US" w:eastAsia="zh-CN" w:bidi="ar"/>
        </w:rPr>
        <w:t>下支座、回转支承、上支座、回转机构及司机室</w:t>
      </w:r>
      <w:r>
        <w:rPr>
          <w:rFonts w:hint="eastAsia" w:ascii="宋体" w:hAnsi="宋体" w:eastAsia="宋体" w:cs="宋体"/>
          <w:szCs w:val="21"/>
          <w:highlight w:val="none"/>
          <w:lang w:val="en-US" w:eastAsia="zh-CN"/>
        </w:rPr>
        <w:t>等装为一体</w:t>
      </w:r>
      <w:r>
        <w:rPr>
          <w:rFonts w:hint="eastAsia" w:cs="宋体"/>
          <w:szCs w:val="21"/>
          <w:highlight w:val="none"/>
          <w:lang w:val="en-US" w:eastAsia="zh-CN"/>
        </w:rPr>
        <w:t>，</w:t>
      </w:r>
      <w:r>
        <w:rPr>
          <w:rFonts w:hint="eastAsia" w:ascii="宋体" w:hAnsi="宋体" w:eastAsia="宋体" w:cs="宋体"/>
          <w:color w:val="000000"/>
          <w:kern w:val="0"/>
          <w:sz w:val="24"/>
          <w:szCs w:val="24"/>
          <w:lang w:val="en-US" w:eastAsia="zh-CN" w:bidi="ar"/>
        </w:rPr>
        <w:t>同时检查回转支承上的高强螺栓的预紧力矩是否达</w:t>
      </w:r>
      <w:r>
        <w:rPr>
          <w:rFonts w:hint="eastAsia" w:ascii="Times New Roman" w:hAnsi="Times New Roman" w:eastAsia="宋体" w:cs="Times New Roman"/>
          <w:color w:val="000000"/>
          <w:kern w:val="0"/>
          <w:sz w:val="24"/>
          <w:szCs w:val="24"/>
          <w:lang w:val="en-US" w:eastAsia="zh-CN" w:bidi="ar"/>
        </w:rPr>
        <w:t>1350</w:t>
      </w:r>
      <w:r>
        <w:rPr>
          <w:rFonts w:hint="default" w:ascii="Times New Roman" w:hAnsi="Times New Roman" w:eastAsia="宋体" w:cs="Times New Roman"/>
          <w:color w:val="000000"/>
          <w:kern w:val="0"/>
          <w:sz w:val="24"/>
          <w:szCs w:val="24"/>
          <w:lang w:val="en-US" w:eastAsia="zh-CN" w:bidi="ar"/>
        </w:rPr>
        <w:t>N·m</w:t>
      </w:r>
      <w:r>
        <w:rPr>
          <w:rFonts w:hint="eastAsia"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且防松螺母的预紧力矩稍大于</w:t>
      </w:r>
      <w:r>
        <w:rPr>
          <w:rFonts w:hint="default" w:ascii="Times New Roman" w:hAnsi="Times New Roman" w:eastAsia="宋体" w:cs="Times New Roman"/>
          <w:color w:val="000000"/>
          <w:kern w:val="0"/>
          <w:sz w:val="24"/>
          <w:szCs w:val="24"/>
          <w:lang w:val="en-US" w:eastAsia="zh-CN" w:bidi="ar"/>
        </w:rPr>
        <w:t>1350N·m</w:t>
      </w:r>
      <w:r>
        <w:rPr>
          <w:rFonts w:hint="eastAsia" w:ascii="宋体" w:hAnsi="宋体" w:eastAsia="宋体" w:cs="宋体"/>
          <w:szCs w:val="21"/>
          <w:highlight w:val="none"/>
          <w:lang w:val="en-US" w:eastAsia="zh-CN"/>
        </w:rPr>
        <w:t>，</w:t>
      </w:r>
      <w:r>
        <w:rPr>
          <w:rFonts w:hint="eastAsia" w:cs="宋体"/>
          <w:szCs w:val="21"/>
          <w:highlight w:val="none"/>
          <w:lang w:val="en-US" w:eastAsia="zh-CN"/>
        </w:rPr>
        <w:t>然后</w:t>
      </w:r>
      <w:r>
        <w:rPr>
          <w:rFonts w:hint="eastAsia" w:ascii="宋体" w:hAnsi="宋体" w:eastAsia="宋体" w:cs="宋体"/>
          <w:szCs w:val="21"/>
          <w:highlight w:val="none"/>
          <w:lang w:val="en-US" w:eastAsia="zh-CN"/>
        </w:rPr>
        <w:t>安装到特殊节上。</w:t>
      </w:r>
    </w:p>
    <w:p w14:paraId="3D948623">
      <w:pPr>
        <w:pStyle w:val="15"/>
        <w:bidi w:val="0"/>
      </w:pPr>
      <w:r>
        <w:drawing>
          <wp:inline distT="0" distB="0" distL="114300" distR="114300">
            <wp:extent cx="2201545" cy="3256915"/>
            <wp:effectExtent l="0" t="0" r="8255" b="635"/>
            <wp:docPr id="7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
                    <pic:cNvPicPr>
                      <a:picLocks noChangeAspect="1"/>
                    </pic:cNvPicPr>
                  </pic:nvPicPr>
                  <pic:blipFill>
                    <a:blip r:embed="rId33"/>
                    <a:stretch>
                      <a:fillRect/>
                    </a:stretch>
                  </pic:blipFill>
                  <pic:spPr>
                    <a:xfrm>
                      <a:off x="0" y="0"/>
                      <a:ext cx="2201545" cy="3256915"/>
                    </a:xfrm>
                    <a:prstGeom prst="rect">
                      <a:avLst/>
                    </a:prstGeom>
                    <a:noFill/>
                    <a:ln>
                      <a:noFill/>
                    </a:ln>
                  </pic:spPr>
                </pic:pic>
              </a:graphicData>
            </a:graphic>
          </wp:inline>
        </w:drawing>
      </w:r>
    </w:p>
    <w:p w14:paraId="0142D614">
      <w:pPr>
        <w:pStyle w:val="15"/>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5</w:t>
      </w:r>
      <w:r>
        <w:fldChar w:fldCharType="end"/>
      </w:r>
      <w:r>
        <w:rPr>
          <w:rFonts w:hint="eastAsia"/>
          <w:highlight w:val="none"/>
          <w:lang w:val="en-US" w:eastAsia="zh-CN"/>
        </w:rPr>
        <w:t xml:space="preserve"> 回转总成吊装示意图</w:t>
      </w:r>
    </w:p>
    <w:p w14:paraId="68DC4224">
      <w:pPr>
        <w:pStyle w:val="5"/>
        <w:bidi w:val="0"/>
        <w:ind w:left="864" w:leftChars="0" w:hanging="864" w:firstLineChars="0"/>
        <w:rPr>
          <w:rFonts w:hint="default"/>
          <w:lang w:val="en-US" w:eastAsia="zh-CN"/>
        </w:rPr>
      </w:pPr>
      <w:r>
        <w:rPr>
          <w:rFonts w:hint="eastAsia"/>
          <w:lang w:val="en-US" w:eastAsia="zh-CN"/>
        </w:rPr>
        <w:t>安装臂根节</w:t>
      </w:r>
    </w:p>
    <w:p w14:paraId="60E63DB3">
      <w:pPr>
        <w:ind w:firstLine="480"/>
        <w:rPr>
          <w:highlight w:val="green"/>
        </w:rPr>
      </w:pPr>
      <w:r>
        <w:rPr>
          <w:rFonts w:hint="eastAsia"/>
          <w:highlight w:val="none"/>
        </w:rPr>
        <w:t>采用吊机配合人工在地面上将臂根节拼装完成，臂根节吊装采用四点吊，以臂根节顶部四个销轴孔作为吊装孔，采用4根</w:t>
      </w:r>
      <w:r>
        <w:rPr>
          <w:rFonts w:hint="eastAsia"/>
          <w:highlight w:val="none"/>
          <w:lang w:eastAsia="zh-CN"/>
        </w:rPr>
        <w:t>18mm6×19W+IWR1870Mpa</w:t>
      </w:r>
      <w:r>
        <w:rPr>
          <w:rFonts w:hint="eastAsia"/>
          <w:highlight w:val="none"/>
        </w:rPr>
        <w:t>的钢丝绳配套</w:t>
      </w:r>
      <w:r>
        <w:rPr>
          <w:rFonts w:hint="eastAsia"/>
          <w:highlight w:val="none"/>
          <w:lang w:eastAsia="zh-CN"/>
        </w:rPr>
        <w:t>GB/T 25854-6-DW5</w:t>
      </w:r>
      <w:r>
        <w:rPr>
          <w:rFonts w:hint="eastAsia"/>
          <w:highlight w:val="none"/>
        </w:rPr>
        <w:t>卸扣进行吊装</w:t>
      </w:r>
      <w:r>
        <w:rPr>
          <w:rFonts w:hint="eastAsia"/>
        </w:rPr>
        <w:t>。</w:t>
      </w:r>
    </w:p>
    <w:p w14:paraId="757E6458">
      <w:pPr>
        <w:ind w:firstLine="480"/>
      </w:pPr>
      <w:r>
        <w:rPr>
          <w:rFonts w:hint="eastAsia"/>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臂根节的安装示意图如下：</w:t>
      </w:r>
    </w:p>
    <w:p w14:paraId="301B868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3062605" cy="2927985"/>
            <wp:effectExtent l="0" t="0" r="0"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34"/>
                    <a:srcRect l="9457" r="11493" b="9858"/>
                    <a:stretch>
                      <a:fillRect/>
                    </a:stretch>
                  </pic:blipFill>
                  <pic:spPr>
                    <a:xfrm>
                      <a:off x="0" y="0"/>
                      <a:ext cx="3062605" cy="2927985"/>
                    </a:xfrm>
                    <a:prstGeom prst="rect">
                      <a:avLst/>
                    </a:prstGeom>
                    <a:noFill/>
                    <a:ln>
                      <a:noFill/>
                    </a:ln>
                  </pic:spPr>
                </pic:pic>
              </a:graphicData>
            </a:graphic>
          </wp:inline>
        </w:drawing>
      </w:r>
      <w:r>
        <w:drawing>
          <wp:inline distT="0" distB="0" distL="114300" distR="114300">
            <wp:extent cx="2157730" cy="2933700"/>
            <wp:effectExtent l="0" t="0" r="13970" b="0"/>
            <wp:docPr id="8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3"/>
                    <pic:cNvPicPr>
                      <a:picLocks noChangeAspect="1"/>
                    </pic:cNvPicPr>
                  </pic:nvPicPr>
                  <pic:blipFill>
                    <a:blip r:embed="rId35"/>
                    <a:stretch>
                      <a:fillRect/>
                    </a:stretch>
                  </pic:blipFill>
                  <pic:spPr>
                    <a:xfrm>
                      <a:off x="0" y="0"/>
                      <a:ext cx="2157730" cy="2933700"/>
                    </a:xfrm>
                    <a:prstGeom prst="rect">
                      <a:avLst/>
                    </a:prstGeom>
                    <a:noFill/>
                    <a:ln>
                      <a:noFill/>
                    </a:ln>
                  </pic:spPr>
                </pic:pic>
              </a:graphicData>
            </a:graphic>
          </wp:inline>
        </w:drawing>
      </w:r>
    </w:p>
    <w:p w14:paraId="10856DA1">
      <w:pPr>
        <w:pStyle w:val="15"/>
        <w:bidi w:val="0"/>
        <w:ind w:left="0" w:leftChars="0" w:firstLine="0" w:firstLineChars="0"/>
        <w:jc w:val="cente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6</w:t>
      </w:r>
      <w:r>
        <w:fldChar w:fldCharType="end"/>
      </w:r>
      <w:r>
        <w:rPr>
          <w:rFonts w:hint="eastAsia" w:ascii="Times New Roman" w:hAnsi="Times New Roman" w:cs="Times New Roman"/>
          <w:highlight w:val="none"/>
          <w:lang w:val="en-US" w:eastAsia="zh-CN"/>
        </w:rPr>
        <w:t xml:space="preserve"> 安装臂根节吊装示意图</w:t>
      </w:r>
    </w:p>
    <w:p w14:paraId="7587E44A">
      <w:pPr>
        <w:pStyle w:val="5"/>
        <w:bidi w:val="0"/>
        <w:ind w:left="864" w:leftChars="0" w:hanging="864" w:firstLineChars="0"/>
        <w:rPr>
          <w:rFonts w:hint="eastAsia"/>
          <w:lang w:val="en-US" w:eastAsia="zh-CN"/>
        </w:rPr>
      </w:pPr>
      <w:bookmarkStart w:id="178" w:name="_Toc11593"/>
      <w:bookmarkStart w:id="179" w:name="_Toc25574"/>
      <w:r>
        <w:rPr>
          <w:rFonts w:hint="eastAsia"/>
          <w:lang w:val="en-US" w:eastAsia="zh-CN"/>
        </w:rPr>
        <w:t>安装平衡臂和平衡臂拉杆</w:t>
      </w:r>
    </w:p>
    <w:p w14:paraId="4A60CCAC">
      <w:pPr>
        <w:ind w:firstLine="420" w:firstLineChars="0"/>
        <w:rPr>
          <w:rFonts w:ascii="宋体" w:hAnsi="宋体" w:eastAsia="宋体" w:cs="宋体"/>
          <w:szCs w:val="21"/>
          <w:highlight w:val="none"/>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采用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w:t>
      </w:r>
      <w:r>
        <w:rPr>
          <w:rFonts w:hint="eastAsia"/>
          <w:highlight w:val="none"/>
          <w:lang w:val="en-US" w:eastAsia="zh-CN"/>
        </w:rPr>
        <w:t>将平衡臂组装好（含走台及栏杆），</w:t>
      </w:r>
      <w:r>
        <w:rPr>
          <w:rFonts w:hint="eastAsia" w:ascii="Times New Roman" w:hAnsi="Times New Roman" w:eastAsia="宋体" w:cs="Times New Roman"/>
          <w:szCs w:val="21"/>
          <w:highlight w:val="none"/>
        </w:rPr>
        <w:t>吊装采用四点吊，以</w:t>
      </w:r>
      <w:r>
        <w:rPr>
          <w:rFonts w:hint="eastAsia"/>
          <w:highlight w:val="none"/>
          <w:lang w:val="en-US" w:eastAsia="zh-CN"/>
        </w:rPr>
        <w:t>平衡臂</w:t>
      </w:r>
      <w:r>
        <w:rPr>
          <w:rFonts w:hint="eastAsia" w:ascii="Times New Roman" w:hAnsi="Times New Roman" w:eastAsia="宋体" w:cs="Times New Roman"/>
          <w:szCs w:val="21"/>
          <w:highlight w:val="none"/>
        </w:rPr>
        <w:t>上弦杆吊耳作为吊装孔，采用4根</w:t>
      </w:r>
      <w:r>
        <w:rPr>
          <w:rFonts w:hint="eastAsia" w:ascii="Times New Roman" w:hAnsi="Times New Roman" w:cs="Times New Roman"/>
          <w:szCs w:val="21"/>
          <w:highlight w:val="none"/>
          <w:lang w:val="en-US"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0F298786">
      <w:pPr>
        <w:widowControl w:val="0"/>
        <w:adjustRightInd/>
        <w:snapToGrid/>
        <w:ind w:firstLine="480"/>
        <w:rPr>
          <w:rFonts w:hint="eastAsia"/>
          <w:highlight w:val="none"/>
          <w:lang w:val="en-US" w:eastAsia="zh-CN"/>
        </w:rPr>
      </w:pPr>
      <w:r>
        <w:rPr>
          <w:rFonts w:hint="eastAsia" w:cs="Times New Roman"/>
          <w:szCs w:val="21"/>
          <w:highlight w:val="none"/>
          <w:lang w:eastAsia="zh-CN"/>
        </w:rPr>
        <w:t>（</w:t>
      </w:r>
      <w:r>
        <w:rPr>
          <w:rFonts w:hint="eastAsia" w:cs="Times New Roman"/>
          <w:szCs w:val="21"/>
          <w:highlight w:val="none"/>
          <w:lang w:val="en-US" w:eastAsia="zh-CN"/>
        </w:rPr>
        <w:t>2</w:t>
      </w:r>
      <w:r>
        <w:rPr>
          <w:rFonts w:hint="eastAsia" w:cs="Times New Roman"/>
          <w:szCs w:val="21"/>
          <w:highlight w:val="none"/>
          <w:lang w:eastAsia="zh-CN"/>
        </w:rPr>
        <w:t>）</w:t>
      </w: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平衡臂</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平衡臂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平衡臂</w:t>
      </w:r>
      <w:r>
        <w:rPr>
          <w:rFonts w:hint="eastAsia" w:ascii="Times New Roman" w:hAnsi="Times New Roman" w:eastAsia="宋体" w:cs="Times New Roman"/>
          <w:szCs w:val="21"/>
          <w:highlight w:val="none"/>
        </w:rPr>
        <w:t>至</w:t>
      </w:r>
      <w:r>
        <w:rPr>
          <w:rFonts w:hint="eastAsia"/>
          <w:highlight w:val="none"/>
          <w:lang w:val="en-US" w:eastAsia="zh-CN"/>
        </w:rPr>
        <w:t>起重臂臂根节</w:t>
      </w:r>
      <w:r>
        <w:rPr>
          <w:rFonts w:hint="eastAsia" w:ascii="Times New Roman" w:hAnsi="Times New Roman" w:eastAsia="宋体" w:cs="Times New Roman"/>
          <w:szCs w:val="21"/>
          <w:highlight w:val="none"/>
        </w:rPr>
        <w:t>上</w:t>
      </w:r>
      <w:r>
        <w:rPr>
          <w:rFonts w:hint="eastAsia" w:cs="Times New Roman"/>
          <w:szCs w:val="21"/>
          <w:highlight w:val="none"/>
          <w:lang w:val="en-US" w:eastAsia="zh-CN"/>
        </w:rPr>
        <w:t>后</w:t>
      </w:r>
      <w:r>
        <w:rPr>
          <w:rFonts w:hint="eastAsia" w:ascii="Times New Roman" w:hAnsi="Times New Roman" w:eastAsia="宋体" w:cs="Times New Roman"/>
          <w:szCs w:val="21"/>
          <w:highlight w:val="none"/>
        </w:rPr>
        <w:t>方，</w:t>
      </w:r>
      <w:r>
        <w:rPr>
          <w:rFonts w:hint="eastAsia" w:eastAsia="宋体" w:cs="Times New Roman"/>
          <w:szCs w:val="21"/>
          <w:highlight w:val="none"/>
          <w:lang w:eastAsia="zh-CN"/>
        </w:rPr>
        <w:t>将组装好的平衡臂吊起，对接</w:t>
      </w:r>
      <w:r>
        <w:rPr>
          <w:rFonts w:hint="eastAsia"/>
          <w:highlight w:val="none"/>
          <w:lang w:val="en-US" w:eastAsia="zh-CN"/>
        </w:rPr>
        <w:t>起重臂臂根节</w:t>
      </w:r>
      <w:r>
        <w:rPr>
          <w:rFonts w:hint="eastAsia" w:eastAsia="宋体" w:cs="Times New Roman"/>
          <w:szCs w:val="21"/>
          <w:highlight w:val="none"/>
          <w:lang w:eastAsia="zh-CN"/>
        </w:rPr>
        <w:t>连接耳板，插入销轴、及R形销，缓慢放下。将平衡臂放置一定程度，把安装在</w:t>
      </w:r>
      <w:r>
        <w:rPr>
          <w:rFonts w:hint="eastAsia"/>
          <w:highlight w:val="none"/>
          <w:lang w:val="en-US" w:eastAsia="zh-CN"/>
        </w:rPr>
        <w:t>起重臂臂根节</w:t>
      </w:r>
      <w:r>
        <w:rPr>
          <w:rFonts w:hint="eastAsia" w:eastAsia="宋体" w:cs="Times New Roman"/>
          <w:szCs w:val="21"/>
          <w:highlight w:val="none"/>
          <w:lang w:eastAsia="zh-CN"/>
        </w:rPr>
        <w:t>的短拉杆和平衡臂上的长拉杆对接好后，插入销轴及开口销缓慢放下，直到拉绷紧，平衡水平。</w:t>
      </w:r>
      <w:r>
        <w:rPr>
          <w:rFonts w:hint="eastAsia" w:cs="Times New Roman"/>
          <w:szCs w:val="21"/>
          <w:highlight w:val="none"/>
          <w:lang w:val="en-US" w:eastAsia="zh-CN"/>
        </w:rPr>
        <w:t>安装示意图如下：</w:t>
      </w:r>
    </w:p>
    <w:p w14:paraId="3BF84136">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2767330" cy="3115310"/>
            <wp:effectExtent l="0" t="0" r="0" b="0"/>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36"/>
                    <a:srcRect l="3797"/>
                    <a:stretch>
                      <a:fillRect/>
                    </a:stretch>
                  </pic:blipFill>
                  <pic:spPr>
                    <a:xfrm>
                      <a:off x="0" y="0"/>
                      <a:ext cx="2767330" cy="3115310"/>
                    </a:xfrm>
                    <a:prstGeom prst="rect">
                      <a:avLst/>
                    </a:prstGeom>
                    <a:noFill/>
                    <a:ln>
                      <a:noFill/>
                    </a:ln>
                  </pic:spPr>
                </pic:pic>
              </a:graphicData>
            </a:graphic>
          </wp:inline>
        </w:drawing>
      </w:r>
      <w:r>
        <w:drawing>
          <wp:inline distT="0" distB="0" distL="114300" distR="114300">
            <wp:extent cx="3243580" cy="3041015"/>
            <wp:effectExtent l="0" t="0" r="13970" b="6985"/>
            <wp:docPr id="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4"/>
                    <pic:cNvPicPr>
                      <a:picLocks noChangeAspect="1"/>
                    </pic:cNvPicPr>
                  </pic:nvPicPr>
                  <pic:blipFill>
                    <a:blip r:embed="rId37"/>
                    <a:stretch>
                      <a:fillRect/>
                    </a:stretch>
                  </pic:blipFill>
                  <pic:spPr>
                    <a:xfrm>
                      <a:off x="0" y="0"/>
                      <a:ext cx="3243580" cy="3041015"/>
                    </a:xfrm>
                    <a:prstGeom prst="rect">
                      <a:avLst/>
                    </a:prstGeom>
                    <a:noFill/>
                    <a:ln>
                      <a:noFill/>
                    </a:ln>
                  </pic:spPr>
                </pic:pic>
              </a:graphicData>
            </a:graphic>
          </wp:inline>
        </w:drawing>
      </w:r>
    </w:p>
    <w:p w14:paraId="489FFD44">
      <w:pPr>
        <w:pStyle w:val="15"/>
        <w:jc w:val="cente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7</w:t>
      </w:r>
      <w:r>
        <w:fldChar w:fldCharType="end"/>
      </w:r>
      <w:r>
        <w:rPr>
          <w:rFonts w:hint="eastAsia"/>
          <w:lang w:val="en-US" w:eastAsia="zh-CN"/>
        </w:rPr>
        <w:t xml:space="preserve"> </w:t>
      </w:r>
      <w:r>
        <w:rPr>
          <w:rFonts w:hint="eastAsia"/>
          <w:highlight w:val="none"/>
          <w:lang w:val="en-US" w:eastAsia="zh-CN"/>
        </w:rPr>
        <w:t>安装平衡臂和平衡臂拉杆</w:t>
      </w:r>
    </w:p>
    <w:p w14:paraId="211B457D">
      <w:pPr>
        <w:widowControl w:val="0"/>
        <w:adjustRightInd/>
        <w:snapToGrid/>
        <w:ind w:firstLine="480"/>
        <w:rPr>
          <w:rFonts w:ascii="Times New Roman" w:hAnsi="Times New Roman" w:eastAsia="宋体" w:cs="Times New Roman"/>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3</w:t>
      </w:r>
      <w:r>
        <w:rPr>
          <w:rFonts w:hint="eastAsia" w:ascii="宋体" w:hAnsi="宋体" w:eastAsia="宋体" w:cs="宋体"/>
          <w:szCs w:val="21"/>
          <w:highlight w:val="none"/>
        </w:rPr>
        <w:t>）</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，将安全带交替系挂在</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w:t>
      </w:r>
      <w:r>
        <w:rPr>
          <w:rFonts w:hint="eastAsia" w:cs="Times New Roman"/>
          <w:szCs w:val="21"/>
          <w:highlight w:val="none"/>
          <w:lang w:val="en-US" w:eastAsia="zh-CN"/>
        </w:rPr>
        <w:t>护栏</w:t>
      </w:r>
      <w:r>
        <w:rPr>
          <w:rFonts w:hint="eastAsia" w:ascii="Times New Roman" w:hAnsi="Times New Roman" w:eastAsia="宋体" w:cs="Times New Roman"/>
          <w:szCs w:val="21"/>
          <w:highlight w:val="none"/>
        </w:rPr>
        <w:t>，沿</w:t>
      </w:r>
      <w:r>
        <w:rPr>
          <w:rFonts w:hint="eastAsia" w:cs="Times New Roman"/>
          <w:szCs w:val="21"/>
          <w:highlight w:val="none"/>
          <w:lang w:val="en-US" w:eastAsia="zh-CN"/>
        </w:rPr>
        <w:t>走道</w:t>
      </w:r>
      <w:r>
        <w:rPr>
          <w:rFonts w:hint="eastAsia" w:ascii="Times New Roman" w:hAnsi="Times New Roman" w:eastAsia="宋体" w:cs="Times New Roman"/>
          <w:szCs w:val="21"/>
          <w:highlight w:val="none"/>
        </w:rPr>
        <w:t>走行至</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臂节吊点位置，</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放松吊钩，作业人员解除钢丝绳与</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臂节吊点的连接。</w:t>
      </w:r>
    </w:p>
    <w:p w14:paraId="1E64D8D9">
      <w:pPr>
        <w:widowControl w:val="0"/>
        <w:adjustRightInd/>
        <w:snapToGrid/>
        <w:ind w:firstLine="480"/>
        <w:rPr>
          <w:rFonts w:hint="default"/>
          <w:highlight w:val="none"/>
          <w:lang w:val="en-US" w:eastAsia="zh-CN"/>
        </w:rPr>
      </w:pPr>
      <w:r>
        <w:rPr>
          <w:rFonts w:hint="eastAsia" w:ascii="宋体" w:hAnsi="宋体" w:eastAsia="宋体" w:cs="宋体"/>
          <w:szCs w:val="21"/>
          <w:highlight w:val="none"/>
        </w:rPr>
        <w:t>（</w:t>
      </w:r>
      <w:r>
        <w:rPr>
          <w:rFonts w:hint="eastAsia" w:ascii="宋体" w:hAnsi="宋体" w:cs="宋体"/>
          <w:szCs w:val="21"/>
          <w:highlight w:val="none"/>
          <w:lang w:val="en-US" w:eastAsia="zh-CN"/>
        </w:rPr>
        <w:t>4</w:t>
      </w:r>
      <w:r>
        <w:rPr>
          <w:rFonts w:hint="eastAsia" w:ascii="宋体" w:hAnsi="宋体" w:eastAsia="宋体" w:cs="宋体"/>
          <w:szCs w:val="21"/>
          <w:highlight w:val="none"/>
        </w:rPr>
        <w:t>）</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安装时设置警戒区，起吊安排专人负责指挥，专人操作，严禁无关人员进入起重作业范围内。</w:t>
      </w:r>
    </w:p>
    <w:p w14:paraId="5F8112AC">
      <w:pPr>
        <w:pStyle w:val="5"/>
        <w:bidi w:val="0"/>
        <w:ind w:left="864" w:leftChars="0" w:hanging="864" w:firstLineChars="0"/>
        <w:rPr>
          <w:rFonts w:hint="eastAsia"/>
          <w:lang w:val="en-US" w:eastAsia="zh-CN"/>
        </w:rPr>
      </w:pPr>
      <w:r>
        <w:rPr>
          <w:rFonts w:hint="eastAsia"/>
          <w:lang w:val="en-US" w:eastAsia="zh-CN"/>
        </w:rPr>
        <w:t>安装两块3.25t平衡重</w:t>
      </w:r>
      <w:bookmarkEnd w:id="178"/>
      <w:bookmarkEnd w:id="179"/>
    </w:p>
    <w:p w14:paraId="3A491B25">
      <w:pPr>
        <w:bidi w:val="0"/>
        <w:ind w:firstLine="480" w:firstLineChars="200"/>
        <w:rPr>
          <w:rFonts w:hint="eastAsia"/>
          <w:lang w:val="en-US" w:eastAsia="zh-CN"/>
        </w:rPr>
      </w:pPr>
      <w:r>
        <w:rPr>
          <w:rFonts w:hint="eastAsia" w:ascii="宋体" w:hAnsi="宋体" w:eastAsia="宋体" w:cs="Times New Roman"/>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w:t>
      </w:r>
      <w:r>
        <w:rPr>
          <w:rFonts w:hint="eastAsia" w:ascii="Times New Roman" w:hAnsi="Times New Roman" w:eastAsia="宋体" w:cs="Times New Roman"/>
          <w:color w:val="auto"/>
          <w:szCs w:val="21"/>
          <w:highlight w:val="none"/>
        </w:rPr>
        <w:t>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17E731F6">
      <w:pPr>
        <w:bidi w:val="0"/>
        <w:ind w:left="0" w:leftChars="0" w:firstLine="0" w:firstLineChars="0"/>
        <w:jc w:val="center"/>
      </w:pPr>
      <w:r>
        <w:drawing>
          <wp:inline distT="0" distB="0" distL="114300" distR="114300">
            <wp:extent cx="2455545" cy="2838450"/>
            <wp:effectExtent l="0" t="0" r="1905" b="0"/>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38"/>
                    <a:stretch>
                      <a:fillRect/>
                    </a:stretch>
                  </pic:blipFill>
                  <pic:spPr>
                    <a:xfrm>
                      <a:off x="0" y="0"/>
                      <a:ext cx="2455545" cy="2838450"/>
                    </a:xfrm>
                    <a:prstGeom prst="rect">
                      <a:avLst/>
                    </a:prstGeom>
                    <a:noFill/>
                    <a:ln>
                      <a:noFill/>
                    </a:ln>
                  </pic:spPr>
                </pic:pic>
              </a:graphicData>
            </a:graphic>
          </wp:inline>
        </w:drawing>
      </w:r>
      <w:r>
        <w:drawing>
          <wp:inline distT="0" distB="0" distL="114300" distR="114300">
            <wp:extent cx="2758440" cy="2381885"/>
            <wp:effectExtent l="0" t="0" r="3810" b="18415"/>
            <wp:docPr id="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5"/>
                    <pic:cNvPicPr>
                      <a:picLocks noChangeAspect="1"/>
                    </pic:cNvPicPr>
                  </pic:nvPicPr>
                  <pic:blipFill>
                    <a:blip r:embed="rId39"/>
                    <a:stretch>
                      <a:fillRect/>
                    </a:stretch>
                  </pic:blipFill>
                  <pic:spPr>
                    <a:xfrm>
                      <a:off x="0" y="0"/>
                      <a:ext cx="2758440" cy="2381885"/>
                    </a:xfrm>
                    <a:prstGeom prst="rect">
                      <a:avLst/>
                    </a:prstGeom>
                    <a:noFill/>
                    <a:ln>
                      <a:noFill/>
                    </a:ln>
                  </pic:spPr>
                </pic:pic>
              </a:graphicData>
            </a:graphic>
          </wp:inline>
        </w:drawing>
      </w:r>
    </w:p>
    <w:p w14:paraId="75819900">
      <w:pPr>
        <w:pStyle w:val="15"/>
        <w:bidi w:val="0"/>
        <w:ind w:left="0" w:leftChars="0" w:firstLine="0" w:firstLineChars="0"/>
        <w:jc w:val="center"/>
        <w:rPr>
          <w:rFonts w:hint="default"/>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8</w:t>
      </w:r>
      <w:r>
        <w:fldChar w:fldCharType="end"/>
      </w:r>
      <w:r>
        <w:rPr>
          <w:rFonts w:hint="eastAsia"/>
          <w:lang w:val="en-US" w:eastAsia="zh-CN"/>
        </w:rPr>
        <w:t xml:space="preserve"> </w:t>
      </w:r>
      <w:r>
        <w:rPr>
          <w:rFonts w:hint="eastAsia"/>
          <w:highlight w:val="none"/>
          <w:lang w:val="en-US" w:eastAsia="zh-CN"/>
        </w:rPr>
        <w:t>平衡重吊装示意图</w:t>
      </w:r>
    </w:p>
    <w:p w14:paraId="1658A5B0">
      <w:pPr>
        <w:pStyle w:val="5"/>
        <w:bidi w:val="0"/>
        <w:ind w:left="864" w:leftChars="0" w:hanging="864" w:firstLineChars="0"/>
        <w:rPr>
          <w:rFonts w:hint="eastAsia"/>
          <w:lang w:val="en-US" w:eastAsia="zh-CN"/>
        </w:rPr>
      </w:pPr>
      <w:bookmarkStart w:id="180" w:name="_Toc23299"/>
      <w:bookmarkStart w:id="181" w:name="_Toc21892"/>
      <w:r>
        <w:rPr>
          <w:rFonts w:hint="eastAsia"/>
          <w:lang w:val="en-US" w:eastAsia="zh-CN"/>
        </w:rPr>
        <w:t>安装剩余起重臂</w:t>
      </w:r>
      <w:bookmarkEnd w:id="180"/>
      <w:bookmarkEnd w:id="181"/>
    </w:p>
    <w:p w14:paraId="0F947BD7">
      <w:pPr>
        <w:ind w:firstLine="420" w:firstLineChars="0"/>
        <w:rPr>
          <w:rFonts w:hint="eastAsia"/>
          <w:lang w:val="en-US" w:eastAsia="zh-CN"/>
        </w:rPr>
      </w:pPr>
      <w:r>
        <w:rPr>
          <w:rFonts w:hint="eastAsia"/>
          <w:lang w:val="en-US" w:eastAsia="zh-CN"/>
        </w:rPr>
        <w:t>起重臂组装时，必须严格按照每节臂上的序号标记组装，不允许错位或随意组装。根据施工要求可以将起重臂组装成如下图起重臂臂长组合所示组合。</w:t>
      </w:r>
    </w:p>
    <w:p w14:paraId="3ABCAF39">
      <w:r>
        <w:drawing>
          <wp:inline distT="0" distB="0" distL="114300" distR="114300">
            <wp:extent cx="5264785" cy="1865630"/>
            <wp:effectExtent l="0" t="0" r="12065" b="1270"/>
            <wp:docPr id="8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6"/>
                    <pic:cNvPicPr>
                      <a:picLocks noChangeAspect="1"/>
                    </pic:cNvPicPr>
                  </pic:nvPicPr>
                  <pic:blipFill>
                    <a:blip r:embed="rId40"/>
                    <a:stretch>
                      <a:fillRect/>
                    </a:stretch>
                  </pic:blipFill>
                  <pic:spPr>
                    <a:xfrm>
                      <a:off x="0" y="0"/>
                      <a:ext cx="5264785" cy="1865630"/>
                    </a:xfrm>
                    <a:prstGeom prst="rect">
                      <a:avLst/>
                    </a:prstGeom>
                    <a:noFill/>
                    <a:ln>
                      <a:noFill/>
                    </a:ln>
                  </pic:spPr>
                </pic:pic>
              </a:graphicData>
            </a:graphic>
          </wp:inline>
        </w:drawing>
      </w:r>
    </w:p>
    <w:p w14:paraId="001DBB01">
      <w:pPr>
        <w:pStyle w:val="15"/>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9</w:t>
      </w:r>
      <w:r>
        <w:fldChar w:fldCharType="end"/>
      </w:r>
      <w:r>
        <w:rPr>
          <w:rFonts w:hint="eastAsia"/>
          <w:lang w:val="en-US" w:eastAsia="zh-CN"/>
        </w:rPr>
        <w:t xml:space="preserve"> </w:t>
      </w:r>
      <w:r>
        <w:rPr>
          <w:rFonts w:hint="eastAsia" w:ascii="Times New Roman" w:hAnsi="Times New Roman" w:cs="Times New Roman"/>
          <w:highlight w:val="none"/>
          <w:lang w:val="en-US" w:eastAsia="zh-CN"/>
        </w:rPr>
        <w:t>起重臂组合图</w:t>
      </w:r>
    </w:p>
    <w:p w14:paraId="0069FC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起重臂的安装采用分节吊装的方式。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p w14:paraId="2C9754E1">
      <w:pPr>
        <w:pStyle w:val="14"/>
        <w:keepNext w:val="0"/>
        <w:keepLines w:val="0"/>
        <w:pageBreakBefore w:val="0"/>
        <w:widowControl w:val="0"/>
        <w:kinsoku/>
        <w:wordWrap/>
        <w:overflowPunct/>
        <w:topLinePunct w:val="0"/>
        <w:autoSpaceDE/>
        <w:autoSpaceDN/>
        <w:bidi w:val="0"/>
        <w:adjustRightInd/>
        <w:snapToGrid/>
        <w:spacing w:after="0"/>
        <w:ind w:firstLine="480" w:firstLineChars="200"/>
        <w:textAlignment w:val="auto"/>
        <w:rPr>
          <w:rFonts w:hint="default"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以同样的方法安装剩余起重臂。</w:t>
      </w:r>
    </w:p>
    <w:p w14:paraId="07DE12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ascii="宋体" w:hAnsi="宋体" w:eastAsia="宋体" w:cs="宋体"/>
          <w:bCs/>
          <w:kern w:val="2"/>
          <w:sz w:val="24"/>
          <w:szCs w:val="24"/>
          <w:lang w:val="en-US" w:eastAsia="zh-CN" w:bidi="ar-SA"/>
        </w:rPr>
        <w:t>塔吊起重臂总成安装时设置警戒区，起吊安排专人负责指挥，专人操作，严禁无关人员进入起重作业范围内</w:t>
      </w:r>
      <w:r>
        <w:rPr>
          <w:rFonts w:hint="eastAsia"/>
        </w:rPr>
        <w:t>。</w:t>
      </w:r>
    </w:p>
    <w:p w14:paraId="5F2F6A3E">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3172460" cy="2769870"/>
            <wp:effectExtent l="0" t="0" r="8890" b="11430"/>
            <wp:docPr id="9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4"/>
                    <pic:cNvPicPr>
                      <a:picLocks noChangeAspect="1"/>
                    </pic:cNvPicPr>
                  </pic:nvPicPr>
                  <pic:blipFill>
                    <a:blip r:embed="rId41"/>
                    <a:stretch>
                      <a:fillRect/>
                    </a:stretch>
                  </pic:blipFill>
                  <pic:spPr>
                    <a:xfrm>
                      <a:off x="0" y="0"/>
                      <a:ext cx="3172460" cy="2769870"/>
                    </a:xfrm>
                    <a:prstGeom prst="rect">
                      <a:avLst/>
                    </a:prstGeom>
                    <a:noFill/>
                    <a:ln>
                      <a:noFill/>
                    </a:ln>
                  </pic:spPr>
                </pic:pic>
              </a:graphicData>
            </a:graphic>
          </wp:inline>
        </w:drawing>
      </w:r>
      <w:r>
        <w:drawing>
          <wp:inline distT="0" distB="0" distL="114300" distR="114300">
            <wp:extent cx="3450590" cy="2556510"/>
            <wp:effectExtent l="0" t="0" r="16510" b="15240"/>
            <wp:docPr id="9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9"/>
                    <pic:cNvPicPr>
                      <a:picLocks noChangeAspect="1"/>
                    </pic:cNvPicPr>
                  </pic:nvPicPr>
                  <pic:blipFill>
                    <a:blip r:embed="rId42"/>
                    <a:stretch>
                      <a:fillRect/>
                    </a:stretch>
                  </pic:blipFill>
                  <pic:spPr>
                    <a:xfrm>
                      <a:off x="0" y="0"/>
                      <a:ext cx="3450590" cy="2556510"/>
                    </a:xfrm>
                    <a:prstGeom prst="rect">
                      <a:avLst/>
                    </a:prstGeom>
                    <a:noFill/>
                    <a:ln>
                      <a:noFill/>
                    </a:ln>
                  </pic:spPr>
                </pic:pic>
              </a:graphicData>
            </a:graphic>
          </wp:inline>
        </w:drawing>
      </w:r>
    </w:p>
    <w:p w14:paraId="72D0B89D">
      <w:pPr>
        <w:pStyle w:val="15"/>
        <w:rPr>
          <w:rFonts w:hint="default" w:eastAsia="黑体"/>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10</w:t>
      </w:r>
      <w:r>
        <w:fldChar w:fldCharType="end"/>
      </w:r>
      <w:r>
        <w:rPr>
          <w:rFonts w:hint="eastAsia"/>
          <w:lang w:val="en-US" w:eastAsia="zh-CN"/>
        </w:rPr>
        <w:t xml:space="preserve"> 起重臂臂节二吊装示意图</w:t>
      </w:r>
    </w:p>
    <w:p w14:paraId="1340FD84">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2482215" cy="2089150"/>
            <wp:effectExtent l="0" t="0" r="13335" b="6350"/>
            <wp:docPr id="9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3"/>
                    <pic:cNvPicPr>
                      <a:picLocks noChangeAspect="1"/>
                    </pic:cNvPicPr>
                  </pic:nvPicPr>
                  <pic:blipFill>
                    <a:blip r:embed="rId43"/>
                    <a:srcRect t="6007" b="19840"/>
                    <a:stretch>
                      <a:fillRect/>
                    </a:stretch>
                  </pic:blipFill>
                  <pic:spPr>
                    <a:xfrm>
                      <a:off x="0" y="0"/>
                      <a:ext cx="2482215" cy="2089150"/>
                    </a:xfrm>
                    <a:prstGeom prst="rect">
                      <a:avLst/>
                    </a:prstGeom>
                    <a:noFill/>
                    <a:ln>
                      <a:noFill/>
                    </a:ln>
                  </pic:spPr>
                </pic:pic>
              </a:graphicData>
            </a:graphic>
          </wp:inline>
        </w:drawing>
      </w:r>
      <w:r>
        <w:drawing>
          <wp:inline distT="0" distB="0" distL="114300" distR="114300">
            <wp:extent cx="3495675" cy="2211705"/>
            <wp:effectExtent l="0" t="0" r="9525" b="17145"/>
            <wp:docPr id="9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0"/>
                    <pic:cNvPicPr>
                      <a:picLocks noChangeAspect="1"/>
                    </pic:cNvPicPr>
                  </pic:nvPicPr>
                  <pic:blipFill>
                    <a:blip r:embed="rId44"/>
                    <a:stretch>
                      <a:fillRect/>
                    </a:stretch>
                  </pic:blipFill>
                  <pic:spPr>
                    <a:xfrm>
                      <a:off x="0" y="0"/>
                      <a:ext cx="3495675" cy="2211705"/>
                    </a:xfrm>
                    <a:prstGeom prst="rect">
                      <a:avLst/>
                    </a:prstGeom>
                    <a:noFill/>
                    <a:ln>
                      <a:noFill/>
                    </a:ln>
                  </pic:spPr>
                </pic:pic>
              </a:graphicData>
            </a:graphic>
          </wp:inline>
        </w:drawing>
      </w:r>
    </w:p>
    <w:p w14:paraId="45428A9D">
      <w:pPr>
        <w:pStyle w:val="15"/>
        <w:rPr>
          <w:rFonts w:hint="eastAsia" w:eastAsia="黑体"/>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11</w:t>
      </w:r>
      <w:r>
        <w:fldChar w:fldCharType="end"/>
      </w:r>
      <w:r>
        <w:rPr>
          <w:rFonts w:hint="eastAsia"/>
          <w:lang w:val="en-US" w:eastAsia="zh-CN"/>
        </w:rPr>
        <w:t xml:space="preserve"> 起重臂臂节三吊装示意图</w:t>
      </w:r>
    </w:p>
    <w:p w14:paraId="15FB5D5E">
      <w:pPr>
        <w:pStyle w:val="16"/>
      </w:pPr>
      <w:r>
        <w:drawing>
          <wp:inline distT="0" distB="0" distL="114300" distR="114300">
            <wp:extent cx="3749675" cy="3353435"/>
            <wp:effectExtent l="0" t="0" r="3175" b="18415"/>
            <wp:docPr id="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2"/>
                    <pic:cNvPicPr>
                      <a:picLocks noChangeAspect="1"/>
                    </pic:cNvPicPr>
                  </pic:nvPicPr>
                  <pic:blipFill>
                    <a:blip r:embed="rId45"/>
                    <a:stretch>
                      <a:fillRect/>
                    </a:stretch>
                  </pic:blipFill>
                  <pic:spPr>
                    <a:xfrm>
                      <a:off x="0" y="0"/>
                      <a:ext cx="3749675" cy="3353435"/>
                    </a:xfrm>
                    <a:prstGeom prst="rect">
                      <a:avLst/>
                    </a:prstGeom>
                    <a:noFill/>
                    <a:ln>
                      <a:noFill/>
                    </a:ln>
                  </pic:spPr>
                </pic:pic>
              </a:graphicData>
            </a:graphic>
          </wp:inline>
        </w:drawing>
      </w:r>
    </w:p>
    <w:p w14:paraId="27B66F51">
      <w:pPr>
        <w:pStyle w:val="16"/>
      </w:pPr>
      <w:r>
        <w:drawing>
          <wp:inline distT="0" distB="0" distL="114300" distR="114300">
            <wp:extent cx="4166870" cy="2625725"/>
            <wp:effectExtent l="0" t="0" r="5080" b="3175"/>
            <wp:docPr id="9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1"/>
                    <pic:cNvPicPr>
                      <a:picLocks noChangeAspect="1"/>
                    </pic:cNvPicPr>
                  </pic:nvPicPr>
                  <pic:blipFill>
                    <a:blip r:embed="rId46"/>
                    <a:stretch>
                      <a:fillRect/>
                    </a:stretch>
                  </pic:blipFill>
                  <pic:spPr>
                    <a:xfrm>
                      <a:off x="0" y="0"/>
                      <a:ext cx="4166870" cy="2625725"/>
                    </a:xfrm>
                    <a:prstGeom prst="rect">
                      <a:avLst/>
                    </a:prstGeom>
                    <a:noFill/>
                    <a:ln>
                      <a:noFill/>
                    </a:ln>
                  </pic:spPr>
                </pic:pic>
              </a:graphicData>
            </a:graphic>
          </wp:inline>
        </w:drawing>
      </w:r>
    </w:p>
    <w:p w14:paraId="79838DB2">
      <w:pPr>
        <w:pStyle w:val="15"/>
        <w:rPr>
          <w:rFonts w:hint="default" w:ascii="Times New Roman" w:hAnsi="Times New Roman" w:cs="Times New Roman"/>
          <w:highlight w:val="none"/>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12</w:t>
      </w:r>
      <w:r>
        <w:fldChar w:fldCharType="end"/>
      </w:r>
      <w:r>
        <w:rPr>
          <w:rFonts w:hint="eastAsia"/>
          <w:lang w:val="en-US" w:eastAsia="zh-CN"/>
        </w:rPr>
        <w:t xml:space="preserve"> 剩余</w:t>
      </w:r>
      <w:r>
        <w:rPr>
          <w:rFonts w:hint="eastAsia" w:ascii="Times New Roman" w:hAnsi="Times New Roman" w:cs="Times New Roman"/>
          <w:highlight w:val="none"/>
          <w:lang w:val="en-US" w:eastAsia="zh-CN"/>
        </w:rPr>
        <w:t>起重臂吊装示意图</w:t>
      </w:r>
    </w:p>
    <w:p w14:paraId="570E76F2">
      <w:pPr>
        <w:pStyle w:val="5"/>
        <w:bidi w:val="0"/>
        <w:ind w:left="864" w:leftChars="0" w:hanging="864" w:firstLineChars="0"/>
        <w:rPr>
          <w:rFonts w:hint="eastAsia"/>
          <w:lang w:val="en-US" w:eastAsia="zh-CN"/>
        </w:rPr>
      </w:pPr>
      <w:r>
        <w:rPr>
          <w:rFonts w:hint="eastAsia"/>
          <w:lang w:val="en-US" w:eastAsia="zh-CN"/>
        </w:rPr>
        <w:t>安装剩余平衡重</w:t>
      </w:r>
    </w:p>
    <w:p w14:paraId="0C815A65">
      <w:pPr>
        <w:bidi w:val="0"/>
        <w:ind w:firstLine="480" w:firstLineChars="200"/>
        <w:rPr>
          <w:rFonts w:hint="eastAsia"/>
          <w:highlight w:val="none"/>
          <w:lang w:val="en-US" w:eastAsia="zh-CN"/>
        </w:rPr>
      </w:pPr>
      <w:r>
        <w:rPr>
          <w:rFonts w:hint="eastAsia"/>
          <w:highlight w:val="none"/>
          <w:lang w:val="en-US" w:eastAsia="zh-CN"/>
        </w:rPr>
        <w:t>平衡重的重量随起重臂长度、平衡臂长度的改变而改变，根据所使用的起重臂及相应平衡臂长度吊装平衡臂。</w:t>
      </w:r>
    </w:p>
    <w:p w14:paraId="6D515655">
      <w:pPr>
        <w:bidi w:val="0"/>
        <w:ind w:left="0" w:leftChars="0" w:firstLine="0" w:firstLineChars="0"/>
        <w:jc w:val="center"/>
      </w:pPr>
      <w:r>
        <w:drawing>
          <wp:inline distT="0" distB="0" distL="114300" distR="114300">
            <wp:extent cx="4501515" cy="2602230"/>
            <wp:effectExtent l="0" t="0" r="13335" b="7620"/>
            <wp:docPr id="9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5"/>
                    <pic:cNvPicPr>
                      <a:picLocks noChangeAspect="1"/>
                    </pic:cNvPicPr>
                  </pic:nvPicPr>
                  <pic:blipFill>
                    <a:blip r:embed="rId47"/>
                    <a:stretch>
                      <a:fillRect/>
                    </a:stretch>
                  </pic:blipFill>
                  <pic:spPr>
                    <a:xfrm>
                      <a:off x="0" y="0"/>
                      <a:ext cx="4501515" cy="2602230"/>
                    </a:xfrm>
                    <a:prstGeom prst="rect">
                      <a:avLst/>
                    </a:prstGeom>
                    <a:noFill/>
                    <a:ln>
                      <a:noFill/>
                    </a:ln>
                  </pic:spPr>
                </pic:pic>
              </a:graphicData>
            </a:graphic>
          </wp:inline>
        </w:drawing>
      </w:r>
    </w:p>
    <w:p w14:paraId="3041D21C">
      <w:pPr>
        <w:pStyle w:val="15"/>
        <w:bidi w:val="0"/>
        <w:ind w:left="0" w:leftChars="0" w:firstLine="0" w:firstLineChars="0"/>
        <w:jc w:val="center"/>
        <w:rPr>
          <w:rFonts w:hint="default" w:eastAsia="黑体"/>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13</w:t>
      </w:r>
      <w:r>
        <w:fldChar w:fldCharType="end"/>
      </w:r>
      <w:r>
        <w:rPr>
          <w:rFonts w:hint="eastAsia"/>
          <w:lang w:val="en-US" w:eastAsia="zh-CN"/>
        </w:rPr>
        <w:t xml:space="preserve"> 平衡重组成示意图</w:t>
      </w:r>
    </w:p>
    <w:p w14:paraId="712023E8">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剩余平衡重吊装方</w:t>
      </w:r>
      <w:r>
        <w:rPr>
          <w:rFonts w:hint="eastAsia" w:ascii="Times New Roman" w:hAnsi="Times New Roman" w:eastAsia="宋体" w:cs="Times New Roman"/>
          <w:color w:val="auto"/>
          <w:szCs w:val="21"/>
          <w:highlight w:val="none"/>
        </w:rPr>
        <w:t>法同安装第1块平衡重。吊装完成后检查并确</w:t>
      </w:r>
      <w:r>
        <w:rPr>
          <w:rFonts w:hint="eastAsia" w:ascii="Times New Roman" w:hAnsi="Times New Roman" w:eastAsia="宋体" w:cs="Times New Roman"/>
          <w:szCs w:val="21"/>
          <w:highlight w:val="none"/>
        </w:rPr>
        <w:t>认相邻平衡重块的整个表面是否贴紧。</w:t>
      </w:r>
    </w:p>
    <w:p w14:paraId="6C39BA03">
      <w:pPr>
        <w:bidi w:val="0"/>
        <w:ind w:firstLine="480" w:firstLineChars="200"/>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按从起升机构侧向塔身侧依次吊装平衡重。</w:t>
      </w:r>
    </w:p>
    <w:p w14:paraId="73D97418">
      <w:pPr>
        <w:bidi w:val="0"/>
        <w:ind w:firstLine="480" w:firstLineChars="200"/>
        <w:rPr>
          <w:rFonts w:ascii="Times New Roman" w:hAnsi="Times New Roman" w:eastAsia="宋体" w:cs="Times New Roman"/>
          <w:color w:val="auto"/>
          <w:szCs w:val="21"/>
          <w:highlight w:val="none"/>
        </w:rPr>
      </w:pPr>
      <w:r>
        <w:rPr>
          <w:rFonts w:hint="eastAsia" w:ascii="宋体" w:hAnsi="宋体" w:eastAsia="宋体" w:cs="Times New Roman"/>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w:t>
      </w:r>
      <w:r>
        <w:rPr>
          <w:rFonts w:hint="eastAsia" w:ascii="Times New Roman" w:hAnsi="Times New Roman" w:eastAsia="宋体" w:cs="Times New Roman"/>
          <w:color w:val="auto"/>
          <w:szCs w:val="21"/>
          <w:highlight w:val="none"/>
        </w:rPr>
        <w:t>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3E0E6089">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cs="Times New Roman"/>
          <w:color w:val="auto"/>
          <w:szCs w:val="21"/>
          <w:highlight w:val="none"/>
          <w:lang w:eastAsia="zh-CN"/>
        </w:rPr>
        <w:t>塔机</w:t>
      </w:r>
      <w:r>
        <w:rPr>
          <w:rFonts w:hint="eastAsia" w:ascii="Times New Roman" w:hAnsi="Times New Roman" w:eastAsia="宋体" w:cs="Times New Roman"/>
          <w:color w:val="auto"/>
          <w:szCs w:val="21"/>
          <w:highlight w:val="none"/>
        </w:rPr>
        <w:t>平衡重</w:t>
      </w:r>
      <w:r>
        <w:rPr>
          <w:rFonts w:hint="eastAsia" w:eastAsia="宋体" w:cs="Times New Roman"/>
          <w:color w:val="auto"/>
          <w:szCs w:val="21"/>
          <w:highlight w:val="none"/>
          <w:lang w:val="en-US" w:eastAsia="zh-CN"/>
        </w:rPr>
        <w:t>安装</w:t>
      </w:r>
      <w:r>
        <w:rPr>
          <w:rFonts w:hint="eastAsia" w:ascii="Times New Roman" w:hAnsi="Times New Roman" w:eastAsia="宋体" w:cs="Times New Roman"/>
          <w:color w:val="auto"/>
          <w:szCs w:val="21"/>
          <w:highlight w:val="none"/>
        </w:rPr>
        <w:t>时设置警戒区，起吊安排专人负责指挥，专人操作，严禁无关人员进入起重作业范围内。</w:t>
      </w:r>
    </w:p>
    <w:p w14:paraId="62457457">
      <w:pPr>
        <w:bidi w:val="0"/>
        <w:ind w:left="0" w:leftChars="0" w:firstLine="0" w:firstLineChars="0"/>
        <w:jc w:val="center"/>
        <w:rPr>
          <w:highlight w:val="none"/>
        </w:rPr>
      </w:pPr>
      <w:r>
        <w:drawing>
          <wp:inline distT="0" distB="0" distL="114300" distR="114300">
            <wp:extent cx="3423920" cy="3197225"/>
            <wp:effectExtent l="0" t="0" r="0" b="0"/>
            <wp:docPr id="10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6"/>
                    <pic:cNvPicPr>
                      <a:picLocks noChangeAspect="1"/>
                    </pic:cNvPicPr>
                  </pic:nvPicPr>
                  <pic:blipFill>
                    <a:blip r:embed="rId48"/>
                    <a:srcRect t="1603"/>
                    <a:stretch>
                      <a:fillRect/>
                    </a:stretch>
                  </pic:blipFill>
                  <pic:spPr>
                    <a:xfrm>
                      <a:off x="0" y="0"/>
                      <a:ext cx="3423920" cy="3197225"/>
                    </a:xfrm>
                    <a:prstGeom prst="rect">
                      <a:avLst/>
                    </a:prstGeom>
                    <a:noFill/>
                    <a:ln>
                      <a:noFill/>
                    </a:ln>
                  </pic:spPr>
                </pic:pic>
              </a:graphicData>
            </a:graphic>
          </wp:inline>
        </w:drawing>
      </w:r>
    </w:p>
    <w:p w14:paraId="3A02EB6E">
      <w:pPr>
        <w:bidi w:val="0"/>
        <w:ind w:left="0" w:leftChars="0" w:firstLine="0" w:firstLineChars="0"/>
        <w:jc w:val="center"/>
      </w:pPr>
      <w:r>
        <w:drawing>
          <wp:inline distT="0" distB="0" distL="114300" distR="114300">
            <wp:extent cx="5270500" cy="2498725"/>
            <wp:effectExtent l="0" t="0" r="6350" b="15875"/>
            <wp:docPr id="10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7"/>
                    <pic:cNvPicPr>
                      <a:picLocks noChangeAspect="1"/>
                    </pic:cNvPicPr>
                  </pic:nvPicPr>
                  <pic:blipFill>
                    <a:blip r:embed="rId49"/>
                    <a:stretch>
                      <a:fillRect/>
                    </a:stretch>
                  </pic:blipFill>
                  <pic:spPr>
                    <a:xfrm>
                      <a:off x="0" y="0"/>
                      <a:ext cx="5270500" cy="2498725"/>
                    </a:xfrm>
                    <a:prstGeom prst="rect">
                      <a:avLst/>
                    </a:prstGeom>
                    <a:noFill/>
                    <a:ln>
                      <a:noFill/>
                    </a:ln>
                  </pic:spPr>
                </pic:pic>
              </a:graphicData>
            </a:graphic>
          </wp:inline>
        </w:drawing>
      </w:r>
    </w:p>
    <w:p w14:paraId="5DCC57AB">
      <w:pPr>
        <w:pStyle w:val="15"/>
        <w:rPr>
          <w:rFonts w:hint="eastAsia" w:ascii="Times New Roman" w:hAnsi="Times New Roman" w:cs="Times New Roman"/>
          <w:highlight w:val="none"/>
          <w:lang w:val="en-US" w:eastAsia="zh-CN"/>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14</w:t>
      </w:r>
      <w:r>
        <w:fldChar w:fldCharType="end"/>
      </w:r>
      <w:r>
        <w:rPr>
          <w:rFonts w:hint="eastAsia"/>
          <w:lang w:val="en-US" w:eastAsia="zh-CN"/>
        </w:rPr>
        <w:t xml:space="preserve"> </w:t>
      </w:r>
      <w:r>
        <w:rPr>
          <w:rFonts w:hint="eastAsia" w:ascii="Times New Roman" w:hAnsi="Times New Roman" w:cs="Times New Roman"/>
          <w:highlight w:val="none"/>
          <w:lang w:val="en-US" w:eastAsia="zh-CN"/>
        </w:rPr>
        <w:t>剩余平衡重吊装示意图</w:t>
      </w:r>
    </w:p>
    <w:p w14:paraId="5378DC40">
      <w:pPr>
        <w:pStyle w:val="5"/>
        <w:bidi w:val="0"/>
        <w:ind w:left="864" w:leftChars="0" w:hanging="864" w:firstLineChars="0"/>
        <w:rPr>
          <w:rFonts w:hint="eastAsia"/>
          <w:lang w:val="en-US" w:eastAsia="zh-CN"/>
        </w:rPr>
      </w:pPr>
      <w:bookmarkStart w:id="182" w:name="_Toc18449"/>
      <w:bookmarkStart w:id="183" w:name="_Toc32421"/>
      <w:bookmarkStart w:id="184" w:name="_Toc1846"/>
      <w:r>
        <w:rPr>
          <w:rFonts w:hint="eastAsia"/>
          <w:lang w:val="en-US" w:eastAsia="zh-CN"/>
        </w:rPr>
        <w:t>穿绕钢丝绳</w:t>
      </w:r>
    </w:p>
    <w:p w14:paraId="55CB4564">
      <w:pPr>
        <w:bidi w:val="0"/>
      </w:pPr>
      <w:r>
        <w:rPr>
          <w:rFonts w:hint="eastAsia"/>
          <w:lang w:val="en-US" w:eastAsia="zh-CN"/>
        </w:rPr>
        <w:t>1.</w:t>
      </w:r>
      <w:r>
        <w:rPr>
          <w:rFonts w:hint="eastAsia"/>
        </w:rPr>
        <w:t>穿绕变幅钢丝绳</w:t>
      </w:r>
    </w:p>
    <w:p w14:paraId="17A4658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将变幅小车临时锁定，作业人员通过爬梯爬至回转总成平台上，将安全带交替系挂在起重臂臂根节上弦杆，沿下弦杆走行至变幅卷筒处，启动变幅卷筒放出后变幅钢丝绳，人工牵引变幅钢丝绳穿过起重臂根部滑轮，使用销轴将后变幅钢丝绳上的楔形接头固定在小车上。</w:t>
      </w:r>
    </w:p>
    <w:p w14:paraId="0C1E7F74">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（2）启动变幅卷扬机收紧后变幅钢丝绳，并将后变幅钢丝绳缓慢卷绕至变幅卷筒上。</w:t>
      </w:r>
    </w:p>
    <w:p w14:paraId="769B978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从变幅卷筒内放出前变幅钢丝绳，作业人员安全带交替系挂在起重臂安全绳上，沿下弦杆牵引前变幅钢丝绳至起重臂臂端滑轮处，将变幅钢丝绳穿过起重臂臂端滑轮，再将前变幅钢丝绳牵引至小车处进行固定，并用小车上的张紧卷筒张紧钢丝绳。</w:t>
      </w:r>
    </w:p>
    <w:p w14:paraId="1DBB0DD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变幅钢丝绳绕绳总体示意如下图所示。</w:t>
      </w:r>
    </w:p>
    <w:p w14:paraId="2C2AD591">
      <w:pPr>
        <w:keepNext w:val="0"/>
        <w:keepLines w:val="0"/>
        <w:pageBreakBefore w:val="0"/>
        <w:widowControl w:val="0"/>
        <w:kinsoku/>
        <w:wordWrap/>
        <w:overflowPunct/>
        <w:topLinePunct w:val="0"/>
        <w:autoSpaceDE/>
        <w:autoSpaceDN/>
        <w:bidi w:val="0"/>
        <w:adjustRightInd/>
        <w:snapToGrid/>
        <w:ind w:firstLine="0"/>
        <w:jc w:val="center"/>
        <w:textAlignment w:val="auto"/>
      </w:pPr>
      <w:r>
        <w:drawing>
          <wp:inline distT="0" distB="0" distL="114300" distR="114300">
            <wp:extent cx="5756275" cy="2272030"/>
            <wp:effectExtent l="0" t="0" r="15875" b="13970"/>
            <wp:docPr id="20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1"/>
                    <pic:cNvPicPr>
                      <a:picLocks noChangeAspect="1"/>
                    </pic:cNvPicPr>
                  </pic:nvPicPr>
                  <pic:blipFill>
                    <a:blip r:embed="rId50"/>
                    <a:stretch>
                      <a:fillRect/>
                    </a:stretch>
                  </pic:blipFill>
                  <pic:spPr>
                    <a:xfrm>
                      <a:off x="0" y="0"/>
                      <a:ext cx="5756275" cy="2272030"/>
                    </a:xfrm>
                    <a:prstGeom prst="rect">
                      <a:avLst/>
                    </a:prstGeom>
                    <a:noFill/>
                    <a:ln>
                      <a:noFill/>
                    </a:ln>
                  </pic:spPr>
                </pic:pic>
              </a:graphicData>
            </a:graphic>
          </wp:inline>
        </w:drawing>
      </w:r>
    </w:p>
    <w:p w14:paraId="206F63EA">
      <w:pPr>
        <w:widowControl w:val="0"/>
        <w:adjustRightInd/>
        <w:snapToGrid/>
        <w:ind w:firstLine="480"/>
        <w:jc w:val="center"/>
        <w:rPr>
          <w:rFonts w:hint="eastAsia" w:ascii="Times New Roman" w:hAnsi="Times New Roman" w:eastAsia="黑体" w:cs="Times New Roman"/>
          <w:kern w:val="2"/>
          <w:sz w:val="21"/>
          <w:szCs w:val="21"/>
          <w:highlight w:val="none"/>
          <w:lang w:val="en-US" w:eastAsia="zh-CN" w:bidi="ar-SA"/>
        </w:rPr>
      </w:pPr>
      <w:r>
        <w:rPr>
          <w:rFonts w:hint="eastAsia" w:ascii="Times New Roman" w:hAnsi="Times New Roman" w:eastAsia="黑体" w:cs="Times New Roman"/>
          <w:kern w:val="2"/>
          <w:sz w:val="21"/>
          <w:szCs w:val="21"/>
          <w:highlight w:val="none"/>
          <w:lang w:val="en-US" w:eastAsia="zh-CN" w:bidi="ar-SA"/>
        </w:rPr>
        <w:t xml:space="preserve">图 </w:t>
      </w:r>
      <w:r>
        <w:rPr>
          <w:rFonts w:hint="eastAsia" w:ascii="Times New Roman" w:hAnsi="Times New Roman" w:eastAsia="黑体" w:cs="Times New Roman"/>
          <w:kern w:val="2"/>
          <w:sz w:val="21"/>
          <w:szCs w:val="21"/>
          <w:highlight w:val="none"/>
          <w:lang w:val="en-US" w:eastAsia="zh-CN" w:bidi="ar-SA"/>
        </w:rPr>
        <w:fldChar w:fldCharType="begin"/>
      </w:r>
      <w:r>
        <w:rPr>
          <w:rFonts w:hint="eastAsia" w:ascii="Times New Roman" w:hAnsi="Times New Roman" w:eastAsia="黑体" w:cs="Times New Roman"/>
          <w:kern w:val="2"/>
          <w:sz w:val="21"/>
          <w:szCs w:val="21"/>
          <w:highlight w:val="none"/>
          <w:lang w:val="en-US" w:eastAsia="zh-CN" w:bidi="ar-SA"/>
        </w:rPr>
        <w:instrText xml:space="preserve"> STYLEREF 3 \s </w:instrText>
      </w:r>
      <w:r>
        <w:rPr>
          <w:rFonts w:hint="eastAsia" w:ascii="Times New Roman" w:hAnsi="Times New Roman" w:eastAsia="黑体" w:cs="Times New Roman"/>
          <w:kern w:val="2"/>
          <w:sz w:val="21"/>
          <w:szCs w:val="21"/>
          <w:highlight w:val="none"/>
          <w:lang w:val="en-US" w:eastAsia="zh-CN" w:bidi="ar-SA"/>
        </w:rPr>
        <w:fldChar w:fldCharType="separate"/>
      </w:r>
      <w:r>
        <w:rPr>
          <w:rFonts w:hint="eastAsia" w:ascii="Times New Roman" w:hAnsi="Times New Roman" w:eastAsia="黑体" w:cs="Times New Roman"/>
          <w:kern w:val="2"/>
          <w:sz w:val="21"/>
          <w:szCs w:val="21"/>
          <w:highlight w:val="none"/>
          <w:lang w:val="en-US" w:eastAsia="zh-CN" w:bidi="ar-SA"/>
        </w:rPr>
        <w:t>4.4.3</w:t>
      </w:r>
      <w:r>
        <w:rPr>
          <w:rFonts w:hint="eastAsia" w:ascii="Times New Roman" w:hAnsi="Times New Roman" w:eastAsia="黑体" w:cs="Times New Roman"/>
          <w:kern w:val="2"/>
          <w:sz w:val="21"/>
          <w:szCs w:val="21"/>
          <w:highlight w:val="none"/>
          <w:lang w:val="en-US" w:eastAsia="zh-CN" w:bidi="ar-SA"/>
        </w:rPr>
        <w:fldChar w:fldCharType="end"/>
      </w:r>
      <w:r>
        <w:rPr>
          <w:rFonts w:hint="eastAsia" w:ascii="Times New Roman" w:hAnsi="Times New Roman" w:eastAsia="黑体" w:cs="Times New Roman"/>
          <w:kern w:val="2"/>
          <w:sz w:val="21"/>
          <w:szCs w:val="21"/>
          <w:highlight w:val="none"/>
          <w:lang w:val="en-US" w:eastAsia="zh-CN" w:bidi="ar-SA"/>
        </w:rPr>
        <w:t>-</w:t>
      </w:r>
      <w:r>
        <w:rPr>
          <w:rFonts w:hint="eastAsia" w:ascii="Times New Roman" w:hAnsi="Times New Roman" w:eastAsia="黑体" w:cs="Times New Roman"/>
          <w:kern w:val="2"/>
          <w:sz w:val="21"/>
          <w:szCs w:val="21"/>
          <w:highlight w:val="none"/>
          <w:lang w:val="en-US" w:eastAsia="zh-CN" w:bidi="ar-SA"/>
        </w:rPr>
        <w:fldChar w:fldCharType="begin"/>
      </w:r>
      <w:r>
        <w:rPr>
          <w:rFonts w:hint="eastAsia" w:ascii="Times New Roman" w:hAnsi="Times New Roman" w:eastAsia="黑体" w:cs="Times New Roman"/>
          <w:kern w:val="2"/>
          <w:sz w:val="21"/>
          <w:szCs w:val="21"/>
          <w:highlight w:val="none"/>
          <w:lang w:val="en-US" w:eastAsia="zh-CN" w:bidi="ar-SA"/>
        </w:rPr>
        <w:instrText xml:space="preserve"> SEQ 图 \* ARABIC \s 3 </w:instrText>
      </w:r>
      <w:r>
        <w:rPr>
          <w:rFonts w:hint="eastAsia" w:ascii="Times New Roman" w:hAnsi="Times New Roman" w:eastAsia="黑体" w:cs="Times New Roman"/>
          <w:kern w:val="2"/>
          <w:sz w:val="21"/>
          <w:szCs w:val="21"/>
          <w:highlight w:val="none"/>
          <w:lang w:val="en-US" w:eastAsia="zh-CN" w:bidi="ar-SA"/>
        </w:rPr>
        <w:fldChar w:fldCharType="separate"/>
      </w:r>
      <w:r>
        <w:rPr>
          <w:rFonts w:hint="eastAsia" w:ascii="Times New Roman" w:hAnsi="Times New Roman" w:eastAsia="黑体" w:cs="Times New Roman"/>
          <w:kern w:val="2"/>
          <w:sz w:val="21"/>
          <w:szCs w:val="21"/>
          <w:highlight w:val="none"/>
          <w:lang w:val="en-US" w:eastAsia="zh-CN" w:bidi="ar-SA"/>
        </w:rPr>
        <w:t>15</w:t>
      </w:r>
      <w:r>
        <w:rPr>
          <w:rFonts w:hint="eastAsia" w:ascii="Times New Roman" w:hAnsi="Times New Roman" w:eastAsia="黑体" w:cs="Times New Roman"/>
          <w:kern w:val="2"/>
          <w:sz w:val="21"/>
          <w:szCs w:val="21"/>
          <w:highlight w:val="none"/>
          <w:lang w:val="en-US" w:eastAsia="zh-CN" w:bidi="ar-SA"/>
        </w:rPr>
        <w:fldChar w:fldCharType="end"/>
      </w:r>
      <w:r>
        <w:rPr>
          <w:rFonts w:hint="eastAsia" w:ascii="Times New Roman" w:hAnsi="Times New Roman" w:eastAsia="黑体" w:cs="Times New Roman"/>
          <w:kern w:val="2"/>
          <w:sz w:val="21"/>
          <w:szCs w:val="21"/>
          <w:highlight w:val="none"/>
          <w:lang w:val="en-US" w:eastAsia="zh-CN" w:bidi="ar-SA"/>
        </w:rPr>
        <w:t xml:space="preserve"> 变幅钢丝绳穿绕示意图</w:t>
      </w:r>
    </w:p>
    <w:p w14:paraId="26C76F1D">
      <w:pPr>
        <w:bidi w:val="0"/>
      </w:pPr>
      <w:r>
        <w:rPr>
          <w:rFonts w:hint="eastAsia"/>
          <w:lang w:val="en-US" w:eastAsia="zh-CN"/>
        </w:rPr>
        <w:t>2.</w:t>
      </w:r>
      <w:r>
        <w:rPr>
          <w:rFonts w:hint="eastAsia"/>
        </w:rPr>
        <w:t>穿绕起升钢丝绳</w:t>
      </w:r>
    </w:p>
    <w:p w14:paraId="485C73AC">
      <w:pPr>
        <w:keepNext w:val="0"/>
        <w:keepLines w:val="0"/>
        <w:widowControl w:val="0"/>
        <w:suppressLineNumbers w:val="0"/>
        <w:tabs>
          <w:tab w:val="left" w:pos="404"/>
        </w:tabs>
        <w:ind w:firstLine="480"/>
        <w:jc w:val="left"/>
        <w:rPr>
          <w:rFonts w:hint="eastAsia"/>
        </w:rPr>
      </w:pPr>
      <w:r>
        <w:rPr>
          <w:rFonts w:hint="eastAsia" w:ascii="Times New Roman" w:hAnsi="Times New Roman" w:eastAsia="宋体" w:cs="Times New Roman"/>
          <w:color w:val="auto"/>
          <w:kern w:val="2"/>
          <w:sz w:val="24"/>
          <w:szCs w:val="21"/>
          <w:lang w:val="en-US" w:eastAsia="zh-CN" w:bidi="ar"/>
        </w:rPr>
        <w:t>钢丝绳从起升机构（1）卷筒上端出绳，穿过起重臂臂根节上托绳轮（2），再穿过起重臂臂根节上起重量限制器滑轮（3），再穿过起重臂臂根部滑轮（4），然后钢丝绳伸出连接小车。</w:t>
      </w:r>
    </w:p>
    <w:p w14:paraId="2799682D">
      <w:pPr>
        <w:widowControl w:val="0"/>
        <w:adjustRightInd/>
        <w:snapToGrid/>
        <w:ind w:firstLine="480"/>
        <w:rPr>
          <w:rFonts w:hint="eastAsia" w:ascii="Times New Roman" w:hAnsi="Times New Roman" w:eastAsia="宋体" w:cs="Times New Roman"/>
          <w:szCs w:val="21"/>
          <w:lang w:eastAsia="zh-CN"/>
        </w:rPr>
      </w:pPr>
      <w:r>
        <w:drawing>
          <wp:inline distT="0" distB="0" distL="114300" distR="114300">
            <wp:extent cx="5758180" cy="3295650"/>
            <wp:effectExtent l="0" t="0" r="13970" b="0"/>
            <wp:docPr id="20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2"/>
                    <pic:cNvPicPr>
                      <a:picLocks noChangeAspect="1"/>
                    </pic:cNvPicPr>
                  </pic:nvPicPr>
                  <pic:blipFill>
                    <a:blip r:embed="rId51"/>
                    <a:stretch>
                      <a:fillRect/>
                    </a:stretch>
                  </pic:blipFill>
                  <pic:spPr>
                    <a:xfrm>
                      <a:off x="0" y="0"/>
                      <a:ext cx="5758180" cy="3295650"/>
                    </a:xfrm>
                    <a:prstGeom prst="rect">
                      <a:avLst/>
                    </a:prstGeom>
                    <a:noFill/>
                    <a:ln>
                      <a:noFill/>
                    </a:ln>
                  </pic:spPr>
                </pic:pic>
              </a:graphicData>
            </a:graphic>
          </wp:inline>
        </w:drawing>
      </w:r>
    </w:p>
    <w:p w14:paraId="7DB8D777">
      <w:pPr>
        <w:keepNext w:val="0"/>
        <w:keepLines w:val="0"/>
        <w:widowControl w:val="0"/>
        <w:suppressLineNumbers w:val="0"/>
        <w:ind w:firstLine="480"/>
        <w:jc w:val="left"/>
        <w:rPr>
          <w:rFonts w:hint="eastAsia" w:ascii="Times New Roman" w:hAnsi="Times New Roman" w:eastAsia="宋体" w:cs="Times New Roman"/>
          <w:kern w:val="2"/>
          <w:sz w:val="24"/>
          <w:szCs w:val="21"/>
          <w:lang w:val="en-US" w:eastAsia="zh-CN" w:bidi="ar"/>
        </w:rPr>
      </w:pPr>
      <w:r>
        <w:rPr>
          <w:rFonts w:hint="eastAsia" w:ascii="Times New Roman" w:hAnsi="Times New Roman" w:eastAsia="宋体" w:cs="Times New Roman"/>
          <w:color w:val="auto"/>
          <w:kern w:val="2"/>
          <w:sz w:val="24"/>
          <w:szCs w:val="21"/>
          <w:lang w:val="en-US" w:eastAsia="zh-CN" w:bidi="ar"/>
        </w:rPr>
        <w:t>穿绕变幅小车上起升钢丝绳。由于本小车和吊钩为自动变倍率方式，变倍率时通过吊 钩上上下滑轮组自动断开方式实现，因此起升钢丝绳的绕绳方式不变。</w:t>
      </w:r>
    </w:p>
    <w:p w14:paraId="50F44EFA">
      <w:pPr>
        <w:keepNext w:val="0"/>
        <w:keepLines w:val="0"/>
        <w:widowControl w:val="0"/>
        <w:suppressLineNumbers w:val="0"/>
        <w:ind w:firstLine="0" w:firstLineChars="0"/>
        <w:jc w:val="center"/>
      </w:pPr>
      <w:r>
        <w:drawing>
          <wp:inline distT="0" distB="0" distL="114300" distR="114300">
            <wp:extent cx="3038475" cy="2628900"/>
            <wp:effectExtent l="0" t="0" r="9525" b="0"/>
            <wp:docPr id="20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3"/>
                    <pic:cNvPicPr>
                      <a:picLocks noChangeAspect="1"/>
                    </pic:cNvPicPr>
                  </pic:nvPicPr>
                  <pic:blipFill>
                    <a:blip r:embed="rId52"/>
                    <a:stretch>
                      <a:fillRect/>
                    </a:stretch>
                  </pic:blipFill>
                  <pic:spPr>
                    <a:xfrm>
                      <a:off x="0" y="0"/>
                      <a:ext cx="3038475" cy="2628900"/>
                    </a:xfrm>
                    <a:prstGeom prst="rect">
                      <a:avLst/>
                    </a:prstGeom>
                    <a:noFill/>
                    <a:ln>
                      <a:noFill/>
                    </a:ln>
                  </pic:spPr>
                </pic:pic>
              </a:graphicData>
            </a:graphic>
          </wp:inline>
        </w:drawing>
      </w:r>
    </w:p>
    <w:p w14:paraId="6B61EE40">
      <w:pPr>
        <w:keepNext w:val="0"/>
        <w:keepLines w:val="0"/>
        <w:widowControl/>
        <w:suppressLineNumbers w:val="0"/>
        <w:ind w:firstLine="480"/>
        <w:jc w:val="left"/>
        <w:rPr>
          <w:rFonts w:hint="default" w:ascii="Times New Roman" w:hAnsi="Times New Roman" w:eastAsia="宋体" w:cs="Times New Roman"/>
          <w:kern w:val="2"/>
          <w:sz w:val="24"/>
          <w:szCs w:val="21"/>
          <w:lang w:val="en-US" w:eastAsia="zh-CN" w:bidi="ar"/>
        </w:rPr>
      </w:pPr>
      <w:r>
        <w:rPr>
          <w:rFonts w:hint="default" w:ascii="Times New Roman" w:hAnsi="Times New Roman" w:eastAsia="宋体" w:cs="Times New Roman"/>
          <w:color w:val="auto"/>
          <w:kern w:val="2"/>
          <w:sz w:val="24"/>
          <w:szCs w:val="21"/>
          <w:lang w:val="en-US" w:eastAsia="zh-CN" w:bidi="ar"/>
        </w:rPr>
        <w:t>起升钢丝绳从小车绕出之后进入起重臂臂头防扭装置。用楔块（3）锁住钢丝绳（1） 至楔套（2），并在钢丝绳末端装上一个绳夹（4）。用销轴（6）和开口销（7）安装楔套（2） 至钢丝绳防扭器（5）。安装完毕后检查防扭器是否旋转自如。</w:t>
      </w:r>
    </w:p>
    <w:p w14:paraId="27C1700D">
      <w:pPr>
        <w:keepNext w:val="0"/>
        <w:keepLines w:val="0"/>
        <w:widowControl/>
        <w:suppressLineNumbers w:val="0"/>
        <w:ind w:firstLine="0" w:firstLineChars="0"/>
        <w:jc w:val="center"/>
        <w:rPr>
          <w:rFonts w:hint="eastAsia"/>
          <w:lang w:bidi="ar"/>
        </w:rPr>
      </w:pPr>
      <w:r>
        <w:drawing>
          <wp:inline distT="0" distB="0" distL="114300" distR="114300">
            <wp:extent cx="5758815" cy="2462530"/>
            <wp:effectExtent l="0" t="0" r="13335" b="13970"/>
            <wp:docPr id="20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4"/>
                    <pic:cNvPicPr>
                      <a:picLocks noChangeAspect="1"/>
                    </pic:cNvPicPr>
                  </pic:nvPicPr>
                  <pic:blipFill>
                    <a:blip r:embed="rId53"/>
                    <a:stretch>
                      <a:fillRect/>
                    </a:stretch>
                  </pic:blipFill>
                  <pic:spPr>
                    <a:xfrm>
                      <a:off x="0" y="0"/>
                      <a:ext cx="5758815" cy="2462530"/>
                    </a:xfrm>
                    <a:prstGeom prst="rect">
                      <a:avLst/>
                    </a:prstGeom>
                    <a:noFill/>
                    <a:ln>
                      <a:noFill/>
                    </a:ln>
                  </pic:spPr>
                </pic:pic>
              </a:graphicData>
            </a:graphic>
          </wp:inline>
        </w:drawing>
      </w:r>
    </w:p>
    <w:p w14:paraId="0685FCE0">
      <w:pPr>
        <w:pStyle w:val="5"/>
        <w:bidi w:val="0"/>
        <w:ind w:left="864" w:leftChars="0" w:hanging="864" w:firstLineChars="0"/>
        <w:rPr>
          <w:rFonts w:hint="eastAsia"/>
          <w:lang w:val="en-US" w:eastAsia="zh-CN"/>
        </w:rPr>
      </w:pPr>
      <w:r>
        <w:rPr>
          <w:rFonts w:hint="eastAsia"/>
          <w:lang w:val="en-US" w:eastAsia="zh-CN"/>
        </w:rPr>
        <w:t>电气系统安装及试运转</w:t>
      </w:r>
    </w:p>
    <w:p w14:paraId="01D6AF25">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（1）起重臂安装完成后，按照说明书的要求，进行</w:t>
      </w:r>
      <w:r>
        <w:rPr>
          <w:rFonts w:ascii="Times New Roman" w:hAnsi="Times New Roman" w:eastAsia="宋体" w:cs="Times New Roman"/>
          <w:szCs w:val="21"/>
        </w:rPr>
        <w:t>驾配箱、主控柜</w:t>
      </w:r>
      <w:r>
        <w:rPr>
          <w:rFonts w:hint="eastAsia" w:ascii="Times New Roman" w:hAnsi="Times New Roman" w:eastAsia="宋体" w:cs="Times New Roman"/>
          <w:szCs w:val="21"/>
        </w:rPr>
        <w:t>、</w:t>
      </w:r>
      <w:r>
        <w:rPr>
          <w:rFonts w:ascii="Times New Roman" w:hAnsi="Times New Roman" w:eastAsia="宋体" w:cs="Times New Roman"/>
          <w:szCs w:val="21"/>
        </w:rPr>
        <w:t>重量限制器、力矩限制器、起升限位器、回转限位器、变幅限位器、行走限位器</w:t>
      </w:r>
      <w:r>
        <w:rPr>
          <w:rFonts w:hint="eastAsia" w:ascii="Times New Roman" w:hAnsi="Times New Roman" w:eastAsia="宋体" w:cs="Times New Roman"/>
          <w:szCs w:val="21"/>
        </w:rPr>
        <w:t>等的安装。</w:t>
      </w:r>
    </w:p>
    <w:p w14:paraId="29A753C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（2）在塔头顶部安装风速仪，平衡臂尾部以及起重臂前端部各安装一个警示灯。</w:t>
      </w:r>
    </w:p>
    <w:p w14:paraId="2540392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（3）在风速不大于3m/s且空载状态下，检查塔身轴线的垂直度，允许偏差为 4/1000。</w:t>
      </w:r>
    </w:p>
    <w:p w14:paraId="056CEEC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（4）侧向垂直度在使用高度、空载状态，臂架相当于塔身0°和90°时分别沿臂架方向测量，标尺贴靠在塔身结构中心的最低处和最高处，用全站仪读出两处的偏位值。</w:t>
      </w:r>
    </w:p>
    <w:p w14:paraId="6A2EA18F">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（5）</w:t>
      </w:r>
      <w:r>
        <w:rPr>
          <w:rFonts w:hint="eastAsia" w:ascii="Times New Roman" w:hAnsi="Times New Roman" w:cs="Times New Roman"/>
          <w:szCs w:val="21"/>
          <w:lang w:eastAsia="zh-CN"/>
        </w:rPr>
        <w:t>塔机</w:t>
      </w:r>
      <w:r>
        <w:rPr>
          <w:rFonts w:hint="eastAsia" w:ascii="Times New Roman" w:hAnsi="Times New Roman" w:eastAsia="宋体" w:cs="Times New Roman"/>
          <w:szCs w:val="21"/>
        </w:rPr>
        <w:t>接通电源，试运转各机构，检查各机构运转是否正常，同时检查各钢丝绳是否处于正常工作状态，是否与各机构有干扰。</w:t>
      </w:r>
    </w:p>
    <w:p w14:paraId="703DDC1C">
      <w:pPr>
        <w:pStyle w:val="5"/>
        <w:bidi w:val="0"/>
        <w:ind w:left="864" w:leftChars="0" w:hanging="864" w:firstLineChars="0"/>
      </w:pPr>
      <w:r>
        <w:rPr>
          <w:rFonts w:hint="eastAsia"/>
        </w:rPr>
        <w:t>操作系统的调试</w:t>
      </w:r>
    </w:p>
    <w:p w14:paraId="056B1EC5">
      <w:pPr>
        <w:widowControl w:val="0"/>
        <w:adjustRightInd/>
        <w:snapToGrid/>
        <w:ind w:firstLine="480"/>
        <w:rPr>
          <w:rFonts w:ascii="Times New Roman" w:hAnsi="Times New Roman" w:eastAsia="宋体" w:cs="Times New Roman"/>
          <w:szCs w:val="21"/>
        </w:rPr>
      </w:pPr>
      <w:r>
        <w:rPr>
          <w:rFonts w:ascii="宋体" w:hAnsi="宋体" w:eastAsia="宋体" w:cs="宋体"/>
          <w:szCs w:val="21"/>
        </w:rPr>
        <w:t>①</w:t>
      </w:r>
      <w:r>
        <w:rPr>
          <w:rFonts w:hint="eastAsia" w:ascii="Times New Roman" w:hAnsi="Times New Roman" w:eastAsia="宋体" w:cs="Times New Roman"/>
          <w:szCs w:val="21"/>
        </w:rPr>
        <w:t>电源检查：</w:t>
      </w:r>
    </w:p>
    <w:p w14:paraId="121E7B36">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连通电源，检查三相电源的相序是否正确，电压是否满足要求（380V±5%）。</w:t>
      </w:r>
    </w:p>
    <w:p w14:paraId="5C30AC99">
      <w:pPr>
        <w:widowControl w:val="0"/>
        <w:adjustRightInd/>
        <w:snapToGrid/>
        <w:ind w:firstLine="480"/>
        <w:rPr>
          <w:rFonts w:ascii="Times New Roman" w:hAnsi="Times New Roman" w:eastAsia="宋体" w:cs="Times New Roman"/>
          <w:szCs w:val="21"/>
        </w:rPr>
      </w:pPr>
      <w:r>
        <w:rPr>
          <w:rFonts w:hint="eastAsia" w:ascii="宋体" w:hAnsi="宋体" w:eastAsia="宋体" w:cs="宋体"/>
          <w:szCs w:val="21"/>
        </w:rPr>
        <w:t>②</w:t>
      </w:r>
      <w:r>
        <w:rPr>
          <w:rFonts w:hint="eastAsia" w:ascii="Times New Roman" w:hAnsi="Times New Roman" w:eastAsia="宋体" w:cs="Times New Roman"/>
          <w:szCs w:val="21"/>
        </w:rPr>
        <w:t>操作系统逻辑关系检查：</w:t>
      </w:r>
    </w:p>
    <w:p w14:paraId="384726DA">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操作起升手柄，观察吊钩起升运转情况，当起升手柄向内拉时，吊钩应向上运动；当起升手柄向外推时，吊钩应向下运动，否则应调整起升电机电源的相序。</w:t>
      </w:r>
    </w:p>
    <w:p w14:paraId="1F7686A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操作回转手柄，当回转手柄向左推时，起重臂应向左转；当回转手柄向右推时，起重臂应向右转，否则应调整回转电机电源的相序。</w:t>
      </w:r>
    </w:p>
    <w:p w14:paraId="338FE2B0">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操作变幅手柄，当变幅手柄向内拉时，变幅小车应该向内行走；当变幅手柄向外推时，变幅小车应该向外行走，否则应调整变幅小车电机电源的相序。</w:t>
      </w:r>
    </w:p>
    <w:p w14:paraId="39A034AD">
      <w:pPr>
        <w:pStyle w:val="4"/>
        <w:bidi w:val="0"/>
        <w:ind w:left="720" w:leftChars="0" w:hanging="720" w:firstLineChars="0"/>
        <w:rPr>
          <w:rFonts w:hint="eastAsia"/>
          <w:lang w:val="en-US" w:eastAsia="zh-CN"/>
        </w:rPr>
      </w:pPr>
      <w:r>
        <w:rPr>
          <w:rFonts w:hint="eastAsia"/>
          <w:lang w:val="en-US" w:eastAsia="zh-CN"/>
        </w:rPr>
        <w:t>塔机顶升加节</w:t>
      </w:r>
    </w:p>
    <w:p w14:paraId="50DAA9ED">
      <w:pPr>
        <w:pStyle w:val="5"/>
        <w:bidi w:val="0"/>
        <w:ind w:left="864" w:leftChars="0" w:hanging="864" w:firstLineChars="0"/>
      </w:pPr>
      <w:r>
        <w:rPr>
          <w:rFonts w:hint="eastAsia"/>
        </w:rPr>
        <w:t>顶升前准备工作</w:t>
      </w:r>
    </w:p>
    <w:p w14:paraId="75E07A3F">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按液压泵站要求给其油箱加油，顶升横梁防脱装置的销轴退出踏步的圆孔； </w:t>
      </w:r>
    </w:p>
    <w:p w14:paraId="4C698BE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清理好各个塔身节，在塔身节连接套内涂上黄油，将待顶升加高用的标准节在顶升位 置时的起重臂下排成一排，这样能使塔机在整个顶升加节过程中不用回转机构，能使顶升加节过程所用时间最短； </w:t>
      </w:r>
    </w:p>
    <w:p w14:paraId="513D20B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放松电缆长度略大于总的顶升高度，并紧固好电缆； </w:t>
      </w:r>
    </w:p>
    <w:p w14:paraId="7BD3D8B7">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将起重臂旋转至爬升架前方，平衡臂处于爬升架的后方（顶升油缸必须位于平衡臂下方）； </w:t>
      </w:r>
    </w:p>
    <w:p w14:paraId="131662F2">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爬升架平台上准备好塔身高强度螺栓； </w:t>
      </w:r>
    </w:p>
    <w:p w14:paraId="02E16413">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检查、调试并确认顶升机构工作正确、可靠，保证爬升架能按塔机爬升规定的程序上 升、下降、可靠停止；运行过程中应平稳，无爬行、振动现象； </w:t>
      </w:r>
    </w:p>
    <w:p w14:paraId="3B018187">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检查爬升架支承系统，确保各部分运动灵活，承重可靠； </w:t>
      </w:r>
    </w:p>
    <w:p w14:paraId="73A9579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液压顶升机构应保证安全，溢流阀的调整压力不得大于系统额定工作压力的 </w:t>
      </w:r>
      <w:r>
        <w:rPr>
          <w:rFonts w:hint="default" w:ascii="Times New Roman" w:hAnsi="Times New Roman" w:eastAsia="宋体" w:cs="Times New Roman"/>
          <w:color w:val="000000"/>
          <w:kern w:val="0"/>
          <w:sz w:val="24"/>
          <w:szCs w:val="24"/>
          <w:lang w:val="en-US" w:eastAsia="zh-CN" w:bidi="ar"/>
        </w:rPr>
        <w:t>110%</w:t>
      </w:r>
      <w:r>
        <w:rPr>
          <w:rFonts w:hint="eastAsia" w:ascii="宋体" w:hAnsi="宋体" w:eastAsia="宋体" w:cs="宋体"/>
          <w:color w:val="000000"/>
          <w:kern w:val="0"/>
          <w:sz w:val="24"/>
          <w:szCs w:val="24"/>
          <w:lang w:val="en-US" w:eastAsia="zh-CN" w:bidi="ar"/>
        </w:rPr>
        <w:t>。</w:t>
      </w:r>
    </w:p>
    <w:p w14:paraId="78796074">
      <w:pPr>
        <w:pStyle w:val="5"/>
        <w:bidi w:val="0"/>
        <w:ind w:left="864" w:leftChars="0" w:hanging="864" w:firstLineChars="0"/>
        <w:rPr>
          <w:rFonts w:hint="default"/>
          <w:lang w:val="en-US" w:eastAsia="zh-CN"/>
        </w:rPr>
      </w:pPr>
      <w:r>
        <w:rPr>
          <w:rFonts w:hint="eastAsia"/>
          <w:lang w:val="en-US" w:eastAsia="zh-CN"/>
        </w:rPr>
        <w:t>顶升作业注意事项</w:t>
      </w:r>
    </w:p>
    <w:p w14:paraId="7B36177A">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塔机最高处风速大于 </w:t>
      </w:r>
      <w:r>
        <w:rPr>
          <w:rFonts w:hint="default" w:ascii="Times New Roman" w:hAnsi="Times New Roman" w:eastAsia="宋体" w:cs="Times New Roman"/>
          <w:color w:val="000000"/>
          <w:kern w:val="0"/>
          <w:sz w:val="24"/>
          <w:szCs w:val="24"/>
          <w:lang w:val="en-US" w:eastAsia="zh-CN" w:bidi="ar"/>
        </w:rPr>
        <w:t xml:space="preserve">12m/s </w:t>
      </w:r>
      <w:r>
        <w:rPr>
          <w:rFonts w:hint="eastAsia" w:ascii="宋体" w:hAnsi="宋体" w:eastAsia="宋体" w:cs="宋体"/>
          <w:color w:val="000000"/>
          <w:kern w:val="0"/>
          <w:sz w:val="24"/>
          <w:szCs w:val="24"/>
          <w:lang w:val="en-US" w:eastAsia="zh-CN" w:bidi="ar"/>
        </w:rPr>
        <w:t xml:space="preserve">时，不得进行顶升作业； </w:t>
      </w:r>
    </w:p>
    <w:p w14:paraId="0080B10C">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塔机的爬升机构，其爬升作业时应确保爬升架上支承在塔身上的受力部位与塔身顶升 支承部位应可靠定位和结合。并应及时查看顶升支承部位焊缝情况，若有异常情况应排除后才能继续进行爬升作业； </w:t>
      </w:r>
    </w:p>
    <w:p w14:paraId="7ABCA8D5">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顶升过程中必须保证起重臂与引入标准节方向一致，并利用回转机构制动器将起重臂 制动住，载重小车必须停靠在顶升配平位置； </w:t>
      </w:r>
    </w:p>
    <w:p w14:paraId="2E4DB185">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若要连续加高几节标准节，则每加完一节后，用塔机自身起吊下一节标准节前，塔身 </w:t>
      </w:r>
      <w:r>
        <w:rPr>
          <w:rFonts w:hint="default" w:ascii="Times New Roman" w:hAnsi="Times New Roman" w:eastAsia="宋体" w:cs="Times New Roman"/>
          <w:color w:val="000000"/>
          <w:kern w:val="0"/>
          <w:sz w:val="24"/>
          <w:szCs w:val="24"/>
          <w:lang w:val="en-US" w:eastAsia="zh-CN" w:bidi="ar"/>
        </w:rPr>
        <w:t xml:space="preserve">4 </w:t>
      </w:r>
      <w:r>
        <w:rPr>
          <w:rFonts w:hint="eastAsia" w:ascii="宋体" w:hAnsi="宋体" w:eastAsia="宋体" w:cs="宋体"/>
          <w:color w:val="000000"/>
          <w:kern w:val="0"/>
          <w:sz w:val="24"/>
          <w:szCs w:val="24"/>
          <w:lang w:val="en-US" w:eastAsia="zh-CN" w:bidi="ar"/>
        </w:rPr>
        <w:t xml:space="preserve">个主弦杆和特殊节必须有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 xml:space="preserve">个安全销轴连接； </w:t>
      </w:r>
    </w:p>
    <w:p w14:paraId="7AE7CFD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所加标准节上的踏步，必须与已有塔身节对正； </w:t>
      </w:r>
    </w:p>
    <w:p w14:paraId="79FA2AA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在特殊节与塔身没有用销轴连接好之前，严禁起重臂回转、载重小车变幅和吊装作业； </w:t>
      </w:r>
    </w:p>
    <w:p w14:paraId="0221706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在顶升过程中，若液压顶升系统出现异常，应立即停止顶升，收回油缸，将特殊节落在塔身顶部，并用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根销轴将特殊节与塔身连接牢靠后，再排除液压系统的故障；</w:t>
      </w:r>
    </w:p>
    <w:p w14:paraId="2A87BE75">
      <w:pPr>
        <w:bidi w:val="0"/>
        <w:ind w:firstLine="420" w:firstLineChars="0"/>
        <w:rPr>
          <w:rFonts w:hint="eastAsia"/>
        </w:rPr>
      </w:pPr>
      <w:r>
        <w:rPr>
          <w:rFonts w:hint="eastAsia" w:ascii="宋体" w:hAnsi="宋体" w:eastAsia="宋体" w:cs="宋体"/>
          <w:color w:val="000000"/>
          <w:kern w:val="0"/>
          <w:sz w:val="24"/>
          <w:szCs w:val="24"/>
          <w:lang w:val="en-US" w:eastAsia="zh-CN" w:bidi="ar"/>
        </w:rPr>
        <w:t>塔机加节达到所需工作高度（但不超过独立高度）后，应旋转起重臂至不同的角度， 检查塔身各接头处销轴的装配、基础支脚处螺栓的拧紧问题。</w:t>
      </w:r>
      <w:r>
        <w:rPr>
          <w:rFonts w:hint="eastAsia"/>
          <w:lang w:val="en-US" w:eastAsia="zh-CN"/>
        </w:rPr>
        <w:t xml:space="preserve">钢丝绳防脱装置 </w:t>
      </w:r>
    </w:p>
    <w:p w14:paraId="4A0C8F9C">
      <w:pPr>
        <w:keepNext w:val="0"/>
        <w:keepLines w:val="0"/>
        <w:widowControl/>
        <w:suppressLineNumbers w:val="0"/>
        <w:ind w:firstLine="420" w:firstLineChars="0"/>
        <w:jc w:val="left"/>
        <w:rPr>
          <w:rFonts w:hint="eastAsia"/>
          <w:b/>
          <w:bCs/>
          <w:color w:val="FF0000"/>
          <w:kern w:val="44"/>
          <w:sz w:val="28"/>
          <w:szCs w:val="44"/>
          <w:lang w:val="en-US" w:eastAsia="zh-CN"/>
        </w:rPr>
      </w:pPr>
      <w:r>
        <w:rPr>
          <w:rFonts w:hint="eastAsia" w:ascii="宋体" w:hAnsi="宋体" w:eastAsia="宋体" w:cs="宋体"/>
          <w:b w:val="0"/>
          <w:bCs w:val="0"/>
          <w:color w:val="000000"/>
          <w:kern w:val="0"/>
          <w:sz w:val="24"/>
          <w:szCs w:val="24"/>
          <w:lang w:val="en-US" w:eastAsia="zh-CN" w:bidi="ar"/>
        </w:rPr>
        <w:t>该塔机的滑轮、起升卷筒均设有钢丝绳防脱装置，该装置表面与滑轮或卷筒侧板外缘间的间隙不超过钢丝绳直径的 20% ,该装置可能与钢丝绳接触的表面没有棱角，目测检验防脱是否有效。</w:t>
      </w:r>
    </w:p>
    <w:p w14:paraId="3078A9E6">
      <w:pPr>
        <w:pStyle w:val="5"/>
        <w:bidi w:val="0"/>
        <w:ind w:left="864" w:leftChars="0" w:hanging="864" w:firstLineChars="0"/>
      </w:pPr>
      <w:r>
        <w:rPr>
          <w:rFonts w:hint="eastAsia"/>
        </w:rPr>
        <w:t>顶升时的配平</w:t>
      </w:r>
    </w:p>
    <w:p w14:paraId="7A841E28">
      <w:pPr>
        <w:spacing w:line="240" w:lineRule="auto"/>
        <w:jc w:val="left"/>
        <w:rPr>
          <w:rFonts w:hint="eastAsia"/>
          <w:lang w:eastAsia="zh-CN"/>
        </w:rPr>
      </w:pPr>
      <w:r>
        <w:rPr>
          <w:rFonts w:hint="eastAsia" w:eastAsia="宋体"/>
          <w:b/>
          <w:sz w:val="21"/>
          <w:lang w:eastAsia="zh-CN"/>
        </w:rPr>
        <w:drawing>
          <wp:inline distT="0" distB="0" distL="114300" distR="114300">
            <wp:extent cx="2578100" cy="2991485"/>
            <wp:effectExtent l="0" t="0" r="12700" b="18415"/>
            <wp:docPr id="84" name="图片 84" descr="17206793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720679320783"/>
                    <pic:cNvPicPr>
                      <a:picLocks noChangeAspect="1"/>
                    </pic:cNvPicPr>
                  </pic:nvPicPr>
                  <pic:blipFill>
                    <a:blip r:embed="rId54"/>
                    <a:stretch>
                      <a:fillRect/>
                    </a:stretch>
                  </pic:blipFill>
                  <pic:spPr>
                    <a:xfrm>
                      <a:off x="0" y="0"/>
                      <a:ext cx="2578100" cy="2991485"/>
                    </a:xfrm>
                    <a:prstGeom prst="rect">
                      <a:avLst/>
                    </a:prstGeom>
                  </pic:spPr>
                </pic:pic>
              </a:graphicData>
            </a:graphic>
          </wp:inline>
        </w:drawing>
      </w:r>
      <w:r>
        <w:rPr>
          <w:rFonts w:hint="eastAsia"/>
          <w:lang w:eastAsia="zh-CN"/>
        </w:rPr>
        <w:drawing>
          <wp:inline distT="0" distB="0" distL="114300" distR="114300">
            <wp:extent cx="1999615" cy="3013075"/>
            <wp:effectExtent l="0" t="0" r="635" b="15875"/>
            <wp:docPr id="205" name="图片 205" descr="17206794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1720679417501"/>
                    <pic:cNvPicPr>
                      <a:picLocks noChangeAspect="1"/>
                    </pic:cNvPicPr>
                  </pic:nvPicPr>
                  <pic:blipFill>
                    <a:blip r:embed="rId55"/>
                    <a:stretch>
                      <a:fillRect/>
                    </a:stretch>
                  </pic:blipFill>
                  <pic:spPr>
                    <a:xfrm>
                      <a:off x="0" y="0"/>
                      <a:ext cx="1999615" cy="3013075"/>
                    </a:xfrm>
                    <a:prstGeom prst="rect">
                      <a:avLst/>
                    </a:prstGeom>
                  </pic:spPr>
                </pic:pic>
              </a:graphicData>
            </a:graphic>
          </wp:inline>
        </w:drawing>
      </w:r>
    </w:p>
    <w:p w14:paraId="0F0B97D0">
      <w:pPr>
        <w:pStyle w:val="15"/>
        <w:bidi w:val="0"/>
        <w:rPr>
          <w:rFonts w:hint="eastAsia" w:ascii="Times New Roman" w:hAnsi="Times New Roman" w:cs="Times New Roman"/>
          <w:highlight w:val="none"/>
          <w:lang w:val="en-US" w:eastAsia="zh-CN"/>
        </w:rPr>
      </w:pPr>
      <w:r>
        <w:t xml:space="preserve">图 </w:t>
      </w:r>
      <w:r>
        <w:fldChar w:fldCharType="begin"/>
      </w:r>
      <w:r>
        <w:instrText xml:space="preserve"> STYLEREF 3 \s </w:instrText>
      </w:r>
      <w:r>
        <w:fldChar w:fldCharType="separate"/>
      </w:r>
      <w:r>
        <w:t>4.4.4</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ascii="Times New Roman" w:hAnsi="Times New Roman" w:cs="Times New Roman"/>
          <w:highlight w:val="none"/>
          <w:lang w:val="en-US" w:eastAsia="zh-CN"/>
        </w:rPr>
        <w:t xml:space="preserve"> 标准节引进示意图</w:t>
      </w:r>
    </w:p>
    <w:p w14:paraId="3F3524F0">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（1）塔机配平前，必须先吊一节标准节放在下支座的引进横梁上（标准节的平台、平台栏杆和爬梯要固定好），钢丝绳挂在标准节的对角吊耳上，再将载重小车吊一节标准节运行到配平参考位置见表-</w:t>
      </w:r>
      <w:r>
        <w:rPr>
          <w:rFonts w:hint="eastAsia" w:ascii="宋体" w:hAnsi="宋体" w:cs="宋体"/>
          <w:b w:val="0"/>
          <w:bCs w:val="0"/>
          <w:color w:val="000000"/>
          <w:kern w:val="0"/>
          <w:sz w:val="24"/>
          <w:szCs w:val="24"/>
          <w:lang w:val="en-US" w:eastAsia="zh-CN" w:bidi="ar"/>
        </w:rPr>
        <w:t>3</w:t>
      </w:r>
      <w:r>
        <w:rPr>
          <w:rFonts w:hint="eastAsia" w:ascii="宋体" w:hAnsi="宋体" w:eastAsia="宋体" w:cs="宋体"/>
          <w:b w:val="0"/>
          <w:bCs w:val="0"/>
          <w:color w:val="000000"/>
          <w:kern w:val="0"/>
          <w:sz w:val="24"/>
          <w:szCs w:val="24"/>
          <w:lang w:val="en-US" w:eastAsia="zh-CN" w:bidi="ar"/>
        </w:rPr>
        <w:t>，然后拆除</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 xml:space="preserve"> 4 个支腿与标准节连接的 8 个销轴。</w:t>
      </w:r>
    </w:p>
    <w:p w14:paraId="218BD96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（2）将液压顶升系统操纵杆推至“顶升”方向，使套架顶升至</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支腿刚刚脱离塔身的主弦杆的位置。</w:t>
      </w:r>
    </w:p>
    <w:p w14:paraId="324FB0D4">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（3）通过检验</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支腿与塔身主弦杆是否在一条垂直线上，并观察套架 8 个导轮与塔身主弦杆间隙是否基本相同来检查塔机是否平衡。略微调整载重小车的配平位置，直至平衡。记录实际配平位置，以后顶升或降节时使用。必须使得塔机上部重心落在顶升油缸梁的位置上。</w:t>
      </w:r>
    </w:p>
    <w:p w14:paraId="309B96B3">
      <w:pPr>
        <w:pStyle w:val="15"/>
        <w:bidi w:val="0"/>
      </w:pPr>
      <w:r>
        <w:drawing>
          <wp:inline distT="0" distB="0" distL="114300" distR="114300">
            <wp:extent cx="5273040" cy="1391285"/>
            <wp:effectExtent l="0" t="0" r="3810" b="18415"/>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56"/>
                    <a:stretch>
                      <a:fillRect/>
                    </a:stretch>
                  </pic:blipFill>
                  <pic:spPr>
                    <a:xfrm>
                      <a:off x="0" y="0"/>
                      <a:ext cx="5273040" cy="1391285"/>
                    </a:xfrm>
                    <a:prstGeom prst="rect">
                      <a:avLst/>
                    </a:prstGeom>
                    <a:noFill/>
                    <a:ln>
                      <a:noFill/>
                    </a:ln>
                  </pic:spPr>
                </pic:pic>
              </a:graphicData>
            </a:graphic>
          </wp:inline>
        </w:drawing>
      </w:r>
      <w:r>
        <w:drawing>
          <wp:inline distT="0" distB="0" distL="114300" distR="114300">
            <wp:extent cx="5269230" cy="3177540"/>
            <wp:effectExtent l="0" t="0" r="7620" b="3810"/>
            <wp:docPr id="10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9"/>
                    <pic:cNvPicPr>
                      <a:picLocks noChangeAspect="1"/>
                    </pic:cNvPicPr>
                  </pic:nvPicPr>
                  <pic:blipFill>
                    <a:blip r:embed="rId57"/>
                    <a:stretch>
                      <a:fillRect/>
                    </a:stretch>
                  </pic:blipFill>
                  <pic:spPr>
                    <a:xfrm>
                      <a:off x="0" y="0"/>
                      <a:ext cx="5269230" cy="3177540"/>
                    </a:xfrm>
                    <a:prstGeom prst="rect">
                      <a:avLst/>
                    </a:prstGeom>
                    <a:noFill/>
                    <a:ln>
                      <a:noFill/>
                    </a:ln>
                  </pic:spPr>
                </pic:pic>
              </a:graphicData>
            </a:graphic>
          </wp:inline>
        </w:drawing>
      </w:r>
    </w:p>
    <w:p w14:paraId="23F1E031">
      <w:pPr>
        <w:pStyle w:val="15"/>
        <w:bidi w:val="0"/>
        <w:rPr>
          <w:rFonts w:hint="default" w:ascii="Times New Roman" w:hAnsi="Times New Roman" w:cs="Times New Roman"/>
          <w:highlight w:val="none"/>
          <w:lang w:val="en-US" w:eastAsia="zh-CN"/>
        </w:rPr>
      </w:pPr>
      <w:r>
        <w:t xml:space="preserve">图 </w:t>
      </w:r>
      <w:r>
        <w:fldChar w:fldCharType="begin"/>
      </w:r>
      <w:r>
        <w:instrText xml:space="preserve"> STYLEREF 3 \s </w:instrText>
      </w:r>
      <w:r>
        <w:fldChar w:fldCharType="separate"/>
      </w:r>
      <w:r>
        <w:t>4.4.4</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ascii="Times New Roman" w:hAnsi="Times New Roman" w:cs="Times New Roman"/>
          <w:highlight w:val="none"/>
          <w:lang w:val="en-US" w:eastAsia="zh-CN"/>
        </w:rPr>
        <w:t xml:space="preserve"> 顶升前配平示意图</w:t>
      </w:r>
    </w:p>
    <w:p w14:paraId="3D7961C4">
      <w:pPr>
        <w:pStyle w:val="5"/>
        <w:bidi w:val="0"/>
        <w:ind w:left="864" w:leftChars="0" w:hanging="864" w:firstLineChars="0"/>
      </w:pPr>
      <w:r>
        <w:rPr>
          <w:rFonts w:hint="eastAsia"/>
        </w:rPr>
        <w:t>顶升作业</w:t>
      </w:r>
    </w:p>
    <w:p w14:paraId="0D508CB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顶升作业为多人配合作业，专人负责操作泵站、其余人负责操作标准节及销轴。</w:t>
      </w:r>
    </w:p>
    <w:p w14:paraId="0CD142E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（1）按在引进梁上吊挂标准节的方法将一节标准节吊挂在引进梁上，并保证标准节上端面与引进小车下端面的距离在 100～250mm 之间。</w:t>
      </w:r>
    </w:p>
    <w:p w14:paraId="2BA70BF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再吊配平标准节，将载重小车开至顶升平衡位置，塔机处于配平状态。</w:t>
      </w:r>
    </w:p>
    <w:p w14:paraId="046C20B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使用回转机构上的回转制动器，将塔机上部机构处于制动状态；</w:t>
      </w:r>
    </w:p>
    <w:p w14:paraId="608D961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（4）卸下塔身顶部与下支座连接的顶升用临时销轴。</w:t>
      </w:r>
    </w:p>
    <w:p w14:paraId="62C3F91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开动液压顶升系统，使油缸活塞杆伸出，将顶升横梁两端的止动靴挂在距顶升横梁最近的塔身节踏步上（要设专人负责观察顶升横梁两端止动靴都必须落入踏步圆弧槽内）；</w:t>
      </w:r>
    </w:p>
    <w:p w14:paraId="4E5CAB2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（6）打开套架上止动靴操纵杆，使套架止动靴与塔身分开，继续顶升，将套架及以上部分顶起 ~m 时停止。</w:t>
      </w:r>
    </w:p>
    <w:p w14:paraId="26CDBCC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（7） 当液压油缸活塞接近下止点位置时，推动套架止动靴操纵杆使上止动靴挂入踏步上的圆弧槽内，使塔机套架以上部分临时固定在顶升踏步上。</w:t>
      </w:r>
    </w:p>
    <w:p w14:paraId="5D6606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（8）将顶升横梁上的止动靴从塔身节踏步上脱开。</w:t>
      </w:r>
    </w:p>
    <w:p w14:paraId="5F8FF20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（9） 液压泵站操纵杆搬向“向下”位置，使顶升横梁收回。在收回的过程中，注意不要使顶升梁与塔身上螺栓或鱼尾板卡住，防止造成事故。</w:t>
      </w:r>
    </w:p>
    <w:p w14:paraId="6CFDB62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（10）当顶升横梁止动靴开口与上一级顶升踏步对齐时，搬动顶升横梁止动靴使其挂入顶升踏步上。</w:t>
      </w:r>
    </w:p>
    <w:p w14:paraId="0BA5673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（11） 打开顶升套架上止动靴操纵杆，使套架止动靴与塔身分开，液压泵站操纵杆搬向“向上”位置，继续顶升。</w:t>
      </w:r>
    </w:p>
    <w:p w14:paraId="1B7D588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该过程要重复三次方能形成可将一节标准节放进顶升套架内的空间。</w:t>
      </w:r>
    </w:p>
    <w:p w14:paraId="4FBE2034">
      <w:pPr>
        <w:pStyle w:val="5"/>
        <w:bidi w:val="0"/>
        <w:ind w:left="864" w:leftChars="0" w:hanging="864" w:firstLineChars="0"/>
      </w:pPr>
      <w:r>
        <w:rPr>
          <w:rFonts w:hint="eastAsia"/>
        </w:rPr>
        <w:t>引进标准节作业</w:t>
      </w:r>
    </w:p>
    <w:p w14:paraId="407BF83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 当顶升第三循环接近完成、顶升套架内空间可以容纳标准节时，将挂在引进梁上的标准节轻轻推向塔身、引入套架内；</w:t>
      </w:r>
    </w:p>
    <w:p w14:paraId="2CE0158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液压泵站操纵杆搬向“向下”位置，引进的标准节下端与塔身原标准节上端鱼尾板对齐相联，打入 8 个标准节联接销轴，并用锁销固定。在联接标准节时注意使两标准节上爬梯对正，上下插接在一起。</w:t>
      </w:r>
    </w:p>
    <w:p w14:paraId="561964E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拆下引进小车上 4 根固定标准节的螺栓，将螺栓装在引进小车吊环内。向外推出引进小车至标准节以外位置；</w:t>
      </w:r>
    </w:p>
    <w:p w14:paraId="793ED7D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 继续下降顶升套架使下支座 4 个支腿落在新安装好的标准节上端鱼尾板内。用顶升套架上附带的四个临时固定销轴将下支座与标准节联接起来；</w:t>
      </w:r>
    </w:p>
    <w:p w14:paraId="638B7E9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重复上述顶升程序，直到塔机顶升作业完成为止。</w:t>
      </w:r>
    </w:p>
    <w:p w14:paraId="7C463D7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注意： 在 4 个临时销轴没有安装以前， 塔机不能做任何动作 （包括小车、 起升和回转）。否则有可能造成塔机倾翻的事故。</w:t>
      </w:r>
    </w:p>
    <w:p w14:paraId="180732B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关于顶升用临时销轴的说明：</w:t>
      </w:r>
    </w:p>
    <w:p w14:paraId="5E9D1DD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为方便顶升作业，配有 4 个临时销轴，此销轴直径比标准节销轴小 2mm 。此销轴只做顶升时联接下支座与塔身用， 塔机正式作业时不允许用此销轴替代标准节销轴。</w:t>
      </w:r>
    </w:p>
    <w:p w14:paraId="09392587">
      <w:pPr>
        <w:pStyle w:val="5"/>
        <w:bidi w:val="0"/>
        <w:ind w:left="864" w:leftChars="0" w:hanging="864" w:firstLineChars="0"/>
        <w:rPr>
          <w:rFonts w:hint="eastAsia"/>
          <w:lang w:val="en-US" w:eastAsia="zh-CN"/>
        </w:rPr>
      </w:pPr>
      <w:r>
        <w:rPr>
          <w:rFonts w:hint="eastAsia"/>
          <w:lang w:val="en-US" w:eastAsia="zh-CN"/>
        </w:rPr>
        <w:t>顶升过程的注意事项</w:t>
      </w:r>
    </w:p>
    <w:p w14:paraId="41B0DEC9">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 xml:space="preserve"> 塔机最高处风速大于 12m/s 时，不得进行顶升作业；</w:t>
      </w:r>
    </w:p>
    <w:p w14:paraId="35351AEA">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塔机的爬升机构，其爬升作业时应确保套架上支承在塔身上的受力部位与塔身顶升支承部位应可靠定位和结合。并应及时查看顶升支承部位焊缝情况，若有异常情况应排除后才能继续进行爬升作业。</w:t>
      </w:r>
    </w:p>
    <w:p w14:paraId="75371B6A">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 xml:space="preserve"> 顶升过程中必须保证起重臂与引入标准节方向一致，并利用回转机构制动器将起重臂制动住，载重小车必须停靠在顶升配平位置；</w:t>
      </w:r>
    </w:p>
    <w:p w14:paraId="66DE1647">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所加标准节上的踏步，必须与已有塔身节对正；</w:t>
      </w:r>
    </w:p>
    <w:p w14:paraId="120E0C34">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在下支座与塔身没有用销轴连接好之前，严禁起重臂回转、载重小车变幅和吊装作业；</w:t>
      </w:r>
    </w:p>
    <w:p w14:paraId="1E769B32">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在顶升过程中，若液压顶升系统出现异常，应立即停止顶升，收回油缸，将下支座落在塔身顶部，并用 8 个销轴将下支座与塔身连接牢靠后，再排除液压系统的故障；</w:t>
      </w:r>
    </w:p>
    <w:p w14:paraId="2C6DECAE">
      <w:pPr>
        <w:pStyle w:val="5"/>
        <w:bidi w:val="0"/>
        <w:ind w:left="864" w:leftChars="0" w:hanging="864" w:firstLineChars="0"/>
        <w:rPr>
          <w:rFonts w:hint="eastAsia"/>
          <w:lang w:val="en-US" w:eastAsia="zh-CN"/>
        </w:rPr>
      </w:pPr>
      <w:r>
        <w:rPr>
          <w:rFonts w:hint="eastAsia"/>
          <w:lang w:val="en-US" w:eastAsia="zh-CN"/>
        </w:rPr>
        <w:t>顶升作业完成后注意事项</w:t>
      </w:r>
    </w:p>
    <w:p w14:paraId="6629786F">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引进小车不要放在塔身内；</w:t>
      </w:r>
    </w:p>
    <w:p w14:paraId="22756E23">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必要时可以放下引进梁；</w:t>
      </w:r>
    </w:p>
    <w:p w14:paraId="57FF5F85">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下支座与塔身必须用 8 个标准节销轴联接好并用锁销固定；</w:t>
      </w:r>
    </w:p>
    <w:p w14:paraId="3585E0E1">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顶升梁必须轻挂在最后一级顶升踏步上，注意要使液压油缸卸荷；</w:t>
      </w:r>
    </w:p>
    <w:p w14:paraId="64E56198">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拆掉液压泵站的电源线，整理好塔机电源随线；</w:t>
      </w:r>
    </w:p>
    <w:p w14:paraId="5BC75AF9">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整个塔机安装完毕后，将套架降到塔身最底部，固定牢固，以降低风载；</w:t>
      </w:r>
    </w:p>
    <w:p w14:paraId="3B050524">
      <w:pPr>
        <w:pStyle w:val="4"/>
        <w:bidi w:val="0"/>
        <w:ind w:left="720" w:leftChars="0" w:hanging="720" w:firstLineChars="0"/>
        <w:rPr>
          <w:rFonts w:hint="eastAsia"/>
          <w:lang w:val="en-US" w:eastAsia="zh-CN"/>
        </w:rPr>
      </w:pPr>
      <w:r>
        <w:rPr>
          <w:rFonts w:hint="eastAsia"/>
          <w:lang w:val="en-US" w:eastAsia="zh-CN"/>
        </w:rPr>
        <w:t>安全装置的调试</w:t>
      </w:r>
      <w:bookmarkEnd w:id="182"/>
      <w:bookmarkEnd w:id="183"/>
      <w:bookmarkEnd w:id="184"/>
    </w:p>
    <w:p w14:paraId="1A761D97">
      <w:pPr>
        <w:ind w:firstLine="482" w:firstLineChars="200"/>
        <w:rPr>
          <w:rFonts w:hint="eastAsia"/>
          <w:b/>
          <w:bCs/>
          <w:highlight w:val="none"/>
          <w:lang w:val="en-US" w:eastAsia="zh-CN"/>
        </w:rPr>
      </w:pPr>
      <w:r>
        <w:rPr>
          <w:rFonts w:hint="eastAsia"/>
          <w:b/>
          <w:bCs/>
          <w:highlight w:val="none"/>
          <w:lang w:val="en-US" w:eastAsia="zh-CN"/>
        </w:rPr>
        <w:t>1、起升高度限位器</w:t>
      </w:r>
    </w:p>
    <w:p w14:paraId="3EB76D12">
      <w:pPr>
        <w:ind w:firstLine="480" w:firstLineChars="200"/>
        <w:rPr>
          <w:rFonts w:hint="eastAsia"/>
          <w:highlight w:val="none"/>
          <w:lang w:val="en-US" w:eastAsia="zh-CN"/>
        </w:rPr>
      </w:pPr>
      <w:r>
        <w:rPr>
          <w:rFonts w:hint="eastAsia"/>
          <w:highlight w:val="none"/>
          <w:lang w:val="en-US" w:eastAsia="zh-CN"/>
        </w:rPr>
        <w:t>起升高度限位器是通过装在起升卷筒轴一端的减速机构和限位开关来实现的。起升机构运行时，轴端减速机构随着转动，当吊钩超过设定的起升高度时，限位开关被触发，切断起升机构电机的电源并制动，向上不能提升。</w:t>
      </w:r>
    </w:p>
    <w:p w14:paraId="151DD539">
      <w:pPr>
        <w:ind w:firstLine="482" w:firstLineChars="200"/>
        <w:rPr>
          <w:rFonts w:hint="eastAsia"/>
          <w:b/>
          <w:bCs/>
          <w:highlight w:val="none"/>
          <w:lang w:val="en-US" w:eastAsia="zh-CN"/>
        </w:rPr>
      </w:pPr>
      <w:r>
        <w:rPr>
          <w:rFonts w:hint="eastAsia"/>
          <w:b/>
          <w:bCs/>
          <w:highlight w:val="none"/>
          <w:lang w:val="en-US" w:eastAsia="zh-CN"/>
        </w:rPr>
        <w:t>2、回转限位器</w:t>
      </w:r>
    </w:p>
    <w:p w14:paraId="196060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回转限位器是通过装在回转上支座前方并与回转支承外齿圈相啮合的一套机构和限位开关来实现的。塔机回转时，回转限位机构随之转动，当塔机起重臂向左（或向右）回转超过540°时，限位开关被触发，从而切断回转电机电源，使之不能再向左（或向右）回转，只能向右（或向左）回转。</w:t>
      </w:r>
    </w:p>
    <w:p w14:paraId="27FD607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3、变幅限位器</w:t>
      </w:r>
    </w:p>
    <w:p w14:paraId="0CD5CF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变幅限位器是通过装在变幅卷筒轴一端的减速装置和限位开关来实现的。当小车在变幅运行中将超过最大幅度50m或超出最小幅度0m时，限位开关分别被触发，切断变幅电机电源，使小车不能再向外（或向内）运行，只能向内（或向外）变幅。</w:t>
      </w:r>
    </w:p>
    <w:p w14:paraId="27561F1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4、起重量限位器</w:t>
      </w:r>
    </w:p>
    <w:p w14:paraId="01575D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（1）当起重量达50%额定值时，限制起升高速上升，自动转换为中速提升运行，下降则容许以任意档速度运行。</w:t>
      </w:r>
    </w:p>
    <w:p w14:paraId="431D66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（2）当起重量达90%额定值时，司机室联动台上闪光蜂鸣器发讯。</w:t>
      </w:r>
    </w:p>
    <w:p w14:paraId="0601CA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（3）当起重量达100%额定值时，限制提升运行，容许下降运行，变幅小车停止向外运行。司机室联动台上起重红色信号灯亮。</w:t>
      </w:r>
    </w:p>
    <w:p w14:paraId="2612DE7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5、起重力矩限位器</w:t>
      </w:r>
    </w:p>
    <w:p w14:paraId="47AEBF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在塔机的塔顶（或回转塔身）后侧主弦杆上装有起重力矩限位器。起重力矩限位器由变形装置和两个行程开关组成。当力矩达到额定力矩的90%时，其中一个行程开关被触发，发出音响警告，提示司机注意，同时限制小车高速档向外，自动转换为低速向外运行，当达到额定力矩的100%时，另一个行程开发被触发，切断起升电机和变幅电机电源。吊钩不能起升，小车不能向外变幅，只能下降和向内变幅。</w:t>
      </w:r>
    </w:p>
    <w:p w14:paraId="00AE4597">
      <w:pPr>
        <w:pStyle w:val="4"/>
        <w:bidi w:val="0"/>
        <w:ind w:left="720" w:leftChars="0" w:hanging="720" w:firstLineChars="0"/>
        <w:rPr>
          <w:rFonts w:hint="eastAsia"/>
          <w:lang w:val="en-US" w:eastAsia="zh-CN"/>
        </w:rPr>
      </w:pPr>
      <w:bookmarkStart w:id="185" w:name="_Toc26099"/>
      <w:bookmarkStart w:id="186" w:name="_Toc13697"/>
      <w:bookmarkStart w:id="187" w:name="_Toc10267"/>
      <w:r>
        <w:rPr>
          <w:rFonts w:hint="eastAsia"/>
          <w:lang w:val="en-US" w:eastAsia="zh-CN"/>
        </w:rPr>
        <w:t>塔机的维修与保养</w:t>
      </w:r>
      <w:bookmarkEnd w:id="185"/>
      <w:bookmarkEnd w:id="186"/>
      <w:bookmarkEnd w:id="187"/>
    </w:p>
    <w:p w14:paraId="39239EAB">
      <w:pPr>
        <w:pStyle w:val="5"/>
        <w:bidi w:val="0"/>
        <w:ind w:left="864" w:leftChars="0" w:hanging="864" w:firstLineChars="0"/>
        <w:rPr>
          <w:rFonts w:hint="eastAsia"/>
          <w:lang w:val="en-US" w:eastAsia="zh-CN"/>
        </w:rPr>
      </w:pPr>
      <w:r>
        <w:rPr>
          <w:rFonts w:hint="eastAsia"/>
          <w:lang w:val="en-US" w:eastAsia="zh-CN"/>
        </w:rPr>
        <w:t>日常保养</w:t>
      </w:r>
    </w:p>
    <w:p w14:paraId="7EC1521A">
      <w:pPr>
        <w:ind w:firstLine="480" w:firstLineChars="200"/>
        <w:rPr>
          <w:rFonts w:hint="eastAsia"/>
          <w:highlight w:val="none"/>
          <w:lang w:val="en-US" w:eastAsia="zh-CN"/>
        </w:rPr>
      </w:pPr>
      <w:r>
        <w:rPr>
          <w:rFonts w:hint="eastAsia"/>
          <w:highlight w:val="none"/>
          <w:lang w:val="en-US" w:eastAsia="zh-CN"/>
        </w:rPr>
        <w:t>每班前进行检查，并做好检查记录。</w:t>
      </w:r>
    </w:p>
    <w:p w14:paraId="147140DF">
      <w:pPr>
        <w:ind w:firstLine="480" w:firstLineChars="200"/>
        <w:rPr>
          <w:rFonts w:hint="eastAsia"/>
          <w:highlight w:val="none"/>
          <w:lang w:val="en-US" w:eastAsia="zh-CN"/>
        </w:rPr>
      </w:pPr>
      <w:r>
        <w:rPr>
          <w:rFonts w:hint="eastAsia"/>
          <w:highlight w:val="none"/>
          <w:lang w:val="en-US" w:eastAsia="zh-CN"/>
        </w:rPr>
        <w:t>（1）检查各减速机油量，如低于规定油面高度时，应及时加油，油质必须纯净，不得含有腐蚀剂或有不清洁的油混入，加油时应使用过滤网进行过滤。</w:t>
      </w:r>
    </w:p>
    <w:p w14:paraId="3EB381D5">
      <w:pPr>
        <w:ind w:firstLine="480" w:firstLineChars="200"/>
        <w:rPr>
          <w:rFonts w:hint="eastAsia"/>
          <w:highlight w:val="none"/>
          <w:lang w:val="en-US" w:eastAsia="zh-CN"/>
        </w:rPr>
      </w:pPr>
      <w:r>
        <w:rPr>
          <w:rFonts w:hint="eastAsia"/>
          <w:highlight w:val="none"/>
          <w:lang w:val="en-US" w:eastAsia="zh-CN"/>
        </w:rPr>
        <w:t>（2）检查电源电缆线有无损坏、各连接处有无松动与磨损，消除电器设备的灰尘。检查各接触器、控制器的触头接触情况及腐蚀程度。</w:t>
      </w:r>
    </w:p>
    <w:p w14:paraId="5809AF00">
      <w:pPr>
        <w:ind w:firstLine="480" w:firstLineChars="200"/>
        <w:rPr>
          <w:rFonts w:hint="eastAsia"/>
          <w:highlight w:val="none"/>
          <w:lang w:val="en-US" w:eastAsia="zh-CN"/>
        </w:rPr>
      </w:pPr>
      <w:r>
        <w:rPr>
          <w:rFonts w:hint="eastAsia"/>
          <w:highlight w:val="none"/>
          <w:lang w:val="en-US" w:eastAsia="zh-CN"/>
        </w:rPr>
        <w:t>（3）检查各连接螺栓是否有松动或脱落，如有松动或脱落现象应及时拧紧或添补。</w:t>
      </w:r>
    </w:p>
    <w:p w14:paraId="64EA3D3D">
      <w:pPr>
        <w:ind w:firstLine="480" w:firstLineChars="200"/>
        <w:rPr>
          <w:rFonts w:hint="eastAsia"/>
          <w:highlight w:val="none"/>
          <w:lang w:val="en-US" w:eastAsia="zh-CN"/>
        </w:rPr>
      </w:pPr>
      <w:r>
        <w:rPr>
          <w:rFonts w:hint="eastAsia"/>
          <w:highlight w:val="none"/>
          <w:lang w:val="en-US" w:eastAsia="zh-CN"/>
        </w:rPr>
        <w:t>（4）检查各其重钢丝绳及牵引钢丝绳，如发现有断股或名义直径磨损超过5%的，应及时更换新钢丝绳。检查钢丝绳固定处是否牢固，绳卡螺栓是否松动，并及时进行处理。</w:t>
      </w:r>
    </w:p>
    <w:p w14:paraId="564A2463">
      <w:pPr>
        <w:ind w:firstLine="480" w:firstLineChars="200"/>
        <w:rPr>
          <w:rFonts w:hint="eastAsia"/>
          <w:highlight w:val="none"/>
          <w:lang w:val="en-US" w:eastAsia="zh-CN"/>
        </w:rPr>
      </w:pPr>
      <w:r>
        <w:rPr>
          <w:rFonts w:hint="eastAsia"/>
          <w:highlight w:val="none"/>
          <w:lang w:val="en-US" w:eastAsia="zh-CN"/>
        </w:rPr>
        <w:t>（5）检查各安全装置有无失灵，尤其是起重力矩和起重量限位器，如发现有可疑现象时，必须进行调整维修，确保其工作可靠性。检查起升和回转机构的制动效能，如不十分灵敏可靠，应及时进行维修调整。</w:t>
      </w:r>
    </w:p>
    <w:p w14:paraId="6C0CA192">
      <w:pPr>
        <w:pStyle w:val="5"/>
        <w:bidi w:val="0"/>
        <w:ind w:left="864" w:leftChars="0" w:hanging="864" w:firstLineChars="0"/>
        <w:rPr>
          <w:rFonts w:hint="eastAsia"/>
          <w:lang w:val="en-US" w:eastAsia="zh-CN"/>
        </w:rPr>
      </w:pPr>
      <w:r>
        <w:rPr>
          <w:rFonts w:hint="eastAsia"/>
          <w:lang w:val="en-US" w:eastAsia="zh-CN"/>
        </w:rPr>
        <w:t>定期保养</w:t>
      </w:r>
    </w:p>
    <w:p w14:paraId="136238BA">
      <w:pPr>
        <w:ind w:firstLine="480" w:firstLineChars="200"/>
        <w:rPr>
          <w:rFonts w:hint="eastAsia"/>
          <w:highlight w:val="none"/>
          <w:lang w:val="en-US" w:eastAsia="zh-CN"/>
        </w:rPr>
      </w:pPr>
      <w:r>
        <w:rPr>
          <w:rFonts w:hint="eastAsia"/>
          <w:highlight w:val="none"/>
          <w:lang w:val="en-US" w:eastAsia="zh-CN"/>
        </w:rPr>
        <w:t>每半月一次，并做好检查保养记录。</w:t>
      </w:r>
    </w:p>
    <w:p w14:paraId="1D4A836F">
      <w:pPr>
        <w:ind w:firstLine="480" w:firstLineChars="200"/>
        <w:rPr>
          <w:rFonts w:hint="eastAsia"/>
          <w:highlight w:val="none"/>
          <w:lang w:val="en-US" w:eastAsia="zh-CN"/>
        </w:rPr>
      </w:pPr>
      <w:r>
        <w:rPr>
          <w:rFonts w:hint="eastAsia"/>
          <w:highlight w:val="none"/>
          <w:lang w:val="en-US" w:eastAsia="zh-CN"/>
        </w:rPr>
        <w:t>（1）对起升导向滑轮及拉杆与支座配合处、变幅小车滑轮及车轮吊钩组滑轮、回转支承等处压注4#钙基润滑脂。</w:t>
      </w:r>
    </w:p>
    <w:p w14:paraId="3CCF6704">
      <w:pPr>
        <w:ind w:firstLine="480" w:firstLineChars="200"/>
        <w:rPr>
          <w:rFonts w:hint="eastAsia"/>
          <w:highlight w:val="none"/>
          <w:lang w:val="en-US" w:eastAsia="zh-CN"/>
        </w:rPr>
      </w:pPr>
      <w:r>
        <w:rPr>
          <w:rFonts w:hint="eastAsia"/>
          <w:highlight w:val="none"/>
          <w:lang w:val="en-US" w:eastAsia="zh-CN"/>
        </w:rPr>
        <w:t>（2）因钢丝绳在经过一段时间使用后，长度拉长，应重新调整起升和变幅钢丝绳，并重新调整起升高度限位器及变幅限位器。</w:t>
      </w:r>
    </w:p>
    <w:p w14:paraId="67EBDC2A">
      <w:pPr>
        <w:ind w:firstLine="480" w:firstLineChars="200"/>
        <w:rPr>
          <w:rFonts w:hint="eastAsia"/>
          <w:highlight w:val="none"/>
          <w:lang w:val="en-US" w:eastAsia="zh-CN"/>
        </w:rPr>
      </w:pPr>
      <w:r>
        <w:rPr>
          <w:rFonts w:hint="eastAsia"/>
          <w:highlight w:val="none"/>
          <w:lang w:val="en-US" w:eastAsia="zh-CN"/>
        </w:rPr>
        <w:t>（3）对各零部件的连接螺栓、钢丝绳压板及绳卡处的螺栓或螺母应重新紧固一次，必要时应更换，对各用电或输电设备的绝缘性进行检查，不得有漏电现象。</w:t>
      </w:r>
    </w:p>
    <w:p w14:paraId="3A9F6E11">
      <w:pPr>
        <w:pStyle w:val="5"/>
        <w:bidi w:val="0"/>
        <w:ind w:left="864" w:leftChars="0" w:hanging="864" w:firstLineChars="0"/>
        <w:rPr>
          <w:rFonts w:hint="eastAsia"/>
          <w:lang w:val="en-US" w:eastAsia="zh-CN"/>
        </w:rPr>
      </w:pPr>
      <w:r>
        <w:rPr>
          <w:rFonts w:hint="eastAsia"/>
          <w:lang w:val="en-US" w:eastAsia="zh-CN"/>
        </w:rPr>
        <w:t>定期检查</w:t>
      </w:r>
    </w:p>
    <w:p w14:paraId="6D0158CF">
      <w:pPr>
        <w:ind w:firstLine="480" w:firstLineChars="200"/>
        <w:rPr>
          <w:rFonts w:hint="eastAsia"/>
          <w:highlight w:val="none"/>
          <w:lang w:val="en-US" w:eastAsia="zh-CN"/>
        </w:rPr>
      </w:pPr>
      <w:r>
        <w:rPr>
          <w:rFonts w:hint="eastAsia"/>
          <w:highlight w:val="none"/>
          <w:lang w:val="en-US" w:eastAsia="zh-CN"/>
        </w:rPr>
        <w:t>半年进行一次定期检查，并做好检查处理记录。</w:t>
      </w:r>
    </w:p>
    <w:p w14:paraId="7D15AE9B">
      <w:pPr>
        <w:ind w:firstLine="480" w:firstLineChars="200"/>
        <w:rPr>
          <w:rFonts w:hint="eastAsia"/>
          <w:highlight w:val="none"/>
          <w:lang w:val="en-US" w:eastAsia="zh-CN"/>
        </w:rPr>
      </w:pPr>
      <w:r>
        <w:rPr>
          <w:rFonts w:hint="eastAsia"/>
          <w:highlight w:val="none"/>
          <w:lang w:val="en-US" w:eastAsia="zh-CN"/>
        </w:rPr>
        <w:t>（1）在经过运输或存放过程后，应防止损坏金属结构件，并防止结构件变形。如有碰损、整体扭曲或变形，未经修复时，不得使用。</w:t>
      </w:r>
    </w:p>
    <w:p w14:paraId="732D0921">
      <w:pPr>
        <w:ind w:firstLine="480" w:firstLineChars="200"/>
        <w:rPr>
          <w:rFonts w:hint="eastAsia"/>
          <w:highlight w:val="none"/>
          <w:lang w:val="en-US" w:eastAsia="zh-CN"/>
        </w:rPr>
      </w:pPr>
      <w:r>
        <w:rPr>
          <w:rFonts w:hint="eastAsia"/>
          <w:highlight w:val="none"/>
          <w:lang w:val="en-US" w:eastAsia="zh-CN"/>
        </w:rPr>
        <w:t>（2）检查各结构件和部件机构有无在材料焊接区出现裂纹、腐蚀等情况，如有可疑现象，必须进行修复，未经修复不得使用。</w:t>
      </w:r>
    </w:p>
    <w:p w14:paraId="178B8F5B">
      <w:pPr>
        <w:ind w:firstLine="480" w:firstLineChars="200"/>
        <w:rPr>
          <w:rFonts w:hint="eastAsia"/>
          <w:highlight w:val="none"/>
          <w:lang w:val="en-US" w:eastAsia="zh-CN"/>
        </w:rPr>
      </w:pPr>
      <w:r>
        <w:rPr>
          <w:rFonts w:hint="eastAsia"/>
          <w:highlight w:val="none"/>
          <w:lang w:val="en-US" w:eastAsia="zh-CN"/>
        </w:rPr>
        <w:t>（3）对各连接螺栓、销轴，如发现有过度磨损或变形，应予更换。</w:t>
      </w:r>
    </w:p>
    <w:p w14:paraId="499E85FF">
      <w:pPr>
        <w:ind w:firstLine="480" w:firstLineChars="200"/>
        <w:rPr>
          <w:rFonts w:hint="eastAsia"/>
          <w:highlight w:val="none"/>
          <w:lang w:val="en-US" w:eastAsia="zh-CN"/>
        </w:rPr>
      </w:pPr>
      <w:r>
        <w:rPr>
          <w:rFonts w:hint="eastAsia"/>
          <w:highlight w:val="none"/>
          <w:lang w:val="en-US" w:eastAsia="zh-CN"/>
        </w:rPr>
        <w:t>（4）清洗各减速器，并加注润滑油，拆卸后清洗滚动轴承和滑动轴承，装配时加注润滑脂。</w:t>
      </w:r>
    </w:p>
    <w:p w14:paraId="131BFA3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（5）对回转齿轮涂抹润滑脂。</w:t>
      </w:r>
    </w:p>
    <w:p w14:paraId="2D0FE0A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（6）检查调整各制动器和安全装置。</w:t>
      </w:r>
    </w:p>
    <w:p w14:paraId="081F19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（7）检修或更换磨损较大的零部件，如小车行走轮、各滑轮及滑动轴承、回转机械小齿轮等。</w:t>
      </w:r>
    </w:p>
    <w:p w14:paraId="108334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（8）检修或更换起重及变幅钢丝绳。</w:t>
      </w:r>
    </w:p>
    <w:p w14:paraId="78511BA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（9）检修各电器操纵控制系统，清除各电器元件上的尘土污垢及锈斑，并检测线圈绝缘情况，检修或更换电线电缆。</w:t>
      </w:r>
    </w:p>
    <w:p w14:paraId="4E3D00C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（10）塔机应每半年油漆一次，工程结束后，必须对各部件喷刷漆一次。</w:t>
      </w:r>
    </w:p>
    <w:p w14:paraId="21420B66">
      <w:pPr>
        <w:pStyle w:val="5"/>
        <w:bidi w:val="0"/>
        <w:ind w:left="864" w:leftChars="0" w:hanging="864" w:firstLineChars="0"/>
        <w:rPr>
          <w:rFonts w:hint="eastAsia"/>
          <w:lang w:val="en-US" w:eastAsia="zh-CN"/>
        </w:rPr>
      </w:pPr>
      <w:r>
        <w:rPr>
          <w:rFonts w:hint="eastAsia"/>
          <w:lang w:val="en-US" w:eastAsia="zh-CN"/>
        </w:rPr>
        <w:t>液压顶升系统的维护保养</w:t>
      </w:r>
    </w:p>
    <w:p w14:paraId="5EA6C2D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（1）液压泵站使用的液压油，应严格按照使用说明书的规定进行加注或更换，并定期清洗油箱。</w:t>
      </w:r>
    </w:p>
    <w:p w14:paraId="0F73A6D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（2）溢流阀压力调整后，不得随意变动，每次顶升前，应用油压表检查其压力是否正常。</w:t>
      </w:r>
    </w:p>
    <w:p w14:paraId="06FE82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（3）检查各油管接头是否紧固严密，不得有漏油现象。</w:t>
      </w:r>
    </w:p>
    <w:p w14:paraId="2F5726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（4）定期检查滤油器是否堵塞、安全阀调整值是否改变。</w:t>
      </w:r>
    </w:p>
    <w:p w14:paraId="7B0AE9A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（5）发现油泵、油缸、控制阀有渗漏，应及时进行检修或更换。</w:t>
      </w:r>
    </w:p>
    <w:p w14:paraId="28C4B6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（6）在冬季启动时，应开开停停，反复数次，待油温上升，控制阀动作灵敏后，再正常使用。</w:t>
      </w:r>
    </w:p>
    <w:p w14:paraId="1033ED2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（7）总装和大修后，每一次启动油泵，应先检查出入口是否接反、电机转动方向是否正确、吸油管道是否漏气，然后用手盘动试转，最后按规定转向起动和试车。</w:t>
      </w:r>
    </w:p>
    <w:p w14:paraId="4F9A283C">
      <w:pPr>
        <w:pStyle w:val="5"/>
        <w:bidi w:val="0"/>
        <w:ind w:left="864" w:leftChars="0" w:hanging="864" w:firstLineChars="0"/>
        <w:rPr>
          <w:rFonts w:hint="eastAsia"/>
          <w:lang w:val="en-US" w:eastAsia="zh-CN"/>
        </w:rPr>
      </w:pPr>
      <w:r>
        <w:rPr>
          <w:rFonts w:hint="eastAsia"/>
          <w:lang w:val="en-US" w:eastAsia="zh-CN"/>
        </w:rPr>
        <w:t>其他</w:t>
      </w:r>
    </w:p>
    <w:p w14:paraId="5101F220">
      <w:pPr>
        <w:ind w:firstLine="480" w:firstLineChars="200"/>
        <w:rPr>
          <w:rFonts w:hint="eastAsia"/>
          <w:highlight w:val="none"/>
          <w:lang w:val="en-US" w:eastAsia="zh-CN"/>
        </w:rPr>
      </w:pPr>
      <w:r>
        <w:rPr>
          <w:rFonts w:hint="eastAsia"/>
          <w:highlight w:val="none"/>
          <w:lang w:val="en-US" w:eastAsia="zh-CN"/>
        </w:rPr>
        <w:t>电机、起升制动器及其他部件的维护保养详见使用说明书。</w:t>
      </w:r>
    </w:p>
    <w:p w14:paraId="03A04F14">
      <w:pPr>
        <w:pStyle w:val="3"/>
        <w:bidi w:val="0"/>
        <w:ind w:left="575" w:leftChars="0" w:hanging="575" w:firstLineChars="0"/>
        <w:rPr>
          <w:rFonts w:hint="default"/>
          <w:lang w:val="en-US" w:eastAsia="zh-CN"/>
        </w:rPr>
      </w:pPr>
      <w:bookmarkStart w:id="188" w:name="_Toc7966"/>
      <w:bookmarkStart w:id="189" w:name="_Toc3677"/>
      <w:bookmarkStart w:id="190" w:name="_Toc23487"/>
      <w:bookmarkStart w:id="191" w:name="_Toc4173"/>
      <w:bookmarkStart w:id="192" w:name="_Toc4092"/>
      <w:r>
        <w:rPr>
          <w:rFonts w:hint="eastAsia"/>
          <w:lang w:val="en-US" w:eastAsia="zh-CN"/>
        </w:rPr>
        <w:t>检查要求</w:t>
      </w:r>
      <w:bookmarkEnd w:id="188"/>
      <w:bookmarkEnd w:id="189"/>
      <w:bookmarkEnd w:id="190"/>
      <w:bookmarkEnd w:id="191"/>
      <w:bookmarkEnd w:id="192"/>
    </w:p>
    <w:p w14:paraId="3B68E182">
      <w:pPr>
        <w:ind w:firstLine="480" w:firstLineChars="200"/>
        <w:rPr>
          <w:rFonts w:hint="eastAsia"/>
          <w:highlight w:val="none"/>
          <w:lang w:val="en-US" w:eastAsia="zh-CN"/>
        </w:rPr>
      </w:pPr>
      <w:r>
        <w:rPr>
          <w:rFonts w:hint="eastAsia"/>
          <w:highlight w:val="none"/>
          <w:lang w:val="en-US" w:eastAsia="zh-CN"/>
        </w:rPr>
        <w:t>在试运转之前，必须检查金属结构、各动力设备、传动机构、电气设备、安全装置、钢丝绳吊钩及液压油管等是否完好；确认合格后，才可进行试运转。</w:t>
      </w:r>
    </w:p>
    <w:p w14:paraId="7868DAA4">
      <w:pPr>
        <w:pStyle w:val="4"/>
        <w:bidi w:val="0"/>
        <w:ind w:left="720" w:leftChars="0" w:hanging="720" w:firstLineChars="0"/>
        <w:rPr>
          <w:rFonts w:hint="default"/>
          <w:lang w:val="en-US" w:eastAsia="zh-CN"/>
        </w:rPr>
      </w:pPr>
      <w:bookmarkStart w:id="193" w:name="_Toc18866"/>
      <w:bookmarkStart w:id="194" w:name="_Toc29217"/>
      <w:bookmarkStart w:id="195" w:name="_Toc15680"/>
      <w:r>
        <w:rPr>
          <w:rFonts w:hint="eastAsia"/>
          <w:lang w:val="en-US" w:eastAsia="zh-CN"/>
        </w:rPr>
        <w:t>检查内容</w:t>
      </w:r>
      <w:bookmarkEnd w:id="193"/>
      <w:bookmarkEnd w:id="194"/>
      <w:bookmarkEnd w:id="195"/>
    </w:p>
    <w:p w14:paraId="260953C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w:t>
      </w:r>
      <w:r>
        <w:rPr>
          <w:rFonts w:hint="default"/>
          <w:highlight w:val="none"/>
          <w:lang w:val="en-US" w:eastAsia="zh-CN"/>
        </w:rPr>
        <w:t>吊装过程主要材料、机械设备进场质量检查、抽检；</w:t>
      </w:r>
    </w:p>
    <w:p w14:paraId="553ABC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w:t>
      </w:r>
      <w:r>
        <w:rPr>
          <w:rFonts w:hint="default"/>
          <w:highlight w:val="none"/>
          <w:lang w:val="en-US" w:eastAsia="zh-CN"/>
        </w:rPr>
        <w:t>试吊作业方案及试吊前对照专项施工方案有关工序、工艺、工法安全质量检查内容；</w:t>
      </w:r>
    </w:p>
    <w:p w14:paraId="1133646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w:t>
      </w:r>
      <w:r>
        <w:rPr>
          <w:rFonts w:hint="default"/>
          <w:highlight w:val="none"/>
          <w:lang w:val="en-US" w:eastAsia="zh-CN"/>
        </w:rPr>
        <w:t>金属机构有无变形、缺损，焊缝有无裂纹，螺栓是否拧紧、上齐；</w:t>
      </w:r>
    </w:p>
    <w:p w14:paraId="0021F8E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4</w:t>
      </w:r>
      <w:r>
        <w:rPr>
          <w:rFonts w:hint="eastAsia"/>
          <w:highlight w:val="none"/>
          <w:lang w:val="en-US" w:eastAsia="zh-CN"/>
        </w:rPr>
        <w:t>）</w:t>
      </w:r>
      <w:r>
        <w:rPr>
          <w:rFonts w:hint="default"/>
          <w:highlight w:val="none"/>
          <w:lang w:val="en-US" w:eastAsia="zh-CN"/>
        </w:rPr>
        <w:t>零部件是否齐全，转动机构是否能正常转动，转动时有无异响；</w:t>
      </w:r>
    </w:p>
    <w:p w14:paraId="1A3972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5</w:t>
      </w:r>
      <w:r>
        <w:rPr>
          <w:rFonts w:hint="eastAsia"/>
          <w:highlight w:val="none"/>
          <w:lang w:val="en-US" w:eastAsia="zh-CN"/>
        </w:rPr>
        <w:t>）</w:t>
      </w:r>
      <w:r>
        <w:rPr>
          <w:rFonts w:hint="default"/>
          <w:highlight w:val="none"/>
          <w:lang w:val="en-US" w:eastAsia="zh-CN"/>
        </w:rPr>
        <w:t>钢丝绳的穿绕是否正确；绳头固定是否正确、牢固、可靠；</w:t>
      </w:r>
    </w:p>
    <w:p w14:paraId="1597A50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6</w:t>
      </w:r>
      <w:r>
        <w:rPr>
          <w:rFonts w:hint="eastAsia"/>
          <w:highlight w:val="none"/>
          <w:lang w:val="en-US" w:eastAsia="zh-CN"/>
        </w:rPr>
        <w:t>）</w:t>
      </w:r>
      <w:r>
        <w:rPr>
          <w:rFonts w:hint="default"/>
          <w:highlight w:val="none"/>
          <w:lang w:val="en-US" w:eastAsia="zh-CN"/>
        </w:rPr>
        <w:t>各限位开关、幅度检测、吨位传感器、风速仪、航空安全灯等电器元件及其线路是否完好并联接正确；连接是否可靠；</w:t>
      </w:r>
    </w:p>
    <w:p w14:paraId="3C628B3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7</w:t>
      </w:r>
      <w:r>
        <w:rPr>
          <w:rFonts w:hint="eastAsia"/>
          <w:highlight w:val="none"/>
          <w:lang w:val="en-US" w:eastAsia="zh-CN"/>
        </w:rPr>
        <w:t>）</w:t>
      </w:r>
      <w:r>
        <w:rPr>
          <w:rFonts w:hint="default"/>
          <w:highlight w:val="none"/>
          <w:lang w:val="en-US" w:eastAsia="zh-CN"/>
        </w:rPr>
        <w:t>部件上应安装的附件是否均已安装，且安装正确；</w:t>
      </w:r>
    </w:p>
    <w:p w14:paraId="1E60DC8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8</w:t>
      </w:r>
      <w:r>
        <w:rPr>
          <w:rFonts w:hint="eastAsia"/>
          <w:highlight w:val="none"/>
          <w:lang w:val="en-US" w:eastAsia="zh-CN"/>
        </w:rPr>
        <w:t>）</w:t>
      </w:r>
      <w:r>
        <w:rPr>
          <w:rFonts w:hint="default"/>
          <w:highlight w:val="none"/>
          <w:lang w:val="en-US" w:eastAsia="zh-CN"/>
        </w:rPr>
        <w:t>核查平衡重的连接方式及重量是否正确无误；</w:t>
      </w:r>
    </w:p>
    <w:p w14:paraId="7C644DF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9</w:t>
      </w:r>
      <w:r>
        <w:rPr>
          <w:rFonts w:hint="eastAsia"/>
          <w:highlight w:val="none"/>
          <w:lang w:val="en-US" w:eastAsia="zh-CN"/>
        </w:rPr>
        <w:t>）塔机</w:t>
      </w:r>
      <w:r>
        <w:rPr>
          <w:rFonts w:hint="default"/>
          <w:highlight w:val="none"/>
          <w:lang w:val="en-US" w:eastAsia="zh-CN"/>
        </w:rPr>
        <w:t>试验分为空负荷试验、静负荷试验和动负荷试验三个部分。</w:t>
      </w:r>
    </w:p>
    <w:p w14:paraId="54928DB3">
      <w:pPr>
        <w:pStyle w:val="4"/>
        <w:bidi w:val="0"/>
        <w:ind w:left="720" w:leftChars="0" w:hanging="720" w:firstLineChars="0"/>
        <w:rPr>
          <w:rFonts w:hint="default"/>
          <w:lang w:val="en-US" w:eastAsia="zh-CN"/>
        </w:rPr>
      </w:pPr>
      <w:bookmarkStart w:id="196" w:name="_Toc25780"/>
      <w:bookmarkStart w:id="197" w:name="_Toc8784"/>
      <w:bookmarkStart w:id="198" w:name="_Toc9762"/>
      <w:r>
        <w:rPr>
          <w:rFonts w:hint="eastAsia"/>
          <w:lang w:val="en-US" w:eastAsia="zh-CN"/>
        </w:rPr>
        <w:t>空负荷试验</w:t>
      </w:r>
      <w:bookmarkEnd w:id="196"/>
      <w:bookmarkEnd w:id="197"/>
      <w:bookmarkEnd w:id="198"/>
    </w:p>
    <w:p w14:paraId="008909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空负荷试验的目的是检验电气设备控制动作的正确性，各机构工作的准确性，并调整各安全限位指示装置。空负荷试验的内容是在不悬挂重物的状态下，试验各机构的操作系统。</w:t>
      </w:r>
    </w:p>
    <w:p w14:paraId="2D8EC1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（1）各</w:t>
      </w:r>
      <w:r>
        <w:rPr>
          <w:rFonts w:hint="eastAsia"/>
          <w:highlight w:val="none"/>
          <w:lang w:val="en-US" w:eastAsia="zh-CN"/>
        </w:rPr>
        <w:t>塔机</w:t>
      </w:r>
      <w:r>
        <w:rPr>
          <w:rFonts w:hint="default"/>
          <w:highlight w:val="none"/>
          <w:lang w:val="en-US" w:eastAsia="zh-CN"/>
        </w:rPr>
        <w:t>在其各自有效的工作幅度之间以额定速度行走全程，空钩提升、下降各3次；</w:t>
      </w:r>
    </w:p>
    <w:p w14:paraId="5ABCB75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（2）使吊钩处于</w:t>
      </w:r>
      <w:r>
        <w:rPr>
          <w:rFonts w:hint="eastAsia"/>
          <w:highlight w:val="none"/>
          <w:lang w:val="en-US" w:eastAsia="zh-CN"/>
        </w:rPr>
        <w:t>最大</w:t>
      </w:r>
      <w:r>
        <w:rPr>
          <w:rFonts w:hint="default"/>
          <w:highlight w:val="none"/>
          <w:lang w:val="en-US" w:eastAsia="zh-CN"/>
        </w:rPr>
        <w:t>幅度，左、右向回转；</w:t>
      </w:r>
    </w:p>
    <w:p w14:paraId="4E551A9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3）在不同时起、制动的条件下，作起升和回转机构的任两种机构的联合动作10分钟。运行过程中各机构不得发生任何异常现象，各机构制动器、操作系统、控制系统、联锁装置及各限位器、限制器应动作准确、可靠，否则应及时排除故障。</w:t>
      </w:r>
    </w:p>
    <w:p w14:paraId="049762A3">
      <w:pPr>
        <w:pStyle w:val="4"/>
        <w:bidi w:val="0"/>
        <w:ind w:left="720" w:leftChars="0" w:hanging="720" w:firstLineChars="0"/>
        <w:rPr>
          <w:rFonts w:hint="default"/>
          <w:lang w:val="en-US" w:eastAsia="zh-CN"/>
        </w:rPr>
      </w:pPr>
      <w:bookmarkStart w:id="199" w:name="_Toc921"/>
      <w:bookmarkStart w:id="200" w:name="_Toc9906"/>
      <w:bookmarkStart w:id="201" w:name="_Toc18760"/>
      <w:r>
        <w:rPr>
          <w:rFonts w:hint="eastAsia"/>
          <w:lang w:val="en-US" w:eastAsia="zh-CN"/>
        </w:rPr>
        <w:t>静负荷试验</w:t>
      </w:r>
      <w:bookmarkEnd w:id="199"/>
      <w:bookmarkEnd w:id="200"/>
      <w:bookmarkEnd w:id="201"/>
    </w:p>
    <w:p w14:paraId="0F6C830F">
      <w:pPr>
        <w:ind w:firstLine="480" w:firstLineChars="200"/>
        <w:rPr>
          <w:rFonts w:hint="default"/>
          <w:highlight w:val="none"/>
          <w:lang w:val="en-US" w:eastAsia="zh-CN"/>
        </w:rPr>
      </w:pPr>
      <w:r>
        <w:rPr>
          <w:rFonts w:hint="default"/>
          <w:highlight w:val="none"/>
          <w:lang w:val="en-US" w:eastAsia="zh-CN"/>
        </w:rPr>
        <w:t>在空负荷试验及调整完成后，进行静负荷试验，以检验各部钢结构、机构的强度、刚度及制动的可靠性、起重机静态的稳定性；在最大幅度处分别吊对应额定起重量的25％，50％，75％，100％，按空载试验要求进行试验。运行过程中不得发生任何异常现象，各机构制动器、操作系统、控制系统、联锁装置及各限位器、限制器应动作准确、可靠。</w:t>
      </w:r>
    </w:p>
    <w:p w14:paraId="2890EC3F">
      <w:pPr>
        <w:pStyle w:val="4"/>
        <w:bidi w:val="0"/>
        <w:ind w:left="720" w:leftChars="0" w:hanging="720" w:firstLineChars="0"/>
        <w:rPr>
          <w:rFonts w:hint="default"/>
          <w:lang w:val="en-US" w:eastAsia="zh-CN"/>
        </w:rPr>
      </w:pPr>
      <w:bookmarkStart w:id="202" w:name="_Toc9563"/>
      <w:bookmarkStart w:id="203" w:name="_Toc969"/>
      <w:bookmarkStart w:id="204" w:name="_Toc29119"/>
      <w:r>
        <w:rPr>
          <w:rFonts w:hint="eastAsia"/>
          <w:lang w:val="en-US" w:eastAsia="zh-CN"/>
        </w:rPr>
        <w:t>动负荷试验</w:t>
      </w:r>
      <w:bookmarkEnd w:id="202"/>
      <w:bookmarkEnd w:id="203"/>
      <w:bookmarkEnd w:id="204"/>
    </w:p>
    <w:p w14:paraId="66FA81E4">
      <w:pPr>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超载25%静态</w:t>
      </w:r>
      <w:r>
        <w:rPr>
          <w:rFonts w:hint="eastAsia" w:ascii="宋体" w:hAnsi="宋体" w:eastAsia="宋体" w:cs="宋体"/>
          <w:color w:val="000000"/>
          <w:sz w:val="24"/>
          <w:szCs w:val="24"/>
          <w:highlight w:val="none"/>
          <w:lang w:val="en-US" w:eastAsia="zh-CN"/>
        </w:rPr>
        <w:t>试验</w:t>
      </w:r>
      <w:r>
        <w:rPr>
          <w:rFonts w:hint="eastAsia" w:ascii="宋体" w:hAnsi="宋体" w:eastAsia="宋体" w:cs="宋体"/>
          <w:color w:val="000000"/>
          <w:sz w:val="24"/>
          <w:szCs w:val="24"/>
          <w:highlight w:val="none"/>
        </w:rPr>
        <w:t>（四倍率）</w:t>
      </w:r>
    </w:p>
    <w:p w14:paraId="53127F82">
      <w:pPr>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空载试验、负荷试验合格后，进行静态超载实验。根据不同起重臂长，静态超载实验载荷如表下表所示。</w:t>
      </w:r>
    </w:p>
    <w:p w14:paraId="69717E79">
      <w:pPr>
        <w:pStyle w:val="15"/>
        <w:rPr>
          <w:rFonts w:hint="default" w:eastAsia="黑体"/>
          <w:highlight w:val="none"/>
          <w:lang w:val="en-US" w:eastAsia="zh-CN"/>
        </w:rPr>
      </w:pPr>
      <w:r>
        <w:t xml:space="preserve">表 </w:t>
      </w:r>
      <w:r>
        <w:fldChar w:fldCharType="begin"/>
      </w:r>
      <w:r>
        <w:instrText xml:space="preserve"> STYLEREF 3 \s </w:instrText>
      </w:r>
      <w:r>
        <w:fldChar w:fldCharType="separate"/>
      </w:r>
      <w:r>
        <w:t>4.5.4</w:t>
      </w:r>
      <w:r>
        <w:fldChar w:fldCharType="end"/>
      </w:r>
      <w:r>
        <w:rPr>
          <w:rFonts w:hint="eastAsia"/>
          <w:lang w:eastAsia="zh-CN"/>
        </w:rPr>
        <w:t>-</w:t>
      </w:r>
      <w:r>
        <w:fldChar w:fldCharType="begin"/>
      </w:r>
      <w:r>
        <w:instrText xml:space="preserve"> SEQ 表 \* ARABIC \s 3 </w:instrText>
      </w:r>
      <w:r>
        <w:fldChar w:fldCharType="separate"/>
      </w:r>
      <w:r>
        <w:t>1</w:t>
      </w:r>
      <w:r>
        <w:fldChar w:fldCharType="end"/>
      </w:r>
      <w:r>
        <w:rPr>
          <w:rFonts w:hint="eastAsia"/>
          <w:lang w:val="en-US" w:eastAsia="zh-CN"/>
        </w:rPr>
        <w:t xml:space="preserve"> </w:t>
      </w:r>
      <w:r>
        <w:rPr>
          <w:rFonts w:hint="eastAsia" w:ascii="Times New Roman" w:hAnsi="Times New Roman" w:cs="Times New Roman"/>
          <w:highlight w:val="none"/>
          <w:lang w:val="en-US" w:eastAsia="zh-CN"/>
        </w:rPr>
        <w:t>静态试验</w:t>
      </w:r>
      <w:r>
        <w:rPr>
          <w:rFonts w:hint="eastAsia"/>
          <w:highlight w:val="none"/>
          <w:lang w:val="en-US" w:eastAsia="zh-CN"/>
        </w:rPr>
        <w:t>荷载表</w:t>
      </w:r>
    </w:p>
    <w:tbl>
      <w:tblPr>
        <w:tblStyle w:val="30"/>
        <w:tblW w:w="8438"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928"/>
        <w:gridCol w:w="1641"/>
        <w:gridCol w:w="1684"/>
        <w:gridCol w:w="1511"/>
        <w:gridCol w:w="1674"/>
      </w:tblGrid>
      <w:tr w14:paraId="5F073F5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37" w:hRule="atLeast"/>
          <w:jc w:val="center"/>
        </w:trPr>
        <w:tc>
          <w:tcPr>
            <w:tcW w:w="1928" w:type="dxa"/>
            <w:tcBorders>
              <w:tl2br w:val="nil"/>
              <w:tr2bl w:val="nil"/>
            </w:tcBorders>
            <w:shd w:val="clear" w:color="auto" w:fill="DAE3F3" w:themeFill="accent5" w:themeFillTint="32"/>
            <w:noWrap w:val="0"/>
            <w:vAlign w:val="top"/>
            <mc:AlternateContent>
              <mc:Choice Requires="wpsCustomData">
                <wpsCustomData:diagonals>
                  <wpsCustomData:diagonal from="30000" to="10000">
                    <wpsCustomData:border w:val="single" w:color="2F5496" w:themeColor="accent5" w:themeShade="BF" w:sz="4" w:space="0"/>
                  </wpsCustomData:diagonal>
                </wpsCustomData:diagonals>
              </mc:Choice>
            </mc:AlternateContent>
          </w:tcPr>
          <w:p w14:paraId="4FBC676C">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p>
          <w:p w14:paraId="58C0D61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臂长</w:t>
            </w:r>
          </w:p>
        </w:tc>
        <w:tc>
          <w:tcPr>
            <w:tcW w:w="1641" w:type="dxa"/>
            <w:tcBorders>
              <w:tl2br w:val="nil"/>
              <w:tr2bl w:val="nil"/>
            </w:tcBorders>
            <w:shd w:val="clear" w:color="auto" w:fill="DAE3F3" w:themeFill="accent5" w:themeFillTint="32"/>
            <w:noWrap w:val="0"/>
            <w:vAlign w:val="center"/>
          </w:tcPr>
          <w:p w14:paraId="10DCDC6E">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幅度Ⅰ</w:t>
            </w:r>
          </w:p>
        </w:tc>
        <w:tc>
          <w:tcPr>
            <w:tcW w:w="1684" w:type="dxa"/>
            <w:tcBorders>
              <w:tl2br w:val="nil"/>
              <w:tr2bl w:val="nil"/>
            </w:tcBorders>
            <w:shd w:val="clear" w:color="auto" w:fill="DAE3F3" w:themeFill="accent5" w:themeFillTint="32"/>
            <w:noWrap w:val="0"/>
            <w:vAlign w:val="center"/>
          </w:tcPr>
          <w:p w14:paraId="75DA8A6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吊重Ⅰ</w:t>
            </w:r>
          </w:p>
        </w:tc>
        <w:tc>
          <w:tcPr>
            <w:tcW w:w="1511" w:type="dxa"/>
            <w:tcBorders>
              <w:tl2br w:val="nil"/>
              <w:tr2bl w:val="nil"/>
            </w:tcBorders>
            <w:shd w:val="clear" w:color="auto" w:fill="DAE3F3" w:themeFill="accent5" w:themeFillTint="32"/>
            <w:noWrap w:val="0"/>
            <w:vAlign w:val="center"/>
          </w:tcPr>
          <w:p w14:paraId="333CF5C4">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幅度Ⅱ</w:t>
            </w:r>
          </w:p>
        </w:tc>
        <w:tc>
          <w:tcPr>
            <w:tcW w:w="1674" w:type="dxa"/>
            <w:tcBorders>
              <w:tl2br w:val="nil"/>
              <w:tr2bl w:val="nil"/>
            </w:tcBorders>
            <w:shd w:val="clear" w:color="auto" w:fill="DAE3F3" w:themeFill="accent5" w:themeFillTint="32"/>
            <w:noWrap w:val="0"/>
            <w:vAlign w:val="center"/>
          </w:tcPr>
          <w:p w14:paraId="09B28501">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吊重Ⅱ</w:t>
            </w:r>
          </w:p>
        </w:tc>
      </w:tr>
      <w:tr w14:paraId="3806904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928" w:type="dxa"/>
            <w:tcBorders>
              <w:tl2br w:val="nil"/>
              <w:tr2bl w:val="nil"/>
            </w:tcBorders>
            <w:noWrap w:val="0"/>
            <w:vAlign w:val="center"/>
          </w:tcPr>
          <w:p w14:paraId="67513ED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420" w:firstLineChars="20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40m</w:t>
            </w:r>
          </w:p>
        </w:tc>
        <w:tc>
          <w:tcPr>
            <w:tcW w:w="1641" w:type="dxa"/>
            <w:tcBorders>
              <w:tl2br w:val="nil"/>
              <w:tr2bl w:val="nil"/>
            </w:tcBorders>
            <w:noWrap w:val="0"/>
            <w:vAlign w:val="center"/>
          </w:tcPr>
          <w:p w14:paraId="57F7E85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28.2</w:t>
            </w:r>
            <w:r>
              <w:rPr>
                <w:rFonts w:hint="eastAsia" w:ascii="宋体" w:hAnsi="宋体" w:eastAsia="宋体" w:cs="宋体"/>
                <w:color w:val="000000"/>
                <w:sz w:val="21"/>
                <w:szCs w:val="21"/>
                <w:highlight w:val="none"/>
              </w:rPr>
              <w:t>m</w:t>
            </w:r>
          </w:p>
        </w:tc>
        <w:tc>
          <w:tcPr>
            <w:tcW w:w="1684" w:type="dxa"/>
            <w:tcBorders>
              <w:tl2br w:val="nil"/>
              <w:tr2bl w:val="nil"/>
            </w:tcBorders>
            <w:noWrap w:val="0"/>
            <w:vAlign w:val="center"/>
          </w:tcPr>
          <w:p w14:paraId="5A8E9A14">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12.5</w:t>
            </w:r>
            <w:r>
              <w:rPr>
                <w:rFonts w:hint="eastAsia" w:ascii="宋体" w:hAnsi="宋体" w:eastAsia="宋体" w:cs="宋体"/>
                <w:color w:val="000000"/>
                <w:sz w:val="21"/>
                <w:szCs w:val="21"/>
                <w:highlight w:val="none"/>
              </w:rPr>
              <w:t>t</w:t>
            </w:r>
          </w:p>
        </w:tc>
        <w:tc>
          <w:tcPr>
            <w:tcW w:w="1511" w:type="dxa"/>
            <w:tcBorders>
              <w:tl2br w:val="nil"/>
              <w:tr2bl w:val="nil"/>
            </w:tcBorders>
            <w:noWrap w:val="0"/>
            <w:vAlign w:val="center"/>
          </w:tcPr>
          <w:p w14:paraId="733532B7">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40m</w:t>
            </w:r>
          </w:p>
        </w:tc>
        <w:tc>
          <w:tcPr>
            <w:tcW w:w="1674" w:type="dxa"/>
            <w:tcBorders>
              <w:tl2br w:val="nil"/>
              <w:tr2bl w:val="nil"/>
            </w:tcBorders>
            <w:noWrap w:val="0"/>
            <w:vAlign w:val="center"/>
          </w:tcPr>
          <w:p w14:paraId="7A7A25C7">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8.125</w:t>
            </w:r>
            <w:r>
              <w:rPr>
                <w:rFonts w:hint="eastAsia" w:ascii="宋体" w:hAnsi="宋体" w:eastAsia="宋体" w:cs="宋体"/>
                <w:color w:val="000000"/>
                <w:sz w:val="21"/>
                <w:szCs w:val="21"/>
                <w:highlight w:val="none"/>
              </w:rPr>
              <w:t>t</w:t>
            </w:r>
          </w:p>
        </w:tc>
      </w:tr>
    </w:tbl>
    <w:p w14:paraId="42507EEF">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ascii="宋体" w:hAnsi="宋体" w:cs="宋体"/>
          <w:color w:val="000000"/>
          <w:sz w:val="24"/>
          <w:szCs w:val="24"/>
          <w:highlight w:val="none"/>
        </w:rPr>
      </w:pPr>
      <w:r>
        <w:rPr>
          <w:rFonts w:hint="eastAsia" w:ascii="宋体" w:hAnsi="宋体" w:cs="宋体"/>
          <w:color w:val="000000"/>
          <w:sz w:val="24"/>
          <w:szCs w:val="24"/>
          <w:highlight w:val="none"/>
        </w:rPr>
        <w:t>在以上幅度Ⅰ、幅度Ⅱ处以最低安全速度将对应的吊重吊离地面100</w:t>
      </w:r>
      <w:r>
        <w:rPr>
          <w:rFonts w:hint="eastAsia" w:ascii="宋体" w:hAnsi="宋体" w:cs="宋体"/>
          <w:color w:val="000000"/>
          <w:sz w:val="24"/>
          <w:szCs w:val="24"/>
          <w:highlight w:val="none"/>
          <w:lang w:val="en-US" w:eastAsia="zh-CN"/>
        </w:rPr>
        <w:t>~</w:t>
      </w:r>
      <w:r>
        <w:rPr>
          <w:rFonts w:hint="eastAsia" w:ascii="宋体" w:hAnsi="宋体" w:cs="宋体"/>
          <w:color w:val="000000"/>
          <w:sz w:val="24"/>
          <w:szCs w:val="24"/>
          <w:highlight w:val="none"/>
        </w:rPr>
        <w:t>200mm处，并在吊钩上逐次增加重量至5倍，停留10min，卸载后检查金属结构及焊缝是否出现可见裂纹，永久变形、连接松动。（注意：静态超载实验不允许进行变幅及回转）</w:t>
      </w:r>
    </w:p>
    <w:p w14:paraId="1CD3912D">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ascii="宋体" w:hAnsi="宋体" w:cs="宋体"/>
          <w:color w:val="000000"/>
          <w:sz w:val="24"/>
          <w:szCs w:val="24"/>
          <w:highlight w:val="none"/>
        </w:rPr>
      </w:pPr>
      <w:r>
        <w:rPr>
          <w:rFonts w:hint="eastAsia" w:ascii="宋体" w:hAnsi="宋体" w:cs="宋体"/>
          <w:color w:val="000000"/>
          <w:sz w:val="24"/>
          <w:szCs w:val="24"/>
          <w:highlight w:val="none"/>
          <w:lang w:val="en-US" w:eastAsia="zh-CN"/>
        </w:rPr>
        <w:t>（2）</w:t>
      </w:r>
      <w:r>
        <w:rPr>
          <w:rFonts w:hint="eastAsia" w:ascii="宋体" w:hAnsi="宋体" w:cs="宋体"/>
          <w:color w:val="000000"/>
          <w:sz w:val="24"/>
          <w:szCs w:val="24"/>
          <w:highlight w:val="none"/>
        </w:rPr>
        <w:t>超载10%动态实验（四倍率）</w:t>
      </w:r>
    </w:p>
    <w:p w14:paraId="06D396BD">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对各机构对应的全程范围内进行3次动作，各机构应动作灵活，制动器动作可靠。机构及结构各部件无异常现象，连接无松动和破坏。</w:t>
      </w:r>
    </w:p>
    <w:p w14:paraId="1BF64817">
      <w:pPr>
        <w:pStyle w:val="15"/>
      </w:pPr>
      <w:r>
        <w:t xml:space="preserve">表 </w:t>
      </w:r>
      <w:r>
        <w:fldChar w:fldCharType="begin"/>
      </w:r>
      <w:r>
        <w:instrText xml:space="preserve"> STYLEREF 3 \s </w:instrText>
      </w:r>
      <w:r>
        <w:fldChar w:fldCharType="separate"/>
      </w:r>
      <w:r>
        <w:t>4.5.4</w:t>
      </w:r>
      <w:r>
        <w:fldChar w:fldCharType="end"/>
      </w:r>
      <w:r>
        <w:rPr>
          <w:rFonts w:hint="eastAsia"/>
          <w:lang w:eastAsia="zh-CN"/>
        </w:rPr>
        <w:t>-</w:t>
      </w:r>
      <w:r>
        <w:fldChar w:fldCharType="begin"/>
      </w:r>
      <w:r>
        <w:instrText xml:space="preserve"> SEQ 表 \* ARABIC \s 3 </w:instrText>
      </w:r>
      <w:r>
        <w:fldChar w:fldCharType="separate"/>
      </w:r>
      <w:r>
        <w:t>2</w:t>
      </w:r>
      <w:r>
        <w:fldChar w:fldCharType="end"/>
      </w:r>
      <w:r>
        <w:rPr>
          <w:rFonts w:hint="eastAsia"/>
          <w:lang w:val="en-US" w:eastAsia="zh-CN"/>
        </w:rPr>
        <w:t xml:space="preserve"> </w:t>
      </w:r>
      <w:r>
        <w:rPr>
          <w:rFonts w:hint="eastAsia" w:ascii="Times New Roman" w:hAnsi="Times New Roman" w:cs="Times New Roman"/>
          <w:highlight w:val="none"/>
          <w:lang w:val="en-US" w:eastAsia="zh-CN"/>
        </w:rPr>
        <w:t>动态试验</w:t>
      </w:r>
      <w:r>
        <w:rPr>
          <w:rFonts w:hint="eastAsia"/>
          <w:highlight w:val="none"/>
          <w:lang w:val="en-US" w:eastAsia="zh-CN"/>
        </w:rPr>
        <w:t>荷载表</w:t>
      </w:r>
    </w:p>
    <w:tbl>
      <w:tblPr>
        <w:tblStyle w:val="30"/>
        <w:tblW w:w="8438"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928"/>
        <w:gridCol w:w="1641"/>
        <w:gridCol w:w="1684"/>
        <w:gridCol w:w="1511"/>
        <w:gridCol w:w="1674"/>
      </w:tblGrid>
      <w:tr w14:paraId="4B9FB43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37" w:hRule="atLeast"/>
          <w:jc w:val="center"/>
        </w:trPr>
        <w:tc>
          <w:tcPr>
            <w:tcW w:w="1928" w:type="dxa"/>
            <w:tcBorders>
              <w:tl2br w:val="nil"/>
              <w:tr2bl w:val="nil"/>
            </w:tcBorders>
            <w:shd w:val="clear" w:color="auto" w:fill="DAE3F3" w:themeFill="accent5" w:themeFillTint="32"/>
            <w:noWrap w:val="0"/>
            <w:vAlign w:val="top"/>
            <mc:AlternateContent>
              <mc:Choice Requires="wpsCustomData">
                <wpsCustomData:diagonals>
                  <wpsCustomData:diagonal from="30000" to="10000">
                    <wpsCustomData:border w:val="single" w:color="2F5496" w:themeColor="accent5" w:themeShade="BF" w:sz="4" w:space="0"/>
                  </wpsCustomData:diagonal>
                </wpsCustomData:diagonals>
              </mc:Choice>
            </mc:AlternateContent>
          </w:tcPr>
          <w:p w14:paraId="2DBDFB18">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p>
          <w:p w14:paraId="350A3DF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臂长</w:t>
            </w:r>
          </w:p>
        </w:tc>
        <w:tc>
          <w:tcPr>
            <w:tcW w:w="1641" w:type="dxa"/>
            <w:tcBorders>
              <w:tl2br w:val="nil"/>
              <w:tr2bl w:val="nil"/>
            </w:tcBorders>
            <w:shd w:val="clear" w:color="auto" w:fill="DAE3F3" w:themeFill="accent5" w:themeFillTint="32"/>
            <w:noWrap w:val="0"/>
            <w:vAlign w:val="center"/>
          </w:tcPr>
          <w:p w14:paraId="4C3F8F2C">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幅度Ⅰ</w:t>
            </w:r>
          </w:p>
        </w:tc>
        <w:tc>
          <w:tcPr>
            <w:tcW w:w="1684" w:type="dxa"/>
            <w:tcBorders>
              <w:tl2br w:val="nil"/>
              <w:tr2bl w:val="nil"/>
            </w:tcBorders>
            <w:shd w:val="clear" w:color="auto" w:fill="DAE3F3" w:themeFill="accent5" w:themeFillTint="32"/>
            <w:noWrap w:val="0"/>
            <w:vAlign w:val="center"/>
          </w:tcPr>
          <w:p w14:paraId="0AAC108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吊重Ⅰ</w:t>
            </w:r>
          </w:p>
        </w:tc>
        <w:tc>
          <w:tcPr>
            <w:tcW w:w="1511" w:type="dxa"/>
            <w:tcBorders>
              <w:tl2br w:val="nil"/>
              <w:tr2bl w:val="nil"/>
            </w:tcBorders>
            <w:shd w:val="clear" w:color="auto" w:fill="DAE3F3" w:themeFill="accent5" w:themeFillTint="32"/>
            <w:noWrap w:val="0"/>
            <w:vAlign w:val="center"/>
          </w:tcPr>
          <w:p w14:paraId="462D3D4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幅度Ⅱ</w:t>
            </w:r>
          </w:p>
        </w:tc>
        <w:tc>
          <w:tcPr>
            <w:tcW w:w="1674" w:type="dxa"/>
            <w:tcBorders>
              <w:tl2br w:val="nil"/>
              <w:tr2bl w:val="nil"/>
            </w:tcBorders>
            <w:shd w:val="clear" w:color="auto" w:fill="DAE3F3" w:themeFill="accent5" w:themeFillTint="32"/>
            <w:noWrap w:val="0"/>
            <w:vAlign w:val="center"/>
          </w:tcPr>
          <w:p w14:paraId="5FA517C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吊重Ⅱ</w:t>
            </w:r>
          </w:p>
        </w:tc>
      </w:tr>
      <w:tr w14:paraId="66CB06C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928" w:type="dxa"/>
            <w:tcBorders>
              <w:tl2br w:val="nil"/>
              <w:tr2bl w:val="nil"/>
            </w:tcBorders>
            <w:noWrap w:val="0"/>
            <w:vAlign w:val="center"/>
          </w:tcPr>
          <w:p w14:paraId="1868505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420" w:firstLineChars="20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40m</w:t>
            </w:r>
          </w:p>
        </w:tc>
        <w:tc>
          <w:tcPr>
            <w:tcW w:w="1641" w:type="dxa"/>
            <w:tcBorders>
              <w:tl2br w:val="nil"/>
              <w:tr2bl w:val="nil"/>
            </w:tcBorders>
            <w:noWrap w:val="0"/>
            <w:vAlign w:val="center"/>
          </w:tcPr>
          <w:p w14:paraId="7A12E4FA">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28.2</w:t>
            </w:r>
            <w:r>
              <w:rPr>
                <w:rFonts w:hint="eastAsia" w:ascii="宋体" w:hAnsi="宋体" w:eastAsia="宋体" w:cs="宋体"/>
                <w:color w:val="000000"/>
                <w:sz w:val="21"/>
                <w:szCs w:val="21"/>
                <w:highlight w:val="none"/>
              </w:rPr>
              <w:t>m</w:t>
            </w:r>
          </w:p>
        </w:tc>
        <w:tc>
          <w:tcPr>
            <w:tcW w:w="1684" w:type="dxa"/>
            <w:tcBorders>
              <w:tl2br w:val="nil"/>
              <w:tr2bl w:val="nil"/>
            </w:tcBorders>
            <w:noWrap w:val="0"/>
            <w:vAlign w:val="center"/>
          </w:tcPr>
          <w:p w14:paraId="6B8FE138">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11</w:t>
            </w:r>
            <w:r>
              <w:rPr>
                <w:rFonts w:hint="eastAsia" w:ascii="宋体" w:hAnsi="宋体" w:eastAsia="宋体" w:cs="宋体"/>
                <w:color w:val="000000"/>
                <w:sz w:val="21"/>
                <w:szCs w:val="21"/>
                <w:highlight w:val="none"/>
              </w:rPr>
              <w:t>t</w:t>
            </w:r>
          </w:p>
        </w:tc>
        <w:tc>
          <w:tcPr>
            <w:tcW w:w="1511" w:type="dxa"/>
            <w:tcBorders>
              <w:tl2br w:val="nil"/>
              <w:tr2bl w:val="nil"/>
            </w:tcBorders>
            <w:noWrap w:val="0"/>
            <w:vAlign w:val="center"/>
          </w:tcPr>
          <w:p w14:paraId="4F38572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40m</w:t>
            </w:r>
          </w:p>
        </w:tc>
        <w:tc>
          <w:tcPr>
            <w:tcW w:w="1674" w:type="dxa"/>
            <w:tcBorders>
              <w:tl2br w:val="nil"/>
              <w:tr2bl w:val="nil"/>
            </w:tcBorders>
            <w:noWrap w:val="0"/>
            <w:vAlign w:val="center"/>
          </w:tcPr>
          <w:p w14:paraId="52E23FC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7.15</w:t>
            </w:r>
            <w:r>
              <w:rPr>
                <w:rFonts w:hint="eastAsia" w:ascii="宋体" w:hAnsi="宋体" w:eastAsia="宋体" w:cs="宋体"/>
                <w:color w:val="000000"/>
                <w:sz w:val="21"/>
                <w:szCs w:val="21"/>
                <w:highlight w:val="none"/>
              </w:rPr>
              <w:t>t</w:t>
            </w:r>
          </w:p>
        </w:tc>
      </w:tr>
    </w:tbl>
    <w:p w14:paraId="3BD3AC3C">
      <w:pPr>
        <w:pStyle w:val="29"/>
        <w:rPr>
          <w:rFonts w:hint="eastAsia" w:ascii="宋体" w:hAnsi="宋体" w:cs="宋体"/>
          <w:color w:val="000000"/>
          <w:sz w:val="24"/>
          <w:szCs w:val="24"/>
          <w:highlight w:val="none"/>
        </w:rPr>
      </w:pPr>
    </w:p>
    <w:p w14:paraId="54FF7B18">
      <w:pPr>
        <w:pStyle w:val="15"/>
        <w:bidi w:val="0"/>
        <w:rPr>
          <w:highlight w:val="none"/>
        </w:rPr>
      </w:pPr>
      <w:bookmarkStart w:id="205" w:name="_Hlk34310105"/>
      <w:r>
        <w:t xml:space="preserve">表 </w:t>
      </w:r>
      <w:r>
        <w:fldChar w:fldCharType="begin"/>
      </w:r>
      <w:r>
        <w:instrText xml:space="preserve"> STYLEREF 3 \s </w:instrText>
      </w:r>
      <w:r>
        <w:fldChar w:fldCharType="separate"/>
      </w:r>
      <w:r>
        <w:t>4.5.4</w:t>
      </w:r>
      <w:r>
        <w:fldChar w:fldCharType="end"/>
      </w:r>
      <w:r>
        <w:rPr>
          <w:rFonts w:hint="eastAsia"/>
          <w:lang w:eastAsia="zh-CN"/>
        </w:rPr>
        <w:t>-</w:t>
      </w:r>
      <w:r>
        <w:fldChar w:fldCharType="begin"/>
      </w:r>
      <w:r>
        <w:instrText xml:space="preserve"> SEQ 表 \* ARABIC \s 3 </w:instrText>
      </w:r>
      <w:r>
        <w:fldChar w:fldCharType="separate"/>
      </w:r>
      <w:r>
        <w:t>3</w:t>
      </w:r>
      <w:r>
        <w:fldChar w:fldCharType="end"/>
      </w:r>
      <w:r>
        <w:rPr>
          <w:rFonts w:hint="eastAsia"/>
          <w:lang w:val="en-US" w:eastAsia="zh-CN"/>
        </w:rPr>
        <w:t xml:space="preserve"> </w:t>
      </w:r>
      <w:r>
        <w:rPr>
          <w:rFonts w:hint="eastAsia"/>
          <w:highlight w:val="none"/>
        </w:rPr>
        <w:t>塔式起重机检查表</w:t>
      </w:r>
    </w:p>
    <w:tbl>
      <w:tblPr>
        <w:tblStyle w:val="30"/>
        <w:tblpPr w:leftFromText="180" w:rightFromText="180" w:vertAnchor="text" w:tblpXSpec="center" w:tblpY="1"/>
        <w:tblOverlap w:val="never"/>
        <w:tblW w:w="10136" w:type="dxa"/>
        <w:tblInd w:w="0"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51"/>
        <w:gridCol w:w="723"/>
        <w:gridCol w:w="418"/>
        <w:gridCol w:w="1586"/>
        <w:gridCol w:w="2142"/>
        <w:gridCol w:w="1237"/>
        <w:gridCol w:w="722"/>
        <w:gridCol w:w="1418"/>
        <w:gridCol w:w="1239"/>
      </w:tblGrid>
      <w:tr w14:paraId="7AA9693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2D1C0D8B">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工程名称</w:t>
            </w:r>
          </w:p>
        </w:tc>
        <w:tc>
          <w:tcPr>
            <w:tcW w:w="8344" w:type="dxa"/>
            <w:gridSpan w:val="6"/>
            <w:tcBorders>
              <w:tl2br w:val="nil"/>
              <w:tr2bl w:val="nil"/>
            </w:tcBorders>
            <w:vAlign w:val="center"/>
          </w:tcPr>
          <w:p w14:paraId="4ADF7009">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47B8D1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3FC1FDD3">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总包单位</w:t>
            </w:r>
          </w:p>
        </w:tc>
        <w:tc>
          <w:tcPr>
            <w:tcW w:w="5687" w:type="dxa"/>
            <w:gridSpan w:val="4"/>
            <w:tcBorders>
              <w:tl2br w:val="nil"/>
              <w:tr2bl w:val="nil"/>
            </w:tcBorders>
            <w:vAlign w:val="center"/>
          </w:tcPr>
          <w:p w14:paraId="5937231C">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740379C8">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w:t>
            </w:r>
          </w:p>
        </w:tc>
        <w:tc>
          <w:tcPr>
            <w:tcW w:w="1239" w:type="dxa"/>
            <w:tcBorders>
              <w:tl2br w:val="nil"/>
              <w:tr2bl w:val="nil"/>
            </w:tcBorders>
            <w:vAlign w:val="center"/>
          </w:tcPr>
          <w:p w14:paraId="33577C73">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0D6A38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74B6D69C">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使用单位</w:t>
            </w:r>
          </w:p>
        </w:tc>
        <w:tc>
          <w:tcPr>
            <w:tcW w:w="5687" w:type="dxa"/>
            <w:gridSpan w:val="4"/>
            <w:tcBorders>
              <w:tl2br w:val="nil"/>
              <w:tr2bl w:val="nil"/>
            </w:tcBorders>
            <w:vAlign w:val="center"/>
          </w:tcPr>
          <w:p w14:paraId="63C70763">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13CB3975">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使用负责人</w:t>
            </w:r>
          </w:p>
        </w:tc>
        <w:tc>
          <w:tcPr>
            <w:tcW w:w="1239" w:type="dxa"/>
            <w:tcBorders>
              <w:tl2br w:val="nil"/>
              <w:tr2bl w:val="nil"/>
            </w:tcBorders>
            <w:vAlign w:val="center"/>
          </w:tcPr>
          <w:p w14:paraId="78CF13ED">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696BD4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02EA2CBC">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安装单位</w:t>
            </w:r>
          </w:p>
        </w:tc>
        <w:tc>
          <w:tcPr>
            <w:tcW w:w="5687" w:type="dxa"/>
            <w:gridSpan w:val="4"/>
            <w:tcBorders>
              <w:tl2br w:val="nil"/>
              <w:tr2bl w:val="nil"/>
            </w:tcBorders>
            <w:vAlign w:val="center"/>
          </w:tcPr>
          <w:p w14:paraId="3270D390">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532629EA">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安装负责人</w:t>
            </w:r>
          </w:p>
        </w:tc>
        <w:tc>
          <w:tcPr>
            <w:tcW w:w="1239" w:type="dxa"/>
            <w:tcBorders>
              <w:tl2br w:val="nil"/>
              <w:tr2bl w:val="nil"/>
            </w:tcBorders>
            <w:vAlign w:val="center"/>
          </w:tcPr>
          <w:p w14:paraId="348EAE12">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43CC948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56B583EE">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检测单位</w:t>
            </w:r>
          </w:p>
        </w:tc>
        <w:tc>
          <w:tcPr>
            <w:tcW w:w="5687" w:type="dxa"/>
            <w:gridSpan w:val="4"/>
            <w:tcBorders>
              <w:tl2br w:val="nil"/>
              <w:tr2bl w:val="nil"/>
            </w:tcBorders>
            <w:vAlign w:val="center"/>
          </w:tcPr>
          <w:p w14:paraId="595E005D">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50B15E78">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资质证号</w:t>
            </w:r>
          </w:p>
        </w:tc>
        <w:tc>
          <w:tcPr>
            <w:tcW w:w="1239" w:type="dxa"/>
            <w:tcBorders>
              <w:tl2br w:val="nil"/>
              <w:tr2bl w:val="nil"/>
            </w:tcBorders>
            <w:vAlign w:val="center"/>
          </w:tcPr>
          <w:p w14:paraId="3F20082C">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50654A6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77227A39">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设备名称</w:t>
            </w:r>
          </w:p>
        </w:tc>
        <w:tc>
          <w:tcPr>
            <w:tcW w:w="3728" w:type="dxa"/>
            <w:gridSpan w:val="2"/>
            <w:tcBorders>
              <w:tl2br w:val="nil"/>
              <w:tr2bl w:val="nil"/>
            </w:tcBorders>
            <w:vAlign w:val="center"/>
          </w:tcPr>
          <w:p w14:paraId="6ECA5768">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959" w:type="dxa"/>
            <w:gridSpan w:val="2"/>
            <w:tcBorders>
              <w:tl2br w:val="nil"/>
              <w:tr2bl w:val="nil"/>
            </w:tcBorders>
            <w:vAlign w:val="center"/>
          </w:tcPr>
          <w:p w14:paraId="25140240">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规格型号</w:t>
            </w:r>
          </w:p>
        </w:tc>
        <w:tc>
          <w:tcPr>
            <w:tcW w:w="2657" w:type="dxa"/>
            <w:gridSpan w:val="2"/>
            <w:tcBorders>
              <w:tl2br w:val="nil"/>
              <w:tr2bl w:val="nil"/>
            </w:tcBorders>
            <w:vAlign w:val="center"/>
          </w:tcPr>
          <w:p w14:paraId="1F8738B4">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74E2458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45333F53">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使用地点</w:t>
            </w:r>
          </w:p>
        </w:tc>
        <w:tc>
          <w:tcPr>
            <w:tcW w:w="3728" w:type="dxa"/>
            <w:gridSpan w:val="2"/>
            <w:tcBorders>
              <w:tl2br w:val="nil"/>
              <w:tr2bl w:val="nil"/>
            </w:tcBorders>
            <w:vAlign w:val="center"/>
          </w:tcPr>
          <w:p w14:paraId="33F1D18F">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959" w:type="dxa"/>
            <w:gridSpan w:val="2"/>
            <w:tcBorders>
              <w:tl2br w:val="nil"/>
              <w:tr2bl w:val="nil"/>
            </w:tcBorders>
            <w:vAlign w:val="center"/>
          </w:tcPr>
          <w:p w14:paraId="09F589B5">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安装日期</w:t>
            </w:r>
          </w:p>
        </w:tc>
        <w:tc>
          <w:tcPr>
            <w:tcW w:w="2657" w:type="dxa"/>
            <w:gridSpan w:val="2"/>
            <w:tcBorders>
              <w:tl2br w:val="nil"/>
              <w:tr2bl w:val="nil"/>
            </w:tcBorders>
            <w:vAlign w:val="center"/>
          </w:tcPr>
          <w:p w14:paraId="10777546">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6F3325C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D817621">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序号</w:t>
            </w:r>
          </w:p>
        </w:tc>
        <w:tc>
          <w:tcPr>
            <w:tcW w:w="723" w:type="dxa"/>
            <w:tcBorders>
              <w:tl2br w:val="nil"/>
              <w:tr2bl w:val="nil"/>
            </w:tcBorders>
            <w:vAlign w:val="center"/>
          </w:tcPr>
          <w:p w14:paraId="0381D7FF">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w:t>
            </w:r>
          </w:p>
          <w:p w14:paraId="4D1EE1DA">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项目</w:t>
            </w:r>
          </w:p>
        </w:tc>
        <w:tc>
          <w:tcPr>
            <w:tcW w:w="6105" w:type="dxa"/>
            <w:gridSpan w:val="5"/>
            <w:tcBorders>
              <w:tl2br w:val="nil"/>
              <w:tr2bl w:val="nil"/>
            </w:tcBorders>
            <w:vAlign w:val="center"/>
          </w:tcPr>
          <w:p w14:paraId="69716014">
            <w:pPr>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检查内容及要求</w:t>
            </w:r>
          </w:p>
        </w:tc>
        <w:tc>
          <w:tcPr>
            <w:tcW w:w="2657" w:type="dxa"/>
            <w:gridSpan w:val="2"/>
            <w:tcBorders>
              <w:tl2br w:val="nil"/>
              <w:tr2bl w:val="nil"/>
            </w:tcBorders>
            <w:vAlign w:val="center"/>
          </w:tcPr>
          <w:p w14:paraId="4ED03A98">
            <w:pPr>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检查结果</w:t>
            </w:r>
          </w:p>
        </w:tc>
      </w:tr>
      <w:tr w14:paraId="3513091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8E7664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723" w:type="dxa"/>
            <w:vMerge w:val="restart"/>
            <w:tcBorders>
              <w:tl2br w:val="nil"/>
              <w:tr2bl w:val="nil"/>
            </w:tcBorders>
            <w:vAlign w:val="center"/>
          </w:tcPr>
          <w:p w14:paraId="5C54D565">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管</w:t>
            </w:r>
          </w:p>
          <w:p w14:paraId="00DD1BA0">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理</w:t>
            </w:r>
          </w:p>
          <w:p w14:paraId="136F2C51">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与</w:t>
            </w:r>
          </w:p>
          <w:p w14:paraId="0D2F8148">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资</w:t>
            </w:r>
          </w:p>
          <w:p w14:paraId="3921CBA5">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料</w:t>
            </w:r>
          </w:p>
        </w:tc>
        <w:tc>
          <w:tcPr>
            <w:tcW w:w="6105" w:type="dxa"/>
            <w:gridSpan w:val="5"/>
            <w:tcBorders>
              <w:tl2br w:val="nil"/>
              <w:tr2bl w:val="nil"/>
            </w:tcBorders>
            <w:vAlign w:val="center"/>
          </w:tcPr>
          <w:p w14:paraId="6EFEAD9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生产单位、安装单位的资质</w:t>
            </w:r>
          </w:p>
        </w:tc>
        <w:tc>
          <w:tcPr>
            <w:tcW w:w="2657" w:type="dxa"/>
            <w:gridSpan w:val="2"/>
            <w:tcBorders>
              <w:tl2br w:val="nil"/>
              <w:tr2bl w:val="nil"/>
            </w:tcBorders>
            <w:vAlign w:val="center"/>
          </w:tcPr>
          <w:p w14:paraId="62C412F0">
            <w:pPr>
              <w:spacing w:line="240" w:lineRule="exact"/>
              <w:ind w:firstLine="0" w:firstLineChars="0"/>
              <w:jc w:val="center"/>
              <w:rPr>
                <w:rFonts w:hint="eastAsia" w:ascii="仿宋" w:hAnsi="仿宋" w:eastAsia="仿宋" w:cs="仿宋"/>
                <w:color w:val="000000"/>
                <w:sz w:val="21"/>
                <w:szCs w:val="21"/>
                <w:highlight w:val="none"/>
              </w:rPr>
            </w:pPr>
          </w:p>
        </w:tc>
      </w:tr>
      <w:tr w14:paraId="1514AF8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A9F265A">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w:t>
            </w:r>
          </w:p>
        </w:tc>
        <w:tc>
          <w:tcPr>
            <w:tcW w:w="723" w:type="dxa"/>
            <w:vMerge w:val="continue"/>
            <w:tcBorders>
              <w:tl2br w:val="nil"/>
              <w:tr2bl w:val="nil"/>
            </w:tcBorders>
            <w:vAlign w:val="center"/>
          </w:tcPr>
          <w:p w14:paraId="623A8C52">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9EEECD0">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经签认的设备进场/复工验收记录</w:t>
            </w:r>
          </w:p>
        </w:tc>
        <w:tc>
          <w:tcPr>
            <w:tcW w:w="2657" w:type="dxa"/>
            <w:gridSpan w:val="2"/>
            <w:tcBorders>
              <w:tl2br w:val="nil"/>
              <w:tr2bl w:val="nil"/>
            </w:tcBorders>
            <w:vAlign w:val="center"/>
          </w:tcPr>
          <w:p w14:paraId="6C98B5A5">
            <w:pPr>
              <w:spacing w:line="240" w:lineRule="exact"/>
              <w:ind w:firstLine="0" w:firstLineChars="0"/>
              <w:jc w:val="center"/>
              <w:rPr>
                <w:rFonts w:hint="eastAsia" w:ascii="仿宋" w:hAnsi="仿宋" w:eastAsia="仿宋" w:cs="仿宋"/>
                <w:color w:val="000000"/>
                <w:sz w:val="21"/>
                <w:szCs w:val="21"/>
                <w:highlight w:val="none"/>
              </w:rPr>
            </w:pPr>
          </w:p>
        </w:tc>
      </w:tr>
      <w:tr w14:paraId="1D8240D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3DFC7D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w:t>
            </w:r>
          </w:p>
        </w:tc>
        <w:tc>
          <w:tcPr>
            <w:tcW w:w="723" w:type="dxa"/>
            <w:vMerge w:val="continue"/>
            <w:tcBorders>
              <w:tl2br w:val="nil"/>
              <w:tr2bl w:val="nil"/>
            </w:tcBorders>
            <w:vAlign w:val="center"/>
          </w:tcPr>
          <w:p w14:paraId="3980932C">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6BC10C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基础的的检测和验收记录</w:t>
            </w:r>
          </w:p>
        </w:tc>
        <w:tc>
          <w:tcPr>
            <w:tcW w:w="2657" w:type="dxa"/>
            <w:gridSpan w:val="2"/>
            <w:tcBorders>
              <w:tl2br w:val="nil"/>
              <w:tr2bl w:val="nil"/>
            </w:tcBorders>
            <w:vAlign w:val="center"/>
          </w:tcPr>
          <w:p w14:paraId="5BB2BE98">
            <w:pPr>
              <w:spacing w:line="240" w:lineRule="exact"/>
              <w:ind w:firstLine="0" w:firstLineChars="0"/>
              <w:jc w:val="center"/>
              <w:rPr>
                <w:rFonts w:hint="eastAsia" w:ascii="仿宋" w:hAnsi="仿宋" w:eastAsia="仿宋" w:cs="仿宋"/>
                <w:color w:val="000000"/>
                <w:sz w:val="21"/>
                <w:szCs w:val="21"/>
                <w:highlight w:val="none"/>
              </w:rPr>
            </w:pPr>
          </w:p>
        </w:tc>
      </w:tr>
      <w:tr w14:paraId="65A6D2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2741C9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w:t>
            </w:r>
          </w:p>
        </w:tc>
        <w:tc>
          <w:tcPr>
            <w:tcW w:w="723" w:type="dxa"/>
            <w:vMerge w:val="continue"/>
            <w:tcBorders>
              <w:tl2br w:val="nil"/>
              <w:tr2bl w:val="nil"/>
            </w:tcBorders>
            <w:vAlign w:val="center"/>
          </w:tcPr>
          <w:p w14:paraId="48D6E631">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EFED8EC">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外租或协作单位塔式起重机，出厂年限不得超过5年；自有塔式起重机按照公司相关要求进行管理和使用。</w:t>
            </w:r>
          </w:p>
        </w:tc>
        <w:tc>
          <w:tcPr>
            <w:tcW w:w="2657" w:type="dxa"/>
            <w:gridSpan w:val="2"/>
            <w:tcBorders>
              <w:tl2br w:val="nil"/>
              <w:tr2bl w:val="nil"/>
            </w:tcBorders>
            <w:vAlign w:val="center"/>
          </w:tcPr>
          <w:p w14:paraId="01C8B2C7">
            <w:pPr>
              <w:spacing w:line="240" w:lineRule="exact"/>
              <w:ind w:firstLine="0" w:firstLineChars="0"/>
              <w:jc w:val="center"/>
              <w:rPr>
                <w:rFonts w:hint="eastAsia" w:ascii="仿宋" w:hAnsi="仿宋" w:eastAsia="仿宋" w:cs="仿宋"/>
                <w:color w:val="000000"/>
                <w:sz w:val="21"/>
                <w:szCs w:val="21"/>
                <w:highlight w:val="none"/>
              </w:rPr>
            </w:pPr>
          </w:p>
        </w:tc>
      </w:tr>
      <w:tr w14:paraId="4C73C69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C29CD0C">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w:t>
            </w:r>
          </w:p>
        </w:tc>
        <w:tc>
          <w:tcPr>
            <w:tcW w:w="723" w:type="dxa"/>
            <w:vMerge w:val="continue"/>
            <w:tcBorders>
              <w:tl2br w:val="nil"/>
              <w:tr2bl w:val="nil"/>
            </w:tcBorders>
            <w:vAlign w:val="center"/>
          </w:tcPr>
          <w:p w14:paraId="55A7FB7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657421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维修保养制度/措施、计划；日常维护保养记录</w:t>
            </w:r>
          </w:p>
        </w:tc>
        <w:tc>
          <w:tcPr>
            <w:tcW w:w="2657" w:type="dxa"/>
            <w:gridSpan w:val="2"/>
            <w:tcBorders>
              <w:tl2br w:val="nil"/>
              <w:tr2bl w:val="nil"/>
            </w:tcBorders>
            <w:vAlign w:val="center"/>
          </w:tcPr>
          <w:p w14:paraId="76BABAC1">
            <w:pPr>
              <w:spacing w:line="240" w:lineRule="exact"/>
              <w:ind w:firstLine="0" w:firstLineChars="0"/>
              <w:jc w:val="center"/>
              <w:rPr>
                <w:rFonts w:hint="eastAsia" w:ascii="仿宋" w:hAnsi="仿宋" w:eastAsia="仿宋" w:cs="仿宋"/>
                <w:color w:val="000000"/>
                <w:sz w:val="21"/>
                <w:szCs w:val="21"/>
                <w:highlight w:val="none"/>
              </w:rPr>
            </w:pPr>
          </w:p>
        </w:tc>
      </w:tr>
      <w:tr w14:paraId="2D8922E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4122F6B">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w:t>
            </w:r>
          </w:p>
        </w:tc>
        <w:tc>
          <w:tcPr>
            <w:tcW w:w="723" w:type="dxa"/>
            <w:vMerge w:val="continue"/>
            <w:tcBorders>
              <w:tl2br w:val="nil"/>
              <w:tr2bl w:val="nil"/>
            </w:tcBorders>
            <w:vAlign w:val="center"/>
          </w:tcPr>
          <w:p w14:paraId="61677A6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2ABDC66">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特种设备检查制度；日常检查记录</w:t>
            </w:r>
          </w:p>
        </w:tc>
        <w:tc>
          <w:tcPr>
            <w:tcW w:w="2657" w:type="dxa"/>
            <w:gridSpan w:val="2"/>
            <w:tcBorders>
              <w:tl2br w:val="nil"/>
              <w:tr2bl w:val="nil"/>
            </w:tcBorders>
            <w:vAlign w:val="center"/>
          </w:tcPr>
          <w:p w14:paraId="472BFF7F">
            <w:pPr>
              <w:spacing w:line="240" w:lineRule="exact"/>
              <w:ind w:firstLine="0" w:firstLineChars="0"/>
              <w:jc w:val="center"/>
              <w:rPr>
                <w:rFonts w:hint="eastAsia" w:ascii="仿宋" w:hAnsi="仿宋" w:eastAsia="仿宋" w:cs="仿宋"/>
                <w:color w:val="000000"/>
                <w:sz w:val="21"/>
                <w:szCs w:val="21"/>
                <w:highlight w:val="none"/>
              </w:rPr>
            </w:pPr>
          </w:p>
        </w:tc>
      </w:tr>
      <w:tr w14:paraId="48C12DF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C53AC2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7</w:t>
            </w:r>
          </w:p>
        </w:tc>
        <w:tc>
          <w:tcPr>
            <w:tcW w:w="723" w:type="dxa"/>
            <w:vMerge w:val="continue"/>
            <w:tcBorders>
              <w:tl2br w:val="nil"/>
              <w:tr2bl w:val="nil"/>
            </w:tcBorders>
            <w:vAlign w:val="center"/>
          </w:tcPr>
          <w:p w14:paraId="652200BC">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6D5775C1">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安全附件、安全保护装置、测量调控装置及有关附属仪器仪表等定期校验、检修记录</w:t>
            </w:r>
          </w:p>
        </w:tc>
        <w:tc>
          <w:tcPr>
            <w:tcW w:w="2657" w:type="dxa"/>
            <w:gridSpan w:val="2"/>
            <w:tcBorders>
              <w:tl2br w:val="nil"/>
              <w:tr2bl w:val="nil"/>
            </w:tcBorders>
            <w:vAlign w:val="center"/>
          </w:tcPr>
          <w:p w14:paraId="3063965A">
            <w:pPr>
              <w:spacing w:line="240" w:lineRule="exact"/>
              <w:ind w:firstLine="0" w:firstLineChars="0"/>
              <w:jc w:val="center"/>
              <w:rPr>
                <w:rFonts w:hint="eastAsia" w:ascii="仿宋" w:hAnsi="仿宋" w:eastAsia="仿宋" w:cs="仿宋"/>
                <w:color w:val="000000"/>
                <w:sz w:val="21"/>
                <w:szCs w:val="21"/>
                <w:highlight w:val="none"/>
              </w:rPr>
            </w:pPr>
          </w:p>
        </w:tc>
      </w:tr>
      <w:tr w14:paraId="526A1F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2429802">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8</w:t>
            </w:r>
          </w:p>
        </w:tc>
        <w:tc>
          <w:tcPr>
            <w:tcW w:w="723" w:type="dxa"/>
            <w:vMerge w:val="continue"/>
            <w:tcBorders>
              <w:tl2br w:val="nil"/>
              <w:tr2bl w:val="nil"/>
            </w:tcBorders>
            <w:vAlign w:val="center"/>
          </w:tcPr>
          <w:p w14:paraId="289BDBF3">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F5DFAC1">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现场操作手持证情况，人员培训教育、风险告知、交底等资料</w:t>
            </w:r>
          </w:p>
        </w:tc>
        <w:tc>
          <w:tcPr>
            <w:tcW w:w="2657" w:type="dxa"/>
            <w:gridSpan w:val="2"/>
            <w:tcBorders>
              <w:tl2br w:val="nil"/>
              <w:tr2bl w:val="nil"/>
            </w:tcBorders>
            <w:vAlign w:val="center"/>
          </w:tcPr>
          <w:p w14:paraId="7A65B1CB">
            <w:pPr>
              <w:spacing w:line="240" w:lineRule="exact"/>
              <w:ind w:firstLine="0" w:firstLineChars="0"/>
              <w:jc w:val="center"/>
              <w:rPr>
                <w:rFonts w:hint="eastAsia" w:ascii="仿宋" w:hAnsi="仿宋" w:eastAsia="仿宋" w:cs="仿宋"/>
                <w:color w:val="000000"/>
                <w:sz w:val="21"/>
                <w:szCs w:val="21"/>
                <w:highlight w:val="none"/>
              </w:rPr>
            </w:pPr>
          </w:p>
        </w:tc>
      </w:tr>
      <w:tr w14:paraId="6D17601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E23C60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9</w:t>
            </w:r>
          </w:p>
        </w:tc>
        <w:tc>
          <w:tcPr>
            <w:tcW w:w="723" w:type="dxa"/>
            <w:vMerge w:val="continue"/>
            <w:tcBorders>
              <w:tl2br w:val="nil"/>
              <w:tr2bl w:val="nil"/>
            </w:tcBorders>
            <w:vAlign w:val="center"/>
          </w:tcPr>
          <w:p w14:paraId="512F1E9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29FF05C7">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使用登记备案证、安全检验合格证、检测报告等</w:t>
            </w:r>
          </w:p>
        </w:tc>
        <w:tc>
          <w:tcPr>
            <w:tcW w:w="2657" w:type="dxa"/>
            <w:gridSpan w:val="2"/>
            <w:tcBorders>
              <w:tl2br w:val="nil"/>
              <w:tr2bl w:val="nil"/>
            </w:tcBorders>
            <w:vAlign w:val="center"/>
          </w:tcPr>
          <w:p w14:paraId="6EAB84CF">
            <w:pPr>
              <w:spacing w:line="240" w:lineRule="exact"/>
              <w:ind w:firstLine="0" w:firstLineChars="0"/>
              <w:jc w:val="center"/>
              <w:rPr>
                <w:rFonts w:hint="eastAsia" w:ascii="仿宋" w:hAnsi="仿宋" w:eastAsia="仿宋" w:cs="仿宋"/>
                <w:color w:val="000000"/>
                <w:sz w:val="21"/>
                <w:szCs w:val="21"/>
                <w:highlight w:val="none"/>
              </w:rPr>
            </w:pPr>
          </w:p>
        </w:tc>
      </w:tr>
      <w:tr w14:paraId="1A91B0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0CE143B">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10</w:t>
            </w:r>
          </w:p>
        </w:tc>
        <w:tc>
          <w:tcPr>
            <w:tcW w:w="723" w:type="dxa"/>
            <w:vMerge w:val="continue"/>
            <w:tcBorders>
              <w:tl2br w:val="nil"/>
              <w:tr2bl w:val="nil"/>
            </w:tcBorders>
            <w:vAlign w:val="center"/>
          </w:tcPr>
          <w:p w14:paraId="369EEA9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8D35432">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有健全的安全管理制度和岗位责任制</w:t>
            </w:r>
          </w:p>
        </w:tc>
        <w:tc>
          <w:tcPr>
            <w:tcW w:w="2657" w:type="dxa"/>
            <w:gridSpan w:val="2"/>
            <w:tcBorders>
              <w:tl2br w:val="nil"/>
              <w:tr2bl w:val="nil"/>
            </w:tcBorders>
            <w:vAlign w:val="center"/>
          </w:tcPr>
          <w:p w14:paraId="7AFC60BC">
            <w:pPr>
              <w:spacing w:line="240" w:lineRule="exact"/>
              <w:ind w:firstLine="0" w:firstLineChars="0"/>
              <w:jc w:val="center"/>
              <w:rPr>
                <w:rFonts w:hint="eastAsia" w:ascii="仿宋" w:hAnsi="仿宋" w:eastAsia="仿宋" w:cs="仿宋"/>
                <w:color w:val="000000"/>
                <w:sz w:val="21"/>
                <w:szCs w:val="21"/>
                <w:highlight w:val="none"/>
              </w:rPr>
            </w:pPr>
          </w:p>
        </w:tc>
      </w:tr>
      <w:tr w14:paraId="4A4F8B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3B28102">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11</w:t>
            </w:r>
          </w:p>
        </w:tc>
        <w:tc>
          <w:tcPr>
            <w:tcW w:w="723" w:type="dxa"/>
            <w:vMerge w:val="continue"/>
            <w:tcBorders>
              <w:tl2br w:val="nil"/>
              <w:tr2bl w:val="nil"/>
            </w:tcBorders>
            <w:vAlign w:val="center"/>
          </w:tcPr>
          <w:p w14:paraId="4DBED75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75C3116">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经审批的安装方案，方案编制单位是否具有相应资质，审批是否齐全</w:t>
            </w:r>
          </w:p>
        </w:tc>
        <w:tc>
          <w:tcPr>
            <w:tcW w:w="2657" w:type="dxa"/>
            <w:gridSpan w:val="2"/>
            <w:tcBorders>
              <w:tl2br w:val="nil"/>
              <w:tr2bl w:val="nil"/>
            </w:tcBorders>
            <w:vAlign w:val="center"/>
          </w:tcPr>
          <w:p w14:paraId="5073DA03">
            <w:pPr>
              <w:spacing w:line="240" w:lineRule="exact"/>
              <w:ind w:firstLine="0" w:firstLineChars="0"/>
              <w:jc w:val="center"/>
              <w:rPr>
                <w:rFonts w:hint="eastAsia" w:ascii="仿宋" w:hAnsi="仿宋" w:eastAsia="仿宋" w:cs="仿宋"/>
                <w:color w:val="000000"/>
                <w:sz w:val="21"/>
                <w:szCs w:val="21"/>
                <w:highlight w:val="none"/>
              </w:rPr>
            </w:pPr>
          </w:p>
        </w:tc>
      </w:tr>
      <w:tr w14:paraId="1C183F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8041AE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12</w:t>
            </w:r>
          </w:p>
        </w:tc>
        <w:tc>
          <w:tcPr>
            <w:tcW w:w="723" w:type="dxa"/>
            <w:vMerge w:val="continue"/>
            <w:tcBorders>
              <w:tl2br w:val="nil"/>
              <w:tr2bl w:val="nil"/>
            </w:tcBorders>
            <w:vAlign w:val="center"/>
          </w:tcPr>
          <w:p w14:paraId="5F6C7B4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D629E5F">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多塔作业的专项施工方案</w:t>
            </w:r>
          </w:p>
        </w:tc>
        <w:tc>
          <w:tcPr>
            <w:tcW w:w="2657" w:type="dxa"/>
            <w:gridSpan w:val="2"/>
            <w:tcBorders>
              <w:tl2br w:val="nil"/>
              <w:tr2bl w:val="nil"/>
            </w:tcBorders>
            <w:vAlign w:val="center"/>
          </w:tcPr>
          <w:p w14:paraId="55BB89B8">
            <w:pPr>
              <w:spacing w:line="240" w:lineRule="exact"/>
              <w:ind w:firstLine="0" w:firstLineChars="0"/>
              <w:jc w:val="center"/>
              <w:rPr>
                <w:rFonts w:hint="eastAsia" w:ascii="仿宋" w:hAnsi="仿宋" w:eastAsia="仿宋" w:cs="仿宋"/>
                <w:color w:val="000000"/>
                <w:sz w:val="21"/>
                <w:szCs w:val="21"/>
                <w:highlight w:val="none"/>
              </w:rPr>
            </w:pPr>
          </w:p>
        </w:tc>
      </w:tr>
      <w:tr w14:paraId="5710A87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74FF443">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13</w:t>
            </w:r>
          </w:p>
        </w:tc>
        <w:tc>
          <w:tcPr>
            <w:tcW w:w="723" w:type="dxa"/>
            <w:tcBorders>
              <w:tl2br w:val="nil"/>
              <w:tr2bl w:val="nil"/>
            </w:tcBorders>
            <w:vAlign w:val="center"/>
          </w:tcPr>
          <w:p w14:paraId="0A199706">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基础</w:t>
            </w:r>
          </w:p>
        </w:tc>
        <w:tc>
          <w:tcPr>
            <w:tcW w:w="6105" w:type="dxa"/>
            <w:gridSpan w:val="5"/>
            <w:tcBorders>
              <w:tl2br w:val="nil"/>
              <w:tr2bl w:val="nil"/>
            </w:tcBorders>
            <w:vAlign w:val="center"/>
          </w:tcPr>
          <w:p w14:paraId="1E97EEC2">
            <w:pPr>
              <w:snapToGrid w:val="0"/>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基础排水通畅，接地牢固可靠</w:t>
            </w:r>
          </w:p>
        </w:tc>
        <w:tc>
          <w:tcPr>
            <w:tcW w:w="2657" w:type="dxa"/>
            <w:gridSpan w:val="2"/>
            <w:tcBorders>
              <w:tl2br w:val="nil"/>
              <w:tr2bl w:val="nil"/>
            </w:tcBorders>
            <w:vAlign w:val="center"/>
          </w:tcPr>
          <w:p w14:paraId="784AD53C">
            <w:pPr>
              <w:spacing w:line="240" w:lineRule="exact"/>
              <w:ind w:firstLine="0" w:firstLineChars="0"/>
              <w:jc w:val="center"/>
              <w:rPr>
                <w:rFonts w:hint="eastAsia" w:ascii="仿宋" w:hAnsi="仿宋" w:eastAsia="仿宋" w:cs="仿宋"/>
                <w:color w:val="000000"/>
                <w:sz w:val="21"/>
                <w:szCs w:val="21"/>
                <w:highlight w:val="none"/>
              </w:rPr>
            </w:pPr>
          </w:p>
        </w:tc>
      </w:tr>
      <w:tr w14:paraId="2C69C8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D51A96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14</w:t>
            </w:r>
          </w:p>
        </w:tc>
        <w:tc>
          <w:tcPr>
            <w:tcW w:w="723" w:type="dxa"/>
            <w:vMerge w:val="restart"/>
            <w:tcBorders>
              <w:tl2br w:val="nil"/>
              <w:tr2bl w:val="nil"/>
            </w:tcBorders>
            <w:vAlign w:val="center"/>
          </w:tcPr>
          <w:p w14:paraId="1FDF931E">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塔身结构</w:t>
            </w:r>
          </w:p>
        </w:tc>
        <w:tc>
          <w:tcPr>
            <w:tcW w:w="6105" w:type="dxa"/>
            <w:gridSpan w:val="5"/>
            <w:tcBorders>
              <w:tl2br w:val="nil"/>
              <w:tr2bl w:val="nil"/>
            </w:tcBorders>
            <w:vAlign w:val="center"/>
          </w:tcPr>
          <w:p w14:paraId="7EC8B1A5">
            <w:pPr>
              <w:snapToGrid w:val="0"/>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钢结构无明显变形、脱焊和开裂</w:t>
            </w:r>
          </w:p>
        </w:tc>
        <w:tc>
          <w:tcPr>
            <w:tcW w:w="2657" w:type="dxa"/>
            <w:gridSpan w:val="2"/>
            <w:tcBorders>
              <w:tl2br w:val="nil"/>
              <w:tr2bl w:val="nil"/>
            </w:tcBorders>
            <w:vAlign w:val="center"/>
          </w:tcPr>
          <w:p w14:paraId="09A28385">
            <w:pPr>
              <w:spacing w:line="240" w:lineRule="exact"/>
              <w:ind w:firstLine="0" w:firstLineChars="0"/>
              <w:jc w:val="center"/>
              <w:rPr>
                <w:rFonts w:hint="eastAsia" w:ascii="仿宋" w:hAnsi="仿宋" w:eastAsia="仿宋" w:cs="仿宋"/>
                <w:color w:val="000000"/>
                <w:sz w:val="21"/>
                <w:szCs w:val="21"/>
                <w:highlight w:val="none"/>
              </w:rPr>
            </w:pPr>
          </w:p>
        </w:tc>
      </w:tr>
      <w:tr w14:paraId="388B7AD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6DC30C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15</w:t>
            </w:r>
          </w:p>
        </w:tc>
        <w:tc>
          <w:tcPr>
            <w:tcW w:w="723" w:type="dxa"/>
            <w:vMerge w:val="continue"/>
            <w:tcBorders>
              <w:tl2br w:val="nil"/>
              <w:tr2bl w:val="nil"/>
            </w:tcBorders>
            <w:vAlign w:val="center"/>
          </w:tcPr>
          <w:p w14:paraId="0CF82B3A">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90AAF6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基础承载力符合说明书要求，混凝土有试压报告，位置合理</w:t>
            </w:r>
          </w:p>
        </w:tc>
        <w:tc>
          <w:tcPr>
            <w:tcW w:w="2657" w:type="dxa"/>
            <w:gridSpan w:val="2"/>
            <w:tcBorders>
              <w:tl2br w:val="nil"/>
              <w:tr2bl w:val="nil"/>
            </w:tcBorders>
            <w:vAlign w:val="center"/>
          </w:tcPr>
          <w:p w14:paraId="243AA184">
            <w:pPr>
              <w:spacing w:line="240" w:lineRule="exact"/>
              <w:ind w:firstLine="0" w:firstLineChars="0"/>
              <w:jc w:val="center"/>
              <w:rPr>
                <w:rFonts w:hint="eastAsia" w:ascii="仿宋" w:hAnsi="仿宋" w:eastAsia="仿宋" w:cs="仿宋"/>
                <w:color w:val="000000"/>
                <w:sz w:val="21"/>
                <w:szCs w:val="21"/>
                <w:highlight w:val="none"/>
              </w:rPr>
            </w:pPr>
          </w:p>
        </w:tc>
      </w:tr>
      <w:tr w14:paraId="67891A0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A73823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16</w:t>
            </w:r>
          </w:p>
        </w:tc>
        <w:tc>
          <w:tcPr>
            <w:tcW w:w="723" w:type="dxa"/>
            <w:vMerge w:val="continue"/>
            <w:tcBorders>
              <w:tl2br w:val="nil"/>
              <w:tr2bl w:val="nil"/>
            </w:tcBorders>
            <w:vAlign w:val="center"/>
          </w:tcPr>
          <w:p w14:paraId="6B199CD4">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BA9BE1F">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螺帽、销轴、高强度螺栓等零部件配置齐全、无松动、缺损、无严重锈蚀</w:t>
            </w:r>
          </w:p>
        </w:tc>
        <w:tc>
          <w:tcPr>
            <w:tcW w:w="2657" w:type="dxa"/>
            <w:gridSpan w:val="2"/>
            <w:tcBorders>
              <w:tl2br w:val="nil"/>
              <w:tr2bl w:val="nil"/>
            </w:tcBorders>
            <w:vAlign w:val="center"/>
          </w:tcPr>
          <w:p w14:paraId="5095DA6B">
            <w:pPr>
              <w:spacing w:line="240" w:lineRule="exact"/>
              <w:ind w:firstLine="0" w:firstLineChars="0"/>
              <w:jc w:val="center"/>
              <w:rPr>
                <w:rFonts w:hint="eastAsia" w:ascii="仿宋" w:hAnsi="仿宋" w:eastAsia="仿宋" w:cs="仿宋"/>
                <w:color w:val="000000"/>
                <w:sz w:val="21"/>
                <w:szCs w:val="21"/>
                <w:highlight w:val="none"/>
              </w:rPr>
            </w:pPr>
          </w:p>
        </w:tc>
      </w:tr>
      <w:tr w14:paraId="00FC485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386F367">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17</w:t>
            </w:r>
          </w:p>
        </w:tc>
        <w:tc>
          <w:tcPr>
            <w:tcW w:w="723" w:type="dxa"/>
            <w:vMerge w:val="continue"/>
            <w:tcBorders>
              <w:tl2br w:val="nil"/>
              <w:tr2bl w:val="nil"/>
            </w:tcBorders>
            <w:vAlign w:val="center"/>
          </w:tcPr>
          <w:p w14:paraId="58318F3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E209F6D">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爬梯设置防护圈和休息平台，杆件无交叉嫁接</w:t>
            </w:r>
          </w:p>
        </w:tc>
        <w:tc>
          <w:tcPr>
            <w:tcW w:w="2657" w:type="dxa"/>
            <w:gridSpan w:val="2"/>
            <w:tcBorders>
              <w:tl2br w:val="nil"/>
              <w:tr2bl w:val="nil"/>
            </w:tcBorders>
            <w:vAlign w:val="center"/>
          </w:tcPr>
          <w:p w14:paraId="3FB0BBA7">
            <w:pPr>
              <w:spacing w:line="240" w:lineRule="exact"/>
              <w:ind w:firstLine="0" w:firstLineChars="0"/>
              <w:jc w:val="center"/>
              <w:rPr>
                <w:rFonts w:hint="eastAsia" w:ascii="仿宋" w:hAnsi="仿宋" w:eastAsia="仿宋" w:cs="仿宋"/>
                <w:color w:val="000000"/>
                <w:sz w:val="21"/>
                <w:szCs w:val="21"/>
                <w:highlight w:val="none"/>
              </w:rPr>
            </w:pPr>
          </w:p>
        </w:tc>
      </w:tr>
      <w:tr w14:paraId="2E0A029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CFFA87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18</w:t>
            </w:r>
          </w:p>
        </w:tc>
        <w:tc>
          <w:tcPr>
            <w:tcW w:w="723" w:type="dxa"/>
            <w:vMerge w:val="continue"/>
            <w:tcBorders>
              <w:tl2br w:val="nil"/>
              <w:tr2bl w:val="nil"/>
            </w:tcBorders>
            <w:vAlign w:val="center"/>
          </w:tcPr>
          <w:p w14:paraId="75C9FD4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B7AB2B9">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框架、附着杆安装正确、牢固，其间距、数量、固定符合说明书要求</w:t>
            </w:r>
          </w:p>
        </w:tc>
        <w:tc>
          <w:tcPr>
            <w:tcW w:w="2657" w:type="dxa"/>
            <w:gridSpan w:val="2"/>
            <w:tcBorders>
              <w:tl2br w:val="nil"/>
              <w:tr2bl w:val="nil"/>
            </w:tcBorders>
            <w:vAlign w:val="center"/>
          </w:tcPr>
          <w:p w14:paraId="306864FF">
            <w:pPr>
              <w:spacing w:line="240" w:lineRule="exact"/>
              <w:ind w:firstLine="0" w:firstLineChars="0"/>
              <w:jc w:val="center"/>
              <w:rPr>
                <w:rFonts w:hint="eastAsia" w:ascii="仿宋" w:hAnsi="仿宋" w:eastAsia="仿宋" w:cs="仿宋"/>
                <w:color w:val="000000"/>
                <w:sz w:val="21"/>
                <w:szCs w:val="21"/>
                <w:highlight w:val="none"/>
              </w:rPr>
            </w:pPr>
          </w:p>
        </w:tc>
      </w:tr>
      <w:tr w14:paraId="4A161B3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3955A6D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19</w:t>
            </w:r>
          </w:p>
        </w:tc>
        <w:tc>
          <w:tcPr>
            <w:tcW w:w="723" w:type="dxa"/>
            <w:vMerge w:val="continue"/>
            <w:tcBorders>
              <w:tl2br w:val="nil"/>
              <w:tr2bl w:val="nil"/>
            </w:tcBorders>
            <w:vAlign w:val="center"/>
          </w:tcPr>
          <w:p w14:paraId="4325647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738019C">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塔身无倾斜，架体垂直度≤3</w:t>
            </w:r>
            <w:r>
              <w:rPr>
                <w:rFonts w:hint="eastAsia" w:ascii="仿宋" w:hAnsi="仿宋" w:eastAsia="仿宋" w:cs="仿宋"/>
                <w:color w:val="333333"/>
                <w:sz w:val="21"/>
                <w:szCs w:val="21"/>
                <w:highlight w:val="none"/>
                <w:shd w:val="clear" w:color="auto" w:fill="FFFFFF"/>
              </w:rPr>
              <w:t>‰。</w:t>
            </w:r>
            <w:r>
              <w:rPr>
                <w:rFonts w:hint="eastAsia" w:ascii="仿宋" w:hAnsi="仿宋" w:eastAsia="仿宋" w:cs="仿宋"/>
                <w:sz w:val="21"/>
                <w:szCs w:val="21"/>
                <w:highlight w:val="none"/>
              </w:rPr>
              <w:t>连墙件安装牢固，混凝土泵管未附在塔身</w:t>
            </w:r>
          </w:p>
        </w:tc>
        <w:tc>
          <w:tcPr>
            <w:tcW w:w="2657" w:type="dxa"/>
            <w:gridSpan w:val="2"/>
            <w:tcBorders>
              <w:tl2br w:val="nil"/>
              <w:tr2bl w:val="nil"/>
            </w:tcBorders>
            <w:vAlign w:val="center"/>
          </w:tcPr>
          <w:p w14:paraId="12DF1EA7">
            <w:pPr>
              <w:spacing w:line="240" w:lineRule="exact"/>
              <w:ind w:firstLine="0" w:firstLineChars="0"/>
              <w:jc w:val="center"/>
              <w:rPr>
                <w:rFonts w:hint="eastAsia" w:ascii="仿宋" w:hAnsi="仿宋" w:eastAsia="仿宋" w:cs="仿宋"/>
                <w:color w:val="000000"/>
                <w:sz w:val="21"/>
                <w:szCs w:val="21"/>
                <w:highlight w:val="none"/>
              </w:rPr>
            </w:pPr>
          </w:p>
        </w:tc>
      </w:tr>
      <w:tr w14:paraId="0F8862C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DBFFAE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20</w:t>
            </w:r>
          </w:p>
        </w:tc>
        <w:tc>
          <w:tcPr>
            <w:tcW w:w="723" w:type="dxa"/>
            <w:vMerge w:val="restart"/>
            <w:tcBorders>
              <w:tl2br w:val="nil"/>
              <w:tr2bl w:val="nil"/>
            </w:tcBorders>
            <w:vAlign w:val="center"/>
          </w:tcPr>
          <w:p w14:paraId="64DA9112">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钢丝绳及卷筒</w:t>
            </w:r>
          </w:p>
        </w:tc>
        <w:tc>
          <w:tcPr>
            <w:tcW w:w="6105" w:type="dxa"/>
            <w:gridSpan w:val="5"/>
            <w:tcBorders>
              <w:tl2br w:val="nil"/>
              <w:tr2bl w:val="nil"/>
            </w:tcBorders>
            <w:vAlign w:val="center"/>
          </w:tcPr>
          <w:p w14:paraId="75FD8D9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钢丝绳型号、长度符合说明书要求，且完好，无断股，断丝不超过10%</w:t>
            </w:r>
          </w:p>
        </w:tc>
        <w:tc>
          <w:tcPr>
            <w:tcW w:w="2657" w:type="dxa"/>
            <w:gridSpan w:val="2"/>
            <w:tcBorders>
              <w:tl2br w:val="nil"/>
              <w:tr2bl w:val="nil"/>
            </w:tcBorders>
            <w:vAlign w:val="center"/>
          </w:tcPr>
          <w:p w14:paraId="0CC0202E">
            <w:pPr>
              <w:spacing w:line="240" w:lineRule="exact"/>
              <w:ind w:firstLine="0" w:firstLineChars="0"/>
              <w:jc w:val="center"/>
              <w:rPr>
                <w:rFonts w:hint="eastAsia" w:ascii="仿宋" w:hAnsi="仿宋" w:eastAsia="仿宋" w:cs="仿宋"/>
                <w:color w:val="000000"/>
                <w:sz w:val="21"/>
                <w:szCs w:val="21"/>
                <w:highlight w:val="none"/>
              </w:rPr>
            </w:pPr>
          </w:p>
        </w:tc>
      </w:tr>
      <w:tr w14:paraId="4C10492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FECF747">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21</w:t>
            </w:r>
          </w:p>
        </w:tc>
        <w:tc>
          <w:tcPr>
            <w:tcW w:w="723" w:type="dxa"/>
            <w:vMerge w:val="continue"/>
            <w:tcBorders>
              <w:tl2br w:val="nil"/>
              <w:tr2bl w:val="nil"/>
            </w:tcBorders>
            <w:vAlign w:val="center"/>
          </w:tcPr>
          <w:p w14:paraId="5475634B">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EB36AF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绳卡规格数量满足要求</w:t>
            </w:r>
          </w:p>
        </w:tc>
        <w:tc>
          <w:tcPr>
            <w:tcW w:w="2657" w:type="dxa"/>
            <w:gridSpan w:val="2"/>
            <w:tcBorders>
              <w:tl2br w:val="nil"/>
              <w:tr2bl w:val="nil"/>
            </w:tcBorders>
            <w:vAlign w:val="center"/>
          </w:tcPr>
          <w:p w14:paraId="2F50BB9A">
            <w:pPr>
              <w:spacing w:line="240" w:lineRule="exact"/>
              <w:ind w:firstLine="0" w:firstLineChars="0"/>
              <w:jc w:val="center"/>
              <w:rPr>
                <w:rFonts w:hint="eastAsia" w:ascii="仿宋" w:hAnsi="仿宋" w:eastAsia="仿宋" w:cs="仿宋"/>
                <w:color w:val="000000"/>
                <w:sz w:val="21"/>
                <w:szCs w:val="21"/>
                <w:highlight w:val="none"/>
              </w:rPr>
            </w:pPr>
          </w:p>
        </w:tc>
      </w:tr>
      <w:tr w14:paraId="0914A5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AFA670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22</w:t>
            </w:r>
          </w:p>
        </w:tc>
        <w:tc>
          <w:tcPr>
            <w:tcW w:w="723" w:type="dxa"/>
            <w:vMerge w:val="continue"/>
            <w:tcBorders>
              <w:tl2br w:val="nil"/>
              <w:tr2bl w:val="nil"/>
            </w:tcBorders>
            <w:vAlign w:val="center"/>
          </w:tcPr>
          <w:p w14:paraId="5D1E05C5">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D7EA26E">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卷筒挡绳板高于钢丝绳直径2倍以上，卷筒上钢丝绳最少保留3圈</w:t>
            </w:r>
          </w:p>
        </w:tc>
        <w:tc>
          <w:tcPr>
            <w:tcW w:w="2657" w:type="dxa"/>
            <w:gridSpan w:val="2"/>
            <w:tcBorders>
              <w:tl2br w:val="nil"/>
              <w:tr2bl w:val="nil"/>
            </w:tcBorders>
            <w:vAlign w:val="center"/>
          </w:tcPr>
          <w:p w14:paraId="15076871">
            <w:pPr>
              <w:spacing w:line="240" w:lineRule="exact"/>
              <w:ind w:firstLine="0" w:firstLineChars="0"/>
              <w:jc w:val="center"/>
              <w:rPr>
                <w:rFonts w:hint="eastAsia" w:ascii="仿宋" w:hAnsi="仿宋" w:eastAsia="仿宋" w:cs="仿宋"/>
                <w:color w:val="000000"/>
                <w:sz w:val="21"/>
                <w:szCs w:val="21"/>
                <w:highlight w:val="none"/>
              </w:rPr>
            </w:pPr>
          </w:p>
        </w:tc>
      </w:tr>
      <w:tr w14:paraId="4D859A6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9893B8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23</w:t>
            </w:r>
          </w:p>
        </w:tc>
        <w:tc>
          <w:tcPr>
            <w:tcW w:w="723" w:type="dxa"/>
            <w:vMerge w:val="continue"/>
            <w:tcBorders>
              <w:tl2br w:val="nil"/>
              <w:tr2bl w:val="nil"/>
            </w:tcBorders>
            <w:vAlign w:val="center"/>
          </w:tcPr>
          <w:p w14:paraId="3C3AF53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6E71C2ED">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滑轮有防跳绳槽装置，转动灵活</w:t>
            </w:r>
          </w:p>
        </w:tc>
        <w:tc>
          <w:tcPr>
            <w:tcW w:w="2657" w:type="dxa"/>
            <w:gridSpan w:val="2"/>
            <w:tcBorders>
              <w:tl2br w:val="nil"/>
              <w:tr2bl w:val="nil"/>
            </w:tcBorders>
            <w:vAlign w:val="center"/>
          </w:tcPr>
          <w:p w14:paraId="69E42DF0">
            <w:pPr>
              <w:spacing w:line="240" w:lineRule="exact"/>
              <w:ind w:firstLine="0" w:firstLineChars="0"/>
              <w:jc w:val="center"/>
              <w:rPr>
                <w:rFonts w:hint="eastAsia" w:ascii="仿宋" w:hAnsi="仿宋" w:eastAsia="仿宋" w:cs="仿宋"/>
                <w:color w:val="000000"/>
                <w:sz w:val="21"/>
                <w:szCs w:val="21"/>
                <w:highlight w:val="none"/>
              </w:rPr>
            </w:pPr>
          </w:p>
        </w:tc>
      </w:tr>
      <w:tr w14:paraId="67167CA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1C77C4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24</w:t>
            </w:r>
          </w:p>
        </w:tc>
        <w:tc>
          <w:tcPr>
            <w:tcW w:w="723" w:type="dxa"/>
            <w:vMerge w:val="continue"/>
            <w:tcBorders>
              <w:tl2br w:val="nil"/>
              <w:tr2bl w:val="nil"/>
            </w:tcBorders>
            <w:vAlign w:val="center"/>
          </w:tcPr>
          <w:p w14:paraId="51C31CB3">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278BFE8E">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吊钩无变形、磨损，无裂纹、补焊现象</w:t>
            </w:r>
          </w:p>
        </w:tc>
        <w:tc>
          <w:tcPr>
            <w:tcW w:w="2657" w:type="dxa"/>
            <w:gridSpan w:val="2"/>
            <w:tcBorders>
              <w:tl2br w:val="nil"/>
              <w:tr2bl w:val="nil"/>
            </w:tcBorders>
            <w:vAlign w:val="center"/>
          </w:tcPr>
          <w:p w14:paraId="598E84D9">
            <w:pPr>
              <w:spacing w:line="240" w:lineRule="exact"/>
              <w:ind w:firstLine="0" w:firstLineChars="0"/>
              <w:jc w:val="center"/>
              <w:rPr>
                <w:rFonts w:hint="eastAsia" w:ascii="仿宋" w:hAnsi="仿宋" w:eastAsia="仿宋" w:cs="仿宋"/>
                <w:color w:val="000000"/>
                <w:sz w:val="21"/>
                <w:szCs w:val="21"/>
                <w:highlight w:val="none"/>
              </w:rPr>
            </w:pPr>
          </w:p>
        </w:tc>
      </w:tr>
      <w:tr w14:paraId="0D1A98F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7B4554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25</w:t>
            </w:r>
          </w:p>
        </w:tc>
        <w:tc>
          <w:tcPr>
            <w:tcW w:w="723" w:type="dxa"/>
            <w:vMerge w:val="restart"/>
            <w:tcBorders>
              <w:tl2br w:val="nil"/>
              <w:tr2bl w:val="nil"/>
            </w:tcBorders>
            <w:vAlign w:val="center"/>
          </w:tcPr>
          <w:p w14:paraId="4AD08C5D">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传动部位</w:t>
            </w:r>
          </w:p>
        </w:tc>
        <w:tc>
          <w:tcPr>
            <w:tcW w:w="6105" w:type="dxa"/>
            <w:gridSpan w:val="5"/>
            <w:tcBorders>
              <w:tl2br w:val="nil"/>
              <w:tr2bl w:val="nil"/>
            </w:tcBorders>
            <w:vAlign w:val="center"/>
          </w:tcPr>
          <w:p w14:paraId="5FA0FD62">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减速机、卷扬机、制动器、回转机构、液压顶升系统部件齐全，工作正常，无异响</w:t>
            </w:r>
          </w:p>
        </w:tc>
        <w:tc>
          <w:tcPr>
            <w:tcW w:w="2657" w:type="dxa"/>
            <w:gridSpan w:val="2"/>
            <w:tcBorders>
              <w:tl2br w:val="nil"/>
              <w:tr2bl w:val="nil"/>
            </w:tcBorders>
            <w:vAlign w:val="center"/>
          </w:tcPr>
          <w:p w14:paraId="37C3E283">
            <w:pPr>
              <w:spacing w:line="240" w:lineRule="exact"/>
              <w:ind w:firstLine="0" w:firstLineChars="0"/>
              <w:jc w:val="center"/>
              <w:rPr>
                <w:rFonts w:hint="eastAsia" w:ascii="仿宋" w:hAnsi="仿宋" w:eastAsia="仿宋" w:cs="仿宋"/>
                <w:color w:val="000000"/>
                <w:sz w:val="21"/>
                <w:szCs w:val="21"/>
                <w:highlight w:val="none"/>
              </w:rPr>
            </w:pPr>
          </w:p>
        </w:tc>
      </w:tr>
      <w:tr w14:paraId="787487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39437EC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26</w:t>
            </w:r>
          </w:p>
        </w:tc>
        <w:tc>
          <w:tcPr>
            <w:tcW w:w="723" w:type="dxa"/>
            <w:vMerge w:val="continue"/>
            <w:tcBorders>
              <w:tl2br w:val="nil"/>
              <w:tr2bl w:val="nil"/>
            </w:tcBorders>
            <w:vAlign w:val="center"/>
          </w:tcPr>
          <w:p w14:paraId="7CD265C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D8788D7">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传动部位有防护罩</w:t>
            </w:r>
          </w:p>
        </w:tc>
        <w:tc>
          <w:tcPr>
            <w:tcW w:w="2657" w:type="dxa"/>
            <w:gridSpan w:val="2"/>
            <w:tcBorders>
              <w:tl2br w:val="nil"/>
              <w:tr2bl w:val="nil"/>
            </w:tcBorders>
            <w:vAlign w:val="center"/>
          </w:tcPr>
          <w:p w14:paraId="71E16AAA">
            <w:pPr>
              <w:spacing w:line="240" w:lineRule="exact"/>
              <w:ind w:firstLine="0" w:firstLineChars="0"/>
              <w:jc w:val="center"/>
              <w:rPr>
                <w:rFonts w:hint="eastAsia" w:ascii="仿宋" w:hAnsi="仿宋" w:eastAsia="仿宋" w:cs="仿宋"/>
                <w:color w:val="000000"/>
                <w:sz w:val="21"/>
                <w:szCs w:val="21"/>
                <w:highlight w:val="none"/>
              </w:rPr>
            </w:pPr>
          </w:p>
        </w:tc>
      </w:tr>
      <w:tr w14:paraId="5C472E8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5405DA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27</w:t>
            </w:r>
          </w:p>
        </w:tc>
        <w:tc>
          <w:tcPr>
            <w:tcW w:w="723" w:type="dxa"/>
            <w:vMerge w:val="continue"/>
            <w:tcBorders>
              <w:tl2br w:val="nil"/>
              <w:tr2bl w:val="nil"/>
            </w:tcBorders>
            <w:vAlign w:val="center"/>
          </w:tcPr>
          <w:p w14:paraId="775A7FFD">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5E15FF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油箱有足够容量，油路无泄漏、堵塞现象</w:t>
            </w:r>
          </w:p>
        </w:tc>
        <w:tc>
          <w:tcPr>
            <w:tcW w:w="2657" w:type="dxa"/>
            <w:gridSpan w:val="2"/>
            <w:tcBorders>
              <w:tl2br w:val="nil"/>
              <w:tr2bl w:val="nil"/>
            </w:tcBorders>
            <w:vAlign w:val="center"/>
          </w:tcPr>
          <w:p w14:paraId="7F08F1A3">
            <w:pPr>
              <w:spacing w:line="240" w:lineRule="exact"/>
              <w:ind w:firstLine="0" w:firstLineChars="0"/>
              <w:jc w:val="center"/>
              <w:rPr>
                <w:rFonts w:hint="eastAsia" w:ascii="仿宋" w:hAnsi="仿宋" w:eastAsia="仿宋" w:cs="仿宋"/>
                <w:color w:val="000000"/>
                <w:sz w:val="21"/>
                <w:szCs w:val="21"/>
                <w:highlight w:val="none"/>
              </w:rPr>
            </w:pPr>
          </w:p>
        </w:tc>
      </w:tr>
      <w:tr w14:paraId="4D155B0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C9D5655">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28</w:t>
            </w:r>
          </w:p>
        </w:tc>
        <w:tc>
          <w:tcPr>
            <w:tcW w:w="723" w:type="dxa"/>
            <w:vMerge w:val="continue"/>
            <w:tcBorders>
              <w:tl2br w:val="nil"/>
              <w:tr2bl w:val="nil"/>
            </w:tcBorders>
            <w:vAlign w:val="center"/>
          </w:tcPr>
          <w:p w14:paraId="7138565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E6B4930">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平衡重、压重符合本机说明书要求</w:t>
            </w:r>
          </w:p>
        </w:tc>
        <w:tc>
          <w:tcPr>
            <w:tcW w:w="2657" w:type="dxa"/>
            <w:gridSpan w:val="2"/>
            <w:tcBorders>
              <w:tl2br w:val="nil"/>
              <w:tr2bl w:val="nil"/>
            </w:tcBorders>
            <w:vAlign w:val="center"/>
          </w:tcPr>
          <w:p w14:paraId="69E4648E">
            <w:pPr>
              <w:spacing w:line="240" w:lineRule="exact"/>
              <w:ind w:firstLine="0" w:firstLineChars="0"/>
              <w:jc w:val="center"/>
              <w:rPr>
                <w:rFonts w:hint="eastAsia" w:ascii="仿宋" w:hAnsi="仿宋" w:eastAsia="仿宋" w:cs="仿宋"/>
                <w:color w:val="000000"/>
                <w:sz w:val="21"/>
                <w:szCs w:val="21"/>
                <w:highlight w:val="none"/>
              </w:rPr>
            </w:pPr>
          </w:p>
        </w:tc>
      </w:tr>
      <w:tr w14:paraId="1E61727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C8C66FE">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29</w:t>
            </w:r>
          </w:p>
        </w:tc>
        <w:tc>
          <w:tcPr>
            <w:tcW w:w="723" w:type="dxa"/>
            <w:vMerge w:val="restart"/>
            <w:tcBorders>
              <w:tl2br w:val="nil"/>
              <w:tr2bl w:val="nil"/>
            </w:tcBorders>
            <w:vAlign w:val="center"/>
          </w:tcPr>
          <w:p w14:paraId="21F48D59">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电气安全</w:t>
            </w:r>
          </w:p>
        </w:tc>
        <w:tc>
          <w:tcPr>
            <w:tcW w:w="6105" w:type="dxa"/>
            <w:gridSpan w:val="5"/>
            <w:tcBorders>
              <w:tl2br w:val="nil"/>
              <w:tr2bl w:val="nil"/>
            </w:tcBorders>
            <w:vAlign w:val="center"/>
          </w:tcPr>
          <w:p w14:paraId="52D5495C">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电缆固定牢靠，无破损</w:t>
            </w:r>
          </w:p>
        </w:tc>
        <w:tc>
          <w:tcPr>
            <w:tcW w:w="2657" w:type="dxa"/>
            <w:gridSpan w:val="2"/>
            <w:tcBorders>
              <w:tl2br w:val="nil"/>
              <w:tr2bl w:val="nil"/>
            </w:tcBorders>
            <w:vAlign w:val="center"/>
          </w:tcPr>
          <w:p w14:paraId="5007AA96">
            <w:pPr>
              <w:spacing w:line="240" w:lineRule="exact"/>
              <w:ind w:firstLine="0" w:firstLineChars="0"/>
              <w:jc w:val="center"/>
              <w:rPr>
                <w:rFonts w:hint="eastAsia" w:ascii="仿宋" w:hAnsi="仿宋" w:eastAsia="仿宋" w:cs="仿宋"/>
                <w:color w:val="000000"/>
                <w:sz w:val="21"/>
                <w:szCs w:val="21"/>
                <w:highlight w:val="none"/>
              </w:rPr>
            </w:pPr>
          </w:p>
        </w:tc>
      </w:tr>
      <w:tr w14:paraId="5A8AA7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21932DB">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30</w:t>
            </w:r>
          </w:p>
        </w:tc>
        <w:tc>
          <w:tcPr>
            <w:tcW w:w="723" w:type="dxa"/>
            <w:vMerge w:val="continue"/>
            <w:tcBorders>
              <w:tl2br w:val="nil"/>
              <w:tr2bl w:val="nil"/>
            </w:tcBorders>
            <w:vAlign w:val="center"/>
          </w:tcPr>
          <w:p w14:paraId="1EF4EDC3">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276E0E43">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开关等配电装置齐全有效</w:t>
            </w:r>
          </w:p>
        </w:tc>
        <w:tc>
          <w:tcPr>
            <w:tcW w:w="2657" w:type="dxa"/>
            <w:gridSpan w:val="2"/>
            <w:tcBorders>
              <w:tl2br w:val="nil"/>
              <w:tr2bl w:val="nil"/>
            </w:tcBorders>
            <w:vAlign w:val="center"/>
          </w:tcPr>
          <w:p w14:paraId="21E7751A">
            <w:pPr>
              <w:spacing w:line="240" w:lineRule="exact"/>
              <w:ind w:firstLine="0" w:firstLineChars="0"/>
              <w:jc w:val="center"/>
              <w:rPr>
                <w:rFonts w:hint="eastAsia" w:ascii="仿宋" w:hAnsi="仿宋" w:eastAsia="仿宋" w:cs="仿宋"/>
                <w:color w:val="000000"/>
                <w:sz w:val="21"/>
                <w:szCs w:val="21"/>
                <w:highlight w:val="none"/>
              </w:rPr>
            </w:pPr>
          </w:p>
        </w:tc>
      </w:tr>
      <w:tr w14:paraId="5CE972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A467A76">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31</w:t>
            </w:r>
          </w:p>
        </w:tc>
        <w:tc>
          <w:tcPr>
            <w:tcW w:w="723" w:type="dxa"/>
            <w:vMerge w:val="continue"/>
            <w:tcBorders>
              <w:tl2br w:val="nil"/>
              <w:tr2bl w:val="nil"/>
            </w:tcBorders>
            <w:vAlign w:val="center"/>
          </w:tcPr>
          <w:p w14:paraId="76BFBA4B">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84E9DFF">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重复接地和避雷设置，各接地、接零保护装置均符合要求</w:t>
            </w:r>
          </w:p>
        </w:tc>
        <w:tc>
          <w:tcPr>
            <w:tcW w:w="2657" w:type="dxa"/>
            <w:gridSpan w:val="2"/>
            <w:tcBorders>
              <w:tl2br w:val="nil"/>
              <w:tr2bl w:val="nil"/>
            </w:tcBorders>
            <w:vAlign w:val="center"/>
          </w:tcPr>
          <w:p w14:paraId="118DBBEC">
            <w:pPr>
              <w:spacing w:line="240" w:lineRule="exact"/>
              <w:ind w:firstLine="0" w:firstLineChars="0"/>
              <w:jc w:val="center"/>
              <w:rPr>
                <w:rFonts w:hint="eastAsia" w:ascii="仿宋" w:hAnsi="仿宋" w:eastAsia="仿宋" w:cs="仿宋"/>
                <w:color w:val="000000"/>
                <w:sz w:val="21"/>
                <w:szCs w:val="21"/>
                <w:highlight w:val="none"/>
              </w:rPr>
            </w:pPr>
          </w:p>
        </w:tc>
      </w:tr>
      <w:tr w14:paraId="7A7062D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A2D23C1">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32</w:t>
            </w:r>
          </w:p>
        </w:tc>
        <w:tc>
          <w:tcPr>
            <w:tcW w:w="723" w:type="dxa"/>
            <w:vMerge w:val="continue"/>
            <w:tcBorders>
              <w:tl2br w:val="nil"/>
              <w:tr2bl w:val="nil"/>
            </w:tcBorders>
            <w:vAlign w:val="center"/>
          </w:tcPr>
          <w:p w14:paraId="79F43C29">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601C6ACE">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力矩限制器，超高、变幅、行走限位器均动作可靠</w:t>
            </w:r>
          </w:p>
        </w:tc>
        <w:tc>
          <w:tcPr>
            <w:tcW w:w="2657" w:type="dxa"/>
            <w:gridSpan w:val="2"/>
            <w:tcBorders>
              <w:tl2br w:val="nil"/>
              <w:tr2bl w:val="nil"/>
            </w:tcBorders>
            <w:vAlign w:val="center"/>
          </w:tcPr>
          <w:p w14:paraId="47D6AEE4">
            <w:pPr>
              <w:spacing w:line="240" w:lineRule="exact"/>
              <w:ind w:firstLine="0" w:firstLineChars="0"/>
              <w:jc w:val="center"/>
              <w:rPr>
                <w:rFonts w:hint="eastAsia" w:ascii="仿宋" w:hAnsi="仿宋" w:eastAsia="仿宋" w:cs="仿宋"/>
                <w:color w:val="000000"/>
                <w:sz w:val="21"/>
                <w:szCs w:val="21"/>
                <w:highlight w:val="none"/>
              </w:rPr>
            </w:pPr>
          </w:p>
        </w:tc>
      </w:tr>
      <w:tr w14:paraId="2836F0A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68F77A5">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33</w:t>
            </w:r>
          </w:p>
        </w:tc>
        <w:tc>
          <w:tcPr>
            <w:tcW w:w="723" w:type="dxa"/>
            <w:vMerge w:val="restart"/>
            <w:tcBorders>
              <w:tl2br w:val="nil"/>
              <w:tr2bl w:val="nil"/>
            </w:tcBorders>
            <w:vAlign w:val="center"/>
          </w:tcPr>
          <w:p w14:paraId="37258353">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安全间距</w:t>
            </w:r>
          </w:p>
        </w:tc>
        <w:tc>
          <w:tcPr>
            <w:tcW w:w="6105" w:type="dxa"/>
            <w:gridSpan w:val="5"/>
            <w:tcBorders>
              <w:tl2br w:val="nil"/>
              <w:tr2bl w:val="nil"/>
            </w:tcBorders>
            <w:vAlign w:val="center"/>
          </w:tcPr>
          <w:p w14:paraId="49C2A5A2">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塔机的尾部与周围建筑物及其外围施工设施之间的安全距离不小于m</w:t>
            </w:r>
          </w:p>
        </w:tc>
        <w:tc>
          <w:tcPr>
            <w:tcW w:w="2657" w:type="dxa"/>
            <w:gridSpan w:val="2"/>
            <w:tcBorders>
              <w:tl2br w:val="nil"/>
              <w:tr2bl w:val="nil"/>
            </w:tcBorders>
            <w:vAlign w:val="center"/>
          </w:tcPr>
          <w:p w14:paraId="2583D192">
            <w:pPr>
              <w:spacing w:line="240" w:lineRule="exact"/>
              <w:ind w:firstLine="0" w:firstLineChars="0"/>
              <w:jc w:val="center"/>
              <w:rPr>
                <w:rFonts w:hint="eastAsia" w:ascii="仿宋" w:hAnsi="仿宋" w:eastAsia="仿宋" w:cs="仿宋"/>
                <w:color w:val="000000"/>
                <w:sz w:val="21"/>
                <w:szCs w:val="21"/>
                <w:highlight w:val="none"/>
              </w:rPr>
            </w:pPr>
          </w:p>
        </w:tc>
      </w:tr>
      <w:tr w14:paraId="21A22C0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4FCC2AC">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34</w:t>
            </w:r>
          </w:p>
        </w:tc>
        <w:tc>
          <w:tcPr>
            <w:tcW w:w="723" w:type="dxa"/>
            <w:vMerge w:val="continue"/>
            <w:tcBorders>
              <w:tl2br w:val="nil"/>
              <w:tr2bl w:val="nil"/>
            </w:tcBorders>
            <w:vAlign w:val="center"/>
          </w:tcPr>
          <w:p w14:paraId="0C94E66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30B600CB">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多塔作业相互间距符合要求，有防碰撞措施</w:t>
            </w:r>
          </w:p>
        </w:tc>
        <w:tc>
          <w:tcPr>
            <w:tcW w:w="2657" w:type="dxa"/>
            <w:gridSpan w:val="2"/>
            <w:tcBorders>
              <w:tl2br w:val="nil"/>
              <w:tr2bl w:val="nil"/>
            </w:tcBorders>
            <w:vAlign w:val="center"/>
          </w:tcPr>
          <w:p w14:paraId="50BDD438">
            <w:pPr>
              <w:spacing w:line="240" w:lineRule="exact"/>
              <w:ind w:firstLine="0" w:firstLineChars="0"/>
              <w:jc w:val="center"/>
              <w:rPr>
                <w:rFonts w:hint="eastAsia" w:ascii="仿宋" w:hAnsi="仿宋" w:eastAsia="仿宋" w:cs="仿宋"/>
                <w:color w:val="000000"/>
                <w:sz w:val="21"/>
                <w:szCs w:val="21"/>
                <w:highlight w:val="none"/>
              </w:rPr>
            </w:pPr>
          </w:p>
        </w:tc>
      </w:tr>
      <w:tr w14:paraId="6775F4D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FF4BC6B">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35</w:t>
            </w:r>
          </w:p>
        </w:tc>
        <w:tc>
          <w:tcPr>
            <w:tcW w:w="723" w:type="dxa"/>
            <w:vMerge w:val="continue"/>
            <w:tcBorders>
              <w:tl2br w:val="nil"/>
              <w:tr2bl w:val="nil"/>
            </w:tcBorders>
            <w:vAlign w:val="center"/>
          </w:tcPr>
          <w:p w14:paraId="60AD832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CC5EC11">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各部位与外电线路保持安全距离，达不到要求的按规定采取防护措施，防护措施达到当地电业部门规定要求</w:t>
            </w:r>
          </w:p>
        </w:tc>
        <w:tc>
          <w:tcPr>
            <w:tcW w:w="2657" w:type="dxa"/>
            <w:gridSpan w:val="2"/>
            <w:tcBorders>
              <w:tl2br w:val="nil"/>
              <w:tr2bl w:val="nil"/>
            </w:tcBorders>
            <w:vAlign w:val="center"/>
          </w:tcPr>
          <w:p w14:paraId="35573F5C">
            <w:pPr>
              <w:spacing w:line="240" w:lineRule="exact"/>
              <w:ind w:firstLine="0" w:firstLineChars="0"/>
              <w:jc w:val="center"/>
              <w:rPr>
                <w:rFonts w:hint="eastAsia" w:ascii="仿宋" w:hAnsi="仿宋" w:eastAsia="仿宋" w:cs="仿宋"/>
                <w:color w:val="000000"/>
                <w:sz w:val="21"/>
                <w:szCs w:val="21"/>
                <w:highlight w:val="none"/>
              </w:rPr>
            </w:pPr>
          </w:p>
        </w:tc>
      </w:tr>
      <w:tr w14:paraId="2432251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56F19F8">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36</w:t>
            </w:r>
          </w:p>
        </w:tc>
        <w:tc>
          <w:tcPr>
            <w:tcW w:w="723" w:type="dxa"/>
            <w:vMerge w:val="continue"/>
            <w:tcBorders>
              <w:tl2br w:val="nil"/>
              <w:tr2bl w:val="nil"/>
            </w:tcBorders>
            <w:vAlign w:val="center"/>
          </w:tcPr>
          <w:p w14:paraId="5D56AED7">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418DB08E">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跨高压线作业，跨路（便道、便桥）作业，是否有安全保护措施</w:t>
            </w:r>
          </w:p>
        </w:tc>
        <w:tc>
          <w:tcPr>
            <w:tcW w:w="2657" w:type="dxa"/>
            <w:gridSpan w:val="2"/>
            <w:tcBorders>
              <w:tl2br w:val="nil"/>
              <w:tr2bl w:val="nil"/>
            </w:tcBorders>
            <w:vAlign w:val="center"/>
          </w:tcPr>
          <w:p w14:paraId="1495FBE3">
            <w:pPr>
              <w:spacing w:line="240" w:lineRule="exact"/>
              <w:ind w:firstLine="0" w:firstLineChars="0"/>
              <w:jc w:val="center"/>
              <w:rPr>
                <w:rFonts w:hint="eastAsia" w:ascii="仿宋" w:hAnsi="仿宋" w:eastAsia="仿宋" w:cs="仿宋"/>
                <w:color w:val="000000"/>
                <w:sz w:val="21"/>
                <w:szCs w:val="21"/>
                <w:highlight w:val="none"/>
              </w:rPr>
            </w:pPr>
          </w:p>
        </w:tc>
      </w:tr>
      <w:tr w14:paraId="2C4E66F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1374" w:type="dxa"/>
            <w:gridSpan w:val="2"/>
            <w:tcBorders>
              <w:tl2br w:val="nil"/>
              <w:tr2bl w:val="nil"/>
            </w:tcBorders>
            <w:vAlign w:val="center"/>
          </w:tcPr>
          <w:p w14:paraId="2DD88E14">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检测结论</w:t>
            </w:r>
          </w:p>
        </w:tc>
        <w:tc>
          <w:tcPr>
            <w:tcW w:w="8762" w:type="dxa"/>
            <w:gridSpan w:val="7"/>
            <w:tcBorders>
              <w:tl2br w:val="nil"/>
              <w:tr2bl w:val="nil"/>
            </w:tcBorders>
            <w:vAlign w:val="center"/>
          </w:tcPr>
          <w:p w14:paraId="02A9C2C2">
            <w:pPr>
              <w:spacing w:line="240" w:lineRule="exact"/>
              <w:ind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（附检测报告）</w:t>
            </w:r>
          </w:p>
        </w:tc>
      </w:tr>
      <w:tr w14:paraId="551578C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1374" w:type="dxa"/>
            <w:gridSpan w:val="2"/>
            <w:tcBorders>
              <w:tl2br w:val="nil"/>
              <w:tr2bl w:val="nil"/>
            </w:tcBorders>
            <w:vAlign w:val="center"/>
          </w:tcPr>
          <w:p w14:paraId="07E204A3">
            <w:pPr>
              <w:spacing w:line="240" w:lineRule="exact"/>
              <w:ind w:firstLine="0" w:firstLineChars="0"/>
              <w:jc w:val="center"/>
              <w:rPr>
                <w:rFonts w:hint="eastAsia" w:ascii="仿宋" w:hAnsi="仿宋" w:eastAsia="仿宋" w:cs="仿宋"/>
                <w:sz w:val="21"/>
                <w:szCs w:val="21"/>
                <w:highlight w:val="none"/>
              </w:rPr>
            </w:pPr>
            <w:bookmarkStart w:id="206" w:name="_Hlk34309655"/>
            <w:r>
              <w:rPr>
                <w:rFonts w:hint="eastAsia" w:ascii="仿宋" w:hAnsi="仿宋" w:eastAsia="仿宋" w:cs="仿宋"/>
                <w:sz w:val="21"/>
                <w:szCs w:val="21"/>
                <w:highlight w:val="none"/>
              </w:rPr>
              <w:t>检查结论</w:t>
            </w:r>
          </w:p>
        </w:tc>
        <w:tc>
          <w:tcPr>
            <w:tcW w:w="8762" w:type="dxa"/>
            <w:gridSpan w:val="7"/>
            <w:tcBorders>
              <w:tl2br w:val="nil"/>
              <w:tr2bl w:val="nil"/>
            </w:tcBorders>
            <w:vAlign w:val="center"/>
          </w:tcPr>
          <w:p w14:paraId="58046647">
            <w:pPr>
              <w:spacing w:line="240" w:lineRule="exact"/>
              <w:ind w:firstLine="0" w:firstLineChars="0"/>
              <w:jc w:val="center"/>
              <w:rPr>
                <w:rFonts w:hint="eastAsia" w:ascii="仿宋" w:hAnsi="仿宋" w:eastAsia="仿宋" w:cs="仿宋"/>
                <w:color w:val="000000"/>
                <w:sz w:val="21"/>
                <w:szCs w:val="21"/>
                <w:highlight w:val="none"/>
              </w:rPr>
            </w:pPr>
          </w:p>
        </w:tc>
      </w:tr>
      <w:tr w14:paraId="12505E9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cantSplit/>
          <w:trHeight w:val="712" w:hRule="exact"/>
        </w:trPr>
        <w:tc>
          <w:tcPr>
            <w:tcW w:w="3378" w:type="dxa"/>
            <w:gridSpan w:val="4"/>
            <w:tcBorders>
              <w:tl2br w:val="nil"/>
              <w:tr2bl w:val="nil"/>
            </w:tcBorders>
            <w:vAlign w:val="center"/>
          </w:tcPr>
          <w:p w14:paraId="10B318A2">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检查人：</w:t>
            </w:r>
          </w:p>
        </w:tc>
        <w:tc>
          <w:tcPr>
            <w:tcW w:w="3379" w:type="dxa"/>
            <w:gridSpan w:val="2"/>
            <w:tcBorders>
              <w:tl2br w:val="nil"/>
              <w:tr2bl w:val="nil"/>
            </w:tcBorders>
            <w:vAlign w:val="center"/>
          </w:tcPr>
          <w:p w14:paraId="573E117C">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使用单位负责人：</w:t>
            </w:r>
          </w:p>
        </w:tc>
        <w:tc>
          <w:tcPr>
            <w:tcW w:w="3379" w:type="dxa"/>
            <w:gridSpan w:val="3"/>
            <w:tcBorders>
              <w:tl2br w:val="nil"/>
              <w:tr2bl w:val="nil"/>
            </w:tcBorders>
            <w:vAlign w:val="center"/>
          </w:tcPr>
          <w:p w14:paraId="5BA3FC47">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w:t>
            </w:r>
          </w:p>
        </w:tc>
      </w:tr>
      <w:bookmarkEnd w:id="205"/>
      <w:bookmarkEnd w:id="206"/>
    </w:tbl>
    <w:p w14:paraId="1E785C8F">
      <w:pPr>
        <w:pStyle w:val="29"/>
        <w:rPr>
          <w:rFonts w:hint="default"/>
          <w:highlight w:val="none"/>
          <w:lang w:val="en-US" w:eastAsia="zh-CN"/>
        </w:rPr>
      </w:pPr>
    </w:p>
    <w:p w14:paraId="5BECC32D">
      <w:pPr>
        <w:rPr>
          <w:rFonts w:hint="eastAsia"/>
          <w:highlight w:val="none"/>
          <w:lang w:val="en-US" w:eastAsia="zh-CN"/>
        </w:rPr>
      </w:pPr>
    </w:p>
    <w:p w14:paraId="166C9E39">
      <w:pPr>
        <w:rPr>
          <w:highlight w:val="none"/>
        </w:rPr>
      </w:pPr>
      <w:bookmarkStart w:id="207" w:name="_Toc4487"/>
      <w:bookmarkStart w:id="208" w:name="_Toc42642303"/>
      <w:r>
        <w:rPr>
          <w:rFonts w:hint="eastAsia"/>
          <w:highlight w:val="none"/>
          <w:lang w:val="en-US" w:eastAsia="zh-CN"/>
        </w:rPr>
        <w:br w:type="page"/>
      </w:r>
    </w:p>
    <w:p w14:paraId="72328A8B">
      <w:pPr>
        <w:pStyle w:val="2"/>
        <w:bidi w:val="0"/>
        <w:ind w:left="432" w:leftChars="0" w:hanging="432" w:firstLineChars="0"/>
      </w:pPr>
      <w:bookmarkStart w:id="209" w:name="_Toc32315"/>
      <w:bookmarkStart w:id="210" w:name="_Toc30877"/>
      <w:r>
        <w:rPr>
          <w:rFonts w:hint="eastAsia"/>
          <w:lang w:val="en-US" w:eastAsia="zh-CN"/>
        </w:rPr>
        <w:t>质量控制措施</w:t>
      </w:r>
      <w:bookmarkEnd w:id="207"/>
      <w:bookmarkEnd w:id="209"/>
      <w:bookmarkEnd w:id="210"/>
    </w:p>
    <w:p w14:paraId="228E8BCC">
      <w:pPr>
        <w:pStyle w:val="3"/>
        <w:bidi w:val="0"/>
        <w:ind w:left="575" w:leftChars="0" w:hanging="575" w:firstLineChars="0"/>
        <w:rPr>
          <w:rFonts w:hint="eastAsia"/>
        </w:rPr>
      </w:pPr>
      <w:bookmarkStart w:id="211" w:name="_Toc20434"/>
      <w:bookmarkStart w:id="212" w:name="_Toc17036"/>
      <w:bookmarkStart w:id="213" w:name="_Toc10656"/>
      <w:bookmarkStart w:id="214" w:name="_Toc9898"/>
      <w:bookmarkStart w:id="215" w:name="_Toc9957"/>
      <w:bookmarkStart w:id="216" w:name="_Toc533345491"/>
      <w:r>
        <w:rPr>
          <w:rFonts w:hint="eastAsia"/>
        </w:rPr>
        <w:t>质量管理组织机构</w:t>
      </w:r>
      <w:bookmarkEnd w:id="211"/>
      <w:bookmarkEnd w:id="212"/>
      <w:bookmarkEnd w:id="213"/>
      <w:bookmarkEnd w:id="214"/>
    </w:p>
    <w:p w14:paraId="66FBA560">
      <w:pPr>
        <w:bidi w:val="0"/>
        <w:ind w:firstLine="480" w:firstLineChars="200"/>
        <w:rPr>
          <w:rFonts w:hint="eastAsia" w:eastAsia="宋体"/>
          <w:highlight w:val="none"/>
          <w:lang w:eastAsia="zh-CN"/>
        </w:rPr>
      </w:pPr>
      <w:r>
        <w:rPr>
          <w:highlight w:val="none"/>
        </w:rPr>
        <w:t>健全的组织机构是质量管理和质量控制的基本保证。本工程项目部将配备完善的组织机构，建立本工程质量保证体系组织机构，开展全面质量管理，确保工程质量目标的实现</w:t>
      </w:r>
      <w:r>
        <w:rPr>
          <w:rFonts w:hint="eastAsia"/>
          <w:highlight w:val="none"/>
          <w:lang w:eastAsia="zh-CN"/>
        </w:rPr>
        <w:t>。</w:t>
      </w:r>
    </w:p>
    <w:p w14:paraId="36F516E5">
      <w:pPr>
        <w:pStyle w:val="13"/>
        <w:ind w:left="0" w:leftChars="0" w:firstLine="0" w:firstLineChars="0"/>
        <w:rPr>
          <w:rFonts w:hint="default"/>
          <w:highlight w:val="none"/>
          <w:lang w:val="en-US" w:eastAsia="zh-CN"/>
        </w:rPr>
      </w:pPr>
      <w:r>
        <w:rPr>
          <w:rFonts w:hint="default"/>
          <w:highlight w:val="none"/>
          <w:lang w:val="en-US" w:eastAsia="zh-CN"/>
        </w:rPr>
        <w:drawing>
          <wp:inline distT="0" distB="0" distL="114300" distR="114300">
            <wp:extent cx="5269230" cy="4011930"/>
            <wp:effectExtent l="0" t="0" r="0" b="0"/>
            <wp:docPr id="33" name="图片 33" descr="组织流程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组织流程图--(6)"/>
                    <pic:cNvPicPr>
                      <a:picLocks noChangeAspect="1"/>
                    </pic:cNvPicPr>
                  </pic:nvPicPr>
                  <pic:blipFill>
                    <a:blip r:embed="rId58"/>
                    <a:stretch>
                      <a:fillRect/>
                    </a:stretch>
                  </pic:blipFill>
                  <pic:spPr>
                    <a:xfrm>
                      <a:off x="0" y="0"/>
                      <a:ext cx="5269230" cy="4011930"/>
                    </a:xfrm>
                    <a:prstGeom prst="rect">
                      <a:avLst/>
                    </a:prstGeom>
                  </pic:spPr>
                </pic:pic>
              </a:graphicData>
            </a:graphic>
          </wp:inline>
        </w:drawing>
      </w:r>
    </w:p>
    <w:p w14:paraId="65AF6BEB">
      <w:pPr>
        <w:pStyle w:val="15"/>
        <w:bidi w:val="0"/>
        <w:rPr>
          <w:highlight w:val="none"/>
        </w:rPr>
      </w:pPr>
      <w:r>
        <w:t xml:space="preserve">图 </w:t>
      </w:r>
      <w:r>
        <w:fldChar w:fldCharType="begin"/>
      </w:r>
      <w:r>
        <w:instrText xml:space="preserve"> STYLEREF 2 \s </w:instrText>
      </w:r>
      <w:r>
        <w:fldChar w:fldCharType="separate"/>
      </w:r>
      <w:r>
        <w:t>5.1</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质量管理组织机构图</w:t>
      </w:r>
    </w:p>
    <w:p w14:paraId="781425D6">
      <w:pPr>
        <w:pStyle w:val="3"/>
        <w:bidi w:val="0"/>
        <w:ind w:left="575" w:leftChars="0" w:hanging="575" w:firstLineChars="0"/>
        <w:rPr>
          <w:rFonts w:hint="eastAsia"/>
        </w:rPr>
      </w:pPr>
      <w:bookmarkStart w:id="217" w:name="_Toc4606"/>
      <w:bookmarkStart w:id="218" w:name="_Toc3594"/>
      <w:bookmarkStart w:id="219" w:name="_Toc30252"/>
      <w:r>
        <w:rPr>
          <w:rFonts w:hint="eastAsia"/>
        </w:rPr>
        <w:t>质量通病及质量通病预防</w:t>
      </w:r>
      <w:bookmarkEnd w:id="215"/>
      <w:bookmarkEnd w:id="216"/>
      <w:bookmarkEnd w:id="217"/>
      <w:bookmarkEnd w:id="218"/>
      <w:bookmarkEnd w:id="219"/>
    </w:p>
    <w:p w14:paraId="746F12FD">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表5-1塔机安拆质量通病管控措施一览表</w:t>
      </w:r>
    </w:p>
    <w:tbl>
      <w:tblPr>
        <w:tblStyle w:val="31"/>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1059"/>
        <w:gridCol w:w="1491"/>
        <w:gridCol w:w="5972"/>
      </w:tblGrid>
      <w:tr w14:paraId="5D18C6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1100" w:type="dxa"/>
            <w:tcBorders>
              <w:tl2br w:val="nil"/>
              <w:tr2bl w:val="nil"/>
            </w:tcBorders>
            <w:shd w:val="clear" w:color="auto" w:fill="DAE3F3" w:themeFill="accent5" w:themeFillTint="32"/>
            <w:vAlign w:val="center"/>
          </w:tcPr>
          <w:p w14:paraId="3921F02D">
            <w:pPr>
              <w:pStyle w:val="105"/>
              <w:bidi w:val="0"/>
              <w:rPr>
                <w:rFonts w:hint="default"/>
                <w:highlight w:val="none"/>
                <w:lang w:val="en-US" w:eastAsia="zh-CN"/>
              </w:rPr>
            </w:pPr>
            <w:r>
              <w:rPr>
                <w:rFonts w:hint="eastAsia"/>
                <w:highlight w:val="none"/>
                <w:lang w:val="en-US" w:eastAsia="zh-CN"/>
              </w:rPr>
              <w:t>项次</w:t>
            </w:r>
          </w:p>
        </w:tc>
        <w:tc>
          <w:tcPr>
            <w:tcW w:w="1560" w:type="dxa"/>
            <w:tcBorders>
              <w:tl2br w:val="nil"/>
              <w:tr2bl w:val="nil"/>
            </w:tcBorders>
            <w:shd w:val="clear" w:color="auto" w:fill="DAE3F3" w:themeFill="accent5" w:themeFillTint="32"/>
            <w:vAlign w:val="center"/>
          </w:tcPr>
          <w:p w14:paraId="4DE0F718">
            <w:pPr>
              <w:pStyle w:val="105"/>
              <w:bidi w:val="0"/>
              <w:rPr>
                <w:rFonts w:hint="default"/>
                <w:highlight w:val="none"/>
                <w:lang w:val="en-US" w:eastAsia="zh-CN"/>
              </w:rPr>
            </w:pPr>
            <w:r>
              <w:rPr>
                <w:rFonts w:hint="eastAsia"/>
                <w:highlight w:val="none"/>
                <w:lang w:val="en-US" w:eastAsia="zh-CN"/>
              </w:rPr>
              <w:t>质量通病</w:t>
            </w:r>
          </w:p>
        </w:tc>
        <w:tc>
          <w:tcPr>
            <w:tcW w:w="6315" w:type="dxa"/>
            <w:tcBorders>
              <w:tl2br w:val="nil"/>
              <w:tr2bl w:val="nil"/>
            </w:tcBorders>
            <w:shd w:val="clear" w:color="auto" w:fill="DAE3F3" w:themeFill="accent5" w:themeFillTint="32"/>
            <w:vAlign w:val="center"/>
          </w:tcPr>
          <w:p w14:paraId="22290190">
            <w:pPr>
              <w:pStyle w:val="105"/>
              <w:bidi w:val="0"/>
              <w:rPr>
                <w:rFonts w:hint="default"/>
                <w:highlight w:val="none"/>
                <w:lang w:val="en-US" w:eastAsia="zh-CN"/>
              </w:rPr>
            </w:pPr>
            <w:r>
              <w:rPr>
                <w:rFonts w:hint="eastAsia"/>
                <w:highlight w:val="none"/>
                <w:lang w:val="en-US" w:eastAsia="zh-CN"/>
              </w:rPr>
              <w:t>预防措施</w:t>
            </w:r>
          </w:p>
        </w:tc>
      </w:tr>
      <w:tr w14:paraId="213CAA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13F5811E">
            <w:pPr>
              <w:pStyle w:val="105"/>
              <w:bidi w:val="0"/>
              <w:rPr>
                <w:rFonts w:hint="default"/>
                <w:highlight w:val="none"/>
                <w:lang w:val="en-US" w:eastAsia="zh-CN"/>
              </w:rPr>
            </w:pPr>
            <w:r>
              <w:rPr>
                <w:rFonts w:hint="eastAsia"/>
                <w:highlight w:val="none"/>
                <w:lang w:val="en-US" w:eastAsia="zh-CN"/>
              </w:rPr>
              <w:t>1</w:t>
            </w:r>
          </w:p>
        </w:tc>
        <w:tc>
          <w:tcPr>
            <w:tcW w:w="1560" w:type="dxa"/>
            <w:tcBorders>
              <w:tl2br w:val="nil"/>
              <w:tr2bl w:val="nil"/>
            </w:tcBorders>
            <w:vAlign w:val="center"/>
          </w:tcPr>
          <w:p w14:paraId="0A95A396">
            <w:pPr>
              <w:pStyle w:val="105"/>
              <w:bidi w:val="0"/>
              <w:rPr>
                <w:rFonts w:hint="default"/>
                <w:highlight w:val="none"/>
                <w:lang w:val="en-US" w:eastAsia="zh-CN"/>
              </w:rPr>
            </w:pPr>
            <w:r>
              <w:rPr>
                <w:rFonts w:hint="eastAsia"/>
                <w:highlight w:val="none"/>
                <w:lang w:val="en-US" w:eastAsia="zh-CN"/>
              </w:rPr>
              <w:t>安装作业前未对设备进行全面检查</w:t>
            </w:r>
          </w:p>
        </w:tc>
        <w:tc>
          <w:tcPr>
            <w:tcW w:w="6315" w:type="dxa"/>
            <w:tcBorders>
              <w:tl2br w:val="nil"/>
              <w:tr2bl w:val="nil"/>
            </w:tcBorders>
            <w:vAlign w:val="center"/>
          </w:tcPr>
          <w:p w14:paraId="1BE66665">
            <w:pPr>
              <w:pStyle w:val="105"/>
              <w:bidi w:val="0"/>
              <w:rPr>
                <w:rFonts w:hint="default"/>
                <w:highlight w:val="none"/>
                <w:lang w:val="en-US" w:eastAsia="zh-CN"/>
              </w:rPr>
            </w:pPr>
            <w:r>
              <w:rPr>
                <w:rFonts w:hint="eastAsia"/>
                <w:highlight w:val="none"/>
                <w:lang w:val="en-US" w:eastAsia="zh-CN"/>
              </w:rPr>
              <w:t>在对整机进行安装作前,安装人员,尤其是安装队的负责人应对塔机进行全面的检查,确保钢结构无裂纹及不可恢复的塑性变形,焊缝无开裂现象各安全装置齐全、有效,如发现问题应及时的采取措施,以免在塔机安装作过程中发生事故。</w:t>
            </w:r>
          </w:p>
        </w:tc>
      </w:tr>
      <w:tr w14:paraId="3B47175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348683A7">
            <w:pPr>
              <w:pStyle w:val="105"/>
              <w:bidi w:val="0"/>
              <w:rPr>
                <w:rFonts w:hint="default"/>
                <w:highlight w:val="none"/>
                <w:lang w:val="en-US" w:eastAsia="zh-CN"/>
              </w:rPr>
            </w:pPr>
            <w:r>
              <w:rPr>
                <w:rFonts w:hint="default"/>
                <w:highlight w:val="none"/>
                <w:lang w:val="en-US" w:eastAsia="zh-CN"/>
              </w:rPr>
              <w:t>2</w:t>
            </w:r>
          </w:p>
        </w:tc>
        <w:tc>
          <w:tcPr>
            <w:tcW w:w="1560" w:type="dxa"/>
            <w:tcBorders>
              <w:tl2br w:val="nil"/>
              <w:tr2bl w:val="nil"/>
            </w:tcBorders>
            <w:vAlign w:val="center"/>
          </w:tcPr>
          <w:p w14:paraId="3B37E35A">
            <w:pPr>
              <w:pStyle w:val="105"/>
              <w:bidi w:val="0"/>
              <w:rPr>
                <w:rFonts w:hint="default"/>
                <w:highlight w:val="none"/>
                <w:lang w:val="en-US" w:eastAsia="zh-CN"/>
              </w:rPr>
            </w:pPr>
            <w:r>
              <w:rPr>
                <w:rFonts w:hint="eastAsia"/>
                <w:highlight w:val="none"/>
                <w:lang w:val="en-US" w:eastAsia="zh-CN"/>
              </w:rPr>
              <w:t>施工工艺粗糙</w:t>
            </w:r>
          </w:p>
        </w:tc>
        <w:tc>
          <w:tcPr>
            <w:tcW w:w="6315" w:type="dxa"/>
            <w:tcBorders>
              <w:tl2br w:val="nil"/>
              <w:tr2bl w:val="nil"/>
            </w:tcBorders>
            <w:vAlign w:val="center"/>
          </w:tcPr>
          <w:p w14:paraId="2BF4DB26">
            <w:pPr>
              <w:pStyle w:val="105"/>
              <w:bidi w:val="0"/>
              <w:rPr>
                <w:rFonts w:hint="default"/>
                <w:highlight w:val="none"/>
                <w:lang w:val="en-US" w:eastAsia="zh-CN"/>
              </w:rPr>
            </w:pPr>
            <w:r>
              <w:rPr>
                <w:rFonts w:hint="eastAsia"/>
                <w:highlight w:val="none"/>
                <w:lang w:val="en-US" w:eastAsia="zh-CN"/>
              </w:rPr>
              <w:t>要求在施工准备阶段,技术人员在熟悉图纸、规范、标准的基础上,根据具体的施工条件,制定周密可行的施工技术措施。施工前作好技术交底工作,使每个施工人员都清楚安装过程中需控制的质量标准,施工人员在熟悉各种构件的特点后,参考以往的施工经验,确定一套科学的施工方法,并在施工中不断总结经验,使施工方法日趋完善和合理。</w:t>
            </w:r>
          </w:p>
        </w:tc>
      </w:tr>
      <w:tr w14:paraId="3305342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6DC037AD">
            <w:pPr>
              <w:pStyle w:val="105"/>
              <w:bidi w:val="0"/>
              <w:rPr>
                <w:rFonts w:hint="default"/>
                <w:highlight w:val="none"/>
                <w:lang w:val="en-US" w:eastAsia="zh-CN"/>
              </w:rPr>
            </w:pPr>
            <w:r>
              <w:rPr>
                <w:rFonts w:hint="default"/>
                <w:highlight w:val="none"/>
                <w:lang w:val="en-US" w:eastAsia="zh-CN"/>
              </w:rPr>
              <w:t>3</w:t>
            </w:r>
          </w:p>
        </w:tc>
        <w:tc>
          <w:tcPr>
            <w:tcW w:w="1560" w:type="dxa"/>
            <w:tcBorders>
              <w:tl2br w:val="nil"/>
              <w:tr2bl w:val="nil"/>
            </w:tcBorders>
            <w:vAlign w:val="center"/>
          </w:tcPr>
          <w:p w14:paraId="6F262A5D">
            <w:pPr>
              <w:pStyle w:val="105"/>
              <w:bidi w:val="0"/>
              <w:rPr>
                <w:rFonts w:hint="default"/>
                <w:highlight w:val="none"/>
                <w:lang w:val="en-US" w:eastAsia="zh-CN"/>
              </w:rPr>
            </w:pPr>
            <w:r>
              <w:rPr>
                <w:rFonts w:hint="eastAsia"/>
                <w:highlight w:val="none"/>
                <w:lang w:val="en-US" w:eastAsia="zh-CN"/>
              </w:rPr>
              <w:t>吊索具未进行检查和使用不当</w:t>
            </w:r>
          </w:p>
        </w:tc>
        <w:tc>
          <w:tcPr>
            <w:tcW w:w="6315" w:type="dxa"/>
            <w:tcBorders>
              <w:tl2br w:val="nil"/>
              <w:tr2bl w:val="nil"/>
            </w:tcBorders>
            <w:vAlign w:val="center"/>
          </w:tcPr>
          <w:p w14:paraId="21E6634B">
            <w:pPr>
              <w:pStyle w:val="105"/>
              <w:bidi w:val="0"/>
              <w:rPr>
                <w:rFonts w:hint="default"/>
                <w:highlight w:val="none"/>
                <w:lang w:val="en-US" w:eastAsia="zh-CN"/>
              </w:rPr>
            </w:pPr>
            <w:r>
              <w:rPr>
                <w:rFonts w:hint="eastAsia"/>
                <w:highlight w:val="none"/>
                <w:lang w:val="en-US" w:eastAsia="zh-CN"/>
              </w:rPr>
              <w:t>塔机的安装作业的吊装工具主要是钢丝绳和卡扣,在进行吊装作业前, E对各吊装的吊索具进行全面的检查,确保钢丝绳无断丝、断股现象,对已达到报废标准的应停止使用,卡具无严重变形和磨损。在进行部件吊装时,安装队负责人首先要对特安装部件的重量要非常清楚,尤其是重量较大的部件,严格按照施工的方案选用吊素具,保证6倍以上的安全系数。</w:t>
            </w:r>
          </w:p>
        </w:tc>
      </w:tr>
    </w:tbl>
    <w:p w14:paraId="5BAB19E1">
      <w:pPr>
        <w:pStyle w:val="3"/>
        <w:bidi w:val="0"/>
        <w:ind w:left="575" w:leftChars="0" w:hanging="575" w:firstLineChars="0"/>
        <w:rPr>
          <w:rFonts w:hint="eastAsia"/>
        </w:rPr>
      </w:pPr>
      <w:bookmarkStart w:id="220" w:name="_Toc14944"/>
      <w:bookmarkStart w:id="221" w:name="_Toc7040"/>
      <w:bookmarkStart w:id="222" w:name="_Toc12141"/>
      <w:bookmarkStart w:id="223" w:name="_Toc533345492"/>
      <w:bookmarkStart w:id="224" w:name="_Toc22190"/>
      <w:r>
        <w:rPr>
          <w:rFonts w:hint="eastAsia"/>
        </w:rPr>
        <w:t>质量保证措施</w:t>
      </w:r>
      <w:bookmarkEnd w:id="220"/>
      <w:bookmarkEnd w:id="221"/>
      <w:bookmarkEnd w:id="222"/>
      <w:bookmarkEnd w:id="223"/>
      <w:bookmarkEnd w:id="224"/>
    </w:p>
    <w:p w14:paraId="2932759B">
      <w:pPr>
        <w:pStyle w:val="4"/>
        <w:bidi w:val="0"/>
        <w:ind w:left="720" w:leftChars="0" w:hanging="720" w:firstLineChars="0"/>
        <w:rPr>
          <w:rFonts w:hint="default"/>
          <w:lang w:val="en-US" w:eastAsia="zh-CN"/>
        </w:rPr>
      </w:pPr>
      <w:bookmarkStart w:id="225" w:name="_Toc11673"/>
      <w:bookmarkStart w:id="226" w:name="_Toc28601"/>
      <w:r>
        <w:rPr>
          <w:rFonts w:hint="eastAsia"/>
          <w:lang w:val="en-US" w:eastAsia="zh-CN"/>
        </w:rPr>
        <w:t>质量管理手段</w:t>
      </w:r>
      <w:bookmarkEnd w:id="225"/>
      <w:bookmarkEnd w:id="226"/>
    </w:p>
    <w:p w14:paraId="7964F269">
      <w:pPr>
        <w:ind w:firstLine="480" w:firstLineChars="200"/>
        <w:rPr>
          <w:rFonts w:hint="default"/>
          <w:highlight w:val="none"/>
          <w:lang w:val="en-US" w:eastAsia="zh-CN"/>
        </w:rPr>
      </w:pPr>
      <w:r>
        <w:rPr>
          <w:rFonts w:hint="default"/>
          <w:highlight w:val="none"/>
          <w:lang w:val="en-US" w:eastAsia="zh-CN"/>
        </w:rPr>
        <w:t>为了保证</w:t>
      </w:r>
      <w:r>
        <w:rPr>
          <w:rFonts w:hint="eastAsia"/>
          <w:highlight w:val="none"/>
          <w:lang w:val="en-US" w:eastAsia="zh-CN"/>
        </w:rPr>
        <w:t>塔机</w:t>
      </w:r>
      <w:r>
        <w:rPr>
          <w:rFonts w:hint="default"/>
          <w:highlight w:val="none"/>
          <w:lang w:val="en-US" w:eastAsia="zh-CN"/>
        </w:rPr>
        <w:t>安装质量</w:t>
      </w:r>
      <w:r>
        <w:rPr>
          <w:rFonts w:hint="eastAsia"/>
          <w:highlight w:val="none"/>
          <w:lang w:val="en-US" w:eastAsia="zh-CN"/>
        </w:rPr>
        <w:t>，</w:t>
      </w:r>
      <w:r>
        <w:rPr>
          <w:rFonts w:hint="default"/>
          <w:highlight w:val="none"/>
          <w:lang w:val="en-US" w:eastAsia="zh-CN"/>
        </w:rPr>
        <w:t>树立良好的质量信誉</w:t>
      </w:r>
      <w:r>
        <w:rPr>
          <w:rFonts w:hint="eastAsia"/>
          <w:highlight w:val="none"/>
          <w:lang w:val="en-US" w:eastAsia="zh-CN"/>
        </w:rPr>
        <w:t>，</w:t>
      </w:r>
      <w:r>
        <w:rPr>
          <w:rFonts w:hint="default"/>
          <w:highlight w:val="none"/>
          <w:lang w:val="en-US" w:eastAsia="zh-CN"/>
        </w:rPr>
        <w:t>全面贯彻落实公司制定的质量管理作业文件</w:t>
      </w:r>
      <w:r>
        <w:rPr>
          <w:rFonts w:hint="eastAsia"/>
          <w:highlight w:val="none"/>
          <w:lang w:val="en-US" w:eastAsia="zh-CN"/>
        </w:rPr>
        <w:t>，</w:t>
      </w:r>
      <w:r>
        <w:rPr>
          <w:rFonts w:hint="default"/>
          <w:highlight w:val="none"/>
          <w:lang w:val="en-US" w:eastAsia="zh-CN"/>
        </w:rPr>
        <w:t>实现对施工过程的有效控制</w:t>
      </w:r>
      <w:r>
        <w:rPr>
          <w:rFonts w:hint="eastAsia"/>
          <w:highlight w:val="none"/>
          <w:lang w:val="en-US" w:eastAsia="zh-CN"/>
        </w:rPr>
        <w:t>，</w:t>
      </w:r>
      <w:r>
        <w:rPr>
          <w:rFonts w:hint="default"/>
          <w:highlight w:val="none"/>
          <w:lang w:val="en-US" w:eastAsia="zh-CN"/>
        </w:rPr>
        <w:t>特制定以下控制措施</w:t>
      </w:r>
      <w:r>
        <w:rPr>
          <w:rFonts w:hint="eastAsia"/>
          <w:highlight w:val="none"/>
          <w:lang w:val="en-US" w:eastAsia="zh-CN"/>
        </w:rPr>
        <w:t>：</w:t>
      </w:r>
    </w:p>
    <w:p w14:paraId="19AEC618">
      <w:pPr>
        <w:ind w:firstLine="420" w:firstLineChars="0"/>
        <w:rPr>
          <w:rFonts w:hint="default"/>
          <w:highlight w:val="none"/>
          <w:lang w:val="en-US" w:eastAsia="zh-CN"/>
        </w:rPr>
      </w:pPr>
      <w:r>
        <w:rPr>
          <w:rFonts w:hint="default"/>
          <w:highlight w:val="none"/>
          <w:lang w:val="en-US" w:eastAsia="zh-CN"/>
        </w:rPr>
        <w:t>（1）作业前由技术员及工长组织作业人员认真学习图纸、资料</w:t>
      </w:r>
      <w:r>
        <w:rPr>
          <w:rFonts w:hint="eastAsia"/>
          <w:highlight w:val="none"/>
          <w:lang w:val="en-US" w:eastAsia="zh-CN"/>
        </w:rPr>
        <w:t>，</w:t>
      </w:r>
      <w:r>
        <w:rPr>
          <w:rFonts w:hint="default"/>
          <w:highlight w:val="none"/>
          <w:lang w:val="en-US" w:eastAsia="zh-CN"/>
        </w:rPr>
        <w:t>了解作业技术要求</w:t>
      </w:r>
      <w:r>
        <w:rPr>
          <w:rFonts w:hint="eastAsia"/>
          <w:highlight w:val="none"/>
          <w:lang w:val="en-US" w:eastAsia="zh-CN"/>
        </w:rPr>
        <w:t>，</w:t>
      </w:r>
      <w:r>
        <w:rPr>
          <w:rFonts w:hint="default"/>
          <w:highlight w:val="none"/>
          <w:lang w:val="en-US" w:eastAsia="zh-CN"/>
        </w:rPr>
        <w:t>掌握作业方法和作业要领。同时宣传质量</w:t>
      </w:r>
      <w:r>
        <w:rPr>
          <w:rFonts w:hint="eastAsia"/>
          <w:highlight w:val="none"/>
          <w:lang w:val="en-US" w:eastAsia="zh-CN"/>
        </w:rPr>
        <w:t>，</w:t>
      </w:r>
      <w:r>
        <w:rPr>
          <w:rFonts w:hint="default"/>
          <w:highlight w:val="none"/>
          <w:lang w:val="en-US" w:eastAsia="zh-CN"/>
        </w:rPr>
        <w:t>提高意识</w:t>
      </w:r>
      <w:r>
        <w:rPr>
          <w:rFonts w:hint="eastAsia"/>
          <w:highlight w:val="none"/>
          <w:lang w:val="en-US" w:eastAsia="zh-CN"/>
        </w:rPr>
        <w:t>，</w:t>
      </w:r>
      <w:r>
        <w:rPr>
          <w:rFonts w:hint="default"/>
          <w:highlight w:val="none"/>
          <w:lang w:val="en-US" w:eastAsia="zh-CN"/>
        </w:rPr>
        <w:t>加强作业人员的工作责任心。</w:t>
      </w:r>
    </w:p>
    <w:p w14:paraId="025800DA">
      <w:pPr>
        <w:ind w:firstLine="420" w:firstLineChars="0"/>
        <w:rPr>
          <w:rFonts w:hint="default"/>
          <w:highlight w:val="none"/>
          <w:lang w:val="en-US" w:eastAsia="zh-CN"/>
        </w:rPr>
      </w:pPr>
      <w:r>
        <w:rPr>
          <w:rFonts w:hint="default"/>
          <w:highlight w:val="none"/>
          <w:lang w:val="en-US" w:eastAsia="zh-CN"/>
        </w:rPr>
        <w:t>（2）对重要工序的作业方法、作业要领</w:t>
      </w:r>
      <w:r>
        <w:rPr>
          <w:rFonts w:hint="eastAsia"/>
          <w:highlight w:val="none"/>
          <w:lang w:val="en-US" w:eastAsia="zh-CN"/>
        </w:rPr>
        <w:t>，</w:t>
      </w:r>
      <w:r>
        <w:rPr>
          <w:rFonts w:hint="default"/>
          <w:highlight w:val="none"/>
          <w:lang w:val="en-US" w:eastAsia="zh-CN"/>
        </w:rPr>
        <w:t>应进行作业前的施工技术培训。</w:t>
      </w:r>
    </w:p>
    <w:p w14:paraId="7F4C872E">
      <w:pPr>
        <w:ind w:firstLine="420" w:firstLineChars="0"/>
        <w:rPr>
          <w:rFonts w:hint="default"/>
          <w:highlight w:val="none"/>
          <w:lang w:val="en-US" w:eastAsia="zh-CN"/>
        </w:rPr>
      </w:pPr>
      <w:r>
        <w:rPr>
          <w:rFonts w:hint="default"/>
          <w:highlight w:val="none"/>
          <w:lang w:val="en-US" w:eastAsia="zh-CN"/>
        </w:rPr>
        <w:t>（3）认真做好作业前的技术交底工作</w:t>
      </w:r>
      <w:r>
        <w:rPr>
          <w:rFonts w:hint="eastAsia"/>
          <w:highlight w:val="none"/>
          <w:lang w:val="en-US" w:eastAsia="zh-CN"/>
        </w:rPr>
        <w:t>，</w:t>
      </w:r>
      <w:r>
        <w:rPr>
          <w:rFonts w:hint="default"/>
          <w:highlight w:val="none"/>
          <w:lang w:val="en-US" w:eastAsia="zh-CN"/>
        </w:rPr>
        <w:t>使每个作业人员充分的理解施工工艺和技术要求</w:t>
      </w:r>
      <w:r>
        <w:rPr>
          <w:rFonts w:hint="eastAsia"/>
          <w:highlight w:val="none"/>
          <w:lang w:val="en-US" w:eastAsia="zh-CN"/>
        </w:rPr>
        <w:t>，</w:t>
      </w:r>
      <w:r>
        <w:rPr>
          <w:rFonts w:hint="default"/>
          <w:highlight w:val="none"/>
          <w:lang w:val="en-US" w:eastAsia="zh-CN"/>
        </w:rPr>
        <w:t>达到作业人员对工作心中有数</w:t>
      </w:r>
      <w:r>
        <w:rPr>
          <w:rFonts w:hint="eastAsia"/>
          <w:highlight w:val="none"/>
          <w:lang w:val="en-US" w:eastAsia="zh-CN"/>
        </w:rPr>
        <w:t>，</w:t>
      </w:r>
      <w:r>
        <w:rPr>
          <w:rFonts w:hint="default"/>
          <w:highlight w:val="none"/>
          <w:lang w:val="en-US" w:eastAsia="zh-CN"/>
        </w:rPr>
        <w:t>交底后必须双方签字。</w:t>
      </w:r>
    </w:p>
    <w:p w14:paraId="01851D49">
      <w:pPr>
        <w:ind w:firstLine="420" w:firstLineChars="0"/>
        <w:rPr>
          <w:rFonts w:hint="default"/>
          <w:highlight w:val="none"/>
          <w:lang w:val="en-US" w:eastAsia="zh-CN"/>
        </w:rPr>
      </w:pPr>
      <w:r>
        <w:rPr>
          <w:rFonts w:hint="default"/>
          <w:highlight w:val="none"/>
          <w:lang w:val="en-US" w:eastAsia="zh-CN"/>
        </w:rPr>
        <w:t>（4）班长和安全员认真作好作业过程的质量监督控制</w:t>
      </w:r>
      <w:r>
        <w:rPr>
          <w:rFonts w:hint="eastAsia"/>
          <w:highlight w:val="none"/>
          <w:lang w:val="en-US" w:eastAsia="zh-CN"/>
        </w:rPr>
        <w:t>，</w:t>
      </w:r>
      <w:r>
        <w:rPr>
          <w:rFonts w:hint="default"/>
          <w:highlight w:val="none"/>
          <w:lang w:val="en-US" w:eastAsia="zh-CN"/>
        </w:rPr>
        <w:t>确保每一道工序的施工质量以及工序间合理衔接</w:t>
      </w:r>
      <w:r>
        <w:rPr>
          <w:rFonts w:hint="eastAsia"/>
          <w:highlight w:val="none"/>
          <w:lang w:val="en-US" w:eastAsia="zh-CN"/>
        </w:rPr>
        <w:t>，</w:t>
      </w:r>
      <w:r>
        <w:rPr>
          <w:rFonts w:hint="default"/>
          <w:highlight w:val="none"/>
          <w:lang w:val="en-US" w:eastAsia="zh-CN"/>
        </w:rPr>
        <w:t>不留缺陷</w:t>
      </w:r>
      <w:r>
        <w:rPr>
          <w:rFonts w:hint="eastAsia"/>
          <w:highlight w:val="none"/>
          <w:lang w:val="en-US" w:eastAsia="zh-CN"/>
        </w:rPr>
        <w:t>，</w:t>
      </w:r>
      <w:r>
        <w:rPr>
          <w:rFonts w:hint="default"/>
          <w:highlight w:val="none"/>
          <w:lang w:val="en-US" w:eastAsia="zh-CN"/>
        </w:rPr>
        <w:t>不留尾工</w:t>
      </w:r>
      <w:r>
        <w:rPr>
          <w:rFonts w:hint="eastAsia"/>
          <w:highlight w:val="none"/>
          <w:lang w:val="en-US" w:eastAsia="zh-CN"/>
        </w:rPr>
        <w:t>，</w:t>
      </w:r>
      <w:r>
        <w:rPr>
          <w:rFonts w:hint="default"/>
          <w:highlight w:val="none"/>
          <w:lang w:val="en-US" w:eastAsia="zh-CN"/>
        </w:rPr>
        <w:t>认真做好作业后的自检工作。</w:t>
      </w:r>
    </w:p>
    <w:p w14:paraId="2D8EF607">
      <w:pPr>
        <w:ind w:firstLine="420" w:firstLineChars="0"/>
        <w:rPr>
          <w:rFonts w:hint="default"/>
          <w:highlight w:val="none"/>
          <w:lang w:val="en-US" w:eastAsia="zh-CN"/>
        </w:rPr>
      </w:pPr>
      <w:r>
        <w:rPr>
          <w:rFonts w:hint="default"/>
          <w:highlight w:val="none"/>
          <w:lang w:val="en-US" w:eastAsia="zh-CN"/>
        </w:rPr>
        <w:t>（5）对作业中容易发生的质量问题</w:t>
      </w:r>
      <w:r>
        <w:rPr>
          <w:rFonts w:hint="eastAsia"/>
          <w:highlight w:val="none"/>
          <w:lang w:val="en-US" w:eastAsia="zh-CN"/>
        </w:rPr>
        <w:t>，</w:t>
      </w:r>
      <w:r>
        <w:rPr>
          <w:rFonts w:hint="default"/>
          <w:highlight w:val="none"/>
          <w:lang w:val="en-US" w:eastAsia="zh-CN"/>
        </w:rPr>
        <w:t>作业前做出预测</w:t>
      </w:r>
      <w:r>
        <w:rPr>
          <w:rFonts w:hint="eastAsia"/>
          <w:highlight w:val="none"/>
          <w:lang w:val="en-US" w:eastAsia="zh-CN"/>
        </w:rPr>
        <w:t>，</w:t>
      </w:r>
      <w:r>
        <w:rPr>
          <w:rFonts w:hint="default"/>
          <w:highlight w:val="none"/>
          <w:lang w:val="en-US" w:eastAsia="zh-CN"/>
        </w:rPr>
        <w:t>并采取有效的、可操作的预防措施</w:t>
      </w:r>
      <w:r>
        <w:rPr>
          <w:rFonts w:hint="eastAsia"/>
          <w:highlight w:val="none"/>
          <w:lang w:val="en-US" w:eastAsia="zh-CN"/>
        </w:rPr>
        <w:t>，</w:t>
      </w:r>
      <w:r>
        <w:rPr>
          <w:rFonts w:hint="default"/>
          <w:highlight w:val="none"/>
          <w:lang w:val="en-US" w:eastAsia="zh-CN"/>
        </w:rPr>
        <w:t>消除施工质量缺陷。</w:t>
      </w:r>
    </w:p>
    <w:p w14:paraId="37211CE8">
      <w:pPr>
        <w:ind w:firstLine="420" w:firstLineChars="0"/>
        <w:rPr>
          <w:rFonts w:hint="default"/>
          <w:highlight w:val="none"/>
          <w:lang w:val="en-US" w:eastAsia="zh-CN"/>
        </w:rPr>
      </w:pPr>
      <w:r>
        <w:rPr>
          <w:rFonts w:hint="default"/>
          <w:highlight w:val="none"/>
          <w:lang w:val="en-US" w:eastAsia="zh-CN"/>
        </w:rPr>
        <w:t>（6）作业中发现设备缺陷或施工质量问题</w:t>
      </w:r>
      <w:r>
        <w:rPr>
          <w:rFonts w:hint="eastAsia"/>
          <w:highlight w:val="none"/>
          <w:lang w:val="en-US" w:eastAsia="zh-CN"/>
        </w:rPr>
        <w:t>，</w:t>
      </w:r>
      <w:r>
        <w:rPr>
          <w:rFonts w:hint="default"/>
          <w:highlight w:val="none"/>
          <w:lang w:val="en-US" w:eastAsia="zh-CN"/>
        </w:rPr>
        <w:t>及时向技术员提出并采取措施后进行处理。重大质量问题必须停工</w:t>
      </w:r>
      <w:r>
        <w:rPr>
          <w:rFonts w:hint="eastAsia"/>
          <w:highlight w:val="none"/>
          <w:lang w:val="en-US" w:eastAsia="zh-CN"/>
        </w:rPr>
        <w:t>，</w:t>
      </w:r>
      <w:r>
        <w:rPr>
          <w:rFonts w:hint="default"/>
          <w:highlight w:val="none"/>
          <w:lang w:val="en-US" w:eastAsia="zh-CN"/>
        </w:rPr>
        <w:t>待提出处理意见或制定整改措施后方可进行整改。</w:t>
      </w:r>
    </w:p>
    <w:p w14:paraId="36D7378E">
      <w:pPr>
        <w:ind w:firstLine="420" w:firstLineChars="0"/>
        <w:rPr>
          <w:rFonts w:hint="default"/>
          <w:highlight w:val="none"/>
          <w:lang w:val="en-US" w:eastAsia="zh-CN"/>
        </w:rPr>
      </w:pPr>
      <w:r>
        <w:rPr>
          <w:rFonts w:hint="default"/>
          <w:highlight w:val="none"/>
          <w:lang w:val="en-US" w:eastAsia="zh-CN"/>
        </w:rPr>
        <w:t>（7）积极配合项目部工程部</w:t>
      </w:r>
      <w:r>
        <w:rPr>
          <w:rFonts w:hint="eastAsia"/>
          <w:highlight w:val="none"/>
          <w:lang w:val="en-US" w:eastAsia="zh-CN"/>
        </w:rPr>
        <w:t>、质检部</w:t>
      </w:r>
      <w:r>
        <w:rPr>
          <w:rFonts w:hint="default"/>
          <w:highlight w:val="none"/>
          <w:lang w:val="en-US" w:eastAsia="zh-CN"/>
        </w:rPr>
        <w:t>和监理的质检工作</w:t>
      </w:r>
      <w:r>
        <w:rPr>
          <w:rFonts w:hint="eastAsia"/>
          <w:highlight w:val="none"/>
          <w:lang w:val="en-US" w:eastAsia="zh-CN"/>
        </w:rPr>
        <w:t>，</w:t>
      </w:r>
      <w:r>
        <w:rPr>
          <w:rFonts w:hint="default"/>
          <w:highlight w:val="none"/>
          <w:lang w:val="en-US" w:eastAsia="zh-CN"/>
        </w:rPr>
        <w:t>对查出的质量问题积极并及时的进行处理。</w:t>
      </w:r>
    </w:p>
    <w:p w14:paraId="5120178F">
      <w:pPr>
        <w:pStyle w:val="4"/>
        <w:bidi w:val="0"/>
        <w:ind w:left="720" w:leftChars="0" w:hanging="720" w:firstLineChars="0"/>
      </w:pPr>
      <w:r>
        <w:rPr>
          <w:rFonts w:hint="eastAsia"/>
          <w:lang w:val="en-US" w:eastAsia="zh-CN"/>
        </w:rPr>
        <w:t xml:space="preserve">原材料进场检验 </w:t>
      </w:r>
    </w:p>
    <w:p w14:paraId="1CCD0DCF">
      <w:pPr>
        <w:ind w:firstLine="480"/>
        <w:rPr>
          <w:rFonts w:hint="eastAsia" w:ascii="宋体" w:hAnsi="宋体" w:eastAsia="宋体" w:cs="宋体"/>
          <w:color w:val="000000"/>
          <w:kern w:val="0"/>
          <w:sz w:val="24"/>
          <w:szCs w:val="24"/>
          <w:highlight w:val="none"/>
          <w:lang w:val="en-US" w:eastAsia="zh-CN" w:bidi="ar"/>
        </w:rPr>
      </w:pPr>
      <w:r>
        <w:rPr>
          <w:rFonts w:ascii="Times New Roman" w:hAnsi="Times New Roman" w:cs="Times New Roman"/>
          <w:highlight w:val="none"/>
        </w:rPr>
        <w:t>严格控制材料质量，原材的选用为正规单位及厂家通过正式招投标后，中标单位方可根据现场需求分批次采购材料，所有材料必须有材质证明书,需要二次检验的材料及时抽样检验，检定合格后方可使用，严格按照相关技术规范文件规定进行取样检验</w:t>
      </w:r>
      <w:r>
        <w:rPr>
          <w:rFonts w:hint="eastAsia" w:ascii="Times New Roman" w:hAnsi="Times New Roman" w:cs="Times New Roman"/>
          <w:highlight w:val="none"/>
          <w:lang w:eastAsia="zh-CN"/>
        </w:rPr>
        <w:t>。</w:t>
      </w:r>
    </w:p>
    <w:p w14:paraId="7109C8F4">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 xml:space="preserve">）原材料按照技术质量要求由专人采购与管理，采购人员和施工人员之间对各种原材料认真做好交接记录。 </w:t>
      </w:r>
    </w:p>
    <w:p w14:paraId="6187FF5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 xml:space="preserve">）原材料进厂（场）后，对原材料的品种、规格、数量以及质量证明书等进行验收核查，并按有关标准的规定取样和复验。经检验合格的原材料方可进厂（场）。对于检验不合格的原材料，按有关规定清除出厂（场）。 </w:t>
      </w:r>
    </w:p>
    <w:p w14:paraId="2FC1EA07">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）原材料进厂（场）后，及时建立</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原材料管理台账</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，内容包括材料名称、品种、规格、数量、生产单位、供货单位、</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质量证明书</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编号、</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复试检验报告</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编号、检验结果以及进货日期等。</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原材料管理台账</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填写正确、真实、齐全。</w:t>
      </w:r>
    </w:p>
    <w:p w14:paraId="6769F0A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 xml:space="preserve">）水泥、矿物掺合料等采用散料仓分别存储。袋装粉状材料在运输和存放期间采用专用库房存放，不得露天堆放，且特别注意防潮。 </w:t>
      </w:r>
    </w:p>
    <w:p w14:paraId="5E063C5E">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 xml:space="preserve">）粗骨料按技术条件要求分级采购、分级运输、分级堆放、分级计量。 </w:t>
      </w:r>
    </w:p>
    <w:p w14:paraId="2EA70517">
      <w:pPr>
        <w:keepNext w:val="0"/>
        <w:keepLines w:val="0"/>
        <w:widowControl/>
        <w:suppressLineNumbers w:val="0"/>
        <w:ind w:firstLine="480" w:firstLineChars="200"/>
        <w:jc w:val="left"/>
        <w:rPr>
          <w:rFonts w:hint="default"/>
          <w:highlight w:val="none"/>
          <w:lang w:val="en-US" w:eastAsia="zh-CN"/>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6</w:t>
      </w:r>
      <w:r>
        <w:rPr>
          <w:rFonts w:hint="eastAsia" w:ascii="宋体" w:hAnsi="宋体" w:eastAsia="宋体" w:cs="宋体"/>
          <w:color w:val="000000"/>
          <w:kern w:val="0"/>
          <w:sz w:val="24"/>
          <w:szCs w:val="24"/>
          <w:highlight w:val="none"/>
          <w:lang w:val="en-US" w:eastAsia="zh-CN" w:bidi="ar"/>
        </w:rPr>
        <w:t xml:space="preserve">）对原材料建立符合工厂化生产的堆放地点和明确的标识，标明材料名称、品种、生产厂家、生产日期和进厂（场）日期。原材料堆放时必须有堆放分界标识，以免误用。对骨料堆放场进行硬化处理，并设置必要的排水设施。 </w:t>
      </w:r>
    </w:p>
    <w:p w14:paraId="43FF6A24">
      <w:pPr>
        <w:pStyle w:val="4"/>
        <w:bidi w:val="0"/>
        <w:ind w:left="720" w:leftChars="0" w:hanging="720" w:firstLineChars="0"/>
        <w:rPr>
          <w:rFonts w:hint="eastAsia" w:ascii="宋体" w:hAnsi="宋体" w:eastAsia="宋体" w:cs="Times New Roman"/>
          <w:lang w:val="en-US" w:eastAsia="zh-CN"/>
        </w:rPr>
      </w:pPr>
      <w:r>
        <w:rPr>
          <w:rFonts w:hint="eastAsia" w:ascii="宋体" w:hAnsi="宋体" w:eastAsia="宋体" w:cs="Times New Roman"/>
          <w:lang w:val="en-US" w:eastAsia="zh-CN"/>
        </w:rPr>
        <w:t>机械设备保证质量措施</w:t>
      </w:r>
    </w:p>
    <w:p w14:paraId="501490B7">
      <w:pPr>
        <w:ind w:firstLine="480"/>
        <w:rPr>
          <w:rFonts w:ascii="Times New Roman" w:hAnsi="Times New Roman" w:cs="Times New Roman"/>
          <w:highlight w:val="none"/>
        </w:rPr>
      </w:pPr>
      <w:r>
        <w:rPr>
          <w:rFonts w:ascii="Times New Roman" w:hAnsi="Times New Roman" w:cs="Times New Roman"/>
          <w:highlight w:val="none"/>
        </w:rPr>
        <w:t>对进场的机械设备应定期维修，定人操作，明确机械的操作制度；工程所有数控设备具均应在鉴定的有效期内，设备进场后必须进行能力确认，或新数控设备应出具出厂合格证及设备合格证等。并健全日常维修保养制度，要确保它的精度，以提供准确可靠的计量数据。计量器具的检定、核准由试验员送所在地的法定检定机构检定或进行现场检定，在校验期内，每次使用前都应进行零点校核，保持计量准确。</w:t>
      </w:r>
    </w:p>
    <w:p w14:paraId="0CEA9F22">
      <w:pPr>
        <w:pStyle w:val="4"/>
        <w:bidi w:val="0"/>
        <w:ind w:left="720" w:leftChars="0" w:hanging="720" w:firstLineChars="0"/>
      </w:pPr>
      <w:bookmarkStart w:id="227" w:name="_Toc439617511"/>
      <w:bookmarkStart w:id="228" w:name="_Toc480156102"/>
      <w:bookmarkStart w:id="229" w:name="_Toc439690944"/>
      <w:r>
        <w:t>施工操作保证质量措施</w:t>
      </w:r>
      <w:bookmarkEnd w:id="227"/>
      <w:bookmarkEnd w:id="228"/>
      <w:bookmarkEnd w:id="229"/>
    </w:p>
    <w:p w14:paraId="330D6FDB">
      <w:pPr>
        <w:ind w:firstLine="480"/>
        <w:rPr>
          <w:rFonts w:ascii="Times New Roman" w:hAnsi="Times New Roman" w:cs="Times New Roman"/>
          <w:highlight w:val="none"/>
        </w:rPr>
      </w:pPr>
      <w:r>
        <w:rPr>
          <w:rFonts w:ascii="Times New Roman" w:hAnsi="Times New Roman" w:cs="Times New Roman"/>
          <w:highlight w:val="none"/>
        </w:rPr>
        <w:t>所有操作人员均选用具有丰富经验的工人，进入工地后进行安全生产三级教育，定期进行安全意识教育，职工必须熟悉本工种安全技术操作规程，掌握本工种操作技能，特殊工种持证上岗；对具体的分部分项工程及新工艺、新材料的使用要进行技术交底；每一次下达任务时施工员要对操作人员进行详细的技术交底。</w:t>
      </w:r>
    </w:p>
    <w:p w14:paraId="1C1339A8">
      <w:pPr>
        <w:pStyle w:val="4"/>
        <w:bidi w:val="0"/>
        <w:ind w:left="720" w:leftChars="0" w:hanging="720" w:firstLineChars="0"/>
      </w:pPr>
      <w:bookmarkStart w:id="230" w:name="_Toc475477278"/>
      <w:bookmarkStart w:id="231" w:name="_Toc475980807"/>
      <w:bookmarkStart w:id="232" w:name="_Toc7308"/>
      <w:r>
        <w:t>制度保证措施</w:t>
      </w:r>
      <w:bookmarkEnd w:id="230"/>
      <w:bookmarkEnd w:id="231"/>
      <w:bookmarkEnd w:id="232"/>
    </w:p>
    <w:p w14:paraId="381F2E7E">
      <w:pPr>
        <w:pStyle w:val="157"/>
        <w:rPr>
          <w:rFonts w:ascii="Times New Roman" w:hAnsi="Times New Roman"/>
          <w:highlight w:val="none"/>
        </w:rPr>
      </w:pPr>
      <w:r>
        <w:rPr>
          <w:rFonts w:ascii="Times New Roman" w:hAnsi="Times New Roman"/>
          <w:highlight w:val="none"/>
        </w:rPr>
        <w:t>对施工进行全过程的质量检查，对施工材料、施工方法</w:t>
      </w:r>
      <w:r>
        <w:rPr>
          <w:rFonts w:hint="eastAsia" w:ascii="Times New Roman" w:hAnsi="Times New Roman"/>
          <w:highlight w:val="none"/>
        </w:rPr>
        <w:t>等</w:t>
      </w:r>
      <w:r>
        <w:rPr>
          <w:rFonts w:ascii="Times New Roman" w:hAnsi="Times New Roman"/>
          <w:highlight w:val="none"/>
        </w:rPr>
        <w:t>随时进行抽查。</w:t>
      </w:r>
    </w:p>
    <w:p w14:paraId="75618C0F">
      <w:pPr>
        <w:pStyle w:val="157"/>
        <w:rPr>
          <w:rFonts w:ascii="Times New Roman" w:hAnsi="Times New Roman"/>
          <w:highlight w:val="none"/>
        </w:rPr>
      </w:pPr>
      <w:r>
        <w:rPr>
          <w:rFonts w:ascii="Times New Roman" w:hAnsi="Times New Roman"/>
          <w:highlight w:val="none"/>
        </w:rPr>
        <w:t>对施工过程中出现的违规、违制、严重影响项目驻地施工质量的行为予以制止，并令其停工或返工。</w:t>
      </w:r>
    </w:p>
    <w:p w14:paraId="3F6CC813">
      <w:pPr>
        <w:pStyle w:val="157"/>
        <w:rPr>
          <w:rFonts w:ascii="Times New Roman" w:hAnsi="Times New Roman"/>
          <w:highlight w:val="none"/>
        </w:rPr>
      </w:pPr>
      <w:r>
        <w:rPr>
          <w:rFonts w:ascii="Times New Roman" w:hAnsi="Times New Roman"/>
          <w:highlight w:val="none"/>
        </w:rPr>
        <w:t>临时设施的承包单位应由相应资质的施工队伍承担，作业人员应持证上岗。</w:t>
      </w:r>
    </w:p>
    <w:p w14:paraId="252C5E78">
      <w:pPr>
        <w:pStyle w:val="3"/>
        <w:bidi w:val="0"/>
        <w:ind w:left="575" w:leftChars="0" w:hanging="575" w:firstLineChars="0"/>
      </w:pPr>
      <w:bookmarkStart w:id="233" w:name="_Toc533345493"/>
      <w:bookmarkStart w:id="234" w:name="_Toc31784"/>
      <w:bookmarkStart w:id="235" w:name="_Toc30509"/>
      <w:bookmarkStart w:id="236" w:name="_Toc8137"/>
      <w:bookmarkStart w:id="237" w:name="_Toc20735"/>
      <w:r>
        <w:rPr>
          <w:rFonts w:hint="eastAsia"/>
        </w:rPr>
        <w:t>作业过程中控制点的设置</w:t>
      </w:r>
      <w:bookmarkEnd w:id="233"/>
      <w:bookmarkEnd w:id="234"/>
      <w:bookmarkEnd w:id="235"/>
      <w:bookmarkEnd w:id="236"/>
      <w:bookmarkEnd w:id="237"/>
    </w:p>
    <w:p w14:paraId="6857B624">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表5-2 关键控制点</w:t>
      </w:r>
    </w:p>
    <w:tbl>
      <w:tblPr>
        <w:tblStyle w:val="30"/>
        <w:tblW w:w="9049"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6"/>
        <w:gridCol w:w="3895"/>
        <w:gridCol w:w="810"/>
        <w:gridCol w:w="949"/>
        <w:gridCol w:w="954"/>
        <w:gridCol w:w="701"/>
        <w:gridCol w:w="854"/>
      </w:tblGrid>
      <w:tr w14:paraId="1044E7A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vMerge w:val="restart"/>
            <w:tcBorders>
              <w:tl2br w:val="nil"/>
              <w:tr2bl w:val="nil"/>
            </w:tcBorders>
            <w:shd w:val="clear" w:color="auto" w:fill="D6DCE5" w:themeFill="text2" w:themeFillTint="32"/>
            <w:vAlign w:val="center"/>
          </w:tcPr>
          <w:p w14:paraId="27E175D3">
            <w:pPr>
              <w:pStyle w:val="105"/>
              <w:bidi w:val="0"/>
              <w:rPr>
                <w:rFonts w:hint="eastAsia"/>
                <w:highlight w:val="none"/>
              </w:rPr>
            </w:pPr>
            <w:r>
              <w:rPr>
                <w:rFonts w:hint="eastAsia"/>
                <w:highlight w:val="none"/>
              </w:rPr>
              <w:t>序号</w:t>
            </w:r>
          </w:p>
        </w:tc>
        <w:tc>
          <w:tcPr>
            <w:tcW w:w="3895" w:type="dxa"/>
            <w:vMerge w:val="restart"/>
            <w:tcBorders>
              <w:tl2br w:val="nil"/>
              <w:tr2bl w:val="nil"/>
            </w:tcBorders>
            <w:shd w:val="clear" w:color="auto" w:fill="D6DCE5" w:themeFill="text2" w:themeFillTint="32"/>
            <w:vAlign w:val="center"/>
          </w:tcPr>
          <w:p w14:paraId="466E7B7F">
            <w:pPr>
              <w:pStyle w:val="105"/>
              <w:bidi w:val="0"/>
              <w:rPr>
                <w:rFonts w:hint="eastAsia"/>
                <w:highlight w:val="none"/>
              </w:rPr>
            </w:pPr>
            <w:r>
              <w:rPr>
                <w:rFonts w:hint="eastAsia"/>
                <w:highlight w:val="none"/>
              </w:rPr>
              <w:t>作业控制点</w:t>
            </w:r>
          </w:p>
        </w:tc>
        <w:tc>
          <w:tcPr>
            <w:tcW w:w="3414" w:type="dxa"/>
            <w:gridSpan w:val="4"/>
            <w:tcBorders>
              <w:tl2br w:val="nil"/>
              <w:tr2bl w:val="nil"/>
            </w:tcBorders>
            <w:shd w:val="clear" w:color="auto" w:fill="D6DCE5" w:themeFill="text2" w:themeFillTint="32"/>
            <w:vAlign w:val="center"/>
          </w:tcPr>
          <w:p w14:paraId="197A0367">
            <w:pPr>
              <w:pStyle w:val="105"/>
              <w:bidi w:val="0"/>
              <w:rPr>
                <w:rFonts w:hint="eastAsia"/>
                <w:highlight w:val="none"/>
              </w:rPr>
            </w:pPr>
            <w:r>
              <w:rPr>
                <w:rFonts w:hint="eastAsia"/>
                <w:highlight w:val="none"/>
              </w:rPr>
              <w:t>检验单位</w:t>
            </w:r>
          </w:p>
        </w:tc>
        <w:tc>
          <w:tcPr>
            <w:tcW w:w="854" w:type="dxa"/>
            <w:vMerge w:val="restart"/>
            <w:tcBorders>
              <w:tl2br w:val="nil"/>
              <w:tr2bl w:val="nil"/>
            </w:tcBorders>
            <w:shd w:val="clear" w:color="auto" w:fill="D6DCE5" w:themeFill="text2" w:themeFillTint="32"/>
            <w:vAlign w:val="center"/>
          </w:tcPr>
          <w:p w14:paraId="61A9ACD2">
            <w:pPr>
              <w:pStyle w:val="105"/>
              <w:bidi w:val="0"/>
              <w:rPr>
                <w:rFonts w:hint="eastAsia"/>
                <w:highlight w:val="none"/>
              </w:rPr>
            </w:pPr>
            <w:r>
              <w:rPr>
                <w:rFonts w:hint="eastAsia"/>
                <w:highlight w:val="none"/>
              </w:rPr>
              <w:t>见证</w:t>
            </w:r>
          </w:p>
          <w:p w14:paraId="4919DD31">
            <w:pPr>
              <w:pStyle w:val="105"/>
              <w:bidi w:val="0"/>
              <w:rPr>
                <w:rFonts w:hint="eastAsia"/>
                <w:highlight w:val="none"/>
              </w:rPr>
            </w:pPr>
            <w:r>
              <w:rPr>
                <w:rFonts w:hint="eastAsia"/>
                <w:highlight w:val="none"/>
              </w:rPr>
              <w:t>方式</w:t>
            </w:r>
          </w:p>
        </w:tc>
      </w:tr>
      <w:tr w14:paraId="52089D9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vMerge w:val="continue"/>
            <w:tcBorders>
              <w:tl2br w:val="nil"/>
              <w:tr2bl w:val="nil"/>
            </w:tcBorders>
            <w:shd w:val="clear" w:color="auto" w:fill="D6DCE5" w:themeFill="text2" w:themeFillTint="32"/>
            <w:vAlign w:val="center"/>
          </w:tcPr>
          <w:p w14:paraId="166A4DBC">
            <w:pPr>
              <w:pStyle w:val="105"/>
              <w:bidi w:val="0"/>
              <w:rPr>
                <w:rFonts w:hint="eastAsia"/>
                <w:highlight w:val="none"/>
              </w:rPr>
            </w:pPr>
          </w:p>
        </w:tc>
        <w:tc>
          <w:tcPr>
            <w:tcW w:w="3895" w:type="dxa"/>
            <w:vMerge w:val="continue"/>
            <w:tcBorders>
              <w:tl2br w:val="nil"/>
              <w:tr2bl w:val="nil"/>
            </w:tcBorders>
            <w:shd w:val="clear" w:color="auto" w:fill="D6DCE5" w:themeFill="text2" w:themeFillTint="32"/>
            <w:vAlign w:val="center"/>
          </w:tcPr>
          <w:p w14:paraId="698046EC">
            <w:pPr>
              <w:pStyle w:val="105"/>
              <w:bidi w:val="0"/>
              <w:rPr>
                <w:rFonts w:hint="eastAsia"/>
                <w:highlight w:val="none"/>
              </w:rPr>
            </w:pPr>
          </w:p>
        </w:tc>
        <w:tc>
          <w:tcPr>
            <w:tcW w:w="810" w:type="dxa"/>
            <w:tcBorders>
              <w:tl2br w:val="nil"/>
              <w:tr2bl w:val="nil"/>
            </w:tcBorders>
            <w:shd w:val="clear" w:color="auto" w:fill="D6DCE5" w:themeFill="text2" w:themeFillTint="32"/>
            <w:vAlign w:val="center"/>
          </w:tcPr>
          <w:p w14:paraId="6A35279A">
            <w:pPr>
              <w:pStyle w:val="105"/>
              <w:bidi w:val="0"/>
              <w:rPr>
                <w:rFonts w:hint="eastAsia"/>
                <w:highlight w:val="none"/>
              </w:rPr>
            </w:pPr>
            <w:r>
              <w:rPr>
                <w:rFonts w:hint="eastAsia"/>
                <w:highlight w:val="none"/>
              </w:rPr>
              <w:t>班组</w:t>
            </w:r>
          </w:p>
        </w:tc>
        <w:tc>
          <w:tcPr>
            <w:tcW w:w="949" w:type="dxa"/>
            <w:tcBorders>
              <w:tl2br w:val="nil"/>
              <w:tr2bl w:val="nil"/>
            </w:tcBorders>
            <w:shd w:val="clear" w:color="auto" w:fill="D6DCE5" w:themeFill="text2" w:themeFillTint="32"/>
            <w:vAlign w:val="center"/>
          </w:tcPr>
          <w:p w14:paraId="1C7D88D6">
            <w:pPr>
              <w:pStyle w:val="105"/>
              <w:bidi w:val="0"/>
              <w:rPr>
                <w:rFonts w:hint="default"/>
                <w:highlight w:val="none"/>
                <w:lang w:val="en-US" w:eastAsia="zh-CN"/>
              </w:rPr>
            </w:pPr>
            <w:r>
              <w:rPr>
                <w:rFonts w:hint="eastAsia"/>
                <w:highlight w:val="none"/>
                <w:lang w:val="en-US" w:eastAsia="zh-CN"/>
              </w:rPr>
              <w:t>设备部门</w:t>
            </w:r>
          </w:p>
        </w:tc>
        <w:tc>
          <w:tcPr>
            <w:tcW w:w="954" w:type="dxa"/>
            <w:tcBorders>
              <w:tl2br w:val="nil"/>
              <w:tr2bl w:val="nil"/>
            </w:tcBorders>
            <w:shd w:val="clear" w:color="auto" w:fill="D6DCE5" w:themeFill="text2" w:themeFillTint="32"/>
            <w:vAlign w:val="center"/>
          </w:tcPr>
          <w:p w14:paraId="52148D89">
            <w:pPr>
              <w:pStyle w:val="105"/>
              <w:bidi w:val="0"/>
              <w:rPr>
                <w:rFonts w:hint="eastAsia"/>
                <w:highlight w:val="none"/>
              </w:rPr>
            </w:pPr>
            <w:r>
              <w:rPr>
                <w:rFonts w:hint="eastAsia"/>
                <w:highlight w:val="none"/>
              </w:rPr>
              <w:t>项目质检部门</w:t>
            </w:r>
          </w:p>
        </w:tc>
        <w:tc>
          <w:tcPr>
            <w:tcW w:w="701" w:type="dxa"/>
            <w:tcBorders>
              <w:tl2br w:val="nil"/>
              <w:tr2bl w:val="nil"/>
            </w:tcBorders>
            <w:shd w:val="clear" w:color="auto" w:fill="D6DCE5" w:themeFill="text2" w:themeFillTint="32"/>
            <w:vAlign w:val="center"/>
          </w:tcPr>
          <w:p w14:paraId="1500D891">
            <w:pPr>
              <w:pStyle w:val="105"/>
              <w:bidi w:val="0"/>
              <w:rPr>
                <w:rFonts w:hint="eastAsia"/>
                <w:highlight w:val="none"/>
              </w:rPr>
            </w:pPr>
            <w:r>
              <w:rPr>
                <w:rFonts w:hint="eastAsia"/>
                <w:highlight w:val="none"/>
              </w:rPr>
              <w:t>监理</w:t>
            </w:r>
          </w:p>
        </w:tc>
        <w:tc>
          <w:tcPr>
            <w:tcW w:w="854" w:type="dxa"/>
            <w:vMerge w:val="continue"/>
            <w:tcBorders>
              <w:tl2br w:val="nil"/>
              <w:tr2bl w:val="nil"/>
            </w:tcBorders>
            <w:shd w:val="clear" w:color="auto" w:fill="D6DCE5" w:themeFill="text2" w:themeFillTint="32"/>
            <w:vAlign w:val="center"/>
          </w:tcPr>
          <w:p w14:paraId="603E51B1">
            <w:pPr>
              <w:pStyle w:val="105"/>
              <w:bidi w:val="0"/>
              <w:rPr>
                <w:rFonts w:hint="eastAsia"/>
                <w:highlight w:val="none"/>
              </w:rPr>
            </w:pPr>
          </w:p>
        </w:tc>
      </w:tr>
      <w:tr w14:paraId="590F30A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AD35331">
            <w:pPr>
              <w:pStyle w:val="105"/>
              <w:bidi w:val="0"/>
              <w:rPr>
                <w:rFonts w:hint="eastAsia"/>
                <w:highlight w:val="none"/>
              </w:rPr>
            </w:pPr>
            <w:r>
              <w:rPr>
                <w:rFonts w:hint="eastAsia"/>
                <w:highlight w:val="none"/>
              </w:rPr>
              <w:t>1</w:t>
            </w:r>
          </w:p>
        </w:tc>
        <w:tc>
          <w:tcPr>
            <w:tcW w:w="3895" w:type="dxa"/>
            <w:tcBorders>
              <w:tl2br w:val="nil"/>
              <w:tr2bl w:val="nil"/>
            </w:tcBorders>
            <w:vAlign w:val="center"/>
          </w:tcPr>
          <w:p w14:paraId="2926C56B">
            <w:pPr>
              <w:pStyle w:val="105"/>
              <w:bidi w:val="0"/>
              <w:rPr>
                <w:rFonts w:hint="eastAsia"/>
                <w:highlight w:val="none"/>
              </w:rPr>
            </w:pPr>
            <w:r>
              <w:rPr>
                <w:rFonts w:hint="eastAsia"/>
                <w:highlight w:val="none"/>
              </w:rPr>
              <w:t>施工中防止部件磕碰和交叉作业现象</w:t>
            </w:r>
          </w:p>
        </w:tc>
        <w:tc>
          <w:tcPr>
            <w:tcW w:w="810" w:type="dxa"/>
            <w:tcBorders>
              <w:tl2br w:val="nil"/>
              <w:tr2bl w:val="nil"/>
            </w:tcBorders>
            <w:vAlign w:val="center"/>
          </w:tcPr>
          <w:p w14:paraId="32FE17C0">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1890EE13">
            <w:pPr>
              <w:pStyle w:val="105"/>
              <w:bidi w:val="0"/>
              <w:rPr>
                <w:rFonts w:hint="eastAsia"/>
                <w:highlight w:val="none"/>
              </w:rPr>
            </w:pPr>
          </w:p>
        </w:tc>
        <w:tc>
          <w:tcPr>
            <w:tcW w:w="954" w:type="dxa"/>
            <w:tcBorders>
              <w:tl2br w:val="nil"/>
              <w:tr2bl w:val="nil"/>
            </w:tcBorders>
            <w:vAlign w:val="center"/>
          </w:tcPr>
          <w:p w14:paraId="3AF2F6C8">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30238F0C">
            <w:pPr>
              <w:pStyle w:val="105"/>
              <w:bidi w:val="0"/>
              <w:rPr>
                <w:rFonts w:hint="eastAsia"/>
                <w:highlight w:val="none"/>
              </w:rPr>
            </w:pPr>
          </w:p>
        </w:tc>
        <w:tc>
          <w:tcPr>
            <w:tcW w:w="854" w:type="dxa"/>
            <w:tcBorders>
              <w:tl2br w:val="nil"/>
              <w:tr2bl w:val="nil"/>
            </w:tcBorders>
            <w:vAlign w:val="center"/>
          </w:tcPr>
          <w:p w14:paraId="20E280AF">
            <w:pPr>
              <w:pStyle w:val="105"/>
              <w:bidi w:val="0"/>
              <w:rPr>
                <w:rFonts w:hint="eastAsia"/>
                <w:highlight w:val="none"/>
              </w:rPr>
            </w:pPr>
            <w:r>
              <w:rPr>
                <w:rFonts w:hint="eastAsia"/>
                <w:highlight w:val="none"/>
              </w:rPr>
              <w:t>R</w:t>
            </w:r>
          </w:p>
        </w:tc>
      </w:tr>
      <w:tr w14:paraId="0EF9F9E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7D7D08C">
            <w:pPr>
              <w:pStyle w:val="105"/>
              <w:bidi w:val="0"/>
              <w:rPr>
                <w:rFonts w:hint="eastAsia"/>
                <w:highlight w:val="none"/>
              </w:rPr>
            </w:pPr>
            <w:r>
              <w:rPr>
                <w:rFonts w:hint="eastAsia"/>
                <w:highlight w:val="none"/>
              </w:rPr>
              <w:t>2</w:t>
            </w:r>
          </w:p>
        </w:tc>
        <w:tc>
          <w:tcPr>
            <w:tcW w:w="3895" w:type="dxa"/>
            <w:tcBorders>
              <w:tl2br w:val="nil"/>
              <w:tr2bl w:val="nil"/>
            </w:tcBorders>
            <w:vAlign w:val="center"/>
          </w:tcPr>
          <w:p w14:paraId="36871E1C">
            <w:pPr>
              <w:pStyle w:val="105"/>
              <w:bidi w:val="0"/>
              <w:rPr>
                <w:rFonts w:hint="eastAsia"/>
                <w:highlight w:val="none"/>
              </w:rPr>
            </w:pPr>
            <w:r>
              <w:rPr>
                <w:rFonts w:hint="eastAsia"/>
                <w:highlight w:val="none"/>
              </w:rPr>
              <w:t>作业工机具、卡索具完好无损，无人员、设备损伤</w:t>
            </w:r>
          </w:p>
        </w:tc>
        <w:tc>
          <w:tcPr>
            <w:tcW w:w="810" w:type="dxa"/>
            <w:tcBorders>
              <w:tl2br w:val="nil"/>
              <w:tr2bl w:val="nil"/>
            </w:tcBorders>
            <w:vAlign w:val="center"/>
          </w:tcPr>
          <w:p w14:paraId="4743904A">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7D77F3A2">
            <w:pPr>
              <w:pStyle w:val="105"/>
              <w:bidi w:val="0"/>
              <w:rPr>
                <w:rFonts w:hint="eastAsia"/>
                <w:highlight w:val="none"/>
              </w:rPr>
            </w:pPr>
          </w:p>
        </w:tc>
        <w:tc>
          <w:tcPr>
            <w:tcW w:w="954" w:type="dxa"/>
            <w:tcBorders>
              <w:tl2br w:val="nil"/>
              <w:tr2bl w:val="nil"/>
            </w:tcBorders>
            <w:vAlign w:val="center"/>
          </w:tcPr>
          <w:p w14:paraId="0DB36CBD">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5694CBDA">
            <w:pPr>
              <w:pStyle w:val="105"/>
              <w:bidi w:val="0"/>
              <w:rPr>
                <w:rFonts w:hint="eastAsia"/>
                <w:highlight w:val="none"/>
              </w:rPr>
            </w:pPr>
          </w:p>
        </w:tc>
        <w:tc>
          <w:tcPr>
            <w:tcW w:w="854" w:type="dxa"/>
            <w:tcBorders>
              <w:tl2br w:val="nil"/>
              <w:tr2bl w:val="nil"/>
            </w:tcBorders>
            <w:vAlign w:val="center"/>
          </w:tcPr>
          <w:p w14:paraId="6B1C1CA1">
            <w:pPr>
              <w:pStyle w:val="105"/>
              <w:bidi w:val="0"/>
              <w:rPr>
                <w:rFonts w:hint="eastAsia"/>
                <w:highlight w:val="none"/>
              </w:rPr>
            </w:pPr>
            <w:r>
              <w:rPr>
                <w:rFonts w:hint="eastAsia"/>
                <w:highlight w:val="none"/>
              </w:rPr>
              <w:t>S</w:t>
            </w:r>
          </w:p>
        </w:tc>
      </w:tr>
      <w:tr w14:paraId="66E9353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EF0AC30">
            <w:pPr>
              <w:pStyle w:val="105"/>
              <w:bidi w:val="0"/>
              <w:rPr>
                <w:rFonts w:hint="eastAsia"/>
                <w:highlight w:val="none"/>
              </w:rPr>
            </w:pPr>
            <w:r>
              <w:rPr>
                <w:rFonts w:hint="eastAsia"/>
                <w:highlight w:val="none"/>
              </w:rPr>
              <w:t>3</w:t>
            </w:r>
          </w:p>
        </w:tc>
        <w:tc>
          <w:tcPr>
            <w:tcW w:w="3895" w:type="dxa"/>
            <w:tcBorders>
              <w:tl2br w:val="nil"/>
              <w:tr2bl w:val="nil"/>
            </w:tcBorders>
            <w:vAlign w:val="center"/>
          </w:tcPr>
          <w:p w14:paraId="26EF2B2C">
            <w:pPr>
              <w:pStyle w:val="105"/>
              <w:bidi w:val="0"/>
              <w:rPr>
                <w:rFonts w:hint="eastAsia"/>
                <w:highlight w:val="none"/>
              </w:rPr>
            </w:pPr>
            <w:r>
              <w:rPr>
                <w:rFonts w:hint="eastAsia"/>
                <w:highlight w:val="none"/>
              </w:rPr>
              <w:t>各组件、零部件安全顺利安装，无损坏或变形</w:t>
            </w:r>
          </w:p>
        </w:tc>
        <w:tc>
          <w:tcPr>
            <w:tcW w:w="810" w:type="dxa"/>
            <w:tcBorders>
              <w:tl2br w:val="nil"/>
              <w:tr2bl w:val="nil"/>
            </w:tcBorders>
            <w:vAlign w:val="center"/>
          </w:tcPr>
          <w:p w14:paraId="5073ACAD">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0473AD78">
            <w:pPr>
              <w:pStyle w:val="105"/>
              <w:bidi w:val="0"/>
              <w:rPr>
                <w:rFonts w:hint="eastAsia"/>
                <w:highlight w:val="none"/>
              </w:rPr>
            </w:pPr>
          </w:p>
        </w:tc>
        <w:tc>
          <w:tcPr>
            <w:tcW w:w="954" w:type="dxa"/>
            <w:tcBorders>
              <w:tl2br w:val="nil"/>
              <w:tr2bl w:val="nil"/>
            </w:tcBorders>
            <w:vAlign w:val="center"/>
          </w:tcPr>
          <w:p w14:paraId="3CB340B1">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23C468E8">
            <w:pPr>
              <w:pStyle w:val="105"/>
              <w:bidi w:val="0"/>
              <w:rPr>
                <w:rFonts w:hint="eastAsia"/>
                <w:highlight w:val="none"/>
              </w:rPr>
            </w:pPr>
          </w:p>
        </w:tc>
        <w:tc>
          <w:tcPr>
            <w:tcW w:w="854" w:type="dxa"/>
            <w:tcBorders>
              <w:tl2br w:val="nil"/>
              <w:tr2bl w:val="nil"/>
            </w:tcBorders>
            <w:vAlign w:val="center"/>
          </w:tcPr>
          <w:p w14:paraId="28FC9697">
            <w:pPr>
              <w:pStyle w:val="105"/>
              <w:bidi w:val="0"/>
              <w:rPr>
                <w:rFonts w:hint="eastAsia"/>
                <w:highlight w:val="none"/>
              </w:rPr>
            </w:pPr>
            <w:r>
              <w:rPr>
                <w:rFonts w:hint="eastAsia"/>
                <w:highlight w:val="none"/>
              </w:rPr>
              <w:t>W</w:t>
            </w:r>
          </w:p>
        </w:tc>
      </w:tr>
      <w:tr w14:paraId="38C9D14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9B58B01">
            <w:pPr>
              <w:pStyle w:val="105"/>
              <w:bidi w:val="0"/>
              <w:rPr>
                <w:rFonts w:hint="eastAsia"/>
                <w:highlight w:val="none"/>
              </w:rPr>
            </w:pPr>
            <w:r>
              <w:rPr>
                <w:rFonts w:hint="eastAsia"/>
                <w:highlight w:val="none"/>
              </w:rPr>
              <w:t>4</w:t>
            </w:r>
          </w:p>
        </w:tc>
        <w:tc>
          <w:tcPr>
            <w:tcW w:w="3895" w:type="dxa"/>
            <w:tcBorders>
              <w:tl2br w:val="nil"/>
              <w:tr2bl w:val="nil"/>
            </w:tcBorders>
            <w:vAlign w:val="center"/>
          </w:tcPr>
          <w:p w14:paraId="1711B9CB">
            <w:pPr>
              <w:pStyle w:val="105"/>
              <w:bidi w:val="0"/>
              <w:rPr>
                <w:rFonts w:hint="eastAsia"/>
                <w:highlight w:val="none"/>
              </w:rPr>
            </w:pPr>
            <w:r>
              <w:rPr>
                <w:rFonts w:hint="eastAsia"/>
                <w:highlight w:val="none"/>
              </w:rPr>
              <w:t>做好各组件、零部件安装后清点、整理和存放工作。</w:t>
            </w:r>
          </w:p>
        </w:tc>
        <w:tc>
          <w:tcPr>
            <w:tcW w:w="810" w:type="dxa"/>
            <w:tcBorders>
              <w:tl2br w:val="nil"/>
              <w:tr2bl w:val="nil"/>
            </w:tcBorders>
            <w:vAlign w:val="center"/>
          </w:tcPr>
          <w:p w14:paraId="47AF7E7E">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518FC81D">
            <w:pPr>
              <w:pStyle w:val="105"/>
              <w:bidi w:val="0"/>
              <w:rPr>
                <w:rFonts w:hint="eastAsia"/>
                <w:highlight w:val="none"/>
              </w:rPr>
            </w:pPr>
          </w:p>
        </w:tc>
        <w:tc>
          <w:tcPr>
            <w:tcW w:w="954" w:type="dxa"/>
            <w:tcBorders>
              <w:tl2br w:val="nil"/>
              <w:tr2bl w:val="nil"/>
            </w:tcBorders>
            <w:vAlign w:val="center"/>
          </w:tcPr>
          <w:p w14:paraId="07E606BE">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1771F79E">
            <w:pPr>
              <w:pStyle w:val="105"/>
              <w:bidi w:val="0"/>
              <w:rPr>
                <w:rFonts w:hint="eastAsia"/>
                <w:highlight w:val="none"/>
              </w:rPr>
            </w:pPr>
          </w:p>
        </w:tc>
        <w:tc>
          <w:tcPr>
            <w:tcW w:w="854" w:type="dxa"/>
            <w:tcBorders>
              <w:tl2br w:val="nil"/>
              <w:tr2bl w:val="nil"/>
            </w:tcBorders>
            <w:vAlign w:val="center"/>
          </w:tcPr>
          <w:p w14:paraId="7DDE6275">
            <w:pPr>
              <w:pStyle w:val="105"/>
              <w:bidi w:val="0"/>
              <w:rPr>
                <w:rFonts w:hint="eastAsia"/>
                <w:highlight w:val="none"/>
              </w:rPr>
            </w:pPr>
            <w:r>
              <w:rPr>
                <w:rFonts w:hint="eastAsia"/>
                <w:highlight w:val="none"/>
              </w:rPr>
              <w:t>W</w:t>
            </w:r>
          </w:p>
        </w:tc>
      </w:tr>
      <w:tr w14:paraId="5C43925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9835767">
            <w:pPr>
              <w:pStyle w:val="105"/>
              <w:bidi w:val="0"/>
              <w:rPr>
                <w:rFonts w:hint="eastAsia"/>
                <w:highlight w:val="none"/>
              </w:rPr>
            </w:pPr>
            <w:r>
              <w:rPr>
                <w:rFonts w:hint="eastAsia"/>
                <w:highlight w:val="none"/>
              </w:rPr>
              <w:t>5</w:t>
            </w:r>
          </w:p>
        </w:tc>
        <w:tc>
          <w:tcPr>
            <w:tcW w:w="3895" w:type="dxa"/>
            <w:tcBorders>
              <w:tl2br w:val="nil"/>
              <w:tr2bl w:val="nil"/>
            </w:tcBorders>
            <w:vAlign w:val="center"/>
          </w:tcPr>
          <w:p w14:paraId="5D74F63C">
            <w:pPr>
              <w:pStyle w:val="105"/>
              <w:bidi w:val="0"/>
              <w:rPr>
                <w:rFonts w:hint="eastAsia"/>
                <w:highlight w:val="none"/>
              </w:rPr>
            </w:pPr>
            <w:r>
              <w:rPr>
                <w:rFonts w:hint="eastAsia"/>
                <w:highlight w:val="none"/>
              </w:rPr>
              <w:t>作业方法应该按照说明书和本方案要求严格执行</w:t>
            </w:r>
          </w:p>
        </w:tc>
        <w:tc>
          <w:tcPr>
            <w:tcW w:w="810" w:type="dxa"/>
            <w:tcBorders>
              <w:tl2br w:val="nil"/>
              <w:tr2bl w:val="nil"/>
            </w:tcBorders>
            <w:vAlign w:val="center"/>
          </w:tcPr>
          <w:p w14:paraId="6AECEAB9">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11715C72">
            <w:pPr>
              <w:pStyle w:val="105"/>
              <w:bidi w:val="0"/>
              <w:rPr>
                <w:rFonts w:hint="eastAsia"/>
                <w:highlight w:val="none"/>
              </w:rPr>
            </w:pPr>
          </w:p>
        </w:tc>
        <w:tc>
          <w:tcPr>
            <w:tcW w:w="954" w:type="dxa"/>
            <w:tcBorders>
              <w:tl2br w:val="nil"/>
              <w:tr2bl w:val="nil"/>
            </w:tcBorders>
            <w:vAlign w:val="center"/>
          </w:tcPr>
          <w:p w14:paraId="36C59DCE">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5D993AD2">
            <w:pPr>
              <w:pStyle w:val="105"/>
              <w:bidi w:val="0"/>
              <w:rPr>
                <w:rFonts w:hint="eastAsia"/>
                <w:highlight w:val="none"/>
              </w:rPr>
            </w:pPr>
          </w:p>
        </w:tc>
        <w:tc>
          <w:tcPr>
            <w:tcW w:w="854" w:type="dxa"/>
            <w:tcBorders>
              <w:tl2br w:val="nil"/>
              <w:tr2bl w:val="nil"/>
            </w:tcBorders>
            <w:vAlign w:val="center"/>
          </w:tcPr>
          <w:p w14:paraId="06A6E5F1">
            <w:pPr>
              <w:pStyle w:val="105"/>
              <w:bidi w:val="0"/>
              <w:rPr>
                <w:rFonts w:hint="eastAsia"/>
                <w:highlight w:val="none"/>
              </w:rPr>
            </w:pPr>
            <w:r>
              <w:rPr>
                <w:rFonts w:hint="eastAsia"/>
                <w:highlight w:val="none"/>
              </w:rPr>
              <w:t>R</w:t>
            </w:r>
          </w:p>
        </w:tc>
      </w:tr>
      <w:tr w14:paraId="21BC96D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93304EB">
            <w:pPr>
              <w:pStyle w:val="105"/>
              <w:bidi w:val="0"/>
              <w:rPr>
                <w:rFonts w:hint="eastAsia"/>
                <w:highlight w:val="none"/>
                <w:lang w:val="en-US" w:eastAsia="zh-CN"/>
              </w:rPr>
            </w:pPr>
            <w:r>
              <w:rPr>
                <w:rFonts w:hint="eastAsia"/>
                <w:highlight w:val="none"/>
                <w:lang w:val="en-US" w:eastAsia="zh-CN"/>
              </w:rPr>
              <w:t>6</w:t>
            </w:r>
          </w:p>
        </w:tc>
        <w:tc>
          <w:tcPr>
            <w:tcW w:w="3895" w:type="dxa"/>
            <w:tcBorders>
              <w:tl2br w:val="nil"/>
              <w:tr2bl w:val="nil"/>
            </w:tcBorders>
            <w:vAlign w:val="center"/>
          </w:tcPr>
          <w:p w14:paraId="6CE3555D">
            <w:pPr>
              <w:pStyle w:val="105"/>
              <w:bidi w:val="0"/>
              <w:rPr>
                <w:rFonts w:hint="default"/>
                <w:highlight w:val="none"/>
                <w:lang w:val="en-US" w:eastAsia="zh-CN"/>
              </w:rPr>
            </w:pPr>
            <w:r>
              <w:rPr>
                <w:rFonts w:hint="eastAsia"/>
                <w:highlight w:val="none"/>
                <w:lang w:val="en-US" w:eastAsia="zh-CN"/>
              </w:rPr>
              <w:t>。。。</w:t>
            </w:r>
          </w:p>
        </w:tc>
        <w:tc>
          <w:tcPr>
            <w:tcW w:w="810" w:type="dxa"/>
            <w:tcBorders>
              <w:tl2br w:val="nil"/>
              <w:tr2bl w:val="nil"/>
            </w:tcBorders>
            <w:vAlign w:val="center"/>
          </w:tcPr>
          <w:p w14:paraId="377395A7">
            <w:pPr>
              <w:pStyle w:val="105"/>
              <w:bidi w:val="0"/>
              <w:rPr>
                <w:rFonts w:hint="eastAsia"/>
                <w:highlight w:val="none"/>
              </w:rPr>
            </w:pPr>
          </w:p>
        </w:tc>
        <w:tc>
          <w:tcPr>
            <w:tcW w:w="949" w:type="dxa"/>
            <w:tcBorders>
              <w:tl2br w:val="nil"/>
              <w:tr2bl w:val="nil"/>
            </w:tcBorders>
            <w:vAlign w:val="center"/>
          </w:tcPr>
          <w:p w14:paraId="06D29CEA">
            <w:pPr>
              <w:pStyle w:val="105"/>
              <w:bidi w:val="0"/>
              <w:rPr>
                <w:rFonts w:hint="eastAsia"/>
                <w:highlight w:val="none"/>
              </w:rPr>
            </w:pPr>
          </w:p>
        </w:tc>
        <w:tc>
          <w:tcPr>
            <w:tcW w:w="954" w:type="dxa"/>
            <w:tcBorders>
              <w:tl2br w:val="nil"/>
              <w:tr2bl w:val="nil"/>
            </w:tcBorders>
            <w:vAlign w:val="center"/>
          </w:tcPr>
          <w:p w14:paraId="0D65003F">
            <w:pPr>
              <w:pStyle w:val="105"/>
              <w:bidi w:val="0"/>
              <w:rPr>
                <w:rFonts w:hint="eastAsia"/>
                <w:highlight w:val="none"/>
              </w:rPr>
            </w:pPr>
          </w:p>
        </w:tc>
        <w:tc>
          <w:tcPr>
            <w:tcW w:w="701" w:type="dxa"/>
            <w:tcBorders>
              <w:tl2br w:val="nil"/>
              <w:tr2bl w:val="nil"/>
            </w:tcBorders>
            <w:vAlign w:val="center"/>
          </w:tcPr>
          <w:p w14:paraId="42BE695A">
            <w:pPr>
              <w:pStyle w:val="105"/>
              <w:bidi w:val="0"/>
              <w:rPr>
                <w:rFonts w:hint="eastAsia"/>
                <w:highlight w:val="none"/>
              </w:rPr>
            </w:pPr>
          </w:p>
        </w:tc>
        <w:tc>
          <w:tcPr>
            <w:tcW w:w="854" w:type="dxa"/>
            <w:tcBorders>
              <w:tl2br w:val="nil"/>
              <w:tr2bl w:val="nil"/>
            </w:tcBorders>
            <w:vAlign w:val="center"/>
          </w:tcPr>
          <w:p w14:paraId="1C8DB8C0">
            <w:pPr>
              <w:pStyle w:val="105"/>
              <w:bidi w:val="0"/>
              <w:rPr>
                <w:rFonts w:hint="eastAsia"/>
                <w:highlight w:val="none"/>
              </w:rPr>
            </w:pPr>
          </w:p>
        </w:tc>
      </w:tr>
    </w:tbl>
    <w:p w14:paraId="11D06068">
      <w:pPr>
        <w:spacing w:line="360" w:lineRule="auto"/>
        <w:ind w:firstLine="440"/>
        <w:rPr>
          <w:highlight w:val="none"/>
        </w:rPr>
      </w:pPr>
      <w:r>
        <w:rPr>
          <w:rFonts w:hint="eastAsia"/>
          <w:sz w:val="22"/>
          <w:highlight w:val="none"/>
        </w:rPr>
        <w:t>见证方式:R － 记录确认点；W － 见证点；H － 停工待检点；S － 连续监视监护。</w:t>
      </w:r>
      <w:r>
        <w:rPr>
          <w:rFonts w:hint="eastAsia"/>
          <w:highlight w:val="none"/>
        </w:rPr>
        <w:br w:type="page"/>
      </w:r>
    </w:p>
    <w:p w14:paraId="59368CBB">
      <w:pPr>
        <w:pStyle w:val="2"/>
        <w:bidi w:val="0"/>
        <w:ind w:left="432" w:leftChars="0" w:hanging="432" w:firstLineChars="0"/>
        <w:rPr>
          <w:rFonts w:hint="eastAsia" w:ascii="宋体" w:hAnsi="宋体" w:eastAsia="宋体" w:cs="Times New Roman"/>
          <w:lang w:val="en-US" w:eastAsia="zh-CN"/>
        </w:rPr>
      </w:pPr>
      <w:bookmarkStart w:id="238" w:name="_Toc22264"/>
      <w:bookmarkStart w:id="239" w:name="_Toc26393"/>
      <w:bookmarkStart w:id="240" w:name="_Toc26271"/>
      <w:r>
        <w:rPr>
          <w:rFonts w:hint="eastAsia" w:ascii="宋体" w:hAnsi="宋体" w:eastAsia="宋体" w:cs="Times New Roman"/>
          <w:lang w:val="en-US" w:eastAsia="zh-CN"/>
        </w:rPr>
        <w:t>施工安全保障措施</w:t>
      </w:r>
      <w:bookmarkEnd w:id="208"/>
      <w:bookmarkEnd w:id="238"/>
      <w:bookmarkEnd w:id="239"/>
      <w:bookmarkEnd w:id="240"/>
    </w:p>
    <w:p w14:paraId="06F99B51">
      <w:pPr>
        <w:pStyle w:val="3"/>
        <w:bidi w:val="0"/>
        <w:ind w:left="575" w:leftChars="0" w:hanging="575" w:firstLineChars="0"/>
      </w:pPr>
      <w:bookmarkStart w:id="241" w:name="_Toc42642304"/>
      <w:bookmarkStart w:id="242" w:name="_Toc15111"/>
      <w:bookmarkStart w:id="243" w:name="_Toc7600"/>
      <w:r>
        <w:rPr>
          <w:rFonts w:hint="eastAsia"/>
        </w:rPr>
        <w:t xml:space="preserve"> </w:t>
      </w:r>
      <w:bookmarkStart w:id="244" w:name="_Toc18942"/>
      <w:r>
        <w:rPr>
          <w:rFonts w:hint="eastAsia"/>
        </w:rPr>
        <w:t>组织保障措施</w:t>
      </w:r>
      <w:bookmarkEnd w:id="241"/>
      <w:bookmarkEnd w:id="242"/>
      <w:bookmarkEnd w:id="243"/>
      <w:bookmarkEnd w:id="244"/>
    </w:p>
    <w:p w14:paraId="5ACD7EBB">
      <w:pPr>
        <w:pStyle w:val="4"/>
        <w:bidi w:val="0"/>
        <w:ind w:left="720" w:leftChars="0" w:hanging="720" w:firstLineChars="0"/>
        <w:rPr>
          <w:rFonts w:hint="default"/>
          <w:lang w:val="en-US" w:eastAsia="zh-CN"/>
        </w:rPr>
      </w:pPr>
      <w:bookmarkStart w:id="245" w:name="_Toc42642305"/>
      <w:bookmarkStart w:id="246" w:name="_Toc23853"/>
      <w:bookmarkStart w:id="247" w:name="_Toc10409817"/>
      <w:r>
        <w:t>安全</w:t>
      </w:r>
      <w:r>
        <w:rPr>
          <w:rFonts w:hint="eastAsia"/>
          <w:lang w:val="en-US" w:eastAsia="zh-CN"/>
        </w:rPr>
        <w:t>组织机构</w:t>
      </w:r>
    </w:p>
    <w:p w14:paraId="68D47836">
      <w:pPr>
        <w:spacing w:line="360" w:lineRule="auto"/>
        <w:ind w:firstLine="480"/>
        <w:rPr>
          <w:highlight w:val="none"/>
        </w:rPr>
      </w:pPr>
      <w:r>
        <w:rPr>
          <w:highlight w:val="none"/>
        </w:rPr>
        <w:t>项目经理部成立以项目经理为组长，</w:t>
      </w:r>
      <w:r>
        <w:rPr>
          <w:rFonts w:hint="eastAsia"/>
          <w:highlight w:val="none"/>
          <w:lang w:val="en-US" w:eastAsia="zh-CN"/>
        </w:rPr>
        <w:t>安全总监、</w:t>
      </w:r>
      <w:r>
        <w:rPr>
          <w:highlight w:val="none"/>
        </w:rPr>
        <w:t>项目副经理、项目总工程师为副组长、安全</w:t>
      </w:r>
      <w:r>
        <w:rPr>
          <w:rFonts w:hint="eastAsia"/>
          <w:highlight w:val="none"/>
          <w:lang w:val="en-US" w:eastAsia="zh-CN"/>
        </w:rPr>
        <w:t>监督</w:t>
      </w:r>
      <w:r>
        <w:rPr>
          <w:highlight w:val="none"/>
        </w:rPr>
        <w:t>部及有关部门负责人组成的安全生产领导小组。安全生产领导小组对安全生产方面的重大问题和重点问题进行解决和处理。</w:t>
      </w:r>
    </w:p>
    <w:p w14:paraId="75701EDB">
      <w:pPr>
        <w:keepNext w:val="0"/>
        <w:keepLines w:val="0"/>
        <w:widowControl/>
        <w:suppressLineNumbers w:val="0"/>
        <w:spacing w:line="360" w:lineRule="auto"/>
        <w:ind w:firstLine="480" w:firstLineChars="200"/>
        <w:jc w:val="left"/>
        <w:rPr>
          <w:rFonts w:hint="eastAsia"/>
          <w:highlight w:val="none"/>
          <w:lang w:val="en-US" w:eastAsia="zh-CN"/>
        </w:rPr>
      </w:pPr>
      <w:r>
        <w:rPr>
          <w:rFonts w:hint="eastAsia" w:ascii="宋体" w:hAnsi="宋体" w:eastAsia="宋体" w:cs="宋体"/>
          <w:color w:val="000000"/>
          <w:kern w:val="0"/>
          <w:sz w:val="24"/>
          <w:szCs w:val="24"/>
          <w:highlight w:val="none"/>
          <w:lang w:val="en-US" w:eastAsia="zh-CN" w:bidi="ar"/>
        </w:rPr>
        <w:t>实行安全生产三级管理，一级管理由项目经理负责，二级管理由专职安全员负责，三级管理由班组长负责。</w:t>
      </w:r>
    </w:p>
    <w:p w14:paraId="1857D7A3">
      <w:pPr>
        <w:pStyle w:val="13"/>
        <w:ind w:left="0" w:leftChars="0" w:firstLine="0" w:firstLineChars="0"/>
        <w:jc w:val="center"/>
        <w:rPr>
          <w:rFonts w:hint="default"/>
          <w:highlight w:val="none"/>
          <w:lang w:val="en-US" w:eastAsia="zh-CN"/>
        </w:rPr>
      </w:pPr>
      <w:r>
        <w:rPr>
          <w:highlight w:val="none"/>
        </w:rPr>
        <w:drawing>
          <wp:inline distT="0" distB="0" distL="114300" distR="114300">
            <wp:extent cx="4545330" cy="4340860"/>
            <wp:effectExtent l="0" t="0" r="0" b="2540"/>
            <wp:docPr id="253" name="图片 253" descr="人力资源部组织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人力资源部组织结构图"/>
                    <pic:cNvPicPr>
                      <a:picLocks noChangeAspect="1"/>
                    </pic:cNvPicPr>
                  </pic:nvPicPr>
                  <pic:blipFill>
                    <a:blip r:embed="rId59"/>
                    <a:srcRect t="3017" b="2844"/>
                    <a:stretch>
                      <a:fillRect/>
                    </a:stretch>
                  </pic:blipFill>
                  <pic:spPr>
                    <a:xfrm>
                      <a:off x="0" y="0"/>
                      <a:ext cx="4545330" cy="4340860"/>
                    </a:xfrm>
                    <a:prstGeom prst="rect">
                      <a:avLst/>
                    </a:prstGeom>
                  </pic:spPr>
                </pic:pic>
              </a:graphicData>
            </a:graphic>
          </wp:inline>
        </w:drawing>
      </w:r>
    </w:p>
    <w:p w14:paraId="501FBB0A">
      <w:pPr>
        <w:pStyle w:val="41"/>
        <w:bidi w:val="0"/>
        <w:rPr>
          <w:rFonts w:hint="eastAsia"/>
          <w:highlight w:val="none"/>
          <w:lang w:val="en-US" w:eastAsia="zh-CN"/>
        </w:rPr>
      </w:pPr>
      <w:r>
        <w:rPr>
          <w:rFonts w:hint="eastAsia"/>
          <w:highlight w:val="none"/>
          <w:lang w:val="en-US" w:eastAsia="zh-CN"/>
        </w:rPr>
        <w:t xml:space="preserve">图6-1 </w:t>
      </w:r>
      <w:r>
        <w:rPr>
          <w:rFonts w:hint="eastAsia"/>
          <w:highlight w:val="none"/>
        </w:rPr>
        <w:t>安全管理组织机构</w:t>
      </w:r>
      <w:r>
        <w:rPr>
          <w:rFonts w:hint="eastAsia"/>
          <w:highlight w:val="none"/>
          <w:lang w:val="en-US" w:eastAsia="zh-CN"/>
        </w:rPr>
        <w:t>图</w:t>
      </w:r>
    </w:p>
    <w:p w14:paraId="6CCFB891">
      <w:pPr>
        <w:pStyle w:val="4"/>
        <w:bidi w:val="0"/>
        <w:ind w:left="720" w:leftChars="0" w:hanging="720" w:firstLineChars="0"/>
      </w:pPr>
      <w:r>
        <w:rPr>
          <w:rFonts w:hint="eastAsia"/>
          <w:lang w:val="en-US" w:eastAsia="zh-CN"/>
        </w:rPr>
        <w:t>安全保证体系</w:t>
      </w:r>
    </w:p>
    <w:p w14:paraId="76706893">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根据项目特点，从思想、组织、制度、技术、资源、过程等方面入手建立健全安全生产保证体系，到全面落实各项安全措施本项目的抗滑桩施工中，确保安全生产目标的实现。</w:t>
      </w:r>
    </w:p>
    <w:p w14:paraId="17AC6766">
      <w:pPr>
        <w:bidi w:val="0"/>
        <w:rPr>
          <w:rFonts w:hint="default"/>
          <w:highlight w:val="none"/>
          <w:lang w:val="en-US" w:eastAsia="zh-CN"/>
        </w:rPr>
      </w:pPr>
      <w:r>
        <w:rPr>
          <w:highlight w:val="none"/>
        </w:rPr>
        <mc:AlternateContent>
          <mc:Choice Requires="wpg">
            <w:drawing>
              <wp:inline distT="0" distB="0" distL="0" distR="0">
                <wp:extent cx="5570220" cy="4467225"/>
                <wp:effectExtent l="6350" t="6350" r="11430" b="9525"/>
                <wp:docPr id="368" name="Group 2569"/>
                <wp:cNvGraphicFramePr/>
                <a:graphic xmlns:a="http://schemas.openxmlformats.org/drawingml/2006/main">
                  <a:graphicData uri="http://schemas.microsoft.com/office/word/2010/wordprocessingGroup">
                    <wpg:wgp>
                      <wpg:cNvGrpSpPr/>
                      <wpg:grpSpPr>
                        <a:xfrm>
                          <a:off x="0" y="0"/>
                          <a:ext cx="5570220" cy="4467225"/>
                          <a:chOff x="0" y="0"/>
                          <a:chExt cx="8308" cy="6183"/>
                        </a:xfrm>
                      </wpg:grpSpPr>
                      <wps:wsp>
                        <wps:cNvPr id="369" name="Text Box 2570"/>
                        <wps:cNvSpPr txBox="1">
                          <a:spLocks noChangeArrowheads="1"/>
                        </wps:cNvSpPr>
                        <wps:spPr bwMode="auto">
                          <a:xfrm>
                            <a:off x="0" y="1393"/>
                            <a:ext cx="493" cy="2613"/>
                          </a:xfrm>
                          <a:prstGeom prst="rect">
                            <a:avLst/>
                          </a:prstGeom>
                          <a:solidFill>
                            <a:schemeClr val="accent6">
                              <a:lumMod val="40000"/>
                              <a:lumOff val="60000"/>
                            </a:schemeClr>
                          </a:solidFill>
                          <a:ln w="12700">
                            <a:solidFill>
                              <a:srgbClr val="0000C8"/>
                            </a:solidFill>
                            <a:miter lim="800000"/>
                          </a:ln>
                        </wps:spPr>
                        <wps:txbx>
                          <w:txbxContent>
                            <w:p w14:paraId="055FEEF2">
                              <w:pPr>
                                <w:pStyle w:val="72"/>
                              </w:pPr>
                              <w:r>
                                <w:rPr>
                                  <w:rFonts w:hint="eastAsia"/>
                                </w:rPr>
                                <w:t>安全生产管理体系</w:t>
                              </w:r>
                            </w:p>
                          </w:txbxContent>
                        </wps:txbx>
                        <wps:bodyPr rot="0" vert="eaVert" wrap="square" lIns="0" tIns="0" rIns="0" bIns="0" anchor="ctr" anchorCtr="0" upright="1">
                          <a:noAutofit/>
                        </wps:bodyPr>
                      </wps:wsp>
                      <wps:wsp>
                        <wps:cNvPr id="370" name="Line 2571"/>
                        <wps:cNvCnPr>
                          <a:cxnSpLocks noChangeShapeType="1"/>
                        </wps:cNvCnPr>
                        <wps:spPr bwMode="auto">
                          <a:xfrm>
                            <a:off x="514" y="2524"/>
                            <a:ext cx="195" cy="0"/>
                          </a:xfrm>
                          <a:prstGeom prst="line">
                            <a:avLst/>
                          </a:prstGeom>
                          <a:noFill/>
                          <a:ln w="12700">
                            <a:solidFill>
                              <a:srgbClr val="0000C8"/>
                            </a:solidFill>
                            <a:round/>
                          </a:ln>
                        </wps:spPr>
                        <wps:bodyPr/>
                      </wps:wsp>
                      <wps:wsp>
                        <wps:cNvPr id="371" name="Line 2572"/>
                        <wps:cNvCnPr>
                          <a:cxnSpLocks noChangeShapeType="1"/>
                        </wps:cNvCnPr>
                        <wps:spPr bwMode="auto">
                          <a:xfrm>
                            <a:off x="690" y="174"/>
                            <a:ext cx="0" cy="5399"/>
                          </a:xfrm>
                          <a:prstGeom prst="line">
                            <a:avLst/>
                          </a:prstGeom>
                          <a:noFill/>
                          <a:ln w="12700">
                            <a:solidFill>
                              <a:srgbClr val="0000C8"/>
                            </a:solidFill>
                            <a:round/>
                          </a:ln>
                        </wps:spPr>
                        <wps:bodyPr/>
                      </wps:wsp>
                      <wps:wsp>
                        <wps:cNvPr id="372" name="Line 2573"/>
                        <wps:cNvCnPr>
                          <a:cxnSpLocks noChangeShapeType="1"/>
                        </wps:cNvCnPr>
                        <wps:spPr bwMode="auto">
                          <a:xfrm>
                            <a:off x="690" y="174"/>
                            <a:ext cx="214" cy="0"/>
                          </a:xfrm>
                          <a:prstGeom prst="line">
                            <a:avLst/>
                          </a:prstGeom>
                          <a:noFill/>
                          <a:ln w="12700">
                            <a:solidFill>
                              <a:srgbClr val="0000C8"/>
                            </a:solidFill>
                            <a:round/>
                          </a:ln>
                        </wps:spPr>
                        <wps:bodyPr/>
                      </wps:wsp>
                      <wps:wsp>
                        <wps:cNvPr id="373" name="Text Box 2574"/>
                        <wps:cNvSpPr txBox="1">
                          <a:spLocks noChangeArrowheads="1"/>
                        </wps:cNvSpPr>
                        <wps:spPr bwMode="auto">
                          <a:xfrm>
                            <a:off x="904" y="0"/>
                            <a:ext cx="1351" cy="348"/>
                          </a:xfrm>
                          <a:prstGeom prst="rect">
                            <a:avLst/>
                          </a:prstGeom>
                          <a:solidFill>
                            <a:schemeClr val="accent6">
                              <a:lumMod val="40000"/>
                              <a:lumOff val="60000"/>
                            </a:schemeClr>
                          </a:solidFill>
                          <a:ln w="12700">
                            <a:solidFill>
                              <a:srgbClr val="0000C8"/>
                            </a:solidFill>
                            <a:miter lim="800000"/>
                          </a:ln>
                        </wps:spPr>
                        <wps:txbx>
                          <w:txbxContent>
                            <w:p w14:paraId="45651D37">
                              <w:pPr>
                                <w:pStyle w:val="72"/>
                              </w:pPr>
                              <w:r>
                                <w:rPr>
                                  <w:rFonts w:hint="eastAsia"/>
                                </w:rPr>
                                <w:t>思想保证</w:t>
                              </w:r>
                            </w:p>
                          </w:txbxContent>
                        </wps:txbx>
                        <wps:bodyPr rot="0" vert="horz" wrap="square" lIns="0" tIns="0" rIns="0" bIns="0" anchor="ctr" anchorCtr="0" upright="1">
                          <a:noAutofit/>
                        </wps:bodyPr>
                      </wps:wsp>
                      <wps:wsp>
                        <wps:cNvPr id="387" name="Line 2575"/>
                        <wps:cNvCnPr>
                          <a:cxnSpLocks noChangeShapeType="1"/>
                        </wps:cNvCnPr>
                        <wps:spPr bwMode="auto">
                          <a:xfrm>
                            <a:off x="2255" y="174"/>
                            <a:ext cx="262" cy="0"/>
                          </a:xfrm>
                          <a:prstGeom prst="line">
                            <a:avLst/>
                          </a:prstGeom>
                          <a:noFill/>
                          <a:ln w="12700">
                            <a:solidFill>
                              <a:srgbClr val="0000C8"/>
                            </a:solidFill>
                            <a:round/>
                          </a:ln>
                        </wps:spPr>
                        <wps:bodyPr/>
                      </wps:wsp>
                      <wps:wsp>
                        <wps:cNvPr id="254" name="Text Box 2576"/>
                        <wps:cNvSpPr txBox="1">
                          <a:spLocks noChangeArrowheads="1"/>
                        </wps:cNvSpPr>
                        <wps:spPr bwMode="auto">
                          <a:xfrm>
                            <a:off x="2517" y="0"/>
                            <a:ext cx="2703" cy="348"/>
                          </a:xfrm>
                          <a:prstGeom prst="rect">
                            <a:avLst/>
                          </a:prstGeom>
                          <a:solidFill>
                            <a:schemeClr val="accent6">
                              <a:lumMod val="40000"/>
                              <a:lumOff val="60000"/>
                            </a:schemeClr>
                          </a:solidFill>
                          <a:ln w="12700">
                            <a:solidFill>
                              <a:srgbClr val="0000C8"/>
                            </a:solidFill>
                            <a:miter lim="800000"/>
                          </a:ln>
                        </wps:spPr>
                        <wps:txbx>
                          <w:txbxContent>
                            <w:p w14:paraId="62D8B017">
                              <w:pPr>
                                <w:pStyle w:val="72"/>
                              </w:pPr>
                              <w:r>
                                <w:rPr>
                                  <w:rFonts w:hint="eastAsia"/>
                                </w:rPr>
                                <w:t>项目部季度安全教育</w:t>
                              </w:r>
                            </w:p>
                          </w:txbxContent>
                        </wps:txbx>
                        <wps:bodyPr rot="0" vert="horz" wrap="square" lIns="0" tIns="0" rIns="0" bIns="0" anchor="ctr" anchorCtr="0" upright="1">
                          <a:noAutofit/>
                        </wps:bodyPr>
                      </wps:wsp>
                      <wps:wsp>
                        <wps:cNvPr id="255" name="Line 2577"/>
                        <wps:cNvCnPr>
                          <a:cxnSpLocks noChangeShapeType="1"/>
                        </wps:cNvCnPr>
                        <wps:spPr bwMode="auto">
                          <a:xfrm>
                            <a:off x="5220" y="174"/>
                            <a:ext cx="506" cy="0"/>
                          </a:xfrm>
                          <a:prstGeom prst="line">
                            <a:avLst/>
                          </a:prstGeom>
                          <a:noFill/>
                          <a:ln w="12700">
                            <a:solidFill>
                              <a:srgbClr val="0000C8"/>
                            </a:solidFill>
                            <a:round/>
                          </a:ln>
                        </wps:spPr>
                        <wps:bodyPr/>
                      </wps:wsp>
                      <wps:wsp>
                        <wps:cNvPr id="256" name="Text Box 2578"/>
                        <wps:cNvSpPr txBox="1">
                          <a:spLocks noChangeArrowheads="1"/>
                        </wps:cNvSpPr>
                        <wps:spPr bwMode="auto">
                          <a:xfrm>
                            <a:off x="5726" y="0"/>
                            <a:ext cx="2458" cy="348"/>
                          </a:xfrm>
                          <a:prstGeom prst="rect">
                            <a:avLst/>
                          </a:prstGeom>
                          <a:solidFill>
                            <a:schemeClr val="accent6">
                              <a:lumMod val="40000"/>
                              <a:lumOff val="60000"/>
                            </a:schemeClr>
                          </a:solidFill>
                          <a:ln w="12700">
                            <a:solidFill>
                              <a:srgbClr val="0000C8"/>
                            </a:solidFill>
                            <a:miter lim="800000"/>
                          </a:ln>
                        </wps:spPr>
                        <wps:txbx>
                          <w:txbxContent>
                            <w:p w14:paraId="0156B9EE">
                              <w:pPr>
                                <w:pStyle w:val="72"/>
                              </w:pPr>
                              <w:r>
                                <w:rPr>
                                  <w:rFonts w:hint="eastAsia"/>
                                </w:rPr>
                                <w:t>班组每周安全活动</w:t>
                              </w:r>
                            </w:p>
                          </w:txbxContent>
                        </wps:txbx>
                        <wps:bodyPr rot="0" vert="horz" wrap="square" lIns="0" tIns="0" rIns="0" bIns="0" anchor="ctr" anchorCtr="0" upright="1">
                          <a:noAutofit/>
                        </wps:bodyPr>
                      </wps:wsp>
                      <wps:wsp>
                        <wps:cNvPr id="257" name="Line 2579"/>
                        <wps:cNvCnPr>
                          <a:cxnSpLocks noChangeShapeType="1"/>
                        </wps:cNvCnPr>
                        <wps:spPr bwMode="auto">
                          <a:xfrm>
                            <a:off x="709" y="1219"/>
                            <a:ext cx="214" cy="0"/>
                          </a:xfrm>
                          <a:prstGeom prst="line">
                            <a:avLst/>
                          </a:prstGeom>
                          <a:noFill/>
                          <a:ln w="12700">
                            <a:solidFill>
                              <a:srgbClr val="0000C8"/>
                            </a:solidFill>
                            <a:round/>
                          </a:ln>
                        </wps:spPr>
                        <wps:bodyPr/>
                      </wps:wsp>
                      <wps:wsp>
                        <wps:cNvPr id="258" name="Text Box 2580"/>
                        <wps:cNvSpPr txBox="1">
                          <a:spLocks noChangeArrowheads="1"/>
                        </wps:cNvSpPr>
                        <wps:spPr bwMode="auto">
                          <a:xfrm>
                            <a:off x="904" y="1045"/>
                            <a:ext cx="1351" cy="348"/>
                          </a:xfrm>
                          <a:prstGeom prst="rect">
                            <a:avLst/>
                          </a:prstGeom>
                          <a:solidFill>
                            <a:schemeClr val="accent6">
                              <a:lumMod val="40000"/>
                              <a:lumOff val="60000"/>
                            </a:schemeClr>
                          </a:solidFill>
                          <a:ln w="12700">
                            <a:solidFill>
                              <a:srgbClr val="0000C8"/>
                            </a:solidFill>
                            <a:miter lim="800000"/>
                          </a:ln>
                        </wps:spPr>
                        <wps:txbx>
                          <w:txbxContent>
                            <w:p w14:paraId="581A3BD3">
                              <w:pPr>
                                <w:pStyle w:val="72"/>
                              </w:pPr>
                              <w:r>
                                <w:rPr>
                                  <w:rFonts w:hint="eastAsia"/>
                                </w:rPr>
                                <w:t>组织保证</w:t>
                              </w:r>
                            </w:p>
                          </w:txbxContent>
                        </wps:txbx>
                        <wps:bodyPr rot="0" vert="horz" wrap="square" lIns="0" tIns="0" rIns="0" bIns="0" anchor="ctr" anchorCtr="0" upright="1">
                          <a:noAutofit/>
                        </wps:bodyPr>
                      </wps:wsp>
                      <wps:wsp>
                        <wps:cNvPr id="259" name="Line 2581"/>
                        <wps:cNvCnPr>
                          <a:cxnSpLocks noChangeShapeType="1"/>
                        </wps:cNvCnPr>
                        <wps:spPr bwMode="auto">
                          <a:xfrm>
                            <a:off x="2255" y="1219"/>
                            <a:ext cx="479" cy="0"/>
                          </a:xfrm>
                          <a:prstGeom prst="line">
                            <a:avLst/>
                          </a:prstGeom>
                          <a:noFill/>
                          <a:ln w="12700">
                            <a:solidFill>
                              <a:srgbClr val="0000C8"/>
                            </a:solidFill>
                            <a:round/>
                          </a:ln>
                        </wps:spPr>
                        <wps:bodyPr/>
                      </wps:wsp>
                      <wps:wsp>
                        <wps:cNvPr id="260" name="Text Box 2582"/>
                        <wps:cNvSpPr txBox="1">
                          <a:spLocks noChangeArrowheads="1"/>
                        </wps:cNvSpPr>
                        <wps:spPr bwMode="auto">
                          <a:xfrm>
                            <a:off x="2734" y="1045"/>
                            <a:ext cx="2533" cy="348"/>
                          </a:xfrm>
                          <a:prstGeom prst="rect">
                            <a:avLst/>
                          </a:prstGeom>
                          <a:solidFill>
                            <a:schemeClr val="accent6">
                              <a:lumMod val="40000"/>
                              <a:lumOff val="60000"/>
                            </a:schemeClr>
                          </a:solidFill>
                          <a:ln w="12700">
                            <a:solidFill>
                              <a:srgbClr val="0000C8"/>
                            </a:solidFill>
                            <a:miter lim="800000"/>
                          </a:ln>
                        </wps:spPr>
                        <wps:txbx>
                          <w:txbxContent>
                            <w:p w14:paraId="56BA3CEF">
                              <w:pPr>
                                <w:pStyle w:val="72"/>
                              </w:pPr>
                              <w:r>
                                <w:rPr>
                                  <w:rFonts w:hint="eastAsia"/>
                                </w:rPr>
                                <w:t>安监处</w:t>
                              </w:r>
                            </w:p>
                          </w:txbxContent>
                        </wps:txbx>
                        <wps:bodyPr rot="0" vert="horz" wrap="square" lIns="0" tIns="0" rIns="0" bIns="0" anchor="ctr" anchorCtr="0" upright="1">
                          <a:noAutofit/>
                        </wps:bodyPr>
                      </wps:wsp>
                      <wps:wsp>
                        <wps:cNvPr id="262" name="Text Box 2583"/>
                        <wps:cNvSpPr txBox="1">
                          <a:spLocks noChangeArrowheads="1"/>
                        </wps:cNvSpPr>
                        <wps:spPr bwMode="auto">
                          <a:xfrm>
                            <a:off x="2734" y="612"/>
                            <a:ext cx="2533" cy="347"/>
                          </a:xfrm>
                          <a:prstGeom prst="rect">
                            <a:avLst/>
                          </a:prstGeom>
                          <a:solidFill>
                            <a:schemeClr val="accent6">
                              <a:lumMod val="40000"/>
                              <a:lumOff val="60000"/>
                            </a:schemeClr>
                          </a:solidFill>
                          <a:ln w="12700">
                            <a:solidFill>
                              <a:srgbClr val="0000C8"/>
                            </a:solidFill>
                            <a:miter lim="800000"/>
                          </a:ln>
                        </wps:spPr>
                        <wps:txbx>
                          <w:txbxContent>
                            <w:p w14:paraId="13E9F438">
                              <w:pPr>
                                <w:pStyle w:val="72"/>
                              </w:pPr>
                              <w:r>
                                <w:rPr>
                                  <w:rFonts w:hint="eastAsia"/>
                                </w:rPr>
                                <w:t>安委会</w:t>
                              </w:r>
                            </w:p>
                          </w:txbxContent>
                        </wps:txbx>
                        <wps:bodyPr rot="0" vert="horz" wrap="square" lIns="0" tIns="0" rIns="0" bIns="0" anchor="ctr" anchorCtr="0" upright="1">
                          <a:noAutofit/>
                        </wps:bodyPr>
                      </wps:wsp>
                      <wps:wsp>
                        <wps:cNvPr id="263" name="Text Box 2584"/>
                        <wps:cNvSpPr txBox="1">
                          <a:spLocks noChangeArrowheads="1"/>
                        </wps:cNvSpPr>
                        <wps:spPr bwMode="auto">
                          <a:xfrm>
                            <a:off x="2734" y="1480"/>
                            <a:ext cx="2533" cy="349"/>
                          </a:xfrm>
                          <a:prstGeom prst="rect">
                            <a:avLst/>
                          </a:prstGeom>
                          <a:solidFill>
                            <a:schemeClr val="accent6">
                              <a:lumMod val="40000"/>
                              <a:lumOff val="60000"/>
                            </a:schemeClr>
                          </a:solidFill>
                          <a:ln w="12700">
                            <a:solidFill>
                              <a:srgbClr val="0000C8"/>
                            </a:solidFill>
                            <a:miter lim="800000"/>
                          </a:ln>
                        </wps:spPr>
                        <wps:txbx>
                          <w:txbxContent>
                            <w:p w14:paraId="1309BE53">
                              <w:pPr>
                                <w:pStyle w:val="72"/>
                              </w:pPr>
                              <w:r>
                                <w:rPr>
                                  <w:rFonts w:hint="eastAsia"/>
                                </w:rPr>
                                <w:t>项目经理安全责任制</w:t>
                              </w:r>
                            </w:p>
                            <w:p w14:paraId="24D22C3F">
                              <w:pPr>
                                <w:pStyle w:val="72"/>
                              </w:pPr>
                            </w:p>
                          </w:txbxContent>
                        </wps:txbx>
                        <wps:bodyPr rot="0" vert="horz" wrap="square" lIns="0" tIns="0" rIns="0" bIns="0" anchor="ctr" anchorCtr="0" upright="1">
                          <a:noAutofit/>
                        </wps:bodyPr>
                      </wps:wsp>
                      <wps:wsp>
                        <wps:cNvPr id="264" name="Line 2585"/>
                        <wps:cNvCnPr>
                          <a:cxnSpLocks noChangeShapeType="1"/>
                        </wps:cNvCnPr>
                        <wps:spPr bwMode="auto">
                          <a:xfrm>
                            <a:off x="2396" y="784"/>
                            <a:ext cx="0" cy="870"/>
                          </a:xfrm>
                          <a:prstGeom prst="line">
                            <a:avLst/>
                          </a:prstGeom>
                          <a:noFill/>
                          <a:ln w="12700">
                            <a:solidFill>
                              <a:srgbClr val="0000C8"/>
                            </a:solidFill>
                            <a:round/>
                          </a:ln>
                        </wps:spPr>
                        <wps:bodyPr/>
                      </wps:wsp>
                      <wps:wsp>
                        <wps:cNvPr id="265" name="Line 2586"/>
                        <wps:cNvCnPr>
                          <a:cxnSpLocks noChangeShapeType="1"/>
                        </wps:cNvCnPr>
                        <wps:spPr bwMode="auto">
                          <a:xfrm>
                            <a:off x="2396" y="784"/>
                            <a:ext cx="338" cy="0"/>
                          </a:xfrm>
                          <a:prstGeom prst="line">
                            <a:avLst/>
                          </a:prstGeom>
                          <a:noFill/>
                          <a:ln w="12700">
                            <a:solidFill>
                              <a:srgbClr val="0000C8"/>
                            </a:solidFill>
                            <a:round/>
                          </a:ln>
                        </wps:spPr>
                        <wps:bodyPr/>
                      </wps:wsp>
                      <wps:wsp>
                        <wps:cNvPr id="116" name="Line 2587"/>
                        <wps:cNvCnPr>
                          <a:cxnSpLocks noChangeShapeType="1"/>
                        </wps:cNvCnPr>
                        <wps:spPr bwMode="auto">
                          <a:xfrm>
                            <a:off x="2396" y="1654"/>
                            <a:ext cx="338" cy="0"/>
                          </a:xfrm>
                          <a:prstGeom prst="line">
                            <a:avLst/>
                          </a:prstGeom>
                          <a:noFill/>
                          <a:ln w="12700">
                            <a:solidFill>
                              <a:srgbClr val="0000C8"/>
                            </a:solidFill>
                            <a:round/>
                          </a:ln>
                        </wps:spPr>
                        <wps:bodyPr/>
                      </wps:wsp>
                      <wps:wsp>
                        <wps:cNvPr id="266" name="Text Box 2588"/>
                        <wps:cNvSpPr txBox="1">
                          <a:spLocks noChangeArrowheads="1"/>
                        </wps:cNvSpPr>
                        <wps:spPr bwMode="auto">
                          <a:xfrm>
                            <a:off x="5605" y="1035"/>
                            <a:ext cx="2703" cy="348"/>
                          </a:xfrm>
                          <a:prstGeom prst="rect">
                            <a:avLst/>
                          </a:prstGeom>
                          <a:solidFill>
                            <a:schemeClr val="accent6">
                              <a:lumMod val="40000"/>
                              <a:lumOff val="60000"/>
                            </a:schemeClr>
                          </a:solidFill>
                          <a:ln w="12700">
                            <a:solidFill>
                              <a:srgbClr val="0000C8"/>
                            </a:solidFill>
                            <a:miter lim="800000"/>
                          </a:ln>
                        </wps:spPr>
                        <wps:txbx>
                          <w:txbxContent>
                            <w:p w14:paraId="22ED40B3">
                              <w:pPr>
                                <w:pStyle w:val="72"/>
                              </w:pPr>
                              <w:r>
                                <w:rPr>
                                  <w:rFonts w:hint="eastAsia"/>
                                </w:rPr>
                                <w:t>项目部安全监督部</w:t>
                              </w:r>
                            </w:p>
                          </w:txbxContent>
                        </wps:txbx>
                        <wps:bodyPr rot="0" vert="horz" wrap="square" lIns="0" tIns="0" rIns="0" bIns="0" anchor="ctr" anchorCtr="0" upright="1">
                          <a:noAutofit/>
                        </wps:bodyPr>
                      </wps:wsp>
                      <wps:wsp>
                        <wps:cNvPr id="468" name="Text Box 2589"/>
                        <wps:cNvSpPr txBox="1">
                          <a:spLocks noChangeArrowheads="1"/>
                        </wps:cNvSpPr>
                        <wps:spPr bwMode="auto">
                          <a:xfrm>
                            <a:off x="5605" y="602"/>
                            <a:ext cx="2703" cy="347"/>
                          </a:xfrm>
                          <a:prstGeom prst="rect">
                            <a:avLst/>
                          </a:prstGeom>
                          <a:solidFill>
                            <a:schemeClr val="accent6">
                              <a:lumMod val="40000"/>
                              <a:lumOff val="60000"/>
                            </a:schemeClr>
                          </a:solidFill>
                          <a:ln w="12700">
                            <a:solidFill>
                              <a:srgbClr val="0000C8"/>
                            </a:solidFill>
                            <a:miter lim="800000"/>
                          </a:ln>
                        </wps:spPr>
                        <wps:txbx>
                          <w:txbxContent>
                            <w:p w14:paraId="3AF50D13">
                              <w:pPr>
                                <w:pStyle w:val="72"/>
                              </w:pPr>
                              <w:r>
                                <w:rPr>
                                  <w:rFonts w:hint="eastAsia"/>
                                </w:rPr>
                                <w:t>项目部安全领导小组</w:t>
                              </w:r>
                            </w:p>
                          </w:txbxContent>
                        </wps:txbx>
                        <wps:bodyPr rot="0" vert="horz" wrap="square" lIns="0" tIns="0" rIns="0" bIns="0" anchor="ctr" anchorCtr="0" upright="1">
                          <a:noAutofit/>
                        </wps:bodyPr>
                      </wps:wsp>
                      <wps:wsp>
                        <wps:cNvPr id="469" name="Text Box 2590"/>
                        <wps:cNvSpPr txBox="1">
                          <a:spLocks noChangeArrowheads="1"/>
                        </wps:cNvSpPr>
                        <wps:spPr bwMode="auto">
                          <a:xfrm>
                            <a:off x="5605" y="1470"/>
                            <a:ext cx="2703" cy="349"/>
                          </a:xfrm>
                          <a:prstGeom prst="rect">
                            <a:avLst/>
                          </a:prstGeom>
                          <a:solidFill>
                            <a:schemeClr val="accent6">
                              <a:lumMod val="40000"/>
                              <a:lumOff val="60000"/>
                            </a:schemeClr>
                          </a:solidFill>
                          <a:ln w="12700">
                            <a:solidFill>
                              <a:srgbClr val="0000C8"/>
                            </a:solidFill>
                            <a:miter lim="800000"/>
                          </a:ln>
                        </wps:spPr>
                        <wps:txbx>
                          <w:txbxContent>
                            <w:p w14:paraId="64DB9475">
                              <w:pPr>
                                <w:pStyle w:val="72"/>
                              </w:pPr>
                              <w:r>
                                <w:rPr>
                                  <w:rFonts w:hint="eastAsia"/>
                                </w:rPr>
                                <w:t>部门安全责任制</w:t>
                              </w:r>
                            </w:p>
                            <w:p w14:paraId="2362CCF5">
                              <w:pPr>
                                <w:pStyle w:val="72"/>
                              </w:pPr>
                            </w:p>
                          </w:txbxContent>
                        </wps:txbx>
                        <wps:bodyPr rot="0" vert="horz" wrap="square" lIns="0" tIns="0" rIns="0" bIns="0" anchor="ctr" anchorCtr="0" upright="1">
                          <a:noAutofit/>
                        </wps:bodyPr>
                      </wps:wsp>
                      <wps:wsp>
                        <wps:cNvPr id="470" name="Line 2591"/>
                        <wps:cNvCnPr>
                          <a:cxnSpLocks noChangeShapeType="1"/>
                        </wps:cNvCnPr>
                        <wps:spPr bwMode="auto">
                          <a:xfrm>
                            <a:off x="690" y="2524"/>
                            <a:ext cx="143" cy="0"/>
                          </a:xfrm>
                          <a:prstGeom prst="line">
                            <a:avLst/>
                          </a:prstGeom>
                          <a:noFill/>
                          <a:ln w="12700">
                            <a:solidFill>
                              <a:srgbClr val="0000C8"/>
                            </a:solidFill>
                            <a:round/>
                          </a:ln>
                        </wps:spPr>
                        <wps:bodyPr/>
                      </wps:wsp>
                      <wps:wsp>
                        <wps:cNvPr id="471" name="Text Box 2592"/>
                        <wps:cNvSpPr txBox="1">
                          <a:spLocks noChangeArrowheads="1"/>
                        </wps:cNvSpPr>
                        <wps:spPr bwMode="auto">
                          <a:xfrm>
                            <a:off x="833" y="2350"/>
                            <a:ext cx="1352" cy="348"/>
                          </a:xfrm>
                          <a:prstGeom prst="rect">
                            <a:avLst/>
                          </a:prstGeom>
                          <a:solidFill>
                            <a:schemeClr val="accent6">
                              <a:lumMod val="40000"/>
                              <a:lumOff val="60000"/>
                            </a:schemeClr>
                          </a:solidFill>
                          <a:ln w="12700">
                            <a:solidFill>
                              <a:srgbClr val="0000C8"/>
                            </a:solidFill>
                            <a:miter lim="800000"/>
                          </a:ln>
                        </wps:spPr>
                        <wps:txbx>
                          <w:txbxContent>
                            <w:p w14:paraId="55477B5C">
                              <w:pPr>
                                <w:pStyle w:val="72"/>
                              </w:pPr>
                              <w:r>
                                <w:rPr>
                                  <w:rFonts w:hint="eastAsia"/>
                                </w:rPr>
                                <w:t>制度保证</w:t>
                              </w:r>
                            </w:p>
                          </w:txbxContent>
                        </wps:txbx>
                        <wps:bodyPr rot="0" vert="horz" wrap="square" lIns="0" tIns="0" rIns="0" bIns="0" anchor="ctr" anchorCtr="0" upright="1">
                          <a:noAutofit/>
                        </wps:bodyPr>
                      </wps:wsp>
                      <wps:wsp>
                        <wps:cNvPr id="472" name="Line 2593"/>
                        <wps:cNvCnPr>
                          <a:cxnSpLocks noChangeShapeType="1"/>
                        </wps:cNvCnPr>
                        <wps:spPr bwMode="auto">
                          <a:xfrm>
                            <a:off x="2185" y="2524"/>
                            <a:ext cx="549" cy="0"/>
                          </a:xfrm>
                          <a:prstGeom prst="line">
                            <a:avLst/>
                          </a:prstGeom>
                          <a:noFill/>
                          <a:ln w="12700">
                            <a:solidFill>
                              <a:srgbClr val="0000C8"/>
                            </a:solidFill>
                            <a:round/>
                          </a:ln>
                        </wps:spPr>
                        <wps:bodyPr/>
                      </wps:wsp>
                      <wps:wsp>
                        <wps:cNvPr id="473" name="Text Box 2594"/>
                        <wps:cNvSpPr txBox="1">
                          <a:spLocks noChangeArrowheads="1"/>
                        </wps:cNvSpPr>
                        <wps:spPr bwMode="auto">
                          <a:xfrm>
                            <a:off x="2734" y="2350"/>
                            <a:ext cx="3209" cy="348"/>
                          </a:xfrm>
                          <a:prstGeom prst="rect">
                            <a:avLst/>
                          </a:prstGeom>
                          <a:solidFill>
                            <a:schemeClr val="accent6">
                              <a:lumMod val="40000"/>
                              <a:lumOff val="60000"/>
                            </a:schemeClr>
                          </a:solidFill>
                          <a:ln w="12700">
                            <a:solidFill>
                              <a:srgbClr val="0000C8"/>
                            </a:solidFill>
                            <a:miter lim="800000"/>
                          </a:ln>
                        </wps:spPr>
                        <wps:txbx>
                          <w:txbxContent>
                            <w:p w14:paraId="0F0BCD55">
                              <w:pPr>
                                <w:pStyle w:val="72"/>
                              </w:pPr>
                              <w:r>
                                <w:rPr>
                                  <w:rFonts w:hint="eastAsia"/>
                                </w:rPr>
                                <w:t>公司安全生产规章制度</w:t>
                              </w:r>
                            </w:p>
                          </w:txbxContent>
                        </wps:txbx>
                        <wps:bodyPr rot="0" vert="horz" wrap="square" lIns="0" tIns="0" rIns="0" bIns="0" anchor="ctr" anchorCtr="0" upright="1">
                          <a:noAutofit/>
                        </wps:bodyPr>
                      </wps:wsp>
                      <wps:wsp>
                        <wps:cNvPr id="218" name="Text Box 2595"/>
                        <wps:cNvSpPr txBox="1">
                          <a:spLocks noChangeArrowheads="1"/>
                        </wps:cNvSpPr>
                        <wps:spPr bwMode="auto">
                          <a:xfrm>
                            <a:off x="2734" y="1916"/>
                            <a:ext cx="4392" cy="348"/>
                          </a:xfrm>
                          <a:prstGeom prst="rect">
                            <a:avLst/>
                          </a:prstGeom>
                          <a:solidFill>
                            <a:schemeClr val="accent6">
                              <a:lumMod val="40000"/>
                              <a:lumOff val="60000"/>
                            </a:schemeClr>
                          </a:solidFill>
                          <a:ln w="12700">
                            <a:solidFill>
                              <a:srgbClr val="0000C8"/>
                            </a:solidFill>
                            <a:miter lim="800000"/>
                          </a:ln>
                        </wps:spPr>
                        <wps:txbx>
                          <w:txbxContent>
                            <w:p w14:paraId="6FBA0BC3">
                              <w:pPr>
                                <w:pStyle w:val="72"/>
                              </w:pPr>
                              <w:r>
                                <w:rPr>
                                  <w:rFonts w:hint="eastAsia"/>
                                </w:rPr>
                                <w:t>国家、省部、地方安全生产法律法规</w:t>
                              </w:r>
                            </w:p>
                          </w:txbxContent>
                        </wps:txbx>
                        <wps:bodyPr rot="0" vert="horz" wrap="square" lIns="0" tIns="0" rIns="0" bIns="0" anchor="ctr" anchorCtr="0" upright="1">
                          <a:noAutofit/>
                        </wps:bodyPr>
                      </wps:wsp>
                      <wps:wsp>
                        <wps:cNvPr id="219" name="Text Box 2596"/>
                        <wps:cNvSpPr txBox="1">
                          <a:spLocks noChangeArrowheads="1"/>
                        </wps:cNvSpPr>
                        <wps:spPr bwMode="auto">
                          <a:xfrm>
                            <a:off x="2734" y="2785"/>
                            <a:ext cx="2533" cy="349"/>
                          </a:xfrm>
                          <a:prstGeom prst="rect">
                            <a:avLst/>
                          </a:prstGeom>
                          <a:solidFill>
                            <a:schemeClr val="accent6">
                              <a:lumMod val="40000"/>
                              <a:lumOff val="60000"/>
                            </a:schemeClr>
                          </a:solidFill>
                          <a:ln w="12700">
                            <a:solidFill>
                              <a:srgbClr val="0000C8"/>
                            </a:solidFill>
                            <a:miter lim="800000"/>
                          </a:ln>
                        </wps:spPr>
                        <wps:txbx>
                          <w:txbxContent>
                            <w:p w14:paraId="623B6643">
                              <w:pPr>
                                <w:pStyle w:val="72"/>
                              </w:pPr>
                              <w:r>
                                <w:rPr>
                                  <w:rFonts w:hint="eastAsia"/>
                                </w:rPr>
                                <w:t>项目安全工作标准</w:t>
                              </w:r>
                            </w:p>
                          </w:txbxContent>
                        </wps:txbx>
                        <wps:bodyPr rot="0" vert="horz" wrap="square" lIns="0" tIns="0" rIns="0" bIns="0" anchor="ctr" anchorCtr="0" upright="1">
                          <a:noAutofit/>
                        </wps:bodyPr>
                      </wps:wsp>
                      <wps:wsp>
                        <wps:cNvPr id="267" name="Line 2597"/>
                        <wps:cNvCnPr>
                          <a:cxnSpLocks noChangeShapeType="1"/>
                        </wps:cNvCnPr>
                        <wps:spPr bwMode="auto">
                          <a:xfrm>
                            <a:off x="2396" y="2088"/>
                            <a:ext cx="0" cy="1308"/>
                          </a:xfrm>
                          <a:prstGeom prst="line">
                            <a:avLst/>
                          </a:prstGeom>
                          <a:noFill/>
                          <a:ln w="12700">
                            <a:solidFill>
                              <a:srgbClr val="0000C8"/>
                            </a:solidFill>
                            <a:round/>
                          </a:ln>
                        </wps:spPr>
                        <wps:bodyPr/>
                      </wps:wsp>
                      <wps:wsp>
                        <wps:cNvPr id="220" name="Line 2598"/>
                        <wps:cNvCnPr>
                          <a:cxnSpLocks noChangeShapeType="1"/>
                        </wps:cNvCnPr>
                        <wps:spPr bwMode="auto">
                          <a:xfrm>
                            <a:off x="2396" y="2088"/>
                            <a:ext cx="338" cy="0"/>
                          </a:xfrm>
                          <a:prstGeom prst="line">
                            <a:avLst/>
                          </a:prstGeom>
                          <a:noFill/>
                          <a:ln w="12700">
                            <a:solidFill>
                              <a:srgbClr val="0000C8"/>
                            </a:solidFill>
                            <a:round/>
                          </a:ln>
                        </wps:spPr>
                        <wps:bodyPr/>
                      </wps:wsp>
                      <wps:wsp>
                        <wps:cNvPr id="516" name="Line 2599"/>
                        <wps:cNvCnPr>
                          <a:cxnSpLocks noChangeShapeType="1"/>
                        </wps:cNvCnPr>
                        <wps:spPr bwMode="auto">
                          <a:xfrm>
                            <a:off x="2396" y="2959"/>
                            <a:ext cx="338" cy="0"/>
                          </a:xfrm>
                          <a:prstGeom prst="line">
                            <a:avLst/>
                          </a:prstGeom>
                          <a:noFill/>
                          <a:ln w="12700">
                            <a:solidFill>
                              <a:srgbClr val="0000C8"/>
                            </a:solidFill>
                            <a:round/>
                          </a:ln>
                        </wps:spPr>
                        <wps:bodyPr/>
                      </wps:wsp>
                      <wps:wsp>
                        <wps:cNvPr id="517" name="Line 2600"/>
                        <wps:cNvCnPr>
                          <a:cxnSpLocks noChangeShapeType="1"/>
                        </wps:cNvCnPr>
                        <wps:spPr bwMode="auto">
                          <a:xfrm>
                            <a:off x="5267" y="2961"/>
                            <a:ext cx="338" cy="0"/>
                          </a:xfrm>
                          <a:prstGeom prst="line">
                            <a:avLst/>
                          </a:prstGeom>
                          <a:noFill/>
                          <a:ln w="12700">
                            <a:solidFill>
                              <a:srgbClr val="0000C8"/>
                            </a:solidFill>
                            <a:round/>
                          </a:ln>
                        </wps:spPr>
                        <wps:bodyPr/>
                      </wps:wsp>
                      <wps:wsp>
                        <wps:cNvPr id="518" name="Text Box 2601"/>
                        <wps:cNvSpPr txBox="1">
                          <a:spLocks noChangeArrowheads="1"/>
                        </wps:cNvSpPr>
                        <wps:spPr bwMode="auto">
                          <a:xfrm>
                            <a:off x="5605" y="2787"/>
                            <a:ext cx="676" cy="348"/>
                          </a:xfrm>
                          <a:prstGeom prst="rect">
                            <a:avLst/>
                          </a:prstGeom>
                          <a:solidFill>
                            <a:schemeClr val="accent6">
                              <a:lumMod val="40000"/>
                              <a:lumOff val="60000"/>
                            </a:schemeClr>
                          </a:solidFill>
                          <a:ln w="12700">
                            <a:solidFill>
                              <a:srgbClr val="0000C8"/>
                            </a:solidFill>
                            <a:miter lim="800000"/>
                          </a:ln>
                        </wps:spPr>
                        <wps:txbx>
                          <w:txbxContent>
                            <w:p w14:paraId="490310CC">
                              <w:pPr>
                                <w:pStyle w:val="72"/>
                              </w:pPr>
                              <w:r>
                                <w:rPr>
                                  <w:rFonts w:hint="eastAsia"/>
                                </w:rPr>
                                <w:t>计划</w:t>
                              </w:r>
                            </w:p>
                          </w:txbxContent>
                        </wps:txbx>
                        <wps:bodyPr rot="0" vert="horz" wrap="square" lIns="0" tIns="0" rIns="0" bIns="0" anchor="ctr" anchorCtr="0" upright="1">
                          <a:noAutofit/>
                        </wps:bodyPr>
                      </wps:wsp>
                      <wps:wsp>
                        <wps:cNvPr id="519" name="Text Box 2602"/>
                        <wps:cNvSpPr txBox="1">
                          <a:spLocks noChangeArrowheads="1"/>
                        </wps:cNvSpPr>
                        <wps:spPr bwMode="auto">
                          <a:xfrm>
                            <a:off x="6281" y="2787"/>
                            <a:ext cx="676" cy="348"/>
                          </a:xfrm>
                          <a:prstGeom prst="rect">
                            <a:avLst/>
                          </a:prstGeom>
                          <a:solidFill>
                            <a:schemeClr val="accent6">
                              <a:lumMod val="40000"/>
                              <a:lumOff val="60000"/>
                            </a:schemeClr>
                          </a:solidFill>
                          <a:ln w="12700">
                            <a:solidFill>
                              <a:srgbClr val="0000C8"/>
                            </a:solidFill>
                            <a:miter lim="800000"/>
                          </a:ln>
                        </wps:spPr>
                        <wps:txbx>
                          <w:txbxContent>
                            <w:p w14:paraId="2A4F3F97">
                              <w:pPr>
                                <w:pStyle w:val="72"/>
                              </w:pPr>
                              <w:r>
                                <w:rPr>
                                  <w:rFonts w:hint="eastAsia"/>
                                </w:rPr>
                                <w:t>教育</w:t>
                              </w:r>
                            </w:p>
                          </w:txbxContent>
                        </wps:txbx>
                        <wps:bodyPr rot="0" vert="horz" wrap="square" lIns="0" tIns="0" rIns="0" bIns="0" anchor="ctr" anchorCtr="0" upright="1">
                          <a:noAutofit/>
                        </wps:bodyPr>
                      </wps:wsp>
                      <wps:wsp>
                        <wps:cNvPr id="520" name="Text Box 2603"/>
                        <wps:cNvSpPr txBox="1">
                          <a:spLocks noChangeArrowheads="1"/>
                        </wps:cNvSpPr>
                        <wps:spPr bwMode="auto">
                          <a:xfrm>
                            <a:off x="6957" y="2787"/>
                            <a:ext cx="675" cy="348"/>
                          </a:xfrm>
                          <a:prstGeom prst="rect">
                            <a:avLst/>
                          </a:prstGeom>
                          <a:solidFill>
                            <a:schemeClr val="accent6">
                              <a:lumMod val="40000"/>
                              <a:lumOff val="60000"/>
                            </a:schemeClr>
                          </a:solidFill>
                          <a:ln w="12700">
                            <a:solidFill>
                              <a:srgbClr val="0000C8"/>
                            </a:solidFill>
                            <a:miter lim="800000"/>
                          </a:ln>
                        </wps:spPr>
                        <wps:txbx>
                          <w:txbxContent>
                            <w:p w14:paraId="64773CEF">
                              <w:pPr>
                                <w:pStyle w:val="72"/>
                              </w:pPr>
                              <w:r>
                                <w:rPr>
                                  <w:rFonts w:hint="eastAsia"/>
                                </w:rPr>
                                <w:t>检查</w:t>
                              </w:r>
                            </w:p>
                          </w:txbxContent>
                        </wps:txbx>
                        <wps:bodyPr rot="0" vert="horz" wrap="square" lIns="0" tIns="0" rIns="0" bIns="0" anchor="ctr" anchorCtr="0" upright="1">
                          <a:noAutofit/>
                        </wps:bodyPr>
                      </wps:wsp>
                      <wps:wsp>
                        <wps:cNvPr id="221" name="Text Box 2604"/>
                        <wps:cNvSpPr txBox="1">
                          <a:spLocks noChangeArrowheads="1"/>
                        </wps:cNvSpPr>
                        <wps:spPr bwMode="auto">
                          <a:xfrm>
                            <a:off x="7632" y="2787"/>
                            <a:ext cx="676" cy="348"/>
                          </a:xfrm>
                          <a:prstGeom prst="rect">
                            <a:avLst/>
                          </a:prstGeom>
                          <a:solidFill>
                            <a:schemeClr val="accent6">
                              <a:lumMod val="40000"/>
                              <a:lumOff val="60000"/>
                            </a:schemeClr>
                          </a:solidFill>
                          <a:ln w="12700">
                            <a:solidFill>
                              <a:srgbClr val="0000C8"/>
                            </a:solidFill>
                            <a:miter lim="800000"/>
                          </a:ln>
                        </wps:spPr>
                        <wps:txbx>
                          <w:txbxContent>
                            <w:p w14:paraId="6C98DDAD">
                              <w:pPr>
                                <w:pStyle w:val="72"/>
                              </w:pPr>
                              <w:r>
                                <w:rPr>
                                  <w:rFonts w:hint="eastAsia"/>
                                </w:rPr>
                                <w:t>奖惩</w:t>
                              </w:r>
                            </w:p>
                          </w:txbxContent>
                        </wps:txbx>
                        <wps:bodyPr rot="0" vert="horz" wrap="square" lIns="0" tIns="0" rIns="0" bIns="0" anchor="ctr" anchorCtr="0" upright="1">
                          <a:noAutofit/>
                        </wps:bodyPr>
                      </wps:wsp>
                      <wps:wsp>
                        <wps:cNvPr id="222" name="Line 2605"/>
                        <wps:cNvCnPr>
                          <a:cxnSpLocks noChangeShapeType="1"/>
                        </wps:cNvCnPr>
                        <wps:spPr bwMode="auto">
                          <a:xfrm>
                            <a:off x="5267" y="784"/>
                            <a:ext cx="338" cy="0"/>
                          </a:xfrm>
                          <a:prstGeom prst="line">
                            <a:avLst/>
                          </a:prstGeom>
                          <a:noFill/>
                          <a:ln w="12700">
                            <a:solidFill>
                              <a:srgbClr val="0000C8"/>
                            </a:solidFill>
                            <a:round/>
                          </a:ln>
                        </wps:spPr>
                        <wps:bodyPr/>
                      </wps:wsp>
                      <wps:wsp>
                        <wps:cNvPr id="523" name="Line 2606"/>
                        <wps:cNvCnPr>
                          <a:cxnSpLocks noChangeShapeType="1"/>
                        </wps:cNvCnPr>
                        <wps:spPr bwMode="auto">
                          <a:xfrm>
                            <a:off x="5267" y="1219"/>
                            <a:ext cx="338" cy="0"/>
                          </a:xfrm>
                          <a:prstGeom prst="line">
                            <a:avLst/>
                          </a:prstGeom>
                          <a:noFill/>
                          <a:ln w="12700">
                            <a:solidFill>
                              <a:srgbClr val="0000C8"/>
                            </a:solidFill>
                            <a:round/>
                          </a:ln>
                        </wps:spPr>
                        <wps:bodyPr/>
                      </wps:wsp>
                      <wps:wsp>
                        <wps:cNvPr id="524" name="Line 2607"/>
                        <wps:cNvCnPr>
                          <a:cxnSpLocks noChangeShapeType="1"/>
                        </wps:cNvCnPr>
                        <wps:spPr bwMode="auto">
                          <a:xfrm>
                            <a:off x="5267" y="1654"/>
                            <a:ext cx="338" cy="0"/>
                          </a:xfrm>
                          <a:prstGeom prst="line">
                            <a:avLst/>
                          </a:prstGeom>
                          <a:noFill/>
                          <a:ln w="12700">
                            <a:solidFill>
                              <a:srgbClr val="0000C8"/>
                            </a:solidFill>
                            <a:round/>
                          </a:ln>
                        </wps:spPr>
                        <wps:bodyPr/>
                      </wps:wsp>
                      <wps:wsp>
                        <wps:cNvPr id="525" name="Text Box 2608"/>
                        <wps:cNvSpPr txBox="1">
                          <a:spLocks noChangeArrowheads="1"/>
                        </wps:cNvSpPr>
                        <wps:spPr bwMode="auto">
                          <a:xfrm>
                            <a:off x="2734" y="3222"/>
                            <a:ext cx="5574" cy="348"/>
                          </a:xfrm>
                          <a:prstGeom prst="rect">
                            <a:avLst/>
                          </a:prstGeom>
                          <a:solidFill>
                            <a:schemeClr val="accent6">
                              <a:lumMod val="40000"/>
                              <a:lumOff val="60000"/>
                            </a:schemeClr>
                          </a:solidFill>
                          <a:ln w="12700">
                            <a:solidFill>
                              <a:srgbClr val="0000C8"/>
                            </a:solidFill>
                            <a:miter lim="800000"/>
                          </a:ln>
                        </wps:spPr>
                        <wps:txbx>
                          <w:txbxContent>
                            <w:p w14:paraId="2CAE5428">
                              <w:pPr>
                                <w:pStyle w:val="72"/>
                              </w:pPr>
                              <w:r>
                                <w:rPr>
                                  <w:rFonts w:hint="eastAsia"/>
                                </w:rPr>
                                <w:t>特殊工种、特种设备、关键工序安全操作规程</w:t>
                              </w:r>
                            </w:p>
                          </w:txbxContent>
                        </wps:txbx>
                        <wps:bodyPr rot="0" vert="horz" wrap="square" lIns="0" tIns="0" rIns="0" bIns="0" anchor="ctr" anchorCtr="0" upright="1">
                          <a:noAutofit/>
                        </wps:bodyPr>
                      </wps:wsp>
                      <wps:wsp>
                        <wps:cNvPr id="526" name="Line 2609"/>
                        <wps:cNvCnPr>
                          <a:cxnSpLocks noChangeShapeType="1"/>
                        </wps:cNvCnPr>
                        <wps:spPr bwMode="auto">
                          <a:xfrm>
                            <a:off x="2396" y="3396"/>
                            <a:ext cx="338" cy="0"/>
                          </a:xfrm>
                          <a:prstGeom prst="line">
                            <a:avLst/>
                          </a:prstGeom>
                          <a:noFill/>
                          <a:ln w="12700">
                            <a:solidFill>
                              <a:srgbClr val="0000C8"/>
                            </a:solidFill>
                            <a:round/>
                          </a:ln>
                        </wps:spPr>
                        <wps:bodyPr/>
                      </wps:wsp>
                      <wps:wsp>
                        <wps:cNvPr id="527" name="Line 2610"/>
                        <wps:cNvCnPr>
                          <a:cxnSpLocks noChangeShapeType="1"/>
                        </wps:cNvCnPr>
                        <wps:spPr bwMode="auto">
                          <a:xfrm>
                            <a:off x="709" y="4265"/>
                            <a:ext cx="124" cy="0"/>
                          </a:xfrm>
                          <a:prstGeom prst="line">
                            <a:avLst/>
                          </a:prstGeom>
                          <a:noFill/>
                          <a:ln w="12700">
                            <a:solidFill>
                              <a:srgbClr val="0000C8"/>
                            </a:solidFill>
                            <a:round/>
                          </a:ln>
                        </wps:spPr>
                        <wps:bodyPr/>
                      </wps:wsp>
                      <wps:wsp>
                        <wps:cNvPr id="528" name="Text Box 2611"/>
                        <wps:cNvSpPr txBox="1">
                          <a:spLocks noChangeArrowheads="1"/>
                        </wps:cNvSpPr>
                        <wps:spPr bwMode="auto">
                          <a:xfrm>
                            <a:off x="833" y="4091"/>
                            <a:ext cx="1352" cy="349"/>
                          </a:xfrm>
                          <a:prstGeom prst="rect">
                            <a:avLst/>
                          </a:prstGeom>
                          <a:solidFill>
                            <a:schemeClr val="accent6">
                              <a:lumMod val="40000"/>
                              <a:lumOff val="60000"/>
                            </a:schemeClr>
                          </a:solidFill>
                          <a:ln w="12700">
                            <a:solidFill>
                              <a:srgbClr val="0000C8"/>
                            </a:solidFill>
                            <a:miter lim="800000"/>
                          </a:ln>
                        </wps:spPr>
                        <wps:txbx>
                          <w:txbxContent>
                            <w:p w14:paraId="28D9655E">
                              <w:pPr>
                                <w:pStyle w:val="72"/>
                              </w:pPr>
                              <w:r>
                                <w:rPr>
                                  <w:rFonts w:hint="eastAsia"/>
                                </w:rPr>
                                <w:t>技术保证</w:t>
                              </w:r>
                            </w:p>
                          </w:txbxContent>
                        </wps:txbx>
                        <wps:bodyPr rot="0" vert="horz" wrap="square" lIns="0" tIns="0" rIns="0" bIns="0" anchor="ctr" anchorCtr="0" upright="1">
                          <a:noAutofit/>
                        </wps:bodyPr>
                      </wps:wsp>
                      <wps:wsp>
                        <wps:cNvPr id="529" name="Line 2612"/>
                        <wps:cNvCnPr>
                          <a:cxnSpLocks noChangeShapeType="1"/>
                        </wps:cNvCnPr>
                        <wps:spPr bwMode="auto">
                          <a:xfrm>
                            <a:off x="2185" y="4265"/>
                            <a:ext cx="549" cy="0"/>
                          </a:xfrm>
                          <a:prstGeom prst="line">
                            <a:avLst/>
                          </a:prstGeom>
                          <a:noFill/>
                          <a:ln w="12700">
                            <a:solidFill>
                              <a:srgbClr val="0000C8"/>
                            </a:solidFill>
                            <a:round/>
                          </a:ln>
                        </wps:spPr>
                        <wps:bodyPr/>
                      </wps:wsp>
                      <wps:wsp>
                        <wps:cNvPr id="530" name="Text Box 2613"/>
                        <wps:cNvSpPr txBox="1">
                          <a:spLocks noChangeArrowheads="1"/>
                        </wps:cNvSpPr>
                        <wps:spPr bwMode="auto">
                          <a:xfrm>
                            <a:off x="2734" y="4091"/>
                            <a:ext cx="3547" cy="349"/>
                          </a:xfrm>
                          <a:prstGeom prst="rect">
                            <a:avLst/>
                          </a:prstGeom>
                          <a:solidFill>
                            <a:schemeClr val="accent6">
                              <a:lumMod val="40000"/>
                              <a:lumOff val="60000"/>
                            </a:schemeClr>
                          </a:solidFill>
                          <a:ln w="12700">
                            <a:solidFill>
                              <a:srgbClr val="0000C8"/>
                            </a:solidFill>
                            <a:miter lim="800000"/>
                          </a:ln>
                        </wps:spPr>
                        <wps:txbx>
                          <w:txbxContent>
                            <w:p w14:paraId="296A8EF2">
                              <w:pPr>
                                <w:pStyle w:val="72"/>
                              </w:pPr>
                              <w:r>
                                <w:rPr>
                                  <w:rFonts w:hint="eastAsia"/>
                                </w:rPr>
                                <w:t>分部、分项工程安全技术交底</w:t>
                              </w:r>
                            </w:p>
                          </w:txbxContent>
                        </wps:txbx>
                        <wps:bodyPr rot="0" vert="horz" wrap="square" lIns="0" tIns="0" rIns="0" bIns="0" anchor="ctr" anchorCtr="0" upright="1">
                          <a:noAutofit/>
                        </wps:bodyPr>
                      </wps:wsp>
                      <wps:wsp>
                        <wps:cNvPr id="531" name="Text Box 2614"/>
                        <wps:cNvSpPr txBox="1">
                          <a:spLocks noChangeArrowheads="1"/>
                        </wps:cNvSpPr>
                        <wps:spPr bwMode="auto">
                          <a:xfrm>
                            <a:off x="2734" y="3657"/>
                            <a:ext cx="3547" cy="349"/>
                          </a:xfrm>
                          <a:prstGeom prst="rect">
                            <a:avLst/>
                          </a:prstGeom>
                          <a:solidFill>
                            <a:schemeClr val="accent6">
                              <a:lumMod val="40000"/>
                              <a:lumOff val="60000"/>
                            </a:schemeClr>
                          </a:solidFill>
                          <a:ln w="12700">
                            <a:solidFill>
                              <a:srgbClr val="0000C8"/>
                            </a:solidFill>
                            <a:miter lim="800000"/>
                          </a:ln>
                        </wps:spPr>
                        <wps:txbx>
                          <w:txbxContent>
                            <w:p w14:paraId="371B1E40">
                              <w:pPr>
                                <w:pStyle w:val="72"/>
                              </w:pPr>
                              <w:r>
                                <w:rPr>
                                  <w:rFonts w:hint="eastAsia"/>
                                </w:rPr>
                                <w:t>施工组织设计安全保证措施</w:t>
                              </w:r>
                            </w:p>
                          </w:txbxContent>
                        </wps:txbx>
                        <wps:bodyPr rot="0" vert="horz" wrap="square" lIns="0" tIns="0" rIns="0" bIns="0" anchor="ctr" anchorCtr="0" upright="1">
                          <a:noAutofit/>
                        </wps:bodyPr>
                      </wps:wsp>
                      <wps:wsp>
                        <wps:cNvPr id="532" name="Text Box 2615"/>
                        <wps:cNvSpPr txBox="1">
                          <a:spLocks noChangeArrowheads="1"/>
                        </wps:cNvSpPr>
                        <wps:spPr bwMode="auto">
                          <a:xfrm>
                            <a:off x="2734" y="4527"/>
                            <a:ext cx="2533" cy="348"/>
                          </a:xfrm>
                          <a:prstGeom prst="rect">
                            <a:avLst/>
                          </a:prstGeom>
                          <a:solidFill>
                            <a:schemeClr val="accent6">
                              <a:lumMod val="40000"/>
                              <a:lumOff val="60000"/>
                            </a:schemeClr>
                          </a:solidFill>
                          <a:ln w="12700">
                            <a:solidFill>
                              <a:srgbClr val="0000C8"/>
                            </a:solidFill>
                            <a:miter lim="800000"/>
                          </a:ln>
                        </wps:spPr>
                        <wps:txbx>
                          <w:txbxContent>
                            <w:p w14:paraId="03D1C491">
                              <w:pPr>
                                <w:pStyle w:val="72"/>
                              </w:pPr>
                              <w:r>
                                <w:rPr>
                                  <w:rFonts w:hint="eastAsia"/>
                                </w:rPr>
                                <w:t>安全QC小组</w:t>
                              </w:r>
                            </w:p>
                          </w:txbxContent>
                        </wps:txbx>
                        <wps:bodyPr rot="0" vert="horz" wrap="square" lIns="0" tIns="0" rIns="0" bIns="0" anchor="ctr" anchorCtr="0" upright="1">
                          <a:noAutofit/>
                        </wps:bodyPr>
                      </wps:wsp>
                      <wps:wsp>
                        <wps:cNvPr id="533" name="Line 2616"/>
                        <wps:cNvCnPr>
                          <a:cxnSpLocks noChangeShapeType="1"/>
                        </wps:cNvCnPr>
                        <wps:spPr bwMode="auto">
                          <a:xfrm>
                            <a:off x="2396" y="3830"/>
                            <a:ext cx="0" cy="873"/>
                          </a:xfrm>
                          <a:prstGeom prst="line">
                            <a:avLst/>
                          </a:prstGeom>
                          <a:noFill/>
                          <a:ln w="12700">
                            <a:solidFill>
                              <a:srgbClr val="0000C8"/>
                            </a:solidFill>
                            <a:round/>
                          </a:ln>
                        </wps:spPr>
                        <wps:bodyPr/>
                      </wps:wsp>
                      <wps:wsp>
                        <wps:cNvPr id="534" name="Line 2617"/>
                        <wps:cNvCnPr>
                          <a:cxnSpLocks noChangeShapeType="1"/>
                        </wps:cNvCnPr>
                        <wps:spPr bwMode="auto">
                          <a:xfrm>
                            <a:off x="2396" y="3830"/>
                            <a:ext cx="338" cy="0"/>
                          </a:xfrm>
                          <a:prstGeom prst="line">
                            <a:avLst/>
                          </a:prstGeom>
                          <a:noFill/>
                          <a:ln w="12700">
                            <a:solidFill>
                              <a:srgbClr val="0000C8"/>
                            </a:solidFill>
                            <a:round/>
                          </a:ln>
                        </wps:spPr>
                        <wps:bodyPr/>
                      </wps:wsp>
                      <wps:wsp>
                        <wps:cNvPr id="535" name="Line 2618"/>
                        <wps:cNvCnPr>
                          <a:cxnSpLocks noChangeShapeType="1"/>
                        </wps:cNvCnPr>
                        <wps:spPr bwMode="auto">
                          <a:xfrm>
                            <a:off x="2396" y="4701"/>
                            <a:ext cx="338" cy="0"/>
                          </a:xfrm>
                          <a:prstGeom prst="line">
                            <a:avLst/>
                          </a:prstGeom>
                          <a:noFill/>
                          <a:ln w="12700">
                            <a:solidFill>
                              <a:srgbClr val="0000C8"/>
                            </a:solidFill>
                            <a:round/>
                          </a:ln>
                        </wps:spPr>
                        <wps:bodyPr/>
                      </wps:wsp>
                      <wps:wsp>
                        <wps:cNvPr id="536" name="Line 2619"/>
                        <wps:cNvCnPr>
                          <a:cxnSpLocks noChangeShapeType="1"/>
                        </wps:cNvCnPr>
                        <wps:spPr bwMode="auto">
                          <a:xfrm>
                            <a:off x="5267" y="4703"/>
                            <a:ext cx="338" cy="0"/>
                          </a:xfrm>
                          <a:prstGeom prst="line">
                            <a:avLst/>
                          </a:prstGeom>
                          <a:noFill/>
                          <a:ln w="12700">
                            <a:solidFill>
                              <a:srgbClr val="0000C8"/>
                            </a:solidFill>
                            <a:round/>
                          </a:ln>
                        </wps:spPr>
                        <wps:bodyPr/>
                      </wps:wsp>
                      <wps:wsp>
                        <wps:cNvPr id="545" name="Text Box 2620"/>
                        <wps:cNvSpPr txBox="1">
                          <a:spLocks noChangeArrowheads="1"/>
                        </wps:cNvSpPr>
                        <wps:spPr bwMode="auto">
                          <a:xfrm>
                            <a:off x="5605" y="4529"/>
                            <a:ext cx="676" cy="348"/>
                          </a:xfrm>
                          <a:prstGeom prst="rect">
                            <a:avLst/>
                          </a:prstGeom>
                          <a:solidFill>
                            <a:schemeClr val="accent6">
                              <a:lumMod val="40000"/>
                              <a:lumOff val="60000"/>
                            </a:schemeClr>
                          </a:solidFill>
                          <a:ln w="12700">
                            <a:solidFill>
                              <a:srgbClr val="0000C8"/>
                            </a:solidFill>
                            <a:miter lim="800000"/>
                          </a:ln>
                        </wps:spPr>
                        <wps:txbx>
                          <w:txbxContent>
                            <w:p w14:paraId="494C495B">
                              <w:pPr>
                                <w:pStyle w:val="72"/>
                              </w:pPr>
                              <w:r>
                                <w:rPr>
                                  <w:rFonts w:hint="eastAsia"/>
                                </w:rPr>
                                <w:t>P</w:t>
                              </w:r>
                            </w:p>
                          </w:txbxContent>
                        </wps:txbx>
                        <wps:bodyPr rot="0" vert="horz" wrap="square" lIns="0" tIns="0" rIns="0" bIns="0" anchor="ctr" anchorCtr="0" upright="1">
                          <a:noAutofit/>
                        </wps:bodyPr>
                      </wps:wsp>
                      <wps:wsp>
                        <wps:cNvPr id="547" name="Text Box 2621"/>
                        <wps:cNvSpPr txBox="1">
                          <a:spLocks noChangeArrowheads="1"/>
                        </wps:cNvSpPr>
                        <wps:spPr bwMode="auto">
                          <a:xfrm>
                            <a:off x="6281" y="4529"/>
                            <a:ext cx="676" cy="348"/>
                          </a:xfrm>
                          <a:prstGeom prst="rect">
                            <a:avLst/>
                          </a:prstGeom>
                          <a:solidFill>
                            <a:schemeClr val="accent6">
                              <a:lumMod val="40000"/>
                              <a:lumOff val="60000"/>
                            </a:schemeClr>
                          </a:solidFill>
                          <a:ln w="12700">
                            <a:solidFill>
                              <a:srgbClr val="0000C8"/>
                            </a:solidFill>
                            <a:miter lim="800000"/>
                          </a:ln>
                        </wps:spPr>
                        <wps:txbx>
                          <w:txbxContent>
                            <w:p w14:paraId="116DAF82">
                              <w:pPr>
                                <w:pStyle w:val="72"/>
                              </w:pPr>
                              <w:r>
                                <w:rPr>
                                  <w:rFonts w:hint="eastAsia"/>
                                </w:rPr>
                                <w:t>D</w:t>
                              </w:r>
                            </w:p>
                          </w:txbxContent>
                        </wps:txbx>
                        <wps:bodyPr rot="0" vert="horz" wrap="square" lIns="0" tIns="0" rIns="0" bIns="0" anchor="ctr" anchorCtr="0" upright="1">
                          <a:noAutofit/>
                        </wps:bodyPr>
                      </wps:wsp>
                      <wps:wsp>
                        <wps:cNvPr id="556" name="Text Box 2622"/>
                        <wps:cNvSpPr txBox="1">
                          <a:spLocks noChangeArrowheads="1"/>
                        </wps:cNvSpPr>
                        <wps:spPr bwMode="auto">
                          <a:xfrm>
                            <a:off x="6957" y="4529"/>
                            <a:ext cx="675" cy="348"/>
                          </a:xfrm>
                          <a:prstGeom prst="rect">
                            <a:avLst/>
                          </a:prstGeom>
                          <a:solidFill>
                            <a:schemeClr val="accent6">
                              <a:lumMod val="40000"/>
                              <a:lumOff val="60000"/>
                            </a:schemeClr>
                          </a:solidFill>
                          <a:ln w="12700">
                            <a:solidFill>
                              <a:srgbClr val="0000C8"/>
                            </a:solidFill>
                            <a:miter lim="800000"/>
                          </a:ln>
                        </wps:spPr>
                        <wps:txbx>
                          <w:txbxContent>
                            <w:p w14:paraId="748AE739">
                              <w:pPr>
                                <w:pStyle w:val="72"/>
                              </w:pPr>
                              <w:r>
                                <w:rPr>
                                  <w:rFonts w:hint="eastAsia"/>
                                </w:rPr>
                                <w:t>C</w:t>
                              </w:r>
                            </w:p>
                          </w:txbxContent>
                        </wps:txbx>
                        <wps:bodyPr rot="0" vert="horz" wrap="square" lIns="0" tIns="0" rIns="0" bIns="0" anchor="ctr" anchorCtr="0" upright="1">
                          <a:noAutofit/>
                        </wps:bodyPr>
                      </wps:wsp>
                      <wps:wsp>
                        <wps:cNvPr id="579" name="Text Box 2623"/>
                        <wps:cNvSpPr txBox="1">
                          <a:spLocks noChangeArrowheads="1"/>
                        </wps:cNvSpPr>
                        <wps:spPr bwMode="auto">
                          <a:xfrm>
                            <a:off x="7632" y="4529"/>
                            <a:ext cx="676" cy="348"/>
                          </a:xfrm>
                          <a:prstGeom prst="rect">
                            <a:avLst/>
                          </a:prstGeom>
                          <a:solidFill>
                            <a:schemeClr val="accent6">
                              <a:lumMod val="40000"/>
                              <a:lumOff val="60000"/>
                            </a:schemeClr>
                          </a:solidFill>
                          <a:ln w="12700">
                            <a:solidFill>
                              <a:srgbClr val="0000C8"/>
                            </a:solidFill>
                            <a:miter lim="800000"/>
                          </a:ln>
                        </wps:spPr>
                        <wps:txbx>
                          <w:txbxContent>
                            <w:p w14:paraId="5B7932F4">
                              <w:pPr>
                                <w:pStyle w:val="72"/>
                              </w:pPr>
                              <w:r>
                                <w:rPr>
                                  <w:rFonts w:hint="eastAsia"/>
                                </w:rPr>
                                <w:t>A</w:t>
                              </w:r>
                            </w:p>
                          </w:txbxContent>
                        </wps:txbx>
                        <wps:bodyPr rot="0" vert="horz" wrap="square" lIns="0" tIns="0" rIns="0" bIns="0" anchor="ctr" anchorCtr="0" upright="1">
                          <a:noAutofit/>
                        </wps:bodyPr>
                      </wps:wsp>
                      <wps:wsp>
                        <wps:cNvPr id="580" name="Line 2624"/>
                        <wps:cNvCnPr>
                          <a:cxnSpLocks noChangeShapeType="1"/>
                        </wps:cNvCnPr>
                        <wps:spPr bwMode="auto">
                          <a:xfrm>
                            <a:off x="690" y="5573"/>
                            <a:ext cx="143" cy="0"/>
                          </a:xfrm>
                          <a:prstGeom prst="line">
                            <a:avLst/>
                          </a:prstGeom>
                          <a:noFill/>
                          <a:ln w="12700">
                            <a:solidFill>
                              <a:srgbClr val="0000C8"/>
                            </a:solidFill>
                            <a:round/>
                          </a:ln>
                        </wps:spPr>
                        <wps:bodyPr/>
                      </wps:wsp>
                      <wps:wsp>
                        <wps:cNvPr id="605" name="Text Box 2625"/>
                        <wps:cNvSpPr txBox="1">
                          <a:spLocks noChangeArrowheads="1"/>
                        </wps:cNvSpPr>
                        <wps:spPr bwMode="auto">
                          <a:xfrm>
                            <a:off x="833" y="5399"/>
                            <a:ext cx="1352" cy="348"/>
                          </a:xfrm>
                          <a:prstGeom prst="rect">
                            <a:avLst/>
                          </a:prstGeom>
                          <a:solidFill>
                            <a:schemeClr val="accent6">
                              <a:lumMod val="40000"/>
                              <a:lumOff val="60000"/>
                            </a:schemeClr>
                          </a:solidFill>
                          <a:ln w="12700">
                            <a:solidFill>
                              <a:srgbClr val="0000C8"/>
                            </a:solidFill>
                            <a:miter lim="800000"/>
                          </a:ln>
                        </wps:spPr>
                        <wps:txbx>
                          <w:txbxContent>
                            <w:p w14:paraId="7725F8F0">
                              <w:pPr>
                                <w:pStyle w:val="72"/>
                              </w:pPr>
                              <w:r>
                                <w:rPr>
                                  <w:rFonts w:hint="eastAsia"/>
                                </w:rPr>
                                <w:t>资源保证</w:t>
                              </w:r>
                            </w:p>
                          </w:txbxContent>
                        </wps:txbx>
                        <wps:bodyPr rot="0" vert="horz" wrap="square" lIns="0" tIns="0" rIns="0" bIns="0" anchor="ctr" anchorCtr="0" upright="1">
                          <a:noAutofit/>
                        </wps:bodyPr>
                      </wps:wsp>
                      <wps:wsp>
                        <wps:cNvPr id="612" name="Line 2626"/>
                        <wps:cNvCnPr>
                          <a:cxnSpLocks noChangeShapeType="1"/>
                        </wps:cNvCnPr>
                        <wps:spPr bwMode="auto">
                          <a:xfrm>
                            <a:off x="2185" y="5573"/>
                            <a:ext cx="549" cy="0"/>
                          </a:xfrm>
                          <a:prstGeom prst="line">
                            <a:avLst/>
                          </a:prstGeom>
                          <a:noFill/>
                          <a:ln w="12700">
                            <a:solidFill>
                              <a:srgbClr val="0000C8"/>
                            </a:solidFill>
                            <a:round/>
                          </a:ln>
                        </wps:spPr>
                        <wps:bodyPr/>
                      </wps:wsp>
                      <wps:wsp>
                        <wps:cNvPr id="613" name="Text Box 2627"/>
                        <wps:cNvSpPr txBox="1">
                          <a:spLocks noChangeArrowheads="1"/>
                        </wps:cNvSpPr>
                        <wps:spPr bwMode="auto">
                          <a:xfrm>
                            <a:off x="2734" y="5399"/>
                            <a:ext cx="3040" cy="348"/>
                          </a:xfrm>
                          <a:prstGeom prst="rect">
                            <a:avLst/>
                          </a:prstGeom>
                          <a:solidFill>
                            <a:schemeClr val="accent6">
                              <a:lumMod val="40000"/>
                              <a:lumOff val="60000"/>
                            </a:schemeClr>
                          </a:solidFill>
                          <a:ln w="12700">
                            <a:solidFill>
                              <a:srgbClr val="0000C8"/>
                            </a:solidFill>
                            <a:miter lim="800000"/>
                          </a:ln>
                        </wps:spPr>
                        <wps:txbx>
                          <w:txbxContent>
                            <w:p w14:paraId="607A3B80">
                              <w:pPr>
                                <w:pStyle w:val="72"/>
                              </w:pPr>
                              <w:r>
                                <w:rPr>
                                  <w:rFonts w:hint="eastAsia"/>
                                </w:rPr>
                                <w:t>施工现场安全警示标志</w:t>
                              </w:r>
                            </w:p>
                            <w:p w14:paraId="5E3AC276">
                              <w:pPr>
                                <w:pStyle w:val="72"/>
                              </w:pPr>
                            </w:p>
                          </w:txbxContent>
                        </wps:txbx>
                        <wps:bodyPr rot="0" vert="horz" wrap="square" lIns="0" tIns="0" rIns="0" bIns="0" anchor="ctr" anchorCtr="0" upright="1">
                          <a:noAutofit/>
                        </wps:bodyPr>
                      </wps:wsp>
                      <wps:wsp>
                        <wps:cNvPr id="614" name="Text Box 2628"/>
                        <wps:cNvSpPr txBox="1">
                          <a:spLocks noChangeArrowheads="1"/>
                        </wps:cNvSpPr>
                        <wps:spPr bwMode="auto">
                          <a:xfrm>
                            <a:off x="2734" y="4965"/>
                            <a:ext cx="3040" cy="349"/>
                          </a:xfrm>
                          <a:prstGeom prst="rect">
                            <a:avLst/>
                          </a:prstGeom>
                          <a:solidFill>
                            <a:schemeClr val="accent6">
                              <a:lumMod val="40000"/>
                              <a:lumOff val="60000"/>
                            </a:schemeClr>
                          </a:solidFill>
                          <a:ln w="12700">
                            <a:solidFill>
                              <a:srgbClr val="0000C8"/>
                            </a:solidFill>
                            <a:miter lim="800000"/>
                          </a:ln>
                        </wps:spPr>
                        <wps:txbx>
                          <w:txbxContent>
                            <w:p w14:paraId="474E8982">
                              <w:pPr>
                                <w:pStyle w:val="72"/>
                              </w:pPr>
                              <w:r>
                                <w:rPr>
                                  <w:rFonts w:hint="eastAsia"/>
                                </w:rPr>
                                <w:t>施工现场安全防护措施</w:t>
                              </w:r>
                            </w:p>
                          </w:txbxContent>
                        </wps:txbx>
                        <wps:bodyPr rot="0" vert="horz" wrap="square" lIns="0" tIns="0" rIns="0" bIns="0" anchor="ctr" anchorCtr="0" upright="1">
                          <a:noAutofit/>
                        </wps:bodyPr>
                      </wps:wsp>
                      <wps:wsp>
                        <wps:cNvPr id="616" name="Text Box 2629"/>
                        <wps:cNvSpPr txBox="1">
                          <a:spLocks noChangeArrowheads="1"/>
                        </wps:cNvSpPr>
                        <wps:spPr bwMode="auto">
                          <a:xfrm>
                            <a:off x="2734" y="5835"/>
                            <a:ext cx="3040" cy="348"/>
                          </a:xfrm>
                          <a:prstGeom prst="rect">
                            <a:avLst/>
                          </a:prstGeom>
                          <a:solidFill>
                            <a:schemeClr val="accent6">
                              <a:lumMod val="40000"/>
                              <a:lumOff val="60000"/>
                            </a:schemeClr>
                          </a:solidFill>
                          <a:ln w="12700">
                            <a:solidFill>
                              <a:srgbClr val="0000C8"/>
                            </a:solidFill>
                            <a:miter lim="800000"/>
                          </a:ln>
                        </wps:spPr>
                        <wps:txbx>
                          <w:txbxContent>
                            <w:p w14:paraId="16593E2C">
                              <w:pPr>
                                <w:pStyle w:val="72"/>
                              </w:pPr>
                              <w:r>
                                <w:rPr>
                                  <w:rFonts w:hint="eastAsia"/>
                                </w:rPr>
                                <w:t>作业人员劳动保护用品</w:t>
                              </w:r>
                            </w:p>
                          </w:txbxContent>
                        </wps:txbx>
                        <wps:bodyPr rot="0" vert="horz" wrap="square" lIns="0" tIns="0" rIns="0" bIns="0" anchor="ctr" anchorCtr="0" upright="1">
                          <a:noAutofit/>
                        </wps:bodyPr>
                      </wps:wsp>
                      <wps:wsp>
                        <wps:cNvPr id="617" name="Line 2630"/>
                        <wps:cNvCnPr>
                          <a:cxnSpLocks noChangeShapeType="1"/>
                        </wps:cNvCnPr>
                        <wps:spPr bwMode="auto">
                          <a:xfrm>
                            <a:off x="2396" y="5138"/>
                            <a:ext cx="0" cy="873"/>
                          </a:xfrm>
                          <a:prstGeom prst="line">
                            <a:avLst/>
                          </a:prstGeom>
                          <a:noFill/>
                          <a:ln w="12700">
                            <a:solidFill>
                              <a:srgbClr val="0000C8"/>
                            </a:solidFill>
                            <a:round/>
                          </a:ln>
                        </wps:spPr>
                        <wps:bodyPr/>
                      </wps:wsp>
                      <wps:wsp>
                        <wps:cNvPr id="618" name="Line 2631"/>
                        <wps:cNvCnPr>
                          <a:cxnSpLocks noChangeShapeType="1"/>
                        </wps:cNvCnPr>
                        <wps:spPr bwMode="auto">
                          <a:xfrm>
                            <a:off x="2396" y="5138"/>
                            <a:ext cx="338" cy="0"/>
                          </a:xfrm>
                          <a:prstGeom prst="line">
                            <a:avLst/>
                          </a:prstGeom>
                          <a:noFill/>
                          <a:ln w="12700">
                            <a:solidFill>
                              <a:srgbClr val="0000C8"/>
                            </a:solidFill>
                            <a:round/>
                          </a:ln>
                        </wps:spPr>
                        <wps:bodyPr/>
                      </wps:wsp>
                      <wps:wsp>
                        <wps:cNvPr id="619" name="Line 2632"/>
                        <wps:cNvCnPr>
                          <a:cxnSpLocks noChangeShapeType="1"/>
                        </wps:cNvCnPr>
                        <wps:spPr bwMode="auto">
                          <a:xfrm>
                            <a:off x="2396" y="6009"/>
                            <a:ext cx="338" cy="0"/>
                          </a:xfrm>
                          <a:prstGeom prst="line">
                            <a:avLst/>
                          </a:prstGeom>
                          <a:noFill/>
                          <a:ln w="12700">
                            <a:solidFill>
                              <a:srgbClr val="0000C8"/>
                            </a:solidFill>
                            <a:round/>
                          </a:ln>
                        </wps:spPr>
                        <wps:bodyPr/>
                      </wps:wsp>
                    </wpg:wgp>
                  </a:graphicData>
                </a:graphic>
              </wp:inline>
            </w:drawing>
          </mc:Choice>
          <mc:Fallback>
            <w:pict>
              <v:group id="Group 2569" o:spid="_x0000_s1026" o:spt="203" style="height:351.75pt;width:438.6pt;" coordsize="8308,6183" o:gfxdata="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">
                <o:lock v:ext="edit" aspectratio="f"/>
                <v:shape id="Text Box 2570" o:spid="_x0000_s1026" o:spt="202" type="#_x0000_t202" style="position:absolute;left:0;top:1393;height:2613;width:493;v-text-anchor:middle;" fillcolor="#C5E0B4 [1305]" filled="t" stroked="t" coordsize="21600,21600" o:gfxdata="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4z6u/&#10;AAAA3AAAAA8AAAAAAAAAAQAgAAAAIgAAAGRycy9kb3ducmV2LnhtbFBLAQIUABQAAAAIAIdO4kAz&#10;LwWeOwAAADkAAAAQAAAAAAAAAAEAIAAAAA4BAABkcnMvc2hhcGV4bWwueG1sUEsFBgAAAAAGAAYA&#10;WwEAALgDAAAAAA==&#10;">
                  <v:fill on="t" focussize="0,0"/>
                  <v:stroke weight="1pt" color="#0000C8" miterlimit="8" joinstyle="miter"/>
                  <v:imagedata o:title=""/>
                  <o:lock v:ext="edit" aspectratio="f"/>
                  <v:textbox inset="0mm,0mm,0mm,0mm" style="layout-flow:vertical-ideographic;">
                    <w:txbxContent>
                      <w:p w14:paraId="055FEEF2">
                        <w:pPr>
                          <w:pStyle w:val="72"/>
                        </w:pPr>
                        <w:r>
                          <w:rPr>
                            <w:rFonts w:hint="eastAsia"/>
                          </w:rPr>
                          <w:t>安全生产管理体系</w:t>
                        </w:r>
                      </w:p>
                    </w:txbxContent>
                  </v:textbox>
                </v:shape>
                <v:line id="Line 2571" o:spid="_x0000_s1026" o:spt="20" style="position:absolute;left:514;top:2524;height:0;width:195;" filled="f" stroked="t" coordsize="21600,21600" o:gfxdata="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zA6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72" o:spid="_x0000_s1026" o:spt="20" style="position:absolute;left:690;top:174;height:5399;width:0;" filled="f" stroked="t" coordsize="21600,21600" o:gfxdata="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GmV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73" o:spid="_x0000_s1026" o:spt="20" style="position:absolute;left:690;top:174;height:0;width:214;" filled="f" stroked="t" coordsize="21600,21600" o:gfxdata="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Evf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74" o:spid="_x0000_s1026" o:spt="202" type="#_x0000_t202" style="position:absolute;left:904;top:0;height:348;width:1351;v-text-anchor:middle;" fillcolor="#C5E0B4 [1305]" filled="t" stroked="t" coordsize="21600,21600" o:gfxdata="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zx5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45651D37">
                        <w:pPr>
                          <w:pStyle w:val="72"/>
                        </w:pPr>
                        <w:r>
                          <w:rPr>
                            <w:rFonts w:hint="eastAsia"/>
                          </w:rPr>
                          <w:t>思想保证</w:t>
                        </w:r>
                      </w:p>
                    </w:txbxContent>
                  </v:textbox>
                </v:shape>
                <v:line id="Line 2575" o:spid="_x0000_s1026" o:spt="20" style="position:absolute;left:2255;top:174;height:0;width:262;" filled="f" stroked="t" coordsize="21600,21600" o:gfxdata="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wJF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76" o:spid="_x0000_s1026" o:spt="202" type="#_x0000_t202" style="position:absolute;left:2517;top:0;height:348;width:2703;v-text-anchor:middle;" fillcolor="#C5E0B4 [1305]" filled="t" stroked="t" coordsize="21600,21600" o:gfxdata="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Tps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2D8B017">
                        <w:pPr>
                          <w:pStyle w:val="72"/>
                        </w:pPr>
                        <w:r>
                          <w:rPr>
                            <w:rFonts w:hint="eastAsia"/>
                          </w:rPr>
                          <w:t>项目部季度安全教育</w:t>
                        </w:r>
                      </w:p>
                    </w:txbxContent>
                  </v:textbox>
                </v:shape>
                <v:line id="Line 2577" o:spid="_x0000_s1026" o:spt="20" style="position:absolute;left:5220;top:174;height:0;width:506;" filled="f" stroked="t" coordsize="21600,21600" o:gfxdata="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vPGu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78" o:spid="_x0000_s1026" o:spt="202" type="#_x0000_t202" style="position:absolute;left:5726;top:0;height:348;width:2458;v-text-anchor:middle;" fillcolor="#C5E0B4 [1305]" filled="t" stroked="t" coordsize="21600,21600" o:gfxdata="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7wGA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0156B9EE">
                        <w:pPr>
                          <w:pStyle w:val="72"/>
                        </w:pPr>
                        <w:r>
                          <w:rPr>
                            <w:rFonts w:hint="eastAsia"/>
                          </w:rPr>
                          <w:t>班组每周安全活动</w:t>
                        </w:r>
                      </w:p>
                    </w:txbxContent>
                  </v:textbox>
                </v:shape>
                <v:line id="Line 2579" o:spid="_x0000_s1026" o:spt="20" style="position:absolute;left:709;top:1219;height:0;width:214;" filled="f" stroked="t" coordsize="21600,21600" o:gfxdata="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MQeH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80" o:spid="_x0000_s1026" o:spt="202" type="#_x0000_t202" style="position:absolute;left:904;top:1045;height:348;width:1351;v-text-anchor:middle;" fillcolor="#C5E0B4 [1305]" filled="t" stroked="t" coordsize="21600,21600" o:gfxdata="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wwa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581A3BD3">
                        <w:pPr>
                          <w:pStyle w:val="72"/>
                        </w:pPr>
                        <w:r>
                          <w:rPr>
                            <w:rFonts w:hint="eastAsia"/>
                          </w:rPr>
                          <w:t>组织保证</w:t>
                        </w:r>
                      </w:p>
                    </w:txbxContent>
                  </v:textbox>
                </v:shape>
                <v:line id="Line 2581" o:spid="_x0000_s1026" o:spt="20" style="position:absolute;left:2255;top:1219;height:0;width:479;" filled="f" stroked="t" coordsize="21600,21600" o:gfxdata="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4jZu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82" o:spid="_x0000_s1026" o:spt="202" type="#_x0000_t202" style="position:absolute;left:2734;top:1045;height:348;width:2533;v-text-anchor:middle;" fillcolor="#C5E0B4 [1305]" filled="t" stroked="t" coordsize="21600,21600" o:gfxdata="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Sb20rgAAADc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0mm,0mm,0mm,0mm">
                    <w:txbxContent>
                      <w:p w14:paraId="56BA3CEF">
                        <w:pPr>
                          <w:pStyle w:val="72"/>
                        </w:pPr>
                        <w:r>
                          <w:rPr>
                            <w:rFonts w:hint="eastAsia"/>
                          </w:rPr>
                          <w:t>安监处</w:t>
                        </w:r>
                      </w:p>
                    </w:txbxContent>
                  </v:textbox>
                </v:shape>
                <v:shape id="Text Box 2583" o:spid="_x0000_s1026" o:spt="202" type="#_x0000_t202" style="position:absolute;left:2734;top:612;height:347;width:2533;v-text-anchor:middle;" fillcolor="#C5E0B4 [1305]" filled="t" stroked="t" coordsize="21600,21600" o:gfxdata="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4zT6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0mm,0mm,0mm,0mm">
                    <w:txbxContent>
                      <w:p w14:paraId="13E9F438">
                        <w:pPr>
                          <w:pStyle w:val="72"/>
                        </w:pPr>
                        <w:r>
                          <w:rPr>
                            <w:rFonts w:hint="eastAsia"/>
                          </w:rPr>
                          <w:t>安委会</w:t>
                        </w:r>
                      </w:p>
                    </w:txbxContent>
                  </v:textbox>
                </v:shape>
                <v:shape id="Text Box 2584" o:spid="_x0000_s1026" o:spt="202" type="#_x0000_t202" style="position:absolute;left:2734;top:1480;height:349;width:2533;v-text-anchor:middle;" fillcolor="#C5E0B4 [1305]" filled="t" stroked="t" coordsize="21600,21600" o:gfxdata="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9Gil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309BE53">
                        <w:pPr>
                          <w:pStyle w:val="72"/>
                        </w:pPr>
                        <w:r>
                          <w:rPr>
                            <w:rFonts w:hint="eastAsia"/>
                          </w:rPr>
                          <w:t>项目经理安全责任制</w:t>
                        </w:r>
                      </w:p>
                      <w:p w14:paraId="24D22C3F">
                        <w:pPr>
                          <w:pStyle w:val="72"/>
                        </w:pPr>
                      </w:p>
                    </w:txbxContent>
                  </v:textbox>
                </v:shape>
                <v:line id="Line 2585" o:spid="_x0000_s1026" o:spt="20" style="position:absolute;left:2396;top:784;height:870;width:0;" filled="f" stroked="t" coordsize="21600,21600" o:gfxdata="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PU0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86" o:spid="_x0000_s1026" o:spt="20" style="position:absolute;left:2396;top:784;height:0;width:338;" filled="f" stroked="t" coordsize="21600,21600" o:gfxdata="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D9ta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87" o:spid="_x0000_s1026" o:spt="20" style="position:absolute;left:2396;top:1654;height:0;width:338;" filled="f" stroked="t" coordsize="21600,21600" o:gfxdata="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yeqC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88" o:spid="_x0000_s1026" o:spt="202" type="#_x0000_t202" style="position:absolute;left:5605;top:1035;height:348;width:2703;v-text-anchor:middle;" fillcolor="#C5E0B4 [1305]" filled="t" stroked="t" coordsize="21600,21600" o:gfxdata="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8s9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2ED40B3">
                        <w:pPr>
                          <w:pStyle w:val="72"/>
                        </w:pPr>
                        <w:r>
                          <w:rPr>
                            <w:rFonts w:hint="eastAsia"/>
                          </w:rPr>
                          <w:t>项目部安全监督部</w:t>
                        </w:r>
                      </w:p>
                    </w:txbxContent>
                  </v:textbox>
                </v:shape>
                <v:shape id="Text Box 2589" o:spid="_x0000_s1026" o:spt="202" type="#_x0000_t202" style="position:absolute;left:5605;top:602;height:347;width:2703;v-text-anchor:middle;" fillcolor="#C5E0B4 [1305]" filled="t" stroked="t" coordsize="21600,21600" o:gfxdata="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Gzgs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3AF50D13">
                        <w:pPr>
                          <w:pStyle w:val="72"/>
                        </w:pPr>
                        <w:r>
                          <w:rPr>
                            <w:rFonts w:hint="eastAsia"/>
                          </w:rPr>
                          <w:t>项目部安全领导小组</w:t>
                        </w:r>
                      </w:p>
                    </w:txbxContent>
                  </v:textbox>
                </v:shape>
                <v:shape id="Text Box 2590" o:spid="_x0000_s1026" o:spt="202" type="#_x0000_t202" style="position:absolute;left:5605;top:1470;height:349;width:2703;v-text-anchor:middle;" fillcolor="#C5E0B4 [1305]" filled="t" stroked="t" coordsize="21600,21600" o:gfxdata="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523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4DB9475">
                        <w:pPr>
                          <w:pStyle w:val="72"/>
                        </w:pPr>
                        <w:r>
                          <w:rPr>
                            <w:rFonts w:hint="eastAsia"/>
                          </w:rPr>
                          <w:t>部门安全责任制</w:t>
                        </w:r>
                      </w:p>
                      <w:p w14:paraId="2362CCF5">
                        <w:pPr>
                          <w:pStyle w:val="72"/>
                        </w:pPr>
                      </w:p>
                    </w:txbxContent>
                  </v:textbox>
                </v:shape>
                <v:line id="Line 2591" o:spid="_x0000_s1026" o:spt="20" style="position:absolute;left:690;top:2524;height:0;width:143;" filled="f" stroked="t" coordsize="21600,21600" o:gfxdata="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mAW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92" o:spid="_x0000_s1026" o:spt="202" type="#_x0000_t202" style="position:absolute;left:833;top:2350;height:348;width:1352;v-text-anchor:middle;" fillcolor="#C5E0B4 [1305]" filled="t" stroked="t" coordsize="21600,21600" o:gfxdata="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gHbL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55477B5C">
                        <w:pPr>
                          <w:pStyle w:val="72"/>
                        </w:pPr>
                        <w:r>
                          <w:rPr>
                            <w:rFonts w:hint="eastAsia"/>
                          </w:rPr>
                          <w:t>制度保证</w:t>
                        </w:r>
                      </w:p>
                    </w:txbxContent>
                  </v:textbox>
                </v:shape>
                <v:line id="Line 2593" o:spid="_x0000_s1026" o:spt="20" style="position:absolute;left:2185;top:2524;height:0;width:549;" filled="f" stroked="t" coordsize="21600,21600" o:gfxdata="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uDqH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94" o:spid="_x0000_s1026" o:spt="202" type="#_x0000_t202" style="position:absolute;left:2734;top:2350;height:348;width:3209;v-text-anchor:middle;" fillcolor="#C5E0B4 [1305]" filled="t" stroked="t" coordsize="21600,21600" o:gfxdata="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Y8gL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0F0BCD55">
                        <w:pPr>
                          <w:pStyle w:val="72"/>
                        </w:pPr>
                        <w:r>
                          <w:rPr>
                            <w:rFonts w:hint="eastAsia"/>
                          </w:rPr>
                          <w:t>公司安全生产规章制度</w:t>
                        </w:r>
                      </w:p>
                    </w:txbxContent>
                  </v:textbox>
                </v:shape>
                <v:shape id="Text Box 2595" o:spid="_x0000_s1026" o:spt="202" type="#_x0000_t202" style="position:absolute;left:2734;top:1916;height:348;width:4392;v-text-anchor:middle;" fillcolor="#C5E0B4 [1305]" filled="t" stroked="t" coordsize="21600,21600" o:gfxdata="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aJq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FBA0BC3">
                        <w:pPr>
                          <w:pStyle w:val="72"/>
                        </w:pPr>
                        <w:r>
                          <w:rPr>
                            <w:rFonts w:hint="eastAsia"/>
                          </w:rPr>
                          <w:t>国家、省部、地方安全生产法律法规</w:t>
                        </w:r>
                      </w:p>
                    </w:txbxContent>
                  </v:textbox>
                </v:shape>
                <v:shape id="Text Box 2596" o:spid="_x0000_s1026" o:spt="202" type="#_x0000_t202" style="position:absolute;left:2734;top:2785;height:349;width:2533;v-text-anchor:middle;" fillcolor="#C5E0B4 [1305]" filled="t" stroked="t" coordsize="21600,21600" o:gfxdata="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Giwy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23B6643">
                        <w:pPr>
                          <w:pStyle w:val="72"/>
                        </w:pPr>
                        <w:r>
                          <w:rPr>
                            <w:rFonts w:hint="eastAsia"/>
                          </w:rPr>
                          <w:t>项目安全工作标准</w:t>
                        </w:r>
                      </w:p>
                    </w:txbxContent>
                  </v:textbox>
                </v:shape>
                <v:line id="Line 2597" o:spid="_x0000_s1026" o:spt="20" style="position:absolute;left:2396;top:2088;height:1308;width:0;" filled="f" stroked="t" coordsize="21600,21600" o:gfxdata="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dzTq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98" o:spid="_x0000_s1026" o:spt="20" style="position:absolute;left:2396;top:2088;height:0;width:338;" filled="f" stroked="t" coordsize="21600,21600" o:gfxdata="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t7sjr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line id="Line 2599" o:spid="_x0000_s1026" o:spt="20" style="position:absolute;left:2396;top:2959;height:0;width:338;" filled="f" stroked="t" coordsize="21600,21600" o:gfxdata="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91rm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00" o:spid="_x0000_s1026" o:spt="20" style="position:absolute;left:5267;top:2961;height:0;width:338;" filled="f" stroked="t" coordsize="21600,21600" o:gfxdata="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8XM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01" o:spid="_x0000_s1026" o:spt="202" type="#_x0000_t202" style="position:absolute;left:5605;top:2787;height:348;width:676;v-text-anchor:middle;" fillcolor="#C5E0B4 [1305]" filled="t" stroked="t" coordsize="21600,21600" o:gfxdata="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ETM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490310CC">
                        <w:pPr>
                          <w:pStyle w:val="72"/>
                        </w:pPr>
                        <w:r>
                          <w:rPr>
                            <w:rFonts w:hint="eastAsia"/>
                          </w:rPr>
                          <w:t>计划</w:t>
                        </w:r>
                      </w:p>
                    </w:txbxContent>
                  </v:textbox>
                </v:shape>
                <v:shape id="Text Box 2602" o:spid="_x0000_s1026" o:spt="202" type="#_x0000_t202" style="position:absolute;left:6281;top:2787;height:348;width:676;v-text-anchor:middle;" fillcolor="#C5E0B4 [1305]" filled="t" stroked="t" coordsize="21600,21600" o:gfxdata="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sOFX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A4F3F97">
                        <w:pPr>
                          <w:pStyle w:val="72"/>
                        </w:pPr>
                        <w:r>
                          <w:rPr>
                            <w:rFonts w:hint="eastAsia"/>
                          </w:rPr>
                          <w:t>教育</w:t>
                        </w:r>
                      </w:p>
                    </w:txbxContent>
                  </v:textbox>
                </v:shape>
                <v:shape id="Text Box 2603" o:spid="_x0000_s1026" o:spt="202" type="#_x0000_t202" style="position:absolute;left:6957;top:2787;height:348;width:675;v-text-anchor:middle;" fillcolor="#C5E0B4 [1305]" filled="t" stroked="t" coordsize="21600,21600" o:gfxdata="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Cd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4773CEF">
                        <w:pPr>
                          <w:pStyle w:val="72"/>
                        </w:pPr>
                        <w:r>
                          <w:rPr>
                            <w:rFonts w:hint="eastAsia"/>
                          </w:rPr>
                          <w:t>检查</w:t>
                        </w:r>
                      </w:p>
                    </w:txbxContent>
                  </v:textbox>
                </v:shape>
                <v:shape id="Text Box 2604" o:spid="_x0000_s1026" o:spt="202" type="#_x0000_t202" style="position:absolute;left:7632;top:2787;height:348;width:676;v-text-anchor:middle;" fillcolor="#C5E0B4 [1305]" filled="t" stroked="t" coordsize="21600,21600" o:gfxdata="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AOqJ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C98DDAD">
                        <w:pPr>
                          <w:pStyle w:val="72"/>
                        </w:pPr>
                        <w:r>
                          <w:rPr>
                            <w:rFonts w:hint="eastAsia"/>
                          </w:rPr>
                          <w:t>奖惩</w:t>
                        </w:r>
                      </w:p>
                    </w:txbxContent>
                  </v:textbox>
                </v:shape>
                <v:line id="Line 2605" o:spid="_x0000_s1026" o:spt="20" style="position:absolute;left:5267;top:784;height:0;width:338;" filled="f" stroked="t" coordsize="21600,21600" o:gfxdata="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Nd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06" o:spid="_x0000_s1026" o:spt="20" style="position:absolute;left:5267;top:1219;height:0;width:338;" filled="f" stroked="t" coordsize="21600,21600" o:gfxdata="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r+c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07" o:spid="_x0000_s1026" o:spt="20" style="position:absolute;left:5267;top:1654;height:0;width:338;" filled="f" stroked="t" coordsize="21600,21600" o:gfxdata="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Tyfo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08" o:spid="_x0000_s1026" o:spt="202" type="#_x0000_t202" style="position:absolute;left:2734;top:3222;height:348;width:5574;v-text-anchor:middle;" fillcolor="#C5E0B4 [1305]" filled="t" stroked="t" coordsize="21600,21600" o:gfxdata="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SHv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CAE5428">
                        <w:pPr>
                          <w:pStyle w:val="72"/>
                        </w:pPr>
                        <w:r>
                          <w:rPr>
                            <w:rFonts w:hint="eastAsia"/>
                          </w:rPr>
                          <w:t>特殊工种、特种设备、关键工序安全操作规程</w:t>
                        </w:r>
                      </w:p>
                    </w:txbxContent>
                  </v:textbox>
                </v:shape>
                <v:line id="Line 2609" o:spid="_x0000_s1026" o:spt="20" style="position:absolute;left:2396;top:3396;height:0;width:338;" filled="f" stroked="t" coordsize="21600,21600" o:gfxdata="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RHAS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0" o:spid="_x0000_s1026" o:spt="20" style="position:absolute;left:709;top:4265;height:0;width:124;" filled="f" stroked="t" coordsize="21600,21600" o:gfxdata="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bmf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11" o:spid="_x0000_s1026" o:spt="202" type="#_x0000_t202" style="position:absolute;left:833;top:4091;height:349;width:1352;v-text-anchor:middle;" fillcolor="#C5E0B4 [1305]" filled="t" stroked="t" coordsize="21600,21600" o:gfxdata="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COc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28D9655E">
                        <w:pPr>
                          <w:pStyle w:val="72"/>
                        </w:pPr>
                        <w:r>
                          <w:rPr>
                            <w:rFonts w:hint="eastAsia"/>
                          </w:rPr>
                          <w:t>技术保证</w:t>
                        </w:r>
                      </w:p>
                    </w:txbxContent>
                  </v:textbox>
                </v:shape>
                <v:line id="Line 2612" o:spid="_x0000_s1026" o:spt="20" style="position:absolute;left:2185;top:4265;height:0;width:549;" filled="f" stroked="t" coordsize="21600,21600" o:gfxdata="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oh2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13" o:spid="_x0000_s1026" o:spt="202" type="#_x0000_t202" style="position:absolute;left:2734;top:4091;height:349;width:3547;v-text-anchor:middle;" fillcolor="#C5E0B4 [1305]" filled="t" stroked="t" coordsize="21600,21600" o:gfxdata="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8Uq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296A8EF2">
                        <w:pPr>
                          <w:pStyle w:val="72"/>
                        </w:pPr>
                        <w:r>
                          <w:rPr>
                            <w:rFonts w:hint="eastAsia"/>
                          </w:rPr>
                          <w:t>分部、分项工程安全技术交底</w:t>
                        </w:r>
                      </w:p>
                    </w:txbxContent>
                  </v:textbox>
                </v:shape>
                <v:shape id="Text Box 2614" o:spid="_x0000_s1026" o:spt="202" type="#_x0000_t202" style="position:absolute;left:2734;top:3657;height:349;width:3547;v-text-anchor:middle;" fillcolor="#C5E0B4 [1305]" filled="t" stroked="t" coordsize="21600,21600" o:gfxdata="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OxM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371B1E40">
                        <w:pPr>
                          <w:pStyle w:val="72"/>
                        </w:pPr>
                        <w:r>
                          <w:rPr>
                            <w:rFonts w:hint="eastAsia"/>
                          </w:rPr>
                          <w:t>施工组织设计安全保证措施</w:t>
                        </w:r>
                      </w:p>
                    </w:txbxContent>
                  </v:textbox>
                </v:shape>
                <v:shape id="Text Box 2615" o:spid="_x0000_s1026" o:spt="202" type="#_x0000_t202" style="position:absolute;left:2734;top:4527;height:348;width:2533;v-text-anchor:middle;" fillcolor="#C5E0B4 [1305]" filled="t" stroked="t" coordsize="21600,21600" o:gfxdata="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EvRr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03D1C491">
                        <w:pPr>
                          <w:pStyle w:val="72"/>
                        </w:pPr>
                        <w:r>
                          <w:rPr>
                            <w:rFonts w:hint="eastAsia"/>
                          </w:rPr>
                          <w:t>安全QC小组</w:t>
                        </w:r>
                      </w:p>
                    </w:txbxContent>
                  </v:textbox>
                </v:shape>
                <v:line id="Line 2616" o:spid="_x0000_s1026" o:spt="20" style="position:absolute;left:2396;top:3830;height:873;width:0;" filled="f" stroked="t" coordsize="21600,21600" o:gfxdata="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KU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7" o:spid="_x0000_s1026" o:spt="20" style="position:absolute;left:2396;top:3830;height:0;width:338;" filled="f" stroked="t" coordsize="21600,21600" o:gfxdata="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lrE1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18" o:spid="_x0000_s1026" o:spt="20" style="position:absolute;left:2396;top:4701;height:0;width:338;" filled="f" stroked="t" coordsize="21600,21600" o:gfxdata="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FK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9" o:spid="_x0000_s1026" o:spt="20" style="position:absolute;left:5267;top:4703;height:0;width:338;" filled="f" stroked="t" coordsize="21600,21600" o:gfxdata="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Iitm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620" o:spid="_x0000_s1026" o:spt="202" type="#_x0000_t202" style="position:absolute;left:5605;top:4529;height:348;width:676;v-text-anchor:middle;" fillcolor="#C5E0B4 [1305]" filled="t" stroked="t" coordsize="21600,21600" o:gfxdata="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7ET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494C495B">
                        <w:pPr>
                          <w:pStyle w:val="72"/>
                        </w:pPr>
                        <w:r>
                          <w:rPr>
                            <w:rFonts w:hint="eastAsia"/>
                          </w:rPr>
                          <w:t>P</w:t>
                        </w:r>
                      </w:p>
                    </w:txbxContent>
                  </v:textbox>
                </v:shape>
                <v:shape id="Text Box 2621" o:spid="_x0000_s1026" o:spt="202" type="#_x0000_t202" style="position:absolute;left:6281;top:4529;height:348;width:676;v-text-anchor:middle;" fillcolor="#C5E0B4 [1305]" filled="t" stroked="t" coordsize="21600,21600" o:gfxdata="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D/o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116DAF82">
                        <w:pPr>
                          <w:pStyle w:val="72"/>
                        </w:pPr>
                        <w:r>
                          <w:rPr>
                            <w:rFonts w:hint="eastAsia"/>
                          </w:rPr>
                          <w:t>D</w:t>
                        </w:r>
                      </w:p>
                    </w:txbxContent>
                  </v:textbox>
                </v:shape>
                <v:shape id="Text Box 2622" o:spid="_x0000_s1026" o:spt="202" type="#_x0000_t202" style="position:absolute;left:6957;top:4529;height:348;width:675;v-text-anchor:middle;" fillcolor="#C5E0B4 [1305]" filled="t" stroked="t" coordsize="21600,21600" o:gfxdata="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Rczl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748AE739">
                        <w:pPr>
                          <w:pStyle w:val="72"/>
                        </w:pPr>
                        <w:r>
                          <w:rPr>
                            <w:rFonts w:hint="eastAsia"/>
                          </w:rPr>
                          <w:t>C</w:t>
                        </w:r>
                      </w:p>
                    </w:txbxContent>
                  </v:textbox>
                </v:shape>
                <v:shape id="Text Box 2623" o:spid="_x0000_s1026" o:spt="202" type="#_x0000_t202" style="position:absolute;left:7632;top:4529;height:348;width:676;v-text-anchor:middle;" fillcolor="#C5E0B4 [1305]" filled="t" stroked="t" coordsize="21600,21600" o:gfxdata="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8E9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5B7932F4">
                        <w:pPr>
                          <w:pStyle w:val="72"/>
                        </w:pPr>
                        <w:r>
                          <w:rPr>
                            <w:rFonts w:hint="eastAsia"/>
                          </w:rPr>
                          <w:t>A</w:t>
                        </w:r>
                      </w:p>
                    </w:txbxContent>
                  </v:textbox>
                </v:shape>
                <v:line id="Line 2624" o:spid="_x0000_s1026" o:spt="20" style="position:absolute;left:690;top:5573;height:0;width:143;" filled="f" stroked="t" coordsize="21600,21600" o:gfxdata="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BJ+0b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shape id="Text Box 2625" o:spid="_x0000_s1026" o:spt="202" type="#_x0000_t202" style="position:absolute;left:833;top:5399;height:348;width:1352;v-text-anchor:middle;" fillcolor="#C5E0B4 [1305]" filled="t" stroked="t" coordsize="21600,21600" o:gfxdata="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ARzz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7725F8F0">
                        <w:pPr>
                          <w:pStyle w:val="72"/>
                        </w:pPr>
                        <w:r>
                          <w:rPr>
                            <w:rFonts w:hint="eastAsia"/>
                          </w:rPr>
                          <w:t>资源保证</w:t>
                        </w:r>
                      </w:p>
                    </w:txbxContent>
                  </v:textbox>
                </v:shape>
                <v:line id="Line 2626" o:spid="_x0000_s1026" o:spt="20" style="position:absolute;left:2185;top:5573;height:0;width:549;" filled="f" stroked="t" coordsize="21600,21600" o:gfxdata="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Oxx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627" o:spid="_x0000_s1026" o:spt="202" type="#_x0000_t202" style="position:absolute;left:2734;top:5399;height:348;width:3040;v-text-anchor:middle;" fillcolor="#C5E0B4 [1305]" filled="t" stroked="t" coordsize="21600,21600" o:gfxdata="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23w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607A3B80">
                        <w:pPr>
                          <w:pStyle w:val="72"/>
                        </w:pPr>
                        <w:r>
                          <w:rPr>
                            <w:rFonts w:hint="eastAsia"/>
                          </w:rPr>
                          <w:t>施工现场安全警示标志</w:t>
                        </w:r>
                      </w:p>
                      <w:p w14:paraId="5E3AC276">
                        <w:pPr>
                          <w:pStyle w:val="72"/>
                        </w:pPr>
                      </w:p>
                    </w:txbxContent>
                  </v:textbox>
                </v:shape>
                <v:shape id="Text Box 2628" o:spid="_x0000_s1026" o:spt="202" type="#_x0000_t202" style="position:absolute;left:2734;top:4965;height:349;width:3040;v-text-anchor:middle;" fillcolor="#C5E0B4 [1305]" filled="t" stroked="t" coordsize="21600,21600" o:gfxdata="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lC+1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474E8982">
                        <w:pPr>
                          <w:pStyle w:val="72"/>
                        </w:pPr>
                        <w:r>
                          <w:rPr>
                            <w:rFonts w:hint="eastAsia"/>
                          </w:rPr>
                          <w:t>施工现场安全防护措施</w:t>
                        </w:r>
                      </w:p>
                    </w:txbxContent>
                  </v:textbox>
                </v:shape>
                <v:shape id="Text Box 2629" o:spid="_x0000_s1026" o:spt="202" type="#_x0000_t202" style="position:absolute;left:2734;top:5835;height:348;width:3040;v-text-anchor:middle;" fillcolor="#C5E0B4 [1305]" filled="t" stroked="t" coordsize="21600,21600" o:gfxdata="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ChRZ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6593E2C">
                        <w:pPr>
                          <w:pStyle w:val="72"/>
                        </w:pPr>
                        <w:r>
                          <w:rPr>
                            <w:rFonts w:hint="eastAsia"/>
                          </w:rPr>
                          <w:t>作业人员劳动保护用品</w:t>
                        </w:r>
                      </w:p>
                    </w:txbxContent>
                  </v:textbox>
                </v:shape>
                <v:line id="Line 2630" o:spid="_x0000_s1026" o:spt="20" style="position:absolute;left:2396;top:5138;height:873;width:0;" filled="f" stroked="t" coordsize="21600,21600" o:gfxdata="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UEl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31" o:spid="_x0000_s1026" o:spt="20" style="position:absolute;left:2396;top:5138;height:0;width:338;" filled="f" stroked="t" coordsize="21600,21600" o:gfxdata="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S4Ys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632" o:spid="_x0000_s1026" o:spt="20" style="position:absolute;left:2396;top:6009;height:0;width:338;" filled="f" stroked="t" coordsize="21600,21600" o:gfxdata="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HI7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w10:wrap type="none"/>
                <w10:anchorlock/>
              </v:group>
            </w:pict>
          </mc:Fallback>
        </mc:AlternateContent>
      </w:r>
    </w:p>
    <w:p w14:paraId="195835E5">
      <w:pPr>
        <w:pStyle w:val="4"/>
        <w:bidi w:val="0"/>
        <w:ind w:left="720" w:leftChars="0" w:hanging="720" w:firstLineChars="0"/>
      </w:pPr>
      <w:r>
        <w:rPr>
          <w:rFonts w:hint="eastAsia"/>
          <w:lang w:val="en-US" w:eastAsia="zh-CN"/>
        </w:rPr>
        <w:t>思想保证措施</w:t>
      </w:r>
    </w:p>
    <w:p w14:paraId="5170B4FA">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（1）全体参建人员严格执行党和国家有关安全生产法律、法规和安全生产规程，自觉遵守国家、行业、地方及业主的有关安全生产管理规定。 </w:t>
      </w:r>
    </w:p>
    <w:p w14:paraId="30184089">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（2）认真贯彻执行“安全第一、预防为主、综合治理”的方针，增强全员安全意识，使全员都能明确自己的安全目标和职责，达到全员参加，全员实施的目的，体现“安全生产、人人有责”的原则。 </w:t>
      </w:r>
    </w:p>
    <w:p w14:paraId="09C95F25">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（3）分项工程开工前，对所有上岗人员进行安全教育培训，使全员都能遵守生产必须安全，安全才能生产的原则，严格执行安全操作规程，持证上岗。 </w:t>
      </w:r>
    </w:p>
    <w:p w14:paraId="245808C8">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（4）随时接受业主及监理单位对安全生产的督促、检查、考评，对提出的问题，立即落实方案组织实施，确保安全生产。 </w:t>
      </w:r>
    </w:p>
    <w:p w14:paraId="0EA83606">
      <w:pPr>
        <w:pStyle w:val="4"/>
        <w:bidi w:val="0"/>
        <w:ind w:left="720" w:leftChars="0" w:hanging="720" w:firstLineChars="0"/>
        <w:rPr>
          <w:rFonts w:hint="default"/>
          <w:lang w:val="en-US" w:eastAsia="zh-CN"/>
        </w:rPr>
      </w:pPr>
      <w:r>
        <w:rPr>
          <w:rFonts w:hint="eastAsia"/>
          <w:lang w:val="en-US" w:eastAsia="zh-CN"/>
        </w:rPr>
        <w:t>安全生产职责</w:t>
      </w:r>
    </w:p>
    <w:p w14:paraId="65A9E113">
      <w:pPr>
        <w:bidi w:val="0"/>
        <w:ind w:firstLine="480" w:firstLineChars="200"/>
        <w:rPr>
          <w:highlight w:val="none"/>
        </w:rPr>
      </w:pPr>
      <w:r>
        <w:rPr>
          <w:highlight w:val="none"/>
        </w:rPr>
        <w:t>①项目经理</w:t>
      </w:r>
    </w:p>
    <w:p w14:paraId="1E7EF762">
      <w:pPr>
        <w:bidi w:val="0"/>
        <w:ind w:firstLine="480" w:firstLineChars="200"/>
        <w:rPr>
          <w:rFonts w:hint="default"/>
          <w:highlight w:val="none"/>
          <w:lang w:val="en-US" w:eastAsia="zh-CN"/>
        </w:rPr>
      </w:pPr>
      <w:r>
        <w:rPr>
          <w:highlight w:val="none"/>
        </w:rPr>
        <w:t>项目经理是工程项目安全生产第一责任者和管理，对本工程项目安全生产负全面责任。其安全生产责任是：</w:t>
      </w:r>
    </w:p>
    <w:p w14:paraId="754725D0">
      <w:pPr>
        <w:adjustRightInd w:val="0"/>
        <w:snapToGrid w:val="0"/>
        <w:spacing w:line="460" w:lineRule="exact"/>
        <w:ind w:firstLine="480" w:firstLineChars="200"/>
        <w:jc w:val="left"/>
        <w:rPr>
          <w:rFonts w:hint="eastAsia" w:ascii="宋体" w:hAnsi="宋体" w:cs="仿宋_GB2312+3+5"/>
          <w:kern w:val="0"/>
          <w:sz w:val="24"/>
          <w:highlight w:val="none"/>
        </w:rPr>
      </w:pPr>
      <w:r>
        <w:rPr>
          <w:rFonts w:hint="eastAsia" w:ascii="宋体" w:hAnsi="宋体" w:cs="仿宋_GB2312+3+3"/>
          <w:kern w:val="0"/>
          <w:sz w:val="24"/>
          <w:highlight w:val="none"/>
        </w:rPr>
        <w:t>1</w:t>
      </w:r>
      <w:r>
        <w:rPr>
          <w:rFonts w:hint="eastAsia" w:ascii="宋体" w:hAnsi="宋体" w:cs="仿宋_GB2312+3+3"/>
          <w:kern w:val="0"/>
          <w:sz w:val="24"/>
          <w:highlight w:val="none"/>
          <w:lang w:eastAsia="zh-CN"/>
        </w:rPr>
        <w:t>）</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责任制在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方面</w:t>
      </w:r>
      <w:r>
        <w:rPr>
          <w:rFonts w:hint="eastAsia" w:ascii="宋体" w:hAnsi="宋体" w:cs="仿宋_GB2312+3+2"/>
          <w:kern w:val="0"/>
          <w:sz w:val="24"/>
          <w:highlight w:val="none"/>
        </w:rPr>
        <w:t>对</w:t>
      </w:r>
      <w:r>
        <w:rPr>
          <w:rFonts w:hint="eastAsia" w:ascii="宋体" w:hAnsi="宋体" w:cs="仿宋_GB2312+3+3"/>
          <w:kern w:val="0"/>
          <w:sz w:val="24"/>
          <w:highlight w:val="none"/>
        </w:rPr>
        <w:t>总</w:t>
      </w:r>
      <w:r>
        <w:rPr>
          <w:rFonts w:hint="eastAsia" w:ascii="宋体" w:hAnsi="宋体" w:cs="仿宋_GB2312+3+1"/>
          <w:kern w:val="0"/>
          <w:sz w:val="24"/>
          <w:highlight w:val="none"/>
        </w:rPr>
        <w:t>经理</w:t>
      </w:r>
      <w:r>
        <w:rPr>
          <w:rFonts w:hint="eastAsia" w:ascii="宋体" w:hAnsi="宋体" w:cs="仿宋_GB2312+3+3"/>
          <w:kern w:val="0"/>
          <w:sz w:val="24"/>
          <w:highlight w:val="none"/>
        </w:rPr>
        <w:t>负</w:t>
      </w:r>
      <w:r>
        <w:rPr>
          <w:rFonts w:hint="eastAsia" w:ascii="宋体" w:hAnsi="宋体" w:cs="仿宋_GB2312+3+1"/>
          <w:kern w:val="0"/>
          <w:sz w:val="24"/>
          <w:highlight w:val="none"/>
        </w:rPr>
        <w:t>责，</w:t>
      </w:r>
      <w:r>
        <w:rPr>
          <w:rFonts w:hint="eastAsia" w:ascii="宋体" w:hAnsi="宋体" w:cs="仿宋_GB2312+3+3"/>
          <w:kern w:val="0"/>
          <w:sz w:val="24"/>
          <w:highlight w:val="none"/>
        </w:rPr>
        <w:t>是</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第一责任</w:t>
      </w:r>
      <w:r>
        <w:rPr>
          <w:rFonts w:hint="eastAsia" w:ascii="宋体" w:hAnsi="宋体" w:cs="仿宋_GB2312+3+4"/>
          <w:kern w:val="0"/>
          <w:sz w:val="24"/>
          <w:highlight w:val="none"/>
        </w:rPr>
        <w:t>者</w:t>
      </w:r>
      <w:r>
        <w:rPr>
          <w:rFonts w:hint="eastAsia" w:ascii="宋体" w:hAnsi="宋体" w:cs="仿宋_GB2312+3+1"/>
          <w:kern w:val="0"/>
          <w:sz w:val="24"/>
          <w:highlight w:val="none"/>
        </w:rPr>
        <w:t>和管理</w:t>
      </w:r>
      <w:r>
        <w:rPr>
          <w:rFonts w:hint="eastAsia" w:ascii="宋体" w:hAnsi="宋体" w:cs="仿宋_GB2312+3+4"/>
          <w:kern w:val="0"/>
          <w:sz w:val="24"/>
          <w:highlight w:val="none"/>
        </w:rPr>
        <w:t>者</w:t>
      </w:r>
      <w:r>
        <w:rPr>
          <w:rFonts w:hint="eastAsia" w:ascii="宋体" w:hAnsi="宋体" w:cs="仿宋_GB2312+3+1"/>
          <w:kern w:val="0"/>
          <w:sz w:val="24"/>
          <w:highlight w:val="none"/>
        </w:rPr>
        <w:t>，</w:t>
      </w:r>
      <w:r>
        <w:rPr>
          <w:rFonts w:hint="eastAsia" w:ascii="宋体" w:hAnsi="宋体" w:cs="仿宋_GB2312+3+2"/>
          <w:kern w:val="0"/>
          <w:sz w:val="24"/>
          <w:highlight w:val="none"/>
        </w:rPr>
        <w:t>对本</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负</w:t>
      </w:r>
      <w:r>
        <w:rPr>
          <w:rFonts w:hint="eastAsia" w:ascii="宋体" w:hAnsi="宋体" w:cs="仿宋_GB2312+3+1"/>
          <w:kern w:val="0"/>
          <w:sz w:val="24"/>
          <w:highlight w:val="none"/>
        </w:rPr>
        <w:t>全面责任。</w:t>
      </w:r>
    </w:p>
    <w:p w14:paraId="4B3E300E">
      <w:pPr>
        <w:adjustRightInd w:val="0"/>
        <w:snapToGrid w:val="0"/>
        <w:spacing w:line="460" w:lineRule="exact"/>
        <w:ind w:firstLine="480" w:firstLineChars="200"/>
        <w:jc w:val="left"/>
        <w:rPr>
          <w:rFonts w:hint="eastAsia" w:ascii="宋体" w:hAnsi="宋体" w:cs="仿宋_GB2312+3+1"/>
          <w:kern w:val="0"/>
          <w:sz w:val="24"/>
          <w:highlight w:val="none"/>
        </w:rPr>
      </w:pPr>
      <w:r>
        <w:rPr>
          <w:rFonts w:hint="eastAsia" w:ascii="宋体" w:hAnsi="宋体" w:cs="仿宋_GB2312+3+1"/>
          <w:kern w:val="0"/>
          <w:sz w:val="24"/>
          <w:highlight w:val="none"/>
        </w:rPr>
        <w:t>2</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贯彻</w:t>
      </w:r>
      <w:r>
        <w:rPr>
          <w:rFonts w:hint="eastAsia" w:ascii="宋体" w:hAnsi="宋体" w:cs="仿宋_GB2312+3+3"/>
          <w:kern w:val="0"/>
          <w:sz w:val="24"/>
          <w:highlight w:val="none"/>
        </w:rPr>
        <w:t>落</w:t>
      </w:r>
      <w:r>
        <w:rPr>
          <w:rFonts w:hint="eastAsia" w:ascii="宋体" w:hAnsi="宋体" w:cs="仿宋_GB2312+3+1"/>
          <w:kern w:val="0"/>
          <w:sz w:val="24"/>
          <w:highlight w:val="none"/>
        </w:rPr>
        <w:t>实</w:t>
      </w:r>
      <w:r>
        <w:rPr>
          <w:rFonts w:hint="eastAsia" w:ascii="宋体" w:hAnsi="宋体" w:cs="仿宋_GB2312+3+4"/>
          <w:kern w:val="0"/>
          <w:sz w:val="24"/>
          <w:highlight w:val="none"/>
        </w:rPr>
        <w:t>国家</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方针、</w:t>
      </w:r>
      <w:r>
        <w:rPr>
          <w:rFonts w:hint="eastAsia" w:ascii="宋体" w:hAnsi="宋体" w:cs="仿宋_GB2312+3+4"/>
          <w:kern w:val="0"/>
          <w:sz w:val="24"/>
          <w:highlight w:val="none"/>
        </w:rPr>
        <w:t>政</w:t>
      </w:r>
      <w:r>
        <w:rPr>
          <w:rFonts w:hint="eastAsia" w:ascii="宋体" w:hAnsi="宋体" w:cs="仿宋_GB2312+3+2"/>
          <w:kern w:val="0"/>
          <w:sz w:val="24"/>
          <w:highlight w:val="none"/>
        </w:rPr>
        <w:t>策</w:t>
      </w:r>
      <w:r>
        <w:rPr>
          <w:rFonts w:hint="eastAsia" w:ascii="宋体" w:hAnsi="宋体" w:cs="仿宋_GB2312+3+1"/>
          <w:kern w:val="0"/>
          <w:sz w:val="24"/>
          <w:highlight w:val="none"/>
        </w:rPr>
        <w:t>、</w:t>
      </w:r>
      <w:r>
        <w:rPr>
          <w:rFonts w:hint="eastAsia" w:ascii="宋体" w:hAnsi="宋体" w:cs="仿宋_GB2312+3+2"/>
          <w:kern w:val="0"/>
          <w:sz w:val="24"/>
          <w:highlight w:val="none"/>
        </w:rPr>
        <w:t>法规</w:t>
      </w:r>
      <w:r>
        <w:rPr>
          <w:rFonts w:hint="eastAsia" w:ascii="宋体" w:hAnsi="宋体" w:cs="仿宋_GB2312+3+1"/>
          <w:kern w:val="0"/>
          <w:sz w:val="24"/>
          <w:highlight w:val="none"/>
        </w:rPr>
        <w:t>和各项</w:t>
      </w:r>
      <w:r>
        <w:rPr>
          <w:rFonts w:hint="eastAsia" w:ascii="宋体" w:hAnsi="宋体" w:cs="仿宋_GB2312+3+2"/>
          <w:kern w:val="0"/>
          <w:sz w:val="24"/>
          <w:highlight w:val="none"/>
        </w:rPr>
        <w:t>规</w:t>
      </w:r>
      <w:r>
        <w:rPr>
          <w:rFonts w:hint="eastAsia" w:ascii="宋体" w:hAnsi="宋体" w:cs="仿宋_GB2312+3+5"/>
          <w:kern w:val="0"/>
          <w:sz w:val="24"/>
          <w:highlight w:val="none"/>
        </w:rPr>
        <w:t>章</w:t>
      </w:r>
      <w:r>
        <w:rPr>
          <w:rFonts w:hint="eastAsia" w:ascii="宋体" w:hAnsi="宋体" w:cs="仿宋_GB2312+3+1"/>
          <w:kern w:val="0"/>
          <w:sz w:val="24"/>
          <w:highlight w:val="none"/>
        </w:rPr>
        <w:t>制度，</w:t>
      </w:r>
      <w:r>
        <w:rPr>
          <w:rFonts w:hint="eastAsia" w:ascii="宋体" w:hAnsi="宋体" w:cs="仿宋_GB2312+3+3"/>
          <w:kern w:val="0"/>
          <w:sz w:val="24"/>
          <w:highlight w:val="none"/>
        </w:rPr>
        <w:t>落</w:t>
      </w:r>
      <w:r>
        <w:rPr>
          <w:rFonts w:hint="eastAsia" w:ascii="宋体" w:hAnsi="宋体" w:cs="仿宋_GB2312+3+1"/>
          <w:kern w:val="0"/>
          <w:sz w:val="24"/>
          <w:highlight w:val="none"/>
        </w:rPr>
        <w:t>实企业</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各项</w:t>
      </w:r>
      <w:r>
        <w:rPr>
          <w:rFonts w:hint="eastAsia" w:ascii="宋体" w:hAnsi="宋体" w:cs="仿宋_GB2312+3+2"/>
          <w:kern w:val="0"/>
          <w:sz w:val="24"/>
          <w:highlight w:val="none"/>
        </w:rPr>
        <w:t>规</w:t>
      </w:r>
      <w:r>
        <w:rPr>
          <w:rFonts w:hint="eastAsia" w:ascii="宋体" w:hAnsi="宋体" w:cs="仿宋_GB2312+3+5"/>
          <w:kern w:val="0"/>
          <w:sz w:val="24"/>
          <w:highlight w:val="none"/>
        </w:rPr>
        <w:t>章</w:t>
      </w:r>
      <w:r>
        <w:rPr>
          <w:rFonts w:hint="eastAsia" w:ascii="宋体" w:hAnsi="宋体" w:cs="仿宋_GB2312+3+1"/>
          <w:kern w:val="0"/>
          <w:sz w:val="24"/>
          <w:highlight w:val="none"/>
        </w:rPr>
        <w:t>制度，</w:t>
      </w:r>
      <w:r>
        <w:rPr>
          <w:rFonts w:hint="eastAsia" w:ascii="宋体" w:hAnsi="宋体" w:cs="仿宋_GB2312+3+2"/>
          <w:kern w:val="0"/>
          <w:sz w:val="24"/>
          <w:highlight w:val="none"/>
        </w:rPr>
        <w:t>结合</w:t>
      </w:r>
      <w:r>
        <w:rPr>
          <w:rFonts w:hint="eastAsia" w:ascii="宋体" w:hAnsi="宋体" w:cs="仿宋_GB2312+3+1"/>
          <w:kern w:val="0"/>
          <w:sz w:val="24"/>
          <w:highlight w:val="none"/>
        </w:rPr>
        <w:t>工程项目</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2"/>
          <w:kern w:val="0"/>
          <w:sz w:val="24"/>
          <w:highlight w:val="none"/>
        </w:rPr>
        <w:t>及</w:t>
      </w:r>
      <w:r>
        <w:rPr>
          <w:rFonts w:hint="eastAsia" w:ascii="宋体" w:hAnsi="宋体" w:cs="仿宋_GB2312+3+1"/>
          <w:kern w:val="0"/>
          <w:sz w:val="24"/>
          <w:highlight w:val="none"/>
        </w:rPr>
        <w:t>施工</w:t>
      </w:r>
      <w:r>
        <w:rPr>
          <w:rFonts w:hint="eastAsia" w:ascii="宋体" w:hAnsi="宋体" w:cs="仿宋_GB2312+3+5"/>
          <w:kern w:val="0"/>
          <w:sz w:val="24"/>
          <w:highlight w:val="none"/>
        </w:rPr>
        <w:t>性</w:t>
      </w:r>
      <w:r>
        <w:rPr>
          <w:rFonts w:hint="eastAsia" w:ascii="宋体" w:hAnsi="宋体" w:cs="仿宋_GB2312+3+1"/>
          <w:kern w:val="0"/>
          <w:sz w:val="24"/>
          <w:highlight w:val="none"/>
        </w:rPr>
        <w:t>质，制</w:t>
      </w:r>
      <w:r>
        <w:rPr>
          <w:rFonts w:hint="eastAsia" w:ascii="宋体" w:hAnsi="宋体" w:cs="仿宋_GB2312+3+2"/>
          <w:kern w:val="0"/>
          <w:sz w:val="24"/>
          <w:highlight w:val="none"/>
        </w:rPr>
        <w:t>定</w:t>
      </w:r>
      <w:r>
        <w:rPr>
          <w:rFonts w:hint="eastAsia" w:ascii="宋体" w:hAnsi="宋体" w:cs="仿宋_GB2312+3+1"/>
          <w:kern w:val="0"/>
          <w:sz w:val="24"/>
          <w:highlight w:val="none"/>
        </w:rPr>
        <w:t>有针</w:t>
      </w:r>
      <w:r>
        <w:rPr>
          <w:rFonts w:hint="eastAsia" w:ascii="宋体" w:hAnsi="宋体" w:cs="仿宋_GB2312+3+2"/>
          <w:kern w:val="0"/>
          <w:sz w:val="24"/>
          <w:highlight w:val="none"/>
        </w:rPr>
        <w:t>对</w:t>
      </w:r>
      <w:r>
        <w:rPr>
          <w:rFonts w:hint="eastAsia" w:ascii="宋体" w:hAnsi="宋体" w:cs="仿宋_GB2312+3+5"/>
          <w:kern w:val="0"/>
          <w:sz w:val="24"/>
          <w:highlight w:val="none"/>
        </w:rPr>
        <w:t>性</w:t>
      </w:r>
      <w:r>
        <w:rPr>
          <w:rFonts w:hint="eastAsia" w:ascii="宋体" w:hAnsi="宋体" w:cs="仿宋_GB2312+3+3"/>
          <w:kern w:val="0"/>
          <w:sz w:val="24"/>
          <w:highlight w:val="none"/>
        </w:rPr>
        <w:t>的</w:t>
      </w:r>
      <w:r>
        <w:rPr>
          <w:rFonts w:hint="eastAsia" w:ascii="宋体" w:hAnsi="宋体" w:cs="仿宋_GB2312+3+1"/>
          <w:kern w:val="0"/>
          <w:sz w:val="24"/>
          <w:highlight w:val="none"/>
        </w:rPr>
        <w:t>各项</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w:t>
      </w:r>
      <w:r>
        <w:rPr>
          <w:rFonts w:hint="eastAsia" w:ascii="宋体" w:hAnsi="宋体" w:cs="仿宋_GB2312+3+3"/>
          <w:kern w:val="0"/>
          <w:sz w:val="24"/>
          <w:highlight w:val="none"/>
        </w:rPr>
        <w:t>办</w:t>
      </w:r>
      <w:r>
        <w:rPr>
          <w:rFonts w:hint="eastAsia" w:ascii="宋体" w:hAnsi="宋体" w:cs="仿宋_GB2312+3+2"/>
          <w:kern w:val="0"/>
          <w:sz w:val="24"/>
          <w:highlight w:val="none"/>
        </w:rPr>
        <w:t>法</w:t>
      </w:r>
      <w:r>
        <w:rPr>
          <w:rFonts w:hint="eastAsia" w:ascii="宋体" w:hAnsi="宋体" w:cs="仿宋_GB2312+3+1"/>
          <w:kern w:val="0"/>
          <w:sz w:val="24"/>
          <w:highlight w:val="none"/>
        </w:rPr>
        <w:t>和实施</w:t>
      </w:r>
      <w:r>
        <w:rPr>
          <w:rFonts w:hint="eastAsia" w:ascii="宋体" w:hAnsi="宋体" w:cs="仿宋_GB2312+3+6"/>
          <w:kern w:val="0"/>
          <w:sz w:val="24"/>
          <w:highlight w:val="none"/>
        </w:rPr>
        <w:t>细</w:t>
      </w:r>
      <w:r>
        <w:rPr>
          <w:rFonts w:hint="eastAsia" w:ascii="宋体" w:hAnsi="宋体" w:cs="仿宋_GB2312+3+3"/>
          <w:kern w:val="0"/>
          <w:sz w:val="24"/>
          <w:highlight w:val="none"/>
        </w:rPr>
        <w:t>则</w:t>
      </w:r>
      <w:r>
        <w:rPr>
          <w:rFonts w:hint="eastAsia" w:ascii="宋体" w:hAnsi="宋体" w:cs="仿宋_GB2312+3+1"/>
          <w:kern w:val="0"/>
          <w:sz w:val="24"/>
          <w:highlight w:val="none"/>
        </w:rPr>
        <w:t>，</w:t>
      </w:r>
      <w:r>
        <w:rPr>
          <w:rFonts w:hint="eastAsia" w:ascii="宋体" w:hAnsi="宋体" w:cs="仿宋_GB2312+3+2"/>
          <w:kern w:val="0"/>
          <w:sz w:val="24"/>
          <w:highlight w:val="none"/>
        </w:rPr>
        <w:t>并</w:t>
      </w:r>
      <w:r>
        <w:rPr>
          <w:rFonts w:hint="eastAsia" w:ascii="宋体" w:hAnsi="宋体" w:cs="仿宋_GB2312+3+1"/>
          <w:kern w:val="0"/>
          <w:sz w:val="24"/>
          <w:highlight w:val="none"/>
        </w:rPr>
        <w:t>主</w:t>
      </w:r>
      <w:r>
        <w:rPr>
          <w:rFonts w:hint="eastAsia" w:ascii="宋体" w:hAnsi="宋体" w:cs="仿宋_GB2312+3+2"/>
          <w:kern w:val="0"/>
          <w:sz w:val="24"/>
          <w:highlight w:val="none"/>
        </w:rPr>
        <w:t>持</w:t>
      </w:r>
      <w:r>
        <w:rPr>
          <w:rFonts w:hint="eastAsia" w:ascii="宋体" w:hAnsi="宋体" w:cs="仿宋_GB2312+3+1"/>
          <w:kern w:val="0"/>
          <w:sz w:val="24"/>
          <w:highlight w:val="none"/>
        </w:rPr>
        <w:t>监督</w:t>
      </w:r>
      <w:r>
        <w:rPr>
          <w:rFonts w:hint="eastAsia" w:ascii="宋体" w:hAnsi="宋体" w:cs="仿宋_GB2312+3+4"/>
          <w:kern w:val="0"/>
          <w:sz w:val="24"/>
          <w:highlight w:val="none"/>
        </w:rPr>
        <w:t>其</w:t>
      </w:r>
      <w:r>
        <w:rPr>
          <w:rFonts w:hint="eastAsia" w:ascii="宋体" w:hAnsi="宋体" w:cs="仿宋_GB2312+3+1"/>
          <w:kern w:val="0"/>
          <w:sz w:val="24"/>
          <w:highlight w:val="none"/>
        </w:rPr>
        <w:t>实施</w:t>
      </w:r>
      <w:r>
        <w:rPr>
          <w:rFonts w:hint="eastAsia" w:ascii="宋体" w:hAnsi="宋体" w:cs="仿宋_GB2312+3+2"/>
          <w:kern w:val="0"/>
          <w:sz w:val="24"/>
          <w:highlight w:val="none"/>
        </w:rPr>
        <w:t>。</w:t>
      </w:r>
    </w:p>
    <w:p w14:paraId="11BF1663">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3</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必</w:t>
      </w:r>
      <w:r>
        <w:rPr>
          <w:rFonts w:hint="eastAsia" w:ascii="宋体" w:hAnsi="宋体" w:cs="仿宋_GB2312+3+1"/>
          <w:kern w:val="0"/>
          <w:sz w:val="24"/>
          <w:highlight w:val="none"/>
        </w:rPr>
        <w:t>须</w:t>
      </w:r>
      <w:r>
        <w:rPr>
          <w:rFonts w:hint="eastAsia" w:ascii="宋体" w:hAnsi="宋体" w:cs="仿宋_GB2312+3+2"/>
          <w:kern w:val="0"/>
          <w:sz w:val="24"/>
          <w:highlight w:val="none"/>
        </w:rPr>
        <w:t>根据</w:t>
      </w:r>
      <w:r>
        <w:rPr>
          <w:rFonts w:hint="eastAsia" w:ascii="宋体" w:hAnsi="宋体" w:cs="仿宋_GB2312+3+1"/>
          <w:kern w:val="0"/>
          <w:sz w:val="24"/>
          <w:highlight w:val="none"/>
        </w:rPr>
        <w:t>项目工程</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1"/>
          <w:kern w:val="0"/>
          <w:sz w:val="24"/>
          <w:highlight w:val="none"/>
        </w:rPr>
        <w:t>和工程</w:t>
      </w:r>
      <w:r>
        <w:rPr>
          <w:rFonts w:hint="eastAsia" w:ascii="宋体" w:hAnsi="宋体" w:cs="仿宋_GB2312+3+2"/>
          <w:kern w:val="0"/>
          <w:sz w:val="24"/>
          <w:highlight w:val="none"/>
        </w:rPr>
        <w:t>规</w:t>
      </w:r>
      <w:r>
        <w:rPr>
          <w:rFonts w:hint="eastAsia" w:ascii="宋体" w:hAnsi="宋体" w:cs="仿宋_GB2312+3+6"/>
          <w:kern w:val="0"/>
          <w:sz w:val="24"/>
          <w:highlight w:val="none"/>
        </w:rPr>
        <w:t>模</w:t>
      </w:r>
      <w:r>
        <w:rPr>
          <w:rFonts w:hint="eastAsia" w:ascii="宋体" w:hAnsi="宋体" w:cs="仿宋_GB2312+3+1"/>
          <w:kern w:val="0"/>
          <w:sz w:val="24"/>
          <w:highlight w:val="none"/>
        </w:rPr>
        <w:t>，</w:t>
      </w:r>
      <w:r>
        <w:rPr>
          <w:rFonts w:hint="eastAsia" w:ascii="宋体" w:hAnsi="宋体" w:cs="仿宋_GB2312+3+2"/>
          <w:kern w:val="0"/>
          <w:sz w:val="24"/>
          <w:highlight w:val="none"/>
        </w:rPr>
        <w:t>成</w:t>
      </w:r>
      <w:r>
        <w:rPr>
          <w:rFonts w:hint="eastAsia" w:ascii="宋体" w:hAnsi="宋体" w:cs="仿宋_GB2312+3+1"/>
          <w:kern w:val="0"/>
          <w:sz w:val="24"/>
          <w:highlight w:val="none"/>
        </w:rPr>
        <w:t>立工程项目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7"/>
          <w:kern w:val="0"/>
          <w:sz w:val="24"/>
          <w:highlight w:val="none"/>
        </w:rPr>
        <w:t>委</w:t>
      </w:r>
      <w:r>
        <w:rPr>
          <w:rFonts w:hint="eastAsia" w:ascii="宋体" w:hAnsi="宋体" w:cs="仿宋_GB2312+3+1"/>
          <w:kern w:val="0"/>
          <w:sz w:val="24"/>
          <w:highlight w:val="none"/>
        </w:rPr>
        <w:t>员</w:t>
      </w:r>
      <w:r>
        <w:rPr>
          <w:rFonts w:hint="eastAsia" w:ascii="宋体" w:hAnsi="宋体" w:cs="仿宋_GB2312+3+4"/>
          <w:kern w:val="0"/>
          <w:sz w:val="24"/>
          <w:highlight w:val="none"/>
        </w:rPr>
        <w:t>会或</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2"/>
          <w:kern w:val="0"/>
          <w:sz w:val="24"/>
          <w:highlight w:val="none"/>
        </w:rPr>
        <w:t>领导</w:t>
      </w:r>
      <w:r>
        <w:rPr>
          <w:rFonts w:hint="eastAsia" w:ascii="宋体" w:hAnsi="宋体" w:cs="仿宋_GB2312+3+3"/>
          <w:kern w:val="0"/>
          <w:sz w:val="24"/>
          <w:highlight w:val="none"/>
        </w:rPr>
        <w:t>小</w:t>
      </w:r>
      <w:r>
        <w:rPr>
          <w:rFonts w:hint="eastAsia" w:ascii="宋体" w:hAnsi="宋体" w:cs="仿宋_GB2312+3+2"/>
          <w:kern w:val="0"/>
          <w:sz w:val="24"/>
          <w:highlight w:val="none"/>
        </w:rPr>
        <w:t>组</w:t>
      </w:r>
      <w:r>
        <w:rPr>
          <w:rFonts w:hint="eastAsia" w:ascii="宋体" w:hAnsi="宋体" w:cs="仿宋_GB2312+3+1"/>
          <w:kern w:val="0"/>
          <w:sz w:val="24"/>
          <w:highlight w:val="none"/>
        </w:rPr>
        <w:t>，明确</w:t>
      </w:r>
      <w:r>
        <w:rPr>
          <w:rFonts w:hint="eastAsia" w:ascii="宋体" w:hAnsi="宋体" w:cs="仿宋_GB2312+3+2"/>
          <w:kern w:val="0"/>
          <w:sz w:val="24"/>
          <w:highlight w:val="none"/>
        </w:rPr>
        <w:t>本</w:t>
      </w:r>
      <w:r>
        <w:rPr>
          <w:rFonts w:hint="eastAsia" w:ascii="宋体" w:hAnsi="宋体" w:cs="仿宋_GB2312+3+1"/>
          <w:kern w:val="0"/>
          <w:sz w:val="24"/>
          <w:highlight w:val="none"/>
        </w:rPr>
        <w:t>项目工程</w:t>
      </w:r>
      <w:r>
        <w:rPr>
          <w:rFonts w:hint="eastAsia" w:ascii="宋体" w:hAnsi="宋体" w:cs="仿宋_GB2312+3+6"/>
          <w:kern w:val="0"/>
          <w:sz w:val="24"/>
          <w:highlight w:val="none"/>
        </w:rPr>
        <w:t>专</w:t>
      </w:r>
      <w:r>
        <w:rPr>
          <w:rFonts w:hint="eastAsia" w:ascii="宋体" w:hAnsi="宋体" w:cs="仿宋_GB2312+3+3"/>
          <w:kern w:val="0"/>
          <w:sz w:val="24"/>
          <w:highlight w:val="none"/>
        </w:rPr>
        <w:t>（</w:t>
      </w:r>
      <w:r>
        <w:rPr>
          <w:rFonts w:hint="eastAsia" w:ascii="宋体" w:hAnsi="宋体" w:cs="仿宋_GB2312+3+6"/>
          <w:kern w:val="0"/>
          <w:sz w:val="24"/>
          <w:highlight w:val="none"/>
        </w:rPr>
        <w:t>兼</w:t>
      </w:r>
      <w:r>
        <w:rPr>
          <w:rFonts w:hint="eastAsia" w:ascii="宋体" w:hAnsi="宋体" w:cs="仿宋_GB2312+3+3"/>
          <w:kern w:val="0"/>
          <w:sz w:val="24"/>
          <w:highlight w:val="none"/>
        </w:rPr>
        <w:t>）职安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w:t>
      </w:r>
      <w:r>
        <w:rPr>
          <w:rFonts w:hint="eastAsia" w:ascii="宋体" w:hAnsi="宋体" w:cs="仿宋_GB2312+3+8"/>
          <w:kern w:val="0"/>
          <w:sz w:val="24"/>
          <w:highlight w:val="none"/>
        </w:rPr>
        <w:t>支</w:t>
      </w:r>
      <w:r>
        <w:rPr>
          <w:rFonts w:hint="eastAsia" w:ascii="宋体" w:hAnsi="宋体" w:cs="仿宋_GB2312+3+2"/>
          <w:kern w:val="0"/>
          <w:sz w:val="24"/>
          <w:highlight w:val="none"/>
        </w:rPr>
        <w:t>持</w:t>
      </w:r>
      <w:r>
        <w:rPr>
          <w:rFonts w:hint="eastAsia" w:ascii="宋体" w:hAnsi="宋体" w:cs="仿宋_GB2312+3+1"/>
          <w:kern w:val="0"/>
          <w:sz w:val="24"/>
          <w:highlight w:val="none"/>
        </w:rPr>
        <w:t>、</w:t>
      </w:r>
      <w:r>
        <w:rPr>
          <w:rFonts w:hint="eastAsia" w:ascii="宋体" w:hAnsi="宋体" w:cs="仿宋_GB2312+3+4"/>
          <w:kern w:val="0"/>
          <w:sz w:val="24"/>
          <w:highlight w:val="none"/>
        </w:rPr>
        <w:t>指</w:t>
      </w:r>
      <w:r>
        <w:rPr>
          <w:rFonts w:hint="eastAsia" w:ascii="宋体" w:hAnsi="宋体" w:cs="仿宋_GB2312+3+2"/>
          <w:kern w:val="0"/>
          <w:sz w:val="24"/>
          <w:highlight w:val="none"/>
        </w:rPr>
        <w:t>导</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业监督管理人员工作，</w:t>
      </w:r>
      <w:r>
        <w:rPr>
          <w:rFonts w:hint="eastAsia" w:ascii="宋体" w:hAnsi="宋体" w:cs="仿宋_GB2312+3+2"/>
          <w:kern w:val="0"/>
          <w:sz w:val="24"/>
          <w:highlight w:val="none"/>
        </w:rPr>
        <w:t>并</w:t>
      </w:r>
      <w:r>
        <w:rPr>
          <w:rFonts w:hint="eastAsia" w:ascii="宋体" w:hAnsi="宋体" w:cs="仿宋_GB2312+3+3"/>
          <w:kern w:val="0"/>
          <w:sz w:val="24"/>
          <w:highlight w:val="none"/>
        </w:rPr>
        <w:t>不得</w:t>
      </w:r>
      <w:r>
        <w:rPr>
          <w:rFonts w:hint="eastAsia" w:ascii="宋体" w:hAnsi="宋体" w:cs="仿宋_GB2312+3+5"/>
          <w:kern w:val="0"/>
          <w:sz w:val="24"/>
          <w:highlight w:val="none"/>
        </w:rPr>
        <w:t>干</w:t>
      </w:r>
      <w:r>
        <w:rPr>
          <w:rFonts w:hint="eastAsia" w:ascii="宋体" w:hAnsi="宋体" w:cs="仿宋_GB2312+3+8"/>
          <w:kern w:val="0"/>
          <w:sz w:val="24"/>
          <w:highlight w:val="none"/>
        </w:rPr>
        <w:t>扰</w:t>
      </w:r>
      <w:r>
        <w:rPr>
          <w:rFonts w:hint="eastAsia" w:ascii="宋体" w:hAnsi="宋体" w:cs="仿宋_GB2312+3+4"/>
          <w:kern w:val="0"/>
          <w:sz w:val="24"/>
          <w:highlight w:val="none"/>
        </w:rPr>
        <w:t>或</w:t>
      </w:r>
      <w:r>
        <w:rPr>
          <w:rFonts w:hint="eastAsia" w:ascii="宋体" w:hAnsi="宋体" w:cs="仿宋_GB2312+3+8"/>
          <w:kern w:val="0"/>
          <w:sz w:val="24"/>
          <w:highlight w:val="none"/>
        </w:rPr>
        <w:t>阻</w:t>
      </w:r>
      <w:r>
        <w:rPr>
          <w:rFonts w:hint="eastAsia" w:ascii="宋体" w:hAnsi="宋体" w:cs="仿宋_GB2312+3+9"/>
          <w:kern w:val="0"/>
          <w:sz w:val="24"/>
          <w:highlight w:val="none"/>
        </w:rPr>
        <w:t>挠</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业监督管理人员行</w:t>
      </w:r>
      <w:r>
        <w:rPr>
          <w:rFonts w:hint="eastAsia" w:ascii="宋体" w:hAnsi="宋体" w:cs="仿宋_GB2312+3+3"/>
          <w:kern w:val="0"/>
          <w:sz w:val="24"/>
          <w:highlight w:val="none"/>
        </w:rPr>
        <w:t>使职权</w:t>
      </w:r>
      <w:r>
        <w:rPr>
          <w:rFonts w:hint="eastAsia" w:ascii="宋体" w:hAnsi="宋体" w:cs="仿宋_GB2312+3+2"/>
          <w:kern w:val="0"/>
          <w:sz w:val="24"/>
          <w:highlight w:val="none"/>
        </w:rPr>
        <w:t>。</w:t>
      </w:r>
    </w:p>
    <w:p w14:paraId="0DBCD7EC">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4</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在</w:t>
      </w:r>
      <w:r>
        <w:rPr>
          <w:rFonts w:hint="eastAsia" w:ascii="宋体" w:hAnsi="宋体" w:cs="仿宋_GB2312+3+2"/>
          <w:kern w:val="0"/>
          <w:sz w:val="24"/>
          <w:highlight w:val="none"/>
        </w:rPr>
        <w:t>组织</w:t>
      </w:r>
      <w:r>
        <w:rPr>
          <w:rFonts w:hint="eastAsia" w:ascii="宋体" w:hAnsi="宋体" w:cs="仿宋_GB2312+3+1"/>
          <w:kern w:val="0"/>
          <w:sz w:val="24"/>
          <w:highlight w:val="none"/>
        </w:rPr>
        <w:t>项目工程施工</w:t>
      </w:r>
      <w:r>
        <w:rPr>
          <w:rFonts w:hint="eastAsia" w:ascii="宋体" w:hAnsi="宋体" w:cs="仿宋_GB2312+3+5"/>
          <w:kern w:val="0"/>
          <w:sz w:val="24"/>
          <w:highlight w:val="none"/>
        </w:rPr>
        <w:t>前</w:t>
      </w:r>
      <w:r>
        <w:rPr>
          <w:rFonts w:hint="eastAsia" w:ascii="宋体" w:hAnsi="宋体" w:cs="仿宋_GB2312+3+1"/>
          <w:kern w:val="0"/>
          <w:sz w:val="24"/>
          <w:highlight w:val="none"/>
        </w:rPr>
        <w:t>，</w:t>
      </w:r>
      <w:r>
        <w:rPr>
          <w:rFonts w:hint="eastAsia" w:ascii="宋体" w:hAnsi="宋体" w:cs="仿宋_GB2312+3+2"/>
          <w:kern w:val="0"/>
          <w:sz w:val="24"/>
          <w:highlight w:val="none"/>
        </w:rPr>
        <w:t>必</w:t>
      </w:r>
      <w:r>
        <w:rPr>
          <w:rFonts w:hint="eastAsia" w:ascii="宋体" w:hAnsi="宋体" w:cs="仿宋_GB2312+3+1"/>
          <w:kern w:val="0"/>
          <w:sz w:val="24"/>
          <w:highlight w:val="none"/>
        </w:rPr>
        <w:t>须明确各</w:t>
      </w:r>
      <w:r>
        <w:rPr>
          <w:rFonts w:hint="eastAsia" w:ascii="宋体" w:hAnsi="宋体" w:cs="仿宋_GB2312+3+6"/>
          <w:kern w:val="0"/>
          <w:sz w:val="24"/>
          <w:highlight w:val="none"/>
        </w:rPr>
        <w:t>专</w:t>
      </w:r>
      <w:r>
        <w:rPr>
          <w:rFonts w:hint="eastAsia" w:ascii="宋体" w:hAnsi="宋体" w:cs="仿宋_GB2312+3+1"/>
          <w:kern w:val="0"/>
          <w:sz w:val="24"/>
          <w:highlight w:val="none"/>
        </w:rPr>
        <w:t>业管理部</w:t>
      </w:r>
      <w:r>
        <w:rPr>
          <w:rFonts w:hint="eastAsia" w:ascii="宋体" w:hAnsi="宋体" w:cs="仿宋_GB2312+3+2"/>
          <w:kern w:val="0"/>
          <w:sz w:val="24"/>
          <w:highlight w:val="none"/>
        </w:rPr>
        <w:t>门</w:t>
      </w:r>
      <w:r>
        <w:rPr>
          <w:rFonts w:hint="eastAsia" w:ascii="宋体" w:hAnsi="宋体" w:cs="仿宋_GB2312+3+1"/>
          <w:kern w:val="0"/>
          <w:sz w:val="24"/>
          <w:highlight w:val="none"/>
        </w:rPr>
        <w:t>和</w:t>
      </w:r>
      <w:r>
        <w:rPr>
          <w:rFonts w:hint="eastAsia" w:ascii="宋体" w:hAnsi="宋体" w:cs="仿宋_GB2312+3+3"/>
          <w:kern w:val="0"/>
          <w:sz w:val="24"/>
          <w:highlight w:val="none"/>
        </w:rPr>
        <w:t>关</w:t>
      </w:r>
      <w:r>
        <w:rPr>
          <w:rFonts w:hint="eastAsia" w:ascii="宋体" w:hAnsi="宋体" w:cs="仿宋_GB2312+3+6"/>
          <w:kern w:val="0"/>
          <w:sz w:val="24"/>
          <w:highlight w:val="none"/>
        </w:rPr>
        <w:t>键</w:t>
      </w:r>
      <w:r>
        <w:rPr>
          <w:rFonts w:hint="eastAsia" w:ascii="宋体" w:hAnsi="宋体" w:cs="仿宋_GB2312+3+3"/>
          <w:kern w:val="0"/>
          <w:sz w:val="24"/>
          <w:highlight w:val="none"/>
        </w:rPr>
        <w:t>岗</w:t>
      </w:r>
      <w:r>
        <w:rPr>
          <w:rFonts w:hint="eastAsia" w:ascii="宋体" w:hAnsi="宋体" w:cs="仿宋_GB2312+3+2"/>
          <w:kern w:val="0"/>
          <w:sz w:val="24"/>
          <w:highlight w:val="none"/>
        </w:rPr>
        <w:t>位</w:t>
      </w:r>
      <w:r>
        <w:rPr>
          <w:rFonts w:hint="eastAsia" w:ascii="宋体" w:hAnsi="宋体" w:cs="仿宋_GB2312+3+1"/>
          <w:kern w:val="0"/>
          <w:sz w:val="24"/>
          <w:highlight w:val="none"/>
        </w:rPr>
        <w:t>人员</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w:t>
      </w:r>
      <w:r>
        <w:rPr>
          <w:rFonts w:hint="eastAsia" w:ascii="宋体" w:hAnsi="宋体" w:cs="仿宋_GB2312+3+3"/>
          <w:kern w:val="0"/>
          <w:sz w:val="24"/>
          <w:highlight w:val="none"/>
        </w:rPr>
        <w:t>考核</w:t>
      </w:r>
      <w:r>
        <w:rPr>
          <w:rFonts w:hint="eastAsia" w:ascii="宋体" w:hAnsi="宋体" w:cs="仿宋_GB2312+3+4"/>
          <w:kern w:val="0"/>
          <w:sz w:val="24"/>
          <w:highlight w:val="none"/>
        </w:rPr>
        <w:t>指</w:t>
      </w:r>
      <w:r>
        <w:rPr>
          <w:rFonts w:hint="eastAsia" w:ascii="宋体" w:hAnsi="宋体" w:cs="仿宋_GB2312+3+1"/>
          <w:kern w:val="0"/>
          <w:sz w:val="24"/>
          <w:highlight w:val="none"/>
        </w:rPr>
        <w:t>标和</w:t>
      </w:r>
      <w:r>
        <w:rPr>
          <w:rFonts w:hint="eastAsia" w:ascii="宋体" w:hAnsi="宋体" w:cs="仿宋_GB2312+3+3"/>
          <w:kern w:val="0"/>
          <w:sz w:val="24"/>
          <w:highlight w:val="none"/>
        </w:rPr>
        <w:t>考核办</w:t>
      </w:r>
      <w:r>
        <w:rPr>
          <w:rFonts w:hint="eastAsia" w:ascii="宋体" w:hAnsi="宋体" w:cs="仿宋_GB2312+3+2"/>
          <w:kern w:val="0"/>
          <w:sz w:val="24"/>
          <w:highlight w:val="none"/>
        </w:rPr>
        <w:t>法</w:t>
      </w:r>
      <w:r>
        <w:rPr>
          <w:rFonts w:hint="eastAsia" w:ascii="宋体" w:hAnsi="宋体" w:cs="仿宋_GB2312+3+1"/>
          <w:kern w:val="0"/>
          <w:sz w:val="24"/>
          <w:highlight w:val="none"/>
        </w:rPr>
        <w:t>，</w:t>
      </w:r>
      <w:r>
        <w:rPr>
          <w:rFonts w:hint="eastAsia" w:ascii="宋体" w:hAnsi="宋体" w:cs="仿宋_GB2312+3+2"/>
          <w:kern w:val="0"/>
          <w:sz w:val="24"/>
          <w:highlight w:val="none"/>
        </w:rPr>
        <w:t>定期组织</w:t>
      </w:r>
      <w:r>
        <w:rPr>
          <w:rFonts w:hint="eastAsia" w:ascii="宋体" w:hAnsi="宋体" w:cs="仿宋_GB2312+3+1"/>
          <w:kern w:val="0"/>
          <w:sz w:val="24"/>
          <w:highlight w:val="none"/>
        </w:rPr>
        <w:t>实施</w:t>
      </w:r>
      <w:r>
        <w:rPr>
          <w:rFonts w:hint="eastAsia" w:ascii="宋体" w:hAnsi="宋体" w:cs="仿宋_GB2312+3+3"/>
          <w:kern w:val="0"/>
          <w:sz w:val="24"/>
          <w:highlight w:val="none"/>
        </w:rPr>
        <w:t>考核</w:t>
      </w:r>
      <w:r>
        <w:rPr>
          <w:rFonts w:hint="eastAsia" w:ascii="宋体" w:hAnsi="宋体" w:cs="仿宋_GB2312+3+1"/>
          <w:kern w:val="0"/>
          <w:sz w:val="24"/>
          <w:highlight w:val="none"/>
        </w:rPr>
        <w:t>，项目工程</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责任制</w:t>
      </w:r>
      <w:r>
        <w:rPr>
          <w:rFonts w:hint="eastAsia" w:ascii="宋体" w:hAnsi="宋体" w:cs="仿宋_GB2312+3+3"/>
          <w:kern w:val="0"/>
          <w:sz w:val="24"/>
          <w:highlight w:val="none"/>
        </w:rPr>
        <w:t>考核</w:t>
      </w:r>
      <w:r>
        <w:rPr>
          <w:rFonts w:hint="eastAsia" w:ascii="宋体" w:hAnsi="宋体" w:cs="仿宋_GB2312+3+1"/>
          <w:kern w:val="0"/>
          <w:sz w:val="24"/>
          <w:highlight w:val="none"/>
        </w:rPr>
        <w:t>要</w:t>
      </w:r>
      <w:r>
        <w:rPr>
          <w:rFonts w:hint="eastAsia" w:ascii="宋体" w:hAnsi="宋体" w:cs="仿宋_GB2312+3+4"/>
          <w:kern w:val="0"/>
          <w:sz w:val="24"/>
          <w:highlight w:val="none"/>
        </w:rPr>
        <w:t>与</w:t>
      </w:r>
      <w:r>
        <w:rPr>
          <w:rFonts w:hint="eastAsia" w:ascii="宋体" w:hAnsi="宋体" w:cs="仿宋_GB2312+3+1"/>
          <w:kern w:val="0"/>
          <w:sz w:val="24"/>
          <w:highlight w:val="none"/>
        </w:rPr>
        <w:t>经</w:t>
      </w:r>
      <w:r>
        <w:rPr>
          <w:rFonts w:hint="eastAsia" w:ascii="宋体" w:hAnsi="宋体" w:cs="仿宋_GB2312+3+2"/>
          <w:kern w:val="0"/>
          <w:sz w:val="24"/>
          <w:highlight w:val="none"/>
        </w:rPr>
        <w:t>济</w:t>
      </w:r>
      <w:r>
        <w:rPr>
          <w:rFonts w:hint="eastAsia" w:ascii="宋体" w:hAnsi="宋体" w:cs="仿宋_GB2312+3+1"/>
          <w:kern w:val="0"/>
          <w:sz w:val="24"/>
          <w:highlight w:val="none"/>
        </w:rPr>
        <w:t>效</w:t>
      </w:r>
      <w:r>
        <w:rPr>
          <w:rFonts w:hint="eastAsia" w:ascii="宋体" w:hAnsi="宋体" w:cs="仿宋_GB2312+3+3"/>
          <w:kern w:val="0"/>
          <w:sz w:val="24"/>
          <w:highlight w:val="none"/>
        </w:rPr>
        <w:t>益挂钩</w:t>
      </w:r>
      <w:r>
        <w:rPr>
          <w:rFonts w:hint="eastAsia" w:ascii="宋体" w:hAnsi="宋体" w:cs="仿宋_GB2312+3+2"/>
          <w:kern w:val="0"/>
          <w:sz w:val="24"/>
          <w:highlight w:val="none"/>
        </w:rPr>
        <w:t>；</w:t>
      </w:r>
    </w:p>
    <w:p w14:paraId="1C82263B">
      <w:pPr>
        <w:adjustRightInd w:val="0"/>
        <w:snapToGrid w:val="0"/>
        <w:spacing w:line="460" w:lineRule="exact"/>
        <w:ind w:firstLine="480" w:firstLineChars="200"/>
        <w:jc w:val="left"/>
        <w:rPr>
          <w:rFonts w:hint="eastAsia" w:ascii="宋体" w:hAnsi="宋体" w:cs="仿宋_GB2312+3+1"/>
          <w:kern w:val="0"/>
          <w:sz w:val="24"/>
          <w:highlight w:val="none"/>
        </w:rPr>
      </w:pPr>
      <w:r>
        <w:rPr>
          <w:rFonts w:hint="eastAsia" w:ascii="宋体" w:hAnsi="宋体" w:cs="仿宋_GB2312+3+2"/>
          <w:kern w:val="0"/>
          <w:sz w:val="24"/>
          <w:highlight w:val="none"/>
        </w:rPr>
        <w:t>5</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定期组织</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检</w:t>
      </w:r>
      <w:r>
        <w:rPr>
          <w:rFonts w:hint="eastAsia" w:ascii="宋体" w:hAnsi="宋体" w:cs="仿宋_GB2312+3+4"/>
          <w:kern w:val="0"/>
          <w:sz w:val="24"/>
          <w:highlight w:val="none"/>
        </w:rPr>
        <w:t>查</w:t>
      </w:r>
      <w:r>
        <w:rPr>
          <w:rFonts w:hint="eastAsia" w:ascii="宋体" w:hAnsi="宋体" w:cs="仿宋_GB2312+3+1"/>
          <w:kern w:val="0"/>
          <w:sz w:val="24"/>
          <w:highlight w:val="none"/>
        </w:rPr>
        <w:t>，</w:t>
      </w:r>
      <w:r>
        <w:rPr>
          <w:rFonts w:hint="eastAsia" w:ascii="宋体" w:hAnsi="宋体" w:cs="仿宋_GB2312+3+2"/>
          <w:kern w:val="0"/>
          <w:sz w:val="24"/>
          <w:highlight w:val="none"/>
        </w:rPr>
        <w:t>及</w:t>
      </w:r>
      <w:r>
        <w:rPr>
          <w:rFonts w:hint="eastAsia" w:ascii="宋体" w:hAnsi="宋体" w:cs="仿宋_GB2312+3+3"/>
          <w:kern w:val="0"/>
          <w:sz w:val="24"/>
          <w:highlight w:val="none"/>
        </w:rPr>
        <w:t>时</w:t>
      </w:r>
      <w:r>
        <w:rPr>
          <w:rFonts w:hint="eastAsia" w:ascii="宋体" w:hAnsi="宋体" w:cs="仿宋_GB2312+3+9"/>
          <w:kern w:val="0"/>
          <w:sz w:val="24"/>
          <w:highlight w:val="none"/>
        </w:rPr>
        <w:t>消</w:t>
      </w:r>
      <w:r>
        <w:rPr>
          <w:rFonts w:hint="eastAsia" w:ascii="宋体" w:hAnsi="宋体" w:cs="仿宋_GB2312+3+6"/>
          <w:kern w:val="0"/>
          <w:sz w:val="24"/>
          <w:highlight w:val="none"/>
        </w:rPr>
        <w:t>除</w:t>
      </w:r>
      <w:r>
        <w:rPr>
          <w:rFonts w:hint="eastAsia" w:ascii="宋体" w:hAnsi="宋体" w:cs="仿宋_GB2312+3+2"/>
          <w:kern w:val="0"/>
          <w:sz w:val="24"/>
          <w:highlight w:val="none"/>
        </w:rPr>
        <w:t>事故</w:t>
      </w:r>
      <w:r>
        <w:rPr>
          <w:rFonts w:hint="eastAsia" w:ascii="宋体" w:hAnsi="宋体" w:cs="仿宋_GB2312+3+6"/>
          <w:kern w:val="0"/>
          <w:sz w:val="24"/>
          <w:highlight w:val="none"/>
        </w:rPr>
        <w:t>隐患</w:t>
      </w:r>
      <w:r>
        <w:rPr>
          <w:rFonts w:hint="eastAsia" w:ascii="宋体" w:hAnsi="宋体" w:cs="仿宋_GB2312+3+1"/>
          <w:kern w:val="0"/>
          <w:sz w:val="24"/>
          <w:highlight w:val="none"/>
        </w:rPr>
        <w:t>，</w:t>
      </w:r>
      <w:r>
        <w:rPr>
          <w:rFonts w:hint="eastAsia" w:ascii="宋体" w:hAnsi="宋体" w:cs="仿宋_GB2312+3+2"/>
          <w:kern w:val="0"/>
          <w:sz w:val="24"/>
          <w:highlight w:val="none"/>
        </w:rPr>
        <w:t>对上级</w:t>
      </w:r>
      <w:r>
        <w:rPr>
          <w:rFonts w:hint="eastAsia" w:ascii="宋体" w:hAnsi="宋体" w:cs="仿宋_GB2312+3+1"/>
          <w:kern w:val="0"/>
          <w:sz w:val="24"/>
          <w:highlight w:val="none"/>
        </w:rPr>
        <w:t>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检</w:t>
      </w:r>
      <w:r>
        <w:rPr>
          <w:rFonts w:hint="eastAsia" w:ascii="宋体" w:hAnsi="宋体" w:cs="仿宋_GB2312+3+4"/>
          <w:kern w:val="0"/>
          <w:sz w:val="24"/>
          <w:highlight w:val="none"/>
        </w:rPr>
        <w:t>查</w:t>
      </w:r>
      <w:r>
        <w:rPr>
          <w:rFonts w:hint="eastAsia" w:ascii="宋体" w:hAnsi="宋体" w:cs="仿宋_GB2312+3+1"/>
          <w:kern w:val="0"/>
          <w:sz w:val="24"/>
          <w:highlight w:val="none"/>
        </w:rPr>
        <w:t>中</w:t>
      </w:r>
      <w:r>
        <w:rPr>
          <w:rFonts w:hint="eastAsia" w:ascii="宋体" w:hAnsi="宋体" w:cs="仿宋_GB2312+3+2"/>
          <w:kern w:val="0"/>
          <w:sz w:val="24"/>
          <w:highlight w:val="none"/>
        </w:rPr>
        <w:t>提</w:t>
      </w:r>
      <w:r>
        <w:rPr>
          <w:rFonts w:hint="eastAsia" w:ascii="宋体" w:hAnsi="宋体" w:cs="仿宋_GB2312+3+4"/>
          <w:kern w:val="0"/>
          <w:sz w:val="24"/>
          <w:highlight w:val="none"/>
        </w:rPr>
        <w:t>出</w:t>
      </w:r>
      <w:r>
        <w:rPr>
          <w:rFonts w:hint="eastAsia" w:ascii="宋体" w:hAnsi="宋体" w:cs="仿宋_GB2312+3+3"/>
          <w:kern w:val="0"/>
          <w:sz w:val="24"/>
          <w:highlight w:val="none"/>
        </w:rPr>
        <w:t>的</w:t>
      </w:r>
      <w:r>
        <w:rPr>
          <w:rFonts w:hint="eastAsia" w:ascii="宋体" w:hAnsi="宋体" w:cs="仿宋_GB2312+3+2"/>
          <w:kern w:val="0"/>
          <w:sz w:val="24"/>
          <w:highlight w:val="none"/>
        </w:rPr>
        <w:t>事故</w:t>
      </w:r>
      <w:r>
        <w:rPr>
          <w:rFonts w:hint="eastAsia" w:ascii="宋体" w:hAnsi="宋体" w:cs="仿宋_GB2312+3+6"/>
          <w:kern w:val="0"/>
          <w:sz w:val="24"/>
          <w:highlight w:val="none"/>
        </w:rPr>
        <w:t>隐患</w:t>
      </w:r>
      <w:r>
        <w:rPr>
          <w:rFonts w:hint="eastAsia" w:ascii="宋体" w:hAnsi="宋体" w:cs="仿宋_GB2312+3+1"/>
          <w:kern w:val="0"/>
          <w:sz w:val="24"/>
          <w:highlight w:val="none"/>
        </w:rPr>
        <w:t>和管理</w:t>
      </w:r>
      <w:r>
        <w:rPr>
          <w:rFonts w:hint="eastAsia" w:ascii="宋体" w:hAnsi="宋体" w:cs="仿宋_GB2312+3+4"/>
          <w:kern w:val="0"/>
          <w:sz w:val="24"/>
          <w:highlight w:val="none"/>
        </w:rPr>
        <w:t>存</w:t>
      </w:r>
      <w:r>
        <w:rPr>
          <w:rFonts w:hint="eastAsia" w:ascii="宋体" w:hAnsi="宋体" w:cs="仿宋_GB2312+3+1"/>
          <w:kern w:val="0"/>
          <w:sz w:val="24"/>
          <w:highlight w:val="none"/>
        </w:rPr>
        <w:t>在</w:t>
      </w:r>
      <w:r>
        <w:rPr>
          <w:rFonts w:hint="eastAsia" w:ascii="宋体" w:hAnsi="宋体" w:cs="仿宋_GB2312+3+4"/>
          <w:kern w:val="0"/>
          <w:sz w:val="24"/>
          <w:highlight w:val="none"/>
        </w:rPr>
        <w:t>问题</w:t>
      </w:r>
      <w:r>
        <w:rPr>
          <w:rFonts w:hint="eastAsia" w:ascii="宋体" w:hAnsi="宋体" w:cs="仿宋_GB2312+3+1"/>
          <w:kern w:val="0"/>
          <w:sz w:val="24"/>
          <w:highlight w:val="none"/>
        </w:rPr>
        <w:t>，应</w:t>
      </w:r>
      <w:r>
        <w:rPr>
          <w:rFonts w:hint="eastAsia" w:ascii="宋体" w:hAnsi="宋体" w:cs="仿宋_GB2312+3+3"/>
          <w:kern w:val="0"/>
          <w:sz w:val="24"/>
          <w:highlight w:val="none"/>
        </w:rPr>
        <w:t>按</w:t>
      </w:r>
      <w:r>
        <w:rPr>
          <w:rFonts w:hint="eastAsia" w:ascii="宋体" w:hAnsi="宋体" w:cs="仿宋_GB2312+3+2"/>
          <w:kern w:val="0"/>
          <w:sz w:val="24"/>
          <w:highlight w:val="none"/>
        </w:rPr>
        <w:t>照“</w:t>
      </w:r>
      <w:r>
        <w:rPr>
          <w:rFonts w:hint="eastAsia" w:ascii="宋体" w:hAnsi="宋体" w:cs="仿宋_GB2312+3+1"/>
          <w:kern w:val="0"/>
          <w:sz w:val="24"/>
          <w:highlight w:val="none"/>
        </w:rPr>
        <w:t>三</w:t>
      </w:r>
      <w:r>
        <w:rPr>
          <w:rFonts w:hint="eastAsia" w:ascii="宋体" w:hAnsi="宋体" w:cs="仿宋_GB2312+3+2"/>
          <w:kern w:val="0"/>
          <w:sz w:val="24"/>
          <w:highlight w:val="none"/>
        </w:rPr>
        <w:t>定”</w:t>
      </w:r>
      <w:r>
        <w:rPr>
          <w:rFonts w:hint="eastAsia" w:ascii="宋体" w:hAnsi="宋体" w:cs="仿宋_GB2312+3+3"/>
          <w:kern w:val="0"/>
          <w:sz w:val="24"/>
          <w:highlight w:val="none"/>
        </w:rPr>
        <w:t>原则（</w:t>
      </w:r>
      <w:r>
        <w:rPr>
          <w:rFonts w:hint="eastAsia" w:ascii="宋体" w:hAnsi="宋体" w:cs="仿宋_GB2312+3+2"/>
          <w:kern w:val="0"/>
          <w:sz w:val="24"/>
          <w:highlight w:val="none"/>
        </w:rPr>
        <w:t>定</w:t>
      </w:r>
      <w:r>
        <w:rPr>
          <w:rFonts w:hint="eastAsia" w:ascii="宋体" w:hAnsi="宋体" w:cs="仿宋_GB2312+3+1"/>
          <w:kern w:val="0"/>
          <w:sz w:val="24"/>
          <w:highlight w:val="none"/>
        </w:rPr>
        <w:t>人、</w:t>
      </w:r>
      <w:r>
        <w:rPr>
          <w:rFonts w:hint="eastAsia" w:ascii="宋体" w:hAnsi="宋体" w:cs="仿宋_GB2312+3+2"/>
          <w:kern w:val="0"/>
          <w:sz w:val="24"/>
          <w:highlight w:val="none"/>
        </w:rPr>
        <w:t>定</w:t>
      </w:r>
      <w:r>
        <w:rPr>
          <w:rFonts w:hint="eastAsia" w:ascii="宋体" w:hAnsi="宋体" w:cs="仿宋_GB2312+3+3"/>
          <w:kern w:val="0"/>
          <w:sz w:val="24"/>
          <w:highlight w:val="none"/>
        </w:rPr>
        <w:t>时</w:t>
      </w:r>
      <w:r>
        <w:rPr>
          <w:rFonts w:hint="eastAsia" w:ascii="宋体" w:hAnsi="宋体" w:cs="仿宋_GB2312+3+7"/>
          <w:kern w:val="0"/>
          <w:sz w:val="24"/>
          <w:highlight w:val="none"/>
        </w:rPr>
        <w:t>间</w:t>
      </w:r>
      <w:r>
        <w:rPr>
          <w:rFonts w:hint="eastAsia" w:ascii="宋体" w:hAnsi="宋体" w:cs="仿宋_GB2312+3+1"/>
          <w:kern w:val="0"/>
          <w:sz w:val="24"/>
          <w:highlight w:val="none"/>
        </w:rPr>
        <w:t>、</w:t>
      </w:r>
      <w:r>
        <w:rPr>
          <w:rFonts w:hint="eastAsia" w:ascii="宋体" w:hAnsi="宋体" w:cs="仿宋_GB2312+3+2"/>
          <w:kern w:val="0"/>
          <w:sz w:val="24"/>
          <w:highlight w:val="none"/>
        </w:rPr>
        <w:t>定措</w:t>
      </w:r>
      <w:r>
        <w:rPr>
          <w:rFonts w:hint="eastAsia" w:ascii="宋体" w:hAnsi="宋体" w:cs="仿宋_GB2312+3+1"/>
          <w:kern w:val="0"/>
          <w:sz w:val="24"/>
          <w:highlight w:val="none"/>
        </w:rPr>
        <w:t>施</w:t>
      </w:r>
      <w:r>
        <w:rPr>
          <w:rFonts w:hint="eastAsia" w:ascii="宋体" w:hAnsi="宋体" w:cs="仿宋_GB2312+3+3"/>
          <w:kern w:val="0"/>
          <w:sz w:val="24"/>
          <w:highlight w:val="none"/>
        </w:rPr>
        <w:t>）</w:t>
      </w:r>
      <w:r>
        <w:rPr>
          <w:rFonts w:hint="eastAsia" w:ascii="宋体" w:hAnsi="宋体" w:cs="仿宋_GB2312+3+5"/>
          <w:kern w:val="0"/>
          <w:sz w:val="24"/>
          <w:highlight w:val="none"/>
        </w:rPr>
        <w:t>予</w:t>
      </w:r>
      <w:r>
        <w:rPr>
          <w:rFonts w:hint="eastAsia" w:ascii="宋体" w:hAnsi="宋体" w:cs="仿宋_GB2312+3+1"/>
          <w:kern w:val="0"/>
          <w:sz w:val="24"/>
          <w:highlight w:val="none"/>
        </w:rPr>
        <w:t>以</w:t>
      </w:r>
      <w:r>
        <w:rPr>
          <w:rFonts w:hint="eastAsia" w:ascii="宋体" w:hAnsi="宋体" w:cs="仿宋_GB2312+3+2"/>
          <w:kern w:val="0"/>
          <w:sz w:val="24"/>
          <w:highlight w:val="none"/>
        </w:rPr>
        <w:t>解</w:t>
      </w:r>
      <w:r>
        <w:rPr>
          <w:rFonts w:hint="eastAsia" w:ascii="宋体" w:hAnsi="宋体" w:cs="仿宋_GB2312+3+3"/>
          <w:kern w:val="0"/>
          <w:sz w:val="24"/>
          <w:highlight w:val="none"/>
        </w:rPr>
        <w:t>决</w:t>
      </w:r>
      <w:r>
        <w:rPr>
          <w:rFonts w:hint="eastAsia" w:ascii="宋体" w:hAnsi="宋体" w:cs="仿宋_GB2312+3+1"/>
          <w:kern w:val="0"/>
          <w:sz w:val="24"/>
          <w:highlight w:val="none"/>
        </w:rPr>
        <w:t>，</w:t>
      </w:r>
      <w:r>
        <w:rPr>
          <w:rFonts w:hint="eastAsia" w:ascii="宋体" w:hAnsi="宋体" w:cs="仿宋_GB2312+3+2"/>
          <w:kern w:val="0"/>
          <w:sz w:val="24"/>
          <w:highlight w:val="none"/>
        </w:rPr>
        <w:t>并</w:t>
      </w:r>
      <w:r>
        <w:rPr>
          <w:rFonts w:hint="eastAsia" w:ascii="宋体" w:hAnsi="宋体" w:cs="仿宋_GB2312+3+3"/>
          <w:kern w:val="0"/>
          <w:sz w:val="24"/>
          <w:highlight w:val="none"/>
        </w:rPr>
        <w:t>按时</w:t>
      </w:r>
      <w:r>
        <w:rPr>
          <w:rFonts w:hint="eastAsia" w:ascii="宋体" w:hAnsi="宋体" w:cs="仿宋_GB2312+3+7"/>
          <w:kern w:val="0"/>
          <w:sz w:val="24"/>
          <w:highlight w:val="none"/>
        </w:rPr>
        <w:t>将</w:t>
      </w:r>
      <w:r>
        <w:rPr>
          <w:rFonts w:hint="eastAsia" w:ascii="宋体" w:hAnsi="宋体" w:cs="仿宋_GB2312+3+2"/>
          <w:kern w:val="0"/>
          <w:sz w:val="24"/>
          <w:highlight w:val="none"/>
        </w:rPr>
        <w:t>解</w:t>
      </w:r>
      <w:r>
        <w:rPr>
          <w:rFonts w:hint="eastAsia" w:ascii="宋体" w:hAnsi="宋体" w:cs="仿宋_GB2312+3+3"/>
          <w:kern w:val="0"/>
          <w:sz w:val="24"/>
          <w:highlight w:val="none"/>
        </w:rPr>
        <w:t>决</w:t>
      </w:r>
      <w:r>
        <w:rPr>
          <w:rFonts w:hint="eastAsia" w:ascii="宋体" w:hAnsi="宋体" w:cs="仿宋_GB2312+3+4"/>
          <w:kern w:val="0"/>
          <w:sz w:val="24"/>
          <w:highlight w:val="none"/>
        </w:rPr>
        <w:t>情况</w:t>
      </w:r>
      <w:r>
        <w:rPr>
          <w:rFonts w:hint="eastAsia" w:ascii="宋体" w:hAnsi="宋体" w:cs="仿宋_GB2312+3+5"/>
          <w:kern w:val="0"/>
          <w:sz w:val="24"/>
          <w:highlight w:val="none"/>
        </w:rPr>
        <w:t>向</w:t>
      </w:r>
      <w:r>
        <w:rPr>
          <w:rFonts w:hint="eastAsia" w:ascii="宋体" w:hAnsi="宋体" w:cs="仿宋_GB2312+3+2"/>
          <w:kern w:val="0"/>
          <w:sz w:val="24"/>
          <w:highlight w:val="none"/>
        </w:rPr>
        <w:t>上级</w:t>
      </w:r>
      <w:r>
        <w:rPr>
          <w:rFonts w:hint="eastAsia" w:ascii="宋体" w:hAnsi="宋体" w:cs="仿宋_GB2312+3+4"/>
          <w:kern w:val="0"/>
          <w:sz w:val="24"/>
          <w:highlight w:val="none"/>
        </w:rPr>
        <w:t>反</w:t>
      </w:r>
      <w:r>
        <w:rPr>
          <w:rFonts w:hint="eastAsia" w:ascii="宋体" w:hAnsi="宋体" w:cs="仿宋_GB2312+3+9"/>
          <w:kern w:val="0"/>
          <w:sz w:val="24"/>
          <w:highlight w:val="none"/>
        </w:rPr>
        <w:t>馈</w:t>
      </w:r>
      <w:r>
        <w:rPr>
          <w:rFonts w:hint="eastAsia" w:ascii="宋体" w:hAnsi="宋体" w:cs="仿宋_GB2312+3+1"/>
          <w:kern w:val="0"/>
          <w:sz w:val="24"/>
          <w:highlight w:val="none"/>
        </w:rPr>
        <w:t>。</w:t>
      </w:r>
      <w:r>
        <w:rPr>
          <w:rFonts w:hint="eastAsia" w:ascii="宋体" w:hAnsi="宋体" w:cs="仿宋_GB2312+3+3"/>
          <w:kern w:val="0"/>
          <w:sz w:val="24"/>
          <w:highlight w:val="none"/>
        </w:rPr>
        <w:t>重</w:t>
      </w:r>
      <w:r>
        <w:rPr>
          <w:rFonts w:hint="eastAsia" w:ascii="宋体" w:hAnsi="宋体" w:cs="仿宋_GB2312+3+2"/>
          <w:kern w:val="0"/>
          <w:sz w:val="24"/>
          <w:highlight w:val="none"/>
        </w:rPr>
        <w:t>大</w:t>
      </w:r>
      <w:r>
        <w:rPr>
          <w:rFonts w:hint="eastAsia" w:ascii="宋体" w:hAnsi="宋体" w:cs="仿宋_GB2312+3+6"/>
          <w:kern w:val="0"/>
          <w:sz w:val="24"/>
          <w:highlight w:val="none"/>
        </w:rPr>
        <w:t>隐患</w:t>
      </w:r>
      <w:r>
        <w:rPr>
          <w:rFonts w:hint="eastAsia" w:ascii="宋体" w:hAnsi="宋体" w:cs="仿宋_GB2312+3+2"/>
          <w:kern w:val="0"/>
          <w:sz w:val="24"/>
          <w:highlight w:val="none"/>
        </w:rPr>
        <w:t>必</w:t>
      </w:r>
      <w:r>
        <w:rPr>
          <w:rFonts w:hint="eastAsia" w:ascii="宋体" w:hAnsi="宋体" w:cs="仿宋_GB2312+3+1"/>
          <w:kern w:val="0"/>
          <w:sz w:val="24"/>
          <w:highlight w:val="none"/>
        </w:rPr>
        <w:t>须立</w:t>
      </w:r>
      <w:r>
        <w:rPr>
          <w:rFonts w:hint="eastAsia" w:ascii="宋体" w:hAnsi="宋体" w:cs="仿宋_GB2312+3+7"/>
          <w:kern w:val="0"/>
          <w:sz w:val="24"/>
          <w:highlight w:val="none"/>
        </w:rPr>
        <w:t>即</w:t>
      </w:r>
      <w:r>
        <w:rPr>
          <w:rFonts w:hint="eastAsia" w:ascii="宋体" w:hAnsi="宋体" w:cs="仿宋_GB2312+3+5"/>
          <w:kern w:val="0"/>
          <w:sz w:val="24"/>
          <w:highlight w:val="none"/>
        </w:rPr>
        <w:t>停</w:t>
      </w:r>
      <w:r>
        <w:rPr>
          <w:rFonts w:hint="eastAsia" w:ascii="宋体" w:hAnsi="宋体" w:cs="仿宋_GB2312+3+4"/>
          <w:kern w:val="0"/>
          <w:sz w:val="24"/>
          <w:highlight w:val="none"/>
        </w:rPr>
        <w:t>止</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w:t>
      </w:r>
      <w:r>
        <w:rPr>
          <w:rFonts w:hint="eastAsia" w:ascii="宋体" w:hAnsi="宋体" w:cs="仿宋_GB2312+3+9"/>
          <w:kern w:val="0"/>
          <w:sz w:val="24"/>
          <w:highlight w:val="none"/>
        </w:rPr>
        <w:t>待</w:t>
      </w:r>
      <w:r>
        <w:rPr>
          <w:rFonts w:hint="eastAsia" w:ascii="宋体" w:hAnsi="宋体" w:cs="仿宋_GB2312+3+6"/>
          <w:kern w:val="0"/>
          <w:sz w:val="24"/>
          <w:highlight w:val="none"/>
        </w:rPr>
        <w:t>隐患</w:t>
      </w:r>
      <w:r>
        <w:rPr>
          <w:rFonts w:hint="eastAsia" w:ascii="宋体" w:hAnsi="宋体" w:cs="仿宋_GB2312+3+9"/>
          <w:kern w:val="0"/>
          <w:sz w:val="24"/>
          <w:highlight w:val="none"/>
        </w:rPr>
        <w:t>消</w:t>
      </w:r>
      <w:r>
        <w:rPr>
          <w:rFonts w:hint="eastAsia" w:ascii="宋体" w:hAnsi="宋体" w:cs="仿宋_GB2312+3+6"/>
          <w:kern w:val="0"/>
          <w:sz w:val="24"/>
          <w:highlight w:val="none"/>
        </w:rPr>
        <w:t>除</w:t>
      </w:r>
      <w:r>
        <w:rPr>
          <w:rFonts w:hint="eastAsia" w:ascii="宋体" w:hAnsi="宋体" w:cs="仿宋_GB2312+3+1"/>
          <w:kern w:val="0"/>
          <w:sz w:val="24"/>
          <w:highlight w:val="none"/>
        </w:rPr>
        <w:t>，</w:t>
      </w:r>
      <w:r>
        <w:rPr>
          <w:rFonts w:hint="eastAsia" w:ascii="宋体" w:hAnsi="宋体" w:cs="仿宋_GB2312+3+2"/>
          <w:kern w:val="0"/>
          <w:sz w:val="24"/>
          <w:highlight w:val="none"/>
        </w:rPr>
        <w:t>报</w:t>
      </w:r>
      <w:r>
        <w:rPr>
          <w:rFonts w:hint="eastAsia" w:ascii="宋体" w:hAnsi="宋体" w:cs="仿宋_GB2312+3+6"/>
          <w:kern w:val="0"/>
          <w:sz w:val="24"/>
          <w:highlight w:val="none"/>
        </w:rPr>
        <w:t>请</w:t>
      </w:r>
      <w:r>
        <w:rPr>
          <w:rFonts w:hint="eastAsia" w:ascii="宋体" w:hAnsi="宋体" w:cs="仿宋_GB2312+3+2"/>
          <w:kern w:val="0"/>
          <w:sz w:val="24"/>
          <w:highlight w:val="none"/>
        </w:rPr>
        <w:t>上级</w:t>
      </w:r>
      <w:r>
        <w:rPr>
          <w:rFonts w:hint="eastAsia" w:ascii="宋体" w:hAnsi="宋体" w:cs="仿宋_GB2312+3+1"/>
          <w:kern w:val="0"/>
          <w:sz w:val="24"/>
          <w:highlight w:val="none"/>
        </w:rPr>
        <w:t>部</w:t>
      </w:r>
      <w:r>
        <w:rPr>
          <w:rFonts w:hint="eastAsia" w:ascii="宋体" w:hAnsi="宋体" w:cs="仿宋_GB2312+3+2"/>
          <w:kern w:val="0"/>
          <w:sz w:val="24"/>
          <w:highlight w:val="none"/>
        </w:rPr>
        <w:t>门</w:t>
      </w:r>
      <w:r>
        <w:rPr>
          <w:rFonts w:hint="eastAsia" w:ascii="宋体" w:hAnsi="宋体" w:cs="仿宋_GB2312+3+1"/>
          <w:kern w:val="0"/>
          <w:sz w:val="24"/>
          <w:highlight w:val="none"/>
        </w:rPr>
        <w:t>验</w:t>
      </w:r>
      <w:r>
        <w:rPr>
          <w:rFonts w:hint="eastAsia" w:ascii="宋体" w:hAnsi="宋体" w:cs="仿宋_GB2312+3+2"/>
          <w:kern w:val="0"/>
          <w:sz w:val="24"/>
          <w:highlight w:val="none"/>
        </w:rPr>
        <w:t>收合格后</w:t>
      </w:r>
      <w:r>
        <w:rPr>
          <w:rFonts w:hint="eastAsia" w:ascii="宋体" w:hAnsi="宋体" w:cs="仿宋_GB2312+3+1"/>
          <w:kern w:val="0"/>
          <w:sz w:val="24"/>
          <w:highlight w:val="none"/>
        </w:rPr>
        <w:t>，方</w:t>
      </w:r>
      <w:r>
        <w:rPr>
          <w:rFonts w:hint="eastAsia" w:ascii="宋体" w:hAnsi="宋体" w:cs="仿宋_GB2312+3+3"/>
          <w:kern w:val="0"/>
          <w:sz w:val="24"/>
          <w:highlight w:val="none"/>
        </w:rPr>
        <w:t>可</w:t>
      </w:r>
      <w:r>
        <w:rPr>
          <w:rFonts w:hint="eastAsia" w:ascii="宋体" w:hAnsi="宋体" w:cs="仿宋_GB2312+3+9"/>
          <w:kern w:val="0"/>
          <w:sz w:val="24"/>
          <w:highlight w:val="none"/>
        </w:rPr>
        <w:t>恢</w:t>
      </w:r>
      <w:r>
        <w:rPr>
          <w:rFonts w:hint="eastAsia" w:ascii="宋体" w:hAnsi="宋体" w:cs="仿宋_GB2312+3+5"/>
          <w:kern w:val="0"/>
          <w:sz w:val="24"/>
          <w:highlight w:val="none"/>
        </w:rPr>
        <w:t>复</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w:t>
      </w:r>
    </w:p>
    <w:p w14:paraId="541B564F">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6</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组织</w:t>
      </w:r>
      <w:r>
        <w:rPr>
          <w:rFonts w:hint="eastAsia" w:ascii="宋体" w:hAnsi="宋体" w:cs="仿宋_GB2312+3+1"/>
          <w:kern w:val="0"/>
          <w:sz w:val="24"/>
          <w:highlight w:val="none"/>
        </w:rPr>
        <w:t>制</w:t>
      </w:r>
      <w:r>
        <w:rPr>
          <w:rFonts w:hint="eastAsia" w:ascii="宋体" w:hAnsi="宋体" w:cs="仿宋_GB2312+3+2"/>
          <w:kern w:val="0"/>
          <w:sz w:val="24"/>
          <w:highlight w:val="none"/>
        </w:rPr>
        <w:t>定并</w:t>
      </w:r>
      <w:r>
        <w:rPr>
          <w:rFonts w:hint="eastAsia" w:ascii="宋体" w:hAnsi="宋体" w:cs="仿宋_GB2312+3+1"/>
          <w:kern w:val="0"/>
          <w:sz w:val="24"/>
          <w:highlight w:val="none"/>
        </w:rPr>
        <w:t>实施工程项目</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事故</w:t>
      </w:r>
      <w:r>
        <w:rPr>
          <w:rFonts w:hint="eastAsia" w:ascii="宋体" w:hAnsi="宋体" w:cs="仿宋_GB2312+3+1"/>
          <w:kern w:val="0"/>
          <w:sz w:val="24"/>
          <w:highlight w:val="none"/>
        </w:rPr>
        <w:t>应</w:t>
      </w:r>
      <w:r>
        <w:rPr>
          <w:rFonts w:hint="eastAsia" w:ascii="宋体" w:hAnsi="宋体" w:cs="仿宋_GB2312+3+8"/>
          <w:kern w:val="0"/>
          <w:sz w:val="24"/>
          <w:highlight w:val="none"/>
        </w:rPr>
        <w:t>急救</w:t>
      </w:r>
      <w:r>
        <w:rPr>
          <w:rFonts w:hint="eastAsia" w:ascii="宋体" w:hAnsi="宋体" w:cs="仿宋_GB2312+3+9"/>
          <w:kern w:val="0"/>
          <w:sz w:val="24"/>
          <w:highlight w:val="none"/>
        </w:rPr>
        <w:t>援</w:t>
      </w:r>
      <w:r>
        <w:rPr>
          <w:rFonts w:hint="eastAsia" w:ascii="宋体" w:hAnsi="宋体" w:cs="仿宋_GB2312+3+4"/>
          <w:kern w:val="0"/>
          <w:sz w:val="24"/>
          <w:highlight w:val="none"/>
        </w:rPr>
        <w:t>预案</w:t>
      </w:r>
      <w:r>
        <w:rPr>
          <w:rFonts w:hint="eastAsia" w:ascii="宋体" w:hAnsi="宋体" w:cs="仿宋_GB2312+3+2"/>
          <w:kern w:val="0"/>
          <w:sz w:val="24"/>
          <w:highlight w:val="none"/>
        </w:rPr>
        <w:t>。</w:t>
      </w:r>
    </w:p>
    <w:p w14:paraId="21D8D00E">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7</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坚持把</w:t>
      </w:r>
      <w:r>
        <w:rPr>
          <w:rFonts w:hint="eastAsia" w:ascii="宋体" w:hAnsi="宋体" w:cs="仿宋_GB2312+3+3"/>
          <w:kern w:val="0"/>
          <w:sz w:val="24"/>
          <w:highlight w:val="none"/>
        </w:rPr>
        <w:t>安</w:t>
      </w:r>
      <w:r>
        <w:rPr>
          <w:rFonts w:hint="eastAsia" w:ascii="宋体" w:hAnsi="宋体" w:cs="仿宋_GB2312+3+1"/>
          <w:kern w:val="0"/>
          <w:sz w:val="24"/>
          <w:highlight w:val="none"/>
        </w:rPr>
        <w:t>全管理作为项目管理</w:t>
      </w:r>
      <w:r>
        <w:rPr>
          <w:rFonts w:hint="eastAsia" w:ascii="宋体" w:hAnsi="宋体" w:cs="仿宋_GB2312+3+3"/>
          <w:kern w:val="0"/>
          <w:sz w:val="24"/>
          <w:highlight w:val="none"/>
        </w:rPr>
        <w:t>重</w:t>
      </w:r>
      <w:r>
        <w:rPr>
          <w:rFonts w:hint="eastAsia" w:ascii="宋体" w:hAnsi="宋体" w:cs="仿宋_GB2312+3+1"/>
          <w:kern w:val="0"/>
          <w:sz w:val="24"/>
          <w:highlight w:val="none"/>
        </w:rPr>
        <w:t>要内</w:t>
      </w:r>
      <w:r>
        <w:rPr>
          <w:rFonts w:hint="eastAsia" w:ascii="宋体" w:hAnsi="宋体" w:cs="仿宋_GB2312+3+3"/>
          <w:kern w:val="0"/>
          <w:sz w:val="24"/>
          <w:highlight w:val="none"/>
        </w:rPr>
        <w:t>容</w:t>
      </w:r>
      <w:r>
        <w:rPr>
          <w:rFonts w:hint="eastAsia" w:ascii="宋体" w:hAnsi="宋体" w:cs="仿宋_GB2312+3+1"/>
          <w:kern w:val="0"/>
          <w:sz w:val="24"/>
          <w:highlight w:val="none"/>
        </w:rPr>
        <w:t>，</w:t>
      </w:r>
      <w:r>
        <w:rPr>
          <w:rFonts w:hint="eastAsia" w:ascii="宋体" w:hAnsi="宋体" w:cs="仿宋_GB2312+3+4"/>
          <w:kern w:val="0"/>
          <w:sz w:val="24"/>
          <w:highlight w:val="none"/>
        </w:rPr>
        <w:t>与</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2"/>
          <w:kern w:val="0"/>
          <w:sz w:val="24"/>
          <w:highlight w:val="none"/>
        </w:rPr>
        <w:t>同</w:t>
      </w:r>
      <w:r>
        <w:rPr>
          <w:rFonts w:hint="eastAsia" w:ascii="宋体" w:hAnsi="宋体" w:cs="仿宋_GB2312+3+3"/>
          <w:kern w:val="0"/>
          <w:sz w:val="24"/>
          <w:highlight w:val="none"/>
        </w:rPr>
        <w:t>时</w:t>
      </w:r>
      <w:r>
        <w:rPr>
          <w:rFonts w:hint="eastAsia" w:ascii="宋体" w:hAnsi="宋体" w:cs="仿宋_GB2312+3+1"/>
          <w:kern w:val="0"/>
          <w:sz w:val="24"/>
          <w:highlight w:val="none"/>
        </w:rPr>
        <w:t>进行</w:t>
      </w:r>
      <w:r>
        <w:rPr>
          <w:rFonts w:hint="eastAsia" w:ascii="宋体" w:hAnsi="宋体" w:cs="仿宋_GB2312+3+2"/>
          <w:kern w:val="0"/>
          <w:sz w:val="24"/>
          <w:highlight w:val="none"/>
        </w:rPr>
        <w:t>。</w:t>
      </w:r>
    </w:p>
    <w:p w14:paraId="48FE2BB6">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8</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建立、</w:t>
      </w:r>
      <w:r>
        <w:rPr>
          <w:rFonts w:hint="eastAsia" w:ascii="宋体" w:hAnsi="宋体" w:cs="仿宋_GB2312+3+3"/>
          <w:kern w:val="0"/>
          <w:sz w:val="24"/>
          <w:highlight w:val="none"/>
        </w:rPr>
        <w:t>健</w:t>
      </w:r>
      <w:r>
        <w:rPr>
          <w:rFonts w:hint="eastAsia" w:ascii="宋体" w:hAnsi="宋体" w:cs="仿宋_GB2312+3+1"/>
          <w:kern w:val="0"/>
          <w:sz w:val="24"/>
          <w:highlight w:val="none"/>
        </w:rPr>
        <w:t>全工程项目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管理规章制度和</w:t>
      </w:r>
      <w:r>
        <w:rPr>
          <w:rFonts w:hint="eastAsia" w:ascii="宋体" w:hAnsi="宋体" w:cs="仿宋_GB2312+3+4"/>
          <w:kern w:val="0"/>
          <w:sz w:val="24"/>
          <w:highlight w:val="none"/>
        </w:rPr>
        <w:t>操</w:t>
      </w:r>
      <w:r>
        <w:rPr>
          <w:rFonts w:hint="eastAsia" w:ascii="宋体" w:hAnsi="宋体" w:cs="仿宋_GB2312+3+1"/>
          <w:kern w:val="0"/>
          <w:sz w:val="24"/>
          <w:highlight w:val="none"/>
        </w:rPr>
        <w:t>作</w:t>
      </w:r>
      <w:r>
        <w:rPr>
          <w:rFonts w:hint="eastAsia" w:ascii="宋体" w:hAnsi="宋体" w:cs="仿宋_GB2312+3+2"/>
          <w:kern w:val="0"/>
          <w:sz w:val="24"/>
          <w:highlight w:val="none"/>
        </w:rPr>
        <w:t>规</w:t>
      </w:r>
      <w:r>
        <w:rPr>
          <w:rFonts w:hint="eastAsia" w:ascii="宋体" w:hAnsi="宋体" w:cs="仿宋_GB2312+3+1"/>
          <w:kern w:val="0"/>
          <w:sz w:val="24"/>
          <w:highlight w:val="none"/>
        </w:rPr>
        <w:t>程，</w:t>
      </w:r>
      <w:r>
        <w:rPr>
          <w:rFonts w:hint="eastAsia" w:ascii="宋体" w:hAnsi="宋体" w:cs="仿宋_GB2312+3+2"/>
          <w:kern w:val="0"/>
          <w:sz w:val="24"/>
          <w:highlight w:val="none"/>
        </w:rPr>
        <w:t>合</w:t>
      </w:r>
      <w:r>
        <w:rPr>
          <w:rFonts w:hint="eastAsia" w:ascii="宋体" w:hAnsi="宋体" w:cs="仿宋_GB2312+3+1"/>
          <w:kern w:val="0"/>
          <w:sz w:val="24"/>
          <w:highlight w:val="none"/>
        </w:rPr>
        <w:t>理</w:t>
      </w:r>
      <w:r>
        <w:rPr>
          <w:rFonts w:hint="eastAsia" w:ascii="宋体" w:hAnsi="宋体" w:cs="仿宋_GB2312+3+3"/>
          <w:kern w:val="0"/>
          <w:sz w:val="24"/>
          <w:highlight w:val="none"/>
        </w:rPr>
        <w:t>配</w:t>
      </w:r>
      <w:r>
        <w:rPr>
          <w:rFonts w:hint="eastAsia" w:ascii="宋体" w:hAnsi="宋体" w:cs="仿宋_GB2312+3+6"/>
          <w:kern w:val="0"/>
          <w:sz w:val="24"/>
          <w:highlight w:val="none"/>
        </w:rPr>
        <w:t>置</w:t>
      </w:r>
      <w:r>
        <w:rPr>
          <w:rFonts w:hint="eastAsia" w:ascii="宋体" w:hAnsi="宋体" w:cs="仿宋_GB2312+3+1"/>
          <w:kern w:val="0"/>
          <w:sz w:val="24"/>
          <w:highlight w:val="none"/>
        </w:rPr>
        <w:t>人</w:t>
      </w:r>
      <w:r>
        <w:rPr>
          <w:rFonts w:hint="eastAsia" w:ascii="宋体" w:hAnsi="宋体" w:cs="仿宋_GB2312+3+2"/>
          <w:kern w:val="0"/>
          <w:sz w:val="24"/>
          <w:highlight w:val="none"/>
        </w:rPr>
        <w:t>力</w:t>
      </w:r>
      <w:r>
        <w:rPr>
          <w:rFonts w:hint="eastAsia" w:ascii="宋体" w:hAnsi="宋体" w:cs="仿宋_GB2312+3+1"/>
          <w:kern w:val="0"/>
          <w:sz w:val="24"/>
          <w:highlight w:val="none"/>
        </w:rPr>
        <w:t>、</w:t>
      </w:r>
      <w:r>
        <w:rPr>
          <w:rFonts w:hint="eastAsia" w:ascii="宋体" w:hAnsi="宋体" w:cs="仿宋_GB2312+3+6"/>
          <w:kern w:val="0"/>
          <w:sz w:val="24"/>
          <w:highlight w:val="none"/>
        </w:rPr>
        <w:t>物</w:t>
      </w:r>
      <w:r>
        <w:rPr>
          <w:rFonts w:hint="eastAsia" w:ascii="宋体" w:hAnsi="宋体" w:cs="仿宋_GB2312+3+4"/>
          <w:kern w:val="0"/>
          <w:sz w:val="24"/>
          <w:highlight w:val="none"/>
        </w:rPr>
        <w:t>资</w:t>
      </w:r>
      <w:r>
        <w:rPr>
          <w:rFonts w:hint="eastAsia" w:ascii="宋体" w:hAnsi="宋体" w:cs="仿宋_GB2312+3+1"/>
          <w:kern w:val="0"/>
          <w:sz w:val="24"/>
          <w:highlight w:val="none"/>
        </w:rPr>
        <w:t>、机</w:t>
      </w:r>
      <w:r>
        <w:rPr>
          <w:rFonts w:hint="eastAsia" w:ascii="宋体" w:hAnsi="宋体" w:cs="仿宋_GB2312+3+3"/>
          <w:kern w:val="0"/>
          <w:sz w:val="24"/>
          <w:highlight w:val="none"/>
        </w:rPr>
        <w:t>具</w:t>
      </w:r>
      <w:r>
        <w:rPr>
          <w:rFonts w:hint="eastAsia" w:ascii="宋体" w:hAnsi="宋体" w:cs="仿宋_GB2312+3+1"/>
          <w:kern w:val="0"/>
          <w:sz w:val="24"/>
          <w:highlight w:val="none"/>
        </w:rPr>
        <w:t>、</w:t>
      </w:r>
      <w:r>
        <w:rPr>
          <w:rFonts w:hint="eastAsia" w:ascii="宋体" w:hAnsi="宋体" w:cs="仿宋_GB2312+3+4"/>
          <w:kern w:val="0"/>
          <w:sz w:val="24"/>
          <w:highlight w:val="none"/>
        </w:rPr>
        <w:t>资</w:t>
      </w:r>
      <w:r>
        <w:rPr>
          <w:rFonts w:hint="eastAsia" w:ascii="宋体" w:hAnsi="宋体" w:cs="仿宋_GB2312+3+3"/>
          <w:kern w:val="0"/>
          <w:sz w:val="24"/>
          <w:highlight w:val="none"/>
        </w:rPr>
        <w:t>金</w:t>
      </w:r>
      <w:r>
        <w:rPr>
          <w:rFonts w:hint="eastAsia" w:ascii="宋体" w:hAnsi="宋体" w:cs="仿宋_GB2312+3+4"/>
          <w:kern w:val="0"/>
          <w:sz w:val="24"/>
          <w:highlight w:val="none"/>
        </w:rPr>
        <w:t>等</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要</w:t>
      </w:r>
      <w:r>
        <w:rPr>
          <w:rFonts w:hint="eastAsia" w:ascii="宋体" w:hAnsi="宋体" w:cs="仿宋_GB2312+3+3"/>
          <w:kern w:val="0"/>
          <w:sz w:val="24"/>
          <w:highlight w:val="none"/>
        </w:rPr>
        <w:t>素</w:t>
      </w:r>
      <w:r>
        <w:rPr>
          <w:rFonts w:hint="eastAsia" w:ascii="宋体" w:hAnsi="宋体" w:cs="仿宋_GB2312+3+1"/>
          <w:kern w:val="0"/>
          <w:sz w:val="24"/>
          <w:highlight w:val="none"/>
        </w:rPr>
        <w:t>。保</w:t>
      </w:r>
      <w:r>
        <w:rPr>
          <w:rFonts w:hint="eastAsia" w:ascii="宋体" w:hAnsi="宋体" w:cs="仿宋_GB2312+3+3"/>
          <w:kern w:val="0"/>
          <w:sz w:val="24"/>
          <w:highlight w:val="none"/>
        </w:rPr>
        <w:t>证</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5"/>
          <w:kern w:val="0"/>
          <w:sz w:val="24"/>
          <w:highlight w:val="none"/>
        </w:rPr>
        <w:t>投</w:t>
      </w:r>
      <w:r>
        <w:rPr>
          <w:rFonts w:hint="eastAsia" w:ascii="宋体" w:hAnsi="宋体" w:cs="仿宋_GB2312+3+2"/>
          <w:kern w:val="0"/>
          <w:sz w:val="24"/>
          <w:highlight w:val="none"/>
        </w:rPr>
        <w:t>入</w:t>
      </w:r>
      <w:r>
        <w:rPr>
          <w:rFonts w:hint="eastAsia" w:ascii="宋体" w:hAnsi="宋体" w:cs="仿宋_GB2312+3+1"/>
          <w:kern w:val="0"/>
          <w:sz w:val="24"/>
          <w:highlight w:val="none"/>
        </w:rPr>
        <w:t>有效实施，</w:t>
      </w:r>
      <w:r>
        <w:rPr>
          <w:rFonts w:hint="eastAsia" w:ascii="宋体" w:hAnsi="宋体" w:cs="仿宋_GB2312+3+2"/>
          <w:kern w:val="0"/>
          <w:sz w:val="24"/>
          <w:highlight w:val="none"/>
        </w:rPr>
        <w:t>积极采用</w:t>
      </w:r>
      <w:r>
        <w:rPr>
          <w:rFonts w:hint="eastAsia" w:ascii="宋体" w:hAnsi="宋体" w:cs="仿宋_GB2312+3+1"/>
          <w:kern w:val="0"/>
          <w:sz w:val="24"/>
          <w:highlight w:val="none"/>
        </w:rPr>
        <w:t>新</w:t>
      </w:r>
      <w:r>
        <w:rPr>
          <w:rFonts w:hint="eastAsia" w:ascii="宋体" w:hAnsi="宋体" w:cs="仿宋_GB2312+3+2"/>
          <w:kern w:val="0"/>
          <w:sz w:val="24"/>
          <w:highlight w:val="none"/>
        </w:rPr>
        <w:t>技术</w:t>
      </w:r>
      <w:r>
        <w:rPr>
          <w:rFonts w:hint="eastAsia" w:ascii="宋体" w:hAnsi="宋体" w:cs="仿宋_GB2312+3+1"/>
          <w:kern w:val="0"/>
          <w:sz w:val="24"/>
          <w:highlight w:val="none"/>
        </w:rPr>
        <w:t>、新工</w:t>
      </w:r>
      <w:r>
        <w:rPr>
          <w:rFonts w:hint="eastAsia" w:ascii="宋体" w:hAnsi="宋体" w:cs="仿宋_GB2312+3+5"/>
          <w:kern w:val="0"/>
          <w:sz w:val="24"/>
          <w:highlight w:val="none"/>
        </w:rPr>
        <w:t>艺</w:t>
      </w:r>
      <w:r>
        <w:rPr>
          <w:rFonts w:hint="eastAsia" w:ascii="宋体" w:hAnsi="宋体" w:cs="仿宋_GB2312+3+1"/>
          <w:kern w:val="0"/>
          <w:sz w:val="24"/>
          <w:highlight w:val="none"/>
        </w:rPr>
        <w:t>、新</w:t>
      </w:r>
      <w:r>
        <w:rPr>
          <w:rFonts w:hint="eastAsia" w:ascii="宋体" w:hAnsi="宋体" w:cs="仿宋_GB2312+3+2"/>
          <w:kern w:val="0"/>
          <w:sz w:val="24"/>
          <w:highlight w:val="none"/>
        </w:rPr>
        <w:t>设</w:t>
      </w:r>
      <w:r>
        <w:rPr>
          <w:rFonts w:hint="eastAsia" w:ascii="宋体" w:hAnsi="宋体" w:cs="仿宋_GB2312+3+3"/>
          <w:kern w:val="0"/>
          <w:sz w:val="24"/>
          <w:highlight w:val="none"/>
        </w:rPr>
        <w:t>备</w:t>
      </w:r>
      <w:r>
        <w:rPr>
          <w:rFonts w:hint="eastAsia" w:ascii="宋体" w:hAnsi="宋体" w:cs="仿宋_GB2312+3+1"/>
          <w:kern w:val="0"/>
          <w:sz w:val="24"/>
          <w:highlight w:val="none"/>
        </w:rPr>
        <w:t>、新</w:t>
      </w:r>
      <w:r>
        <w:rPr>
          <w:rFonts w:hint="eastAsia" w:ascii="宋体" w:hAnsi="宋体" w:cs="仿宋_GB2312+3+4"/>
          <w:kern w:val="0"/>
          <w:sz w:val="24"/>
          <w:highlight w:val="none"/>
        </w:rPr>
        <w:t>材料</w:t>
      </w:r>
      <w:r>
        <w:rPr>
          <w:rFonts w:hint="eastAsia" w:ascii="宋体" w:hAnsi="宋体" w:cs="仿宋_GB2312+3+1"/>
          <w:kern w:val="0"/>
          <w:sz w:val="24"/>
          <w:highlight w:val="none"/>
        </w:rPr>
        <w:t>，</w:t>
      </w:r>
      <w:r>
        <w:rPr>
          <w:rFonts w:hint="eastAsia" w:ascii="宋体" w:hAnsi="宋体" w:cs="仿宋_GB2312+3+2"/>
          <w:kern w:val="0"/>
          <w:sz w:val="24"/>
          <w:highlight w:val="none"/>
        </w:rPr>
        <w:t>提</w:t>
      </w:r>
      <w:r>
        <w:rPr>
          <w:rFonts w:hint="eastAsia" w:ascii="宋体" w:hAnsi="宋体" w:cs="仿宋_GB2312+3+1"/>
          <w:kern w:val="0"/>
          <w:sz w:val="24"/>
          <w:highlight w:val="none"/>
        </w:rPr>
        <w:t>高施工</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水平。</w:t>
      </w:r>
    </w:p>
    <w:p w14:paraId="732BA087">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3"/>
          <w:kern w:val="0"/>
          <w:sz w:val="24"/>
          <w:highlight w:val="none"/>
        </w:rPr>
        <w:t>9</w:t>
      </w:r>
      <w:r>
        <w:rPr>
          <w:rFonts w:hint="eastAsia" w:ascii="宋体" w:hAnsi="宋体" w:cs="仿宋_GB2312+3+3"/>
          <w:kern w:val="0"/>
          <w:sz w:val="24"/>
          <w:highlight w:val="none"/>
          <w:lang w:eastAsia="zh-CN"/>
        </w:rPr>
        <w:t>）</w:t>
      </w:r>
      <w:r>
        <w:rPr>
          <w:rFonts w:hint="eastAsia" w:ascii="宋体" w:hAnsi="宋体" w:cs="仿宋_GB2312+3+3"/>
          <w:kern w:val="0"/>
          <w:sz w:val="24"/>
          <w:highlight w:val="none"/>
        </w:rPr>
        <w:t>依</w:t>
      </w:r>
      <w:r>
        <w:rPr>
          <w:rFonts w:hint="eastAsia" w:ascii="宋体" w:hAnsi="宋体" w:cs="仿宋_GB2312+3+2"/>
          <w:kern w:val="0"/>
          <w:sz w:val="24"/>
          <w:highlight w:val="none"/>
        </w:rPr>
        <w:t>据</w:t>
      </w:r>
      <w:r>
        <w:rPr>
          <w:rFonts w:hint="eastAsia" w:ascii="宋体" w:hAnsi="宋体" w:cs="仿宋_GB2312+3+1"/>
          <w:kern w:val="0"/>
          <w:sz w:val="24"/>
          <w:highlight w:val="none"/>
        </w:rPr>
        <w:t>工程</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1"/>
          <w:kern w:val="0"/>
          <w:sz w:val="24"/>
          <w:highlight w:val="none"/>
        </w:rPr>
        <w:t>，</w:t>
      </w:r>
      <w:r>
        <w:rPr>
          <w:rFonts w:hint="eastAsia" w:ascii="宋体" w:hAnsi="宋体" w:cs="仿宋_GB2312+3+2"/>
          <w:kern w:val="0"/>
          <w:sz w:val="24"/>
          <w:highlight w:val="none"/>
        </w:rPr>
        <w:t>科学编</w:t>
      </w:r>
      <w:r>
        <w:rPr>
          <w:rFonts w:hint="eastAsia" w:ascii="宋体" w:hAnsi="宋体" w:cs="仿宋_GB2312+3+1"/>
          <w:kern w:val="0"/>
          <w:sz w:val="24"/>
          <w:highlight w:val="none"/>
        </w:rPr>
        <w:t>制施工</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措</w:t>
      </w:r>
      <w:r>
        <w:rPr>
          <w:rFonts w:hint="eastAsia" w:ascii="宋体" w:hAnsi="宋体" w:cs="仿宋_GB2312+3+1"/>
          <w:kern w:val="0"/>
          <w:sz w:val="24"/>
          <w:highlight w:val="none"/>
        </w:rPr>
        <w:t>施。</w:t>
      </w:r>
      <w:r>
        <w:rPr>
          <w:rFonts w:hint="eastAsia" w:ascii="宋体" w:hAnsi="宋体" w:cs="仿宋_GB2312+3+3"/>
          <w:kern w:val="0"/>
          <w:sz w:val="24"/>
          <w:highlight w:val="none"/>
        </w:rPr>
        <w:t>正</w:t>
      </w:r>
      <w:r>
        <w:rPr>
          <w:rFonts w:hint="eastAsia" w:ascii="宋体" w:hAnsi="宋体" w:cs="仿宋_GB2312+3+1"/>
          <w:kern w:val="0"/>
          <w:sz w:val="24"/>
          <w:highlight w:val="none"/>
        </w:rPr>
        <w:t>确</w:t>
      </w:r>
      <w:r>
        <w:rPr>
          <w:rFonts w:hint="eastAsia" w:ascii="宋体" w:hAnsi="宋体" w:cs="仿宋_GB2312+3+4"/>
          <w:kern w:val="0"/>
          <w:sz w:val="24"/>
          <w:highlight w:val="none"/>
        </w:rPr>
        <w:t>处</w:t>
      </w:r>
      <w:r>
        <w:rPr>
          <w:rFonts w:hint="eastAsia" w:ascii="宋体" w:hAnsi="宋体" w:cs="仿宋_GB2312+3+1"/>
          <w:kern w:val="0"/>
          <w:sz w:val="24"/>
          <w:highlight w:val="none"/>
        </w:rPr>
        <w:t>理</w:t>
      </w:r>
      <w:r>
        <w:rPr>
          <w:rFonts w:hint="eastAsia" w:ascii="宋体" w:hAnsi="宋体" w:cs="仿宋_GB2312+3+3"/>
          <w:kern w:val="0"/>
          <w:sz w:val="24"/>
          <w:highlight w:val="none"/>
        </w:rPr>
        <w:t>好安</w:t>
      </w:r>
      <w:r>
        <w:rPr>
          <w:rFonts w:hint="eastAsia" w:ascii="宋体" w:hAnsi="宋体" w:cs="仿宋_GB2312+3+1"/>
          <w:kern w:val="0"/>
          <w:sz w:val="24"/>
          <w:highlight w:val="none"/>
        </w:rPr>
        <w:t>全</w:t>
      </w:r>
      <w:r>
        <w:rPr>
          <w:rFonts w:hint="eastAsia" w:ascii="宋体" w:hAnsi="宋体" w:cs="仿宋_GB2312+3+4"/>
          <w:kern w:val="0"/>
          <w:sz w:val="24"/>
          <w:highlight w:val="none"/>
        </w:rPr>
        <w:t>与</w:t>
      </w:r>
      <w:r>
        <w:rPr>
          <w:rFonts w:hint="eastAsia" w:ascii="宋体" w:hAnsi="宋体" w:cs="仿宋_GB2312+3+1"/>
          <w:kern w:val="0"/>
          <w:sz w:val="24"/>
          <w:highlight w:val="none"/>
        </w:rPr>
        <w:t>进度、</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4"/>
          <w:kern w:val="0"/>
          <w:sz w:val="24"/>
          <w:highlight w:val="none"/>
        </w:rPr>
        <w:t>与</w:t>
      </w:r>
      <w:r>
        <w:rPr>
          <w:rFonts w:hint="eastAsia" w:ascii="宋体" w:hAnsi="宋体" w:cs="仿宋_GB2312+3+1"/>
          <w:kern w:val="0"/>
          <w:sz w:val="24"/>
          <w:highlight w:val="none"/>
        </w:rPr>
        <w:t>效</w:t>
      </w:r>
      <w:r>
        <w:rPr>
          <w:rFonts w:hint="eastAsia" w:ascii="宋体" w:hAnsi="宋体" w:cs="仿宋_GB2312+3+3"/>
          <w:kern w:val="0"/>
          <w:sz w:val="24"/>
          <w:highlight w:val="none"/>
        </w:rPr>
        <w:t>益关</w:t>
      </w:r>
      <w:r>
        <w:rPr>
          <w:rFonts w:hint="eastAsia" w:ascii="宋体" w:hAnsi="宋体" w:cs="仿宋_GB2312+3+1"/>
          <w:kern w:val="0"/>
          <w:sz w:val="24"/>
          <w:highlight w:val="none"/>
        </w:rPr>
        <w:t>系，</w:t>
      </w:r>
      <w:r>
        <w:rPr>
          <w:rFonts w:hint="eastAsia" w:ascii="宋体" w:hAnsi="宋体" w:cs="仿宋_GB2312+3+2"/>
          <w:kern w:val="0"/>
          <w:sz w:val="24"/>
          <w:highlight w:val="none"/>
        </w:rPr>
        <w:t>坚持把</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贯</w:t>
      </w:r>
      <w:r>
        <w:rPr>
          <w:rFonts w:hint="eastAsia" w:ascii="宋体" w:hAnsi="宋体" w:cs="仿宋_GB2312+3+9"/>
          <w:kern w:val="0"/>
          <w:sz w:val="24"/>
          <w:highlight w:val="none"/>
        </w:rPr>
        <w:t>穿</w:t>
      </w:r>
      <w:r>
        <w:rPr>
          <w:rFonts w:hint="eastAsia" w:ascii="宋体" w:hAnsi="宋体" w:cs="仿宋_GB2312+3+5"/>
          <w:kern w:val="0"/>
          <w:sz w:val="24"/>
          <w:highlight w:val="none"/>
        </w:rPr>
        <w:t>于</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全过程，</w:t>
      </w:r>
      <w:r>
        <w:rPr>
          <w:rFonts w:hint="eastAsia" w:ascii="宋体" w:hAnsi="宋体" w:cs="仿宋_GB2312+3+2"/>
          <w:kern w:val="0"/>
          <w:sz w:val="24"/>
          <w:highlight w:val="none"/>
        </w:rPr>
        <w:t>把</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5"/>
          <w:kern w:val="0"/>
          <w:sz w:val="24"/>
          <w:highlight w:val="none"/>
        </w:rPr>
        <w:t>摆</w:t>
      </w:r>
      <w:r>
        <w:rPr>
          <w:rFonts w:hint="eastAsia" w:ascii="宋体" w:hAnsi="宋体" w:cs="仿宋_GB2312+3+1"/>
          <w:kern w:val="0"/>
          <w:sz w:val="24"/>
          <w:highlight w:val="none"/>
        </w:rPr>
        <w:t>在</w:t>
      </w:r>
      <w:r>
        <w:rPr>
          <w:rFonts w:hint="eastAsia" w:ascii="宋体" w:hAnsi="宋体" w:cs="仿宋_GB2312+3+3"/>
          <w:kern w:val="0"/>
          <w:sz w:val="24"/>
          <w:highlight w:val="none"/>
        </w:rPr>
        <w:t>首</w:t>
      </w:r>
      <w:r>
        <w:rPr>
          <w:rFonts w:hint="eastAsia" w:ascii="宋体" w:hAnsi="宋体" w:cs="仿宋_GB2312+3+2"/>
          <w:kern w:val="0"/>
          <w:sz w:val="24"/>
          <w:highlight w:val="none"/>
        </w:rPr>
        <w:t>位</w:t>
      </w:r>
      <w:r>
        <w:rPr>
          <w:rFonts w:hint="eastAsia" w:ascii="宋体" w:hAnsi="宋体" w:cs="仿宋_GB2312+3+9"/>
          <w:kern w:val="0"/>
          <w:sz w:val="24"/>
          <w:highlight w:val="none"/>
        </w:rPr>
        <w:t>抓</w:t>
      </w:r>
      <w:r>
        <w:rPr>
          <w:rFonts w:hint="eastAsia" w:ascii="宋体" w:hAnsi="宋体" w:cs="仿宋_GB2312+3+7"/>
          <w:kern w:val="0"/>
          <w:sz w:val="24"/>
          <w:highlight w:val="none"/>
        </w:rPr>
        <w:t>紧</w:t>
      </w:r>
      <w:r>
        <w:rPr>
          <w:rFonts w:hint="eastAsia" w:ascii="宋体" w:hAnsi="宋体" w:cs="仿宋_GB2312+3+1"/>
          <w:kern w:val="0"/>
          <w:sz w:val="24"/>
          <w:highlight w:val="none"/>
        </w:rPr>
        <w:t>、</w:t>
      </w:r>
      <w:r>
        <w:rPr>
          <w:rFonts w:hint="eastAsia" w:ascii="宋体" w:hAnsi="宋体" w:cs="仿宋_GB2312+3+9"/>
          <w:kern w:val="0"/>
          <w:sz w:val="24"/>
          <w:highlight w:val="none"/>
        </w:rPr>
        <w:t>抓</w:t>
      </w:r>
      <w:r>
        <w:rPr>
          <w:rFonts w:hint="eastAsia" w:ascii="宋体" w:hAnsi="宋体" w:cs="仿宋_GB2312+3+3"/>
          <w:kern w:val="0"/>
          <w:sz w:val="24"/>
          <w:highlight w:val="none"/>
        </w:rPr>
        <w:t>好</w:t>
      </w:r>
      <w:r>
        <w:rPr>
          <w:rFonts w:hint="eastAsia" w:ascii="宋体" w:hAnsi="宋体" w:cs="仿宋_GB2312+3+1"/>
          <w:kern w:val="0"/>
          <w:sz w:val="24"/>
          <w:highlight w:val="none"/>
        </w:rPr>
        <w:t>、</w:t>
      </w:r>
      <w:r>
        <w:rPr>
          <w:rFonts w:hint="eastAsia" w:ascii="宋体" w:hAnsi="宋体" w:cs="仿宋_GB2312+3+9"/>
          <w:kern w:val="0"/>
          <w:sz w:val="24"/>
          <w:highlight w:val="none"/>
        </w:rPr>
        <w:t>抓</w:t>
      </w:r>
      <w:r>
        <w:rPr>
          <w:rFonts w:hint="eastAsia" w:ascii="宋体" w:hAnsi="宋体" w:cs="仿宋_GB2312+3+1"/>
          <w:kern w:val="0"/>
          <w:sz w:val="24"/>
          <w:highlight w:val="none"/>
        </w:rPr>
        <w:t>实</w:t>
      </w:r>
      <w:r>
        <w:rPr>
          <w:rFonts w:hint="eastAsia" w:ascii="宋体" w:hAnsi="宋体" w:cs="仿宋_GB2312+3+2"/>
          <w:kern w:val="0"/>
          <w:sz w:val="24"/>
          <w:highlight w:val="none"/>
        </w:rPr>
        <w:t>。</w:t>
      </w:r>
    </w:p>
    <w:p w14:paraId="2697DF5F">
      <w:pPr>
        <w:adjustRightInd w:val="0"/>
        <w:snapToGrid w:val="0"/>
        <w:spacing w:line="460" w:lineRule="exact"/>
        <w:ind w:firstLine="360" w:firstLineChars="150"/>
        <w:jc w:val="left"/>
        <w:rPr>
          <w:rFonts w:hint="eastAsia" w:ascii="宋体" w:hAnsi="宋体" w:cs="仿宋_GB2312+3+1"/>
          <w:kern w:val="0"/>
          <w:sz w:val="24"/>
          <w:highlight w:val="none"/>
        </w:rPr>
      </w:pPr>
      <w:r>
        <w:rPr>
          <w:rFonts w:hint="eastAsia" w:ascii="宋体" w:hAnsi="宋体" w:cs="仿宋_GB2312+3+1"/>
          <w:kern w:val="0"/>
          <w:sz w:val="24"/>
          <w:highlight w:val="none"/>
        </w:rPr>
        <w:t>10</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发</w:t>
      </w:r>
      <w:r>
        <w:rPr>
          <w:rFonts w:hint="eastAsia" w:ascii="宋体" w:hAnsi="宋体" w:cs="仿宋_GB2312+3+2"/>
          <w:kern w:val="0"/>
          <w:sz w:val="24"/>
          <w:highlight w:val="none"/>
        </w:rPr>
        <w:t>动</w:t>
      </w:r>
      <w:r>
        <w:rPr>
          <w:rFonts w:hint="eastAsia" w:ascii="宋体" w:hAnsi="宋体" w:cs="仿宋_GB2312+3+9"/>
          <w:kern w:val="0"/>
          <w:sz w:val="24"/>
          <w:highlight w:val="none"/>
        </w:rPr>
        <w:t>群众</w:t>
      </w:r>
      <w:r>
        <w:rPr>
          <w:rFonts w:hint="eastAsia" w:ascii="宋体" w:hAnsi="宋体" w:cs="仿宋_GB2312+3+1"/>
          <w:kern w:val="0"/>
          <w:sz w:val="24"/>
          <w:highlight w:val="none"/>
        </w:rPr>
        <w:t>，实行全员、全面、全方</w:t>
      </w:r>
      <w:r>
        <w:rPr>
          <w:rFonts w:hint="eastAsia" w:ascii="宋体" w:hAnsi="宋体" w:cs="仿宋_GB2312+3+2"/>
          <w:kern w:val="0"/>
          <w:sz w:val="24"/>
          <w:highlight w:val="none"/>
        </w:rPr>
        <w:t>位</w:t>
      </w:r>
      <w:r>
        <w:rPr>
          <w:rFonts w:hint="eastAsia" w:ascii="宋体" w:hAnsi="宋体" w:cs="仿宋_GB2312+3+1"/>
          <w:kern w:val="0"/>
          <w:sz w:val="24"/>
          <w:highlight w:val="none"/>
        </w:rPr>
        <w:t>、全过程的</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管理。经</w:t>
      </w:r>
      <w:r>
        <w:rPr>
          <w:rFonts w:hint="eastAsia" w:ascii="宋体" w:hAnsi="宋体" w:cs="仿宋_GB2312+3+3"/>
          <w:kern w:val="0"/>
          <w:sz w:val="24"/>
          <w:highlight w:val="none"/>
        </w:rPr>
        <w:t>常</w:t>
      </w:r>
      <w:r>
        <w:rPr>
          <w:rFonts w:hint="eastAsia" w:ascii="宋体" w:hAnsi="宋体" w:cs="仿宋_GB2312+3+5"/>
          <w:kern w:val="0"/>
          <w:sz w:val="24"/>
          <w:highlight w:val="none"/>
        </w:rPr>
        <w:t>听</w:t>
      </w:r>
      <w:r>
        <w:rPr>
          <w:rFonts w:hint="eastAsia" w:ascii="宋体" w:hAnsi="宋体" w:cs="仿宋_GB2312+3+6"/>
          <w:kern w:val="0"/>
          <w:sz w:val="24"/>
          <w:highlight w:val="none"/>
        </w:rPr>
        <w:t>取</w:t>
      </w:r>
      <w:r>
        <w:rPr>
          <w:rFonts w:hint="eastAsia" w:ascii="宋体" w:hAnsi="宋体" w:cs="仿宋_GB2312+3+4"/>
          <w:kern w:val="0"/>
          <w:sz w:val="24"/>
          <w:highlight w:val="none"/>
        </w:rPr>
        <w:t>广</w:t>
      </w:r>
      <w:r>
        <w:rPr>
          <w:rFonts w:hint="eastAsia" w:ascii="宋体" w:hAnsi="宋体" w:cs="仿宋_GB2312+3+2"/>
          <w:kern w:val="0"/>
          <w:sz w:val="24"/>
          <w:highlight w:val="none"/>
        </w:rPr>
        <w:t>大</w:t>
      </w:r>
      <w:r>
        <w:rPr>
          <w:rFonts w:hint="eastAsia" w:ascii="宋体" w:hAnsi="宋体" w:cs="仿宋_GB2312+3+1"/>
          <w:kern w:val="0"/>
          <w:sz w:val="24"/>
          <w:highlight w:val="none"/>
        </w:rPr>
        <w:t>员工在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方面的</w:t>
      </w:r>
      <w:r>
        <w:rPr>
          <w:rFonts w:hint="eastAsia" w:ascii="宋体" w:hAnsi="宋体" w:cs="仿宋_GB2312+3+3"/>
          <w:kern w:val="0"/>
          <w:sz w:val="24"/>
          <w:highlight w:val="none"/>
        </w:rPr>
        <w:t>意</w:t>
      </w:r>
      <w:r>
        <w:rPr>
          <w:rFonts w:hint="eastAsia" w:ascii="宋体" w:hAnsi="宋体" w:cs="仿宋_GB2312+3+6"/>
          <w:kern w:val="0"/>
          <w:sz w:val="24"/>
          <w:highlight w:val="none"/>
        </w:rPr>
        <w:t>见</w:t>
      </w:r>
      <w:r>
        <w:rPr>
          <w:rFonts w:hint="eastAsia" w:ascii="宋体" w:hAnsi="宋体" w:cs="仿宋_GB2312+3+1"/>
          <w:kern w:val="0"/>
          <w:sz w:val="24"/>
          <w:highlight w:val="none"/>
        </w:rPr>
        <w:t>和建</w:t>
      </w:r>
      <w:r>
        <w:rPr>
          <w:rFonts w:hint="eastAsia" w:ascii="宋体" w:hAnsi="宋体" w:cs="仿宋_GB2312+3+5"/>
          <w:kern w:val="0"/>
          <w:sz w:val="24"/>
          <w:highlight w:val="none"/>
        </w:rPr>
        <w:t>议</w:t>
      </w:r>
      <w:r>
        <w:rPr>
          <w:rFonts w:hint="eastAsia" w:ascii="宋体" w:hAnsi="宋体" w:cs="仿宋_GB2312+3+1"/>
          <w:kern w:val="0"/>
          <w:sz w:val="24"/>
          <w:highlight w:val="none"/>
        </w:rPr>
        <w:t>，</w:t>
      </w:r>
      <w:r>
        <w:rPr>
          <w:rFonts w:hint="eastAsia" w:ascii="宋体" w:hAnsi="宋体" w:cs="仿宋_GB2312+3+3"/>
          <w:kern w:val="0"/>
          <w:sz w:val="24"/>
          <w:highlight w:val="none"/>
        </w:rPr>
        <w:t>总</w:t>
      </w:r>
      <w:r>
        <w:rPr>
          <w:rFonts w:hint="eastAsia" w:ascii="宋体" w:hAnsi="宋体" w:cs="仿宋_GB2312+3+2"/>
          <w:kern w:val="0"/>
          <w:sz w:val="24"/>
          <w:highlight w:val="none"/>
        </w:rPr>
        <w:t>结</w:t>
      </w:r>
      <w:r>
        <w:rPr>
          <w:rFonts w:hint="eastAsia" w:ascii="宋体" w:hAnsi="宋体" w:cs="仿宋_GB2312+3+4"/>
          <w:kern w:val="0"/>
          <w:sz w:val="24"/>
          <w:highlight w:val="none"/>
        </w:rPr>
        <w:t>推广</w:t>
      </w:r>
      <w:r>
        <w:rPr>
          <w:rFonts w:hint="eastAsia" w:ascii="宋体" w:hAnsi="宋体" w:cs="仿宋_GB2312+3+2"/>
          <w:kern w:val="0"/>
          <w:sz w:val="24"/>
          <w:highlight w:val="none"/>
        </w:rPr>
        <w:t>科学</w:t>
      </w:r>
      <w:r>
        <w:rPr>
          <w:rFonts w:hint="eastAsia" w:ascii="宋体" w:hAnsi="宋体" w:cs="仿宋_GB2312+3+1"/>
          <w:kern w:val="0"/>
          <w:sz w:val="24"/>
          <w:highlight w:val="none"/>
        </w:rPr>
        <w:t>管理经验，</w:t>
      </w:r>
      <w:r>
        <w:rPr>
          <w:rFonts w:hint="eastAsia" w:ascii="宋体" w:hAnsi="宋体" w:cs="仿宋_GB2312+3+2"/>
          <w:kern w:val="0"/>
          <w:sz w:val="24"/>
          <w:highlight w:val="none"/>
        </w:rPr>
        <w:t>及</w:t>
      </w:r>
      <w:r>
        <w:rPr>
          <w:rFonts w:hint="eastAsia" w:ascii="宋体" w:hAnsi="宋体" w:cs="仿宋_GB2312+3+3"/>
          <w:kern w:val="0"/>
          <w:sz w:val="24"/>
          <w:highlight w:val="none"/>
        </w:rPr>
        <w:t>时</w:t>
      </w:r>
      <w:r>
        <w:rPr>
          <w:rFonts w:hint="eastAsia" w:ascii="宋体" w:hAnsi="宋体" w:cs="仿宋_GB2312+3+5"/>
          <w:kern w:val="0"/>
          <w:sz w:val="24"/>
          <w:highlight w:val="none"/>
        </w:rPr>
        <w:t>表彰</w:t>
      </w:r>
      <w:r>
        <w:rPr>
          <w:rFonts w:hint="eastAsia" w:ascii="宋体" w:hAnsi="宋体" w:cs="仿宋_GB2312+3+2"/>
          <w:kern w:val="0"/>
          <w:sz w:val="24"/>
          <w:highlight w:val="none"/>
        </w:rPr>
        <w:t>先</w:t>
      </w:r>
      <w:r>
        <w:rPr>
          <w:rFonts w:hint="eastAsia" w:ascii="宋体" w:hAnsi="宋体" w:cs="仿宋_GB2312+3+1"/>
          <w:kern w:val="0"/>
          <w:sz w:val="24"/>
          <w:highlight w:val="none"/>
        </w:rPr>
        <w:t>进，</w:t>
      </w:r>
      <w:r>
        <w:rPr>
          <w:rFonts w:hint="eastAsia" w:ascii="宋体" w:hAnsi="宋体" w:cs="仿宋_GB2312+3+3"/>
          <w:kern w:val="0"/>
          <w:sz w:val="24"/>
          <w:highlight w:val="none"/>
        </w:rPr>
        <w:t>严</w:t>
      </w:r>
      <w:r>
        <w:rPr>
          <w:rFonts w:hint="eastAsia" w:ascii="宋体" w:hAnsi="宋体" w:cs="仿宋_GB2312+3+9"/>
          <w:kern w:val="0"/>
          <w:sz w:val="24"/>
          <w:highlight w:val="none"/>
        </w:rPr>
        <w:t>肃</w:t>
      </w:r>
      <w:r>
        <w:rPr>
          <w:rFonts w:hint="eastAsia" w:ascii="宋体" w:hAnsi="宋体" w:cs="仿宋_GB2312+3+4"/>
          <w:kern w:val="0"/>
          <w:sz w:val="24"/>
          <w:highlight w:val="none"/>
        </w:rPr>
        <w:t>处</w:t>
      </w:r>
      <w:r>
        <w:rPr>
          <w:rFonts w:hint="eastAsia" w:ascii="宋体" w:hAnsi="宋体" w:cs="仿宋_GB2312+3+6"/>
          <w:kern w:val="0"/>
          <w:sz w:val="24"/>
          <w:highlight w:val="none"/>
        </w:rPr>
        <w:t>罚</w:t>
      </w:r>
      <w:r>
        <w:rPr>
          <w:rFonts w:hint="eastAsia" w:ascii="宋体" w:hAnsi="宋体" w:cs="仿宋_GB2312+3+2"/>
          <w:kern w:val="0"/>
          <w:sz w:val="24"/>
          <w:highlight w:val="none"/>
        </w:rPr>
        <w:t>事故</w:t>
      </w:r>
      <w:r>
        <w:rPr>
          <w:rFonts w:hint="eastAsia" w:ascii="宋体" w:hAnsi="宋体" w:cs="仿宋_GB2312+3+1"/>
          <w:kern w:val="0"/>
          <w:sz w:val="24"/>
          <w:highlight w:val="none"/>
        </w:rPr>
        <w:t>责任</w:t>
      </w:r>
      <w:r>
        <w:rPr>
          <w:rFonts w:hint="eastAsia" w:ascii="宋体" w:hAnsi="宋体" w:cs="仿宋_GB2312+3+4"/>
          <w:kern w:val="0"/>
          <w:sz w:val="24"/>
          <w:highlight w:val="none"/>
        </w:rPr>
        <w:t>者</w:t>
      </w:r>
      <w:r>
        <w:rPr>
          <w:rFonts w:hint="eastAsia" w:ascii="宋体" w:hAnsi="宋体" w:cs="仿宋_GB2312+3+1"/>
          <w:kern w:val="0"/>
          <w:sz w:val="24"/>
          <w:highlight w:val="none"/>
        </w:rPr>
        <w:t>。</w:t>
      </w:r>
    </w:p>
    <w:p w14:paraId="0FB397D9">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11</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发</w:t>
      </w:r>
      <w:r>
        <w:rPr>
          <w:rFonts w:hint="eastAsia" w:ascii="宋体" w:hAnsi="宋体" w:cs="仿宋_GB2312+3+3"/>
          <w:kern w:val="0"/>
          <w:sz w:val="24"/>
          <w:highlight w:val="none"/>
        </w:rPr>
        <w:t>生</w:t>
      </w:r>
      <w:r>
        <w:rPr>
          <w:rFonts w:hint="eastAsia" w:ascii="宋体" w:hAnsi="宋体" w:cs="仿宋_GB2312+3+4"/>
          <w:kern w:val="0"/>
          <w:sz w:val="24"/>
          <w:highlight w:val="none"/>
        </w:rPr>
        <w:t>因</w:t>
      </w:r>
      <w:r>
        <w:rPr>
          <w:rFonts w:hint="eastAsia" w:ascii="宋体" w:hAnsi="宋体" w:cs="仿宋_GB2312+3+1"/>
          <w:kern w:val="0"/>
          <w:sz w:val="24"/>
          <w:highlight w:val="none"/>
        </w:rPr>
        <w:t>工</w:t>
      </w:r>
      <w:r>
        <w:rPr>
          <w:rFonts w:hint="eastAsia" w:ascii="宋体" w:hAnsi="宋体" w:cs="仿宋_GB2312+3+8"/>
          <w:kern w:val="0"/>
          <w:sz w:val="24"/>
          <w:highlight w:val="none"/>
        </w:rPr>
        <w:t>伤亡</w:t>
      </w:r>
      <w:r>
        <w:rPr>
          <w:rFonts w:hint="eastAsia" w:ascii="宋体" w:hAnsi="宋体" w:cs="仿宋_GB2312+3+2"/>
          <w:kern w:val="0"/>
          <w:sz w:val="24"/>
          <w:highlight w:val="none"/>
        </w:rPr>
        <w:t>事故</w:t>
      </w:r>
      <w:r>
        <w:rPr>
          <w:rFonts w:hint="eastAsia" w:ascii="宋体" w:hAnsi="宋体" w:cs="仿宋_GB2312+3+3"/>
          <w:kern w:val="0"/>
          <w:sz w:val="24"/>
          <w:highlight w:val="none"/>
        </w:rPr>
        <w:t>时</w:t>
      </w:r>
      <w:r>
        <w:rPr>
          <w:rFonts w:hint="eastAsia" w:ascii="宋体" w:hAnsi="宋体" w:cs="仿宋_GB2312+3+1"/>
          <w:kern w:val="0"/>
          <w:sz w:val="24"/>
          <w:highlight w:val="none"/>
        </w:rPr>
        <w:t>，</w:t>
      </w:r>
      <w:r>
        <w:rPr>
          <w:rFonts w:hint="eastAsia" w:ascii="宋体" w:hAnsi="宋体" w:cs="仿宋_GB2312+3+2"/>
          <w:kern w:val="0"/>
          <w:sz w:val="24"/>
          <w:highlight w:val="none"/>
        </w:rPr>
        <w:t>必</w:t>
      </w:r>
      <w:r>
        <w:rPr>
          <w:rFonts w:hint="eastAsia" w:ascii="宋体" w:hAnsi="宋体" w:cs="仿宋_GB2312+3+1"/>
          <w:kern w:val="0"/>
          <w:sz w:val="24"/>
          <w:highlight w:val="none"/>
        </w:rPr>
        <w:t>须</w:t>
      </w:r>
      <w:r>
        <w:rPr>
          <w:rFonts w:hint="eastAsia" w:ascii="宋体" w:hAnsi="宋体" w:cs="仿宋_GB2312+3+3"/>
          <w:kern w:val="0"/>
          <w:sz w:val="24"/>
          <w:highlight w:val="none"/>
        </w:rPr>
        <w:t>做好</w:t>
      </w:r>
      <w:r>
        <w:rPr>
          <w:rFonts w:hint="eastAsia" w:ascii="宋体" w:hAnsi="宋体" w:cs="仿宋_GB2312+3+2"/>
          <w:kern w:val="0"/>
          <w:sz w:val="24"/>
          <w:highlight w:val="none"/>
        </w:rPr>
        <w:t>事故现</w:t>
      </w:r>
      <w:r>
        <w:rPr>
          <w:rFonts w:hint="eastAsia" w:ascii="宋体" w:hAnsi="宋体" w:cs="仿宋_GB2312+3+1"/>
          <w:kern w:val="0"/>
          <w:sz w:val="24"/>
          <w:highlight w:val="none"/>
        </w:rPr>
        <w:t>场保</w:t>
      </w:r>
      <w:r>
        <w:rPr>
          <w:rFonts w:hint="eastAsia" w:ascii="宋体" w:hAnsi="宋体" w:cs="仿宋_GB2312+3+6"/>
          <w:kern w:val="0"/>
          <w:sz w:val="24"/>
          <w:highlight w:val="none"/>
        </w:rPr>
        <w:t>护</w:t>
      </w:r>
      <w:r>
        <w:rPr>
          <w:rFonts w:hint="eastAsia" w:ascii="宋体" w:hAnsi="宋体" w:cs="仿宋_GB2312+3+4"/>
          <w:kern w:val="0"/>
          <w:sz w:val="24"/>
          <w:highlight w:val="none"/>
        </w:rPr>
        <w:t>与</w:t>
      </w:r>
      <w:r>
        <w:rPr>
          <w:rFonts w:hint="eastAsia" w:ascii="宋体" w:hAnsi="宋体" w:cs="仿宋_GB2312+3+8"/>
          <w:kern w:val="0"/>
          <w:sz w:val="24"/>
          <w:highlight w:val="none"/>
        </w:rPr>
        <w:t>伤</w:t>
      </w:r>
      <w:r>
        <w:rPr>
          <w:rFonts w:hint="eastAsia" w:ascii="宋体" w:hAnsi="宋体" w:cs="仿宋_GB2312+3+1"/>
          <w:kern w:val="0"/>
          <w:sz w:val="24"/>
          <w:highlight w:val="none"/>
        </w:rPr>
        <w:t>员</w:t>
      </w:r>
      <w:r>
        <w:rPr>
          <w:rFonts w:hint="eastAsia" w:ascii="宋体" w:hAnsi="宋体" w:cs="仿宋_GB2312+3+8"/>
          <w:kern w:val="0"/>
          <w:sz w:val="24"/>
          <w:highlight w:val="none"/>
        </w:rPr>
        <w:t>抢救</w:t>
      </w:r>
      <w:r>
        <w:rPr>
          <w:rFonts w:hint="eastAsia" w:ascii="宋体" w:hAnsi="宋体" w:cs="仿宋_GB2312+3+1"/>
          <w:kern w:val="0"/>
          <w:sz w:val="24"/>
          <w:highlight w:val="none"/>
        </w:rPr>
        <w:t>工作，</w:t>
      </w:r>
      <w:r>
        <w:rPr>
          <w:rFonts w:hint="eastAsia" w:ascii="宋体" w:hAnsi="宋体" w:cs="仿宋_GB2312+3+3"/>
          <w:kern w:val="0"/>
          <w:sz w:val="24"/>
          <w:highlight w:val="none"/>
        </w:rPr>
        <w:t>按</w:t>
      </w:r>
      <w:r>
        <w:rPr>
          <w:rFonts w:hint="eastAsia" w:ascii="宋体" w:hAnsi="宋体" w:cs="仿宋_GB2312+3+2"/>
          <w:kern w:val="0"/>
          <w:sz w:val="24"/>
          <w:highlight w:val="none"/>
        </w:rPr>
        <w:t>规定及</w:t>
      </w:r>
      <w:r>
        <w:rPr>
          <w:rFonts w:hint="eastAsia" w:ascii="宋体" w:hAnsi="宋体" w:cs="仿宋_GB2312+3+3"/>
          <w:kern w:val="0"/>
          <w:sz w:val="24"/>
          <w:highlight w:val="none"/>
        </w:rPr>
        <w:t>时</w:t>
      </w:r>
      <w:r>
        <w:rPr>
          <w:rFonts w:hint="eastAsia" w:ascii="宋体" w:hAnsi="宋体" w:cs="仿宋_GB2312+3+2"/>
          <w:kern w:val="0"/>
          <w:sz w:val="24"/>
          <w:highlight w:val="none"/>
        </w:rPr>
        <w:t>上报</w:t>
      </w:r>
      <w:r>
        <w:rPr>
          <w:rFonts w:hint="eastAsia" w:ascii="宋体" w:hAnsi="宋体" w:cs="仿宋_GB2312+3+1"/>
          <w:kern w:val="0"/>
          <w:sz w:val="24"/>
          <w:highlight w:val="none"/>
        </w:rPr>
        <w:t>，</w:t>
      </w:r>
      <w:r>
        <w:rPr>
          <w:rFonts w:hint="eastAsia" w:ascii="宋体" w:hAnsi="宋体" w:cs="仿宋_GB2312+3+3"/>
          <w:kern w:val="0"/>
          <w:sz w:val="24"/>
          <w:highlight w:val="none"/>
        </w:rPr>
        <w:t>不得</w:t>
      </w:r>
      <w:r>
        <w:rPr>
          <w:rFonts w:hint="eastAsia" w:ascii="宋体" w:hAnsi="宋体" w:cs="仿宋_GB2312+3+6"/>
          <w:kern w:val="0"/>
          <w:sz w:val="24"/>
          <w:highlight w:val="none"/>
        </w:rPr>
        <w:t>隐</w:t>
      </w:r>
      <w:r>
        <w:rPr>
          <w:rFonts w:hint="eastAsia" w:ascii="宋体" w:hAnsi="宋体" w:cs="仿宋_GB2312+3+8"/>
          <w:kern w:val="0"/>
          <w:sz w:val="24"/>
          <w:highlight w:val="none"/>
        </w:rPr>
        <w:t>瞒</w:t>
      </w:r>
      <w:r>
        <w:rPr>
          <w:rFonts w:hint="eastAsia" w:ascii="宋体" w:hAnsi="宋体" w:cs="仿宋_GB2312+3+1"/>
          <w:kern w:val="0"/>
          <w:sz w:val="24"/>
          <w:highlight w:val="none"/>
        </w:rPr>
        <w:t>、</w:t>
      </w:r>
      <w:r>
        <w:rPr>
          <w:rFonts w:hint="eastAsia" w:ascii="宋体" w:hAnsi="宋体" w:cs="仿宋_GB2312+3+9"/>
          <w:kern w:val="0"/>
          <w:sz w:val="24"/>
          <w:highlight w:val="none"/>
        </w:rPr>
        <w:t>虚</w:t>
      </w:r>
      <w:r>
        <w:rPr>
          <w:rFonts w:hint="eastAsia" w:ascii="宋体" w:hAnsi="宋体" w:cs="仿宋_GB2312+3+2"/>
          <w:kern w:val="0"/>
          <w:sz w:val="24"/>
          <w:highlight w:val="none"/>
        </w:rPr>
        <w:t>报</w:t>
      </w:r>
      <w:r>
        <w:rPr>
          <w:rFonts w:hint="eastAsia" w:ascii="宋体" w:hAnsi="宋体" w:cs="仿宋_GB2312+3+1"/>
          <w:kern w:val="0"/>
          <w:sz w:val="24"/>
          <w:highlight w:val="none"/>
        </w:rPr>
        <w:t>和</w:t>
      </w:r>
      <w:r>
        <w:rPr>
          <w:rFonts w:hint="eastAsia" w:ascii="宋体" w:hAnsi="宋体" w:cs="仿宋_GB2312+3+2"/>
          <w:kern w:val="0"/>
          <w:sz w:val="24"/>
          <w:highlight w:val="none"/>
        </w:rPr>
        <w:t>故</w:t>
      </w:r>
      <w:r>
        <w:rPr>
          <w:rFonts w:hint="eastAsia" w:ascii="宋体" w:hAnsi="宋体" w:cs="仿宋_GB2312+3+3"/>
          <w:kern w:val="0"/>
          <w:sz w:val="24"/>
          <w:highlight w:val="none"/>
        </w:rPr>
        <w:t>意</w:t>
      </w:r>
      <w:r>
        <w:rPr>
          <w:rFonts w:hint="eastAsia" w:ascii="宋体" w:hAnsi="宋体" w:cs="仿宋_GB2312+3+10"/>
          <w:kern w:val="0"/>
          <w:sz w:val="24"/>
          <w:highlight w:val="none"/>
        </w:rPr>
        <w:t>拖延</w:t>
      </w:r>
      <w:r>
        <w:rPr>
          <w:rFonts w:hint="eastAsia" w:ascii="宋体" w:hAnsi="宋体" w:cs="仿宋_GB2312+3+3"/>
          <w:kern w:val="0"/>
          <w:sz w:val="24"/>
          <w:highlight w:val="none"/>
        </w:rPr>
        <w:t>不</w:t>
      </w:r>
      <w:r>
        <w:rPr>
          <w:rFonts w:hint="eastAsia" w:ascii="宋体" w:hAnsi="宋体" w:cs="仿宋_GB2312+3+2"/>
          <w:kern w:val="0"/>
          <w:sz w:val="24"/>
          <w:highlight w:val="none"/>
        </w:rPr>
        <w:t>报</w:t>
      </w:r>
      <w:r>
        <w:rPr>
          <w:rFonts w:hint="eastAsia" w:ascii="宋体" w:hAnsi="宋体" w:cs="仿宋_GB2312+3+1"/>
          <w:kern w:val="0"/>
          <w:sz w:val="24"/>
          <w:highlight w:val="none"/>
        </w:rPr>
        <w:t>。</w:t>
      </w:r>
      <w:r>
        <w:rPr>
          <w:rFonts w:hint="eastAsia" w:ascii="宋体" w:hAnsi="宋体" w:cs="仿宋_GB2312+3+2"/>
          <w:kern w:val="0"/>
          <w:sz w:val="24"/>
          <w:highlight w:val="none"/>
        </w:rPr>
        <w:t>积极</w:t>
      </w:r>
      <w:r>
        <w:rPr>
          <w:rFonts w:hint="eastAsia" w:ascii="宋体" w:hAnsi="宋体" w:cs="仿宋_GB2312+3+3"/>
          <w:kern w:val="0"/>
          <w:sz w:val="24"/>
          <w:highlight w:val="none"/>
        </w:rPr>
        <w:t>配</w:t>
      </w:r>
      <w:r>
        <w:rPr>
          <w:rFonts w:hint="eastAsia" w:ascii="宋体" w:hAnsi="宋体" w:cs="仿宋_GB2312+3+2"/>
          <w:kern w:val="0"/>
          <w:sz w:val="24"/>
          <w:highlight w:val="none"/>
        </w:rPr>
        <w:t>合事故</w:t>
      </w:r>
      <w:r>
        <w:rPr>
          <w:rFonts w:hint="eastAsia" w:ascii="宋体" w:hAnsi="宋体" w:cs="仿宋_GB2312+3+3"/>
          <w:kern w:val="0"/>
          <w:sz w:val="24"/>
          <w:highlight w:val="none"/>
        </w:rPr>
        <w:t>调</w:t>
      </w:r>
      <w:r>
        <w:rPr>
          <w:rFonts w:hint="eastAsia" w:ascii="宋体" w:hAnsi="宋体" w:cs="仿宋_GB2312+3+4"/>
          <w:kern w:val="0"/>
          <w:sz w:val="24"/>
          <w:highlight w:val="none"/>
        </w:rPr>
        <w:t>查</w:t>
      </w:r>
      <w:r>
        <w:rPr>
          <w:rFonts w:hint="eastAsia" w:ascii="宋体" w:hAnsi="宋体" w:cs="仿宋_GB2312+3+1"/>
          <w:kern w:val="0"/>
          <w:sz w:val="24"/>
          <w:highlight w:val="none"/>
        </w:rPr>
        <w:t>，认真制</w:t>
      </w:r>
      <w:r>
        <w:rPr>
          <w:rFonts w:hint="eastAsia" w:ascii="宋体" w:hAnsi="宋体" w:cs="仿宋_GB2312+3+2"/>
          <w:kern w:val="0"/>
          <w:sz w:val="24"/>
          <w:highlight w:val="none"/>
        </w:rPr>
        <w:t>定并</w:t>
      </w:r>
      <w:r>
        <w:rPr>
          <w:rFonts w:hint="eastAsia" w:ascii="宋体" w:hAnsi="宋体" w:cs="仿宋_GB2312+3+3"/>
          <w:kern w:val="0"/>
          <w:sz w:val="24"/>
          <w:highlight w:val="none"/>
        </w:rPr>
        <w:t>落</w:t>
      </w:r>
      <w:r>
        <w:rPr>
          <w:rFonts w:hint="eastAsia" w:ascii="宋体" w:hAnsi="宋体" w:cs="仿宋_GB2312+3+1"/>
          <w:kern w:val="0"/>
          <w:sz w:val="24"/>
          <w:highlight w:val="none"/>
        </w:rPr>
        <w:t>实</w:t>
      </w:r>
      <w:r>
        <w:rPr>
          <w:rFonts w:hint="eastAsia" w:ascii="宋体" w:hAnsi="宋体" w:cs="仿宋_GB2312+3+4"/>
          <w:kern w:val="0"/>
          <w:sz w:val="24"/>
          <w:highlight w:val="none"/>
        </w:rPr>
        <w:t>防</w:t>
      </w:r>
      <w:r>
        <w:rPr>
          <w:rFonts w:hint="eastAsia" w:ascii="宋体" w:hAnsi="宋体" w:cs="仿宋_GB2312+3+1"/>
          <w:kern w:val="0"/>
          <w:sz w:val="24"/>
          <w:highlight w:val="none"/>
        </w:rPr>
        <w:t>范</w:t>
      </w:r>
      <w:r>
        <w:rPr>
          <w:rFonts w:hint="eastAsia" w:ascii="宋体" w:hAnsi="宋体" w:cs="仿宋_GB2312+3+2"/>
          <w:kern w:val="0"/>
          <w:sz w:val="24"/>
          <w:highlight w:val="none"/>
        </w:rPr>
        <w:t>措</w:t>
      </w:r>
      <w:r>
        <w:rPr>
          <w:rFonts w:hint="eastAsia" w:ascii="宋体" w:hAnsi="宋体" w:cs="仿宋_GB2312+3+1"/>
          <w:kern w:val="0"/>
          <w:sz w:val="24"/>
          <w:highlight w:val="none"/>
        </w:rPr>
        <w:t>施，</w:t>
      </w:r>
      <w:r>
        <w:rPr>
          <w:rFonts w:hint="eastAsia" w:ascii="宋体" w:hAnsi="宋体" w:cs="仿宋_GB2312+3+10"/>
          <w:kern w:val="0"/>
          <w:sz w:val="24"/>
          <w:highlight w:val="none"/>
        </w:rPr>
        <w:t>吸</w:t>
      </w:r>
      <w:r>
        <w:rPr>
          <w:rFonts w:hint="eastAsia" w:ascii="宋体" w:hAnsi="宋体" w:cs="仿宋_GB2312+3+6"/>
          <w:kern w:val="0"/>
          <w:sz w:val="24"/>
          <w:highlight w:val="none"/>
        </w:rPr>
        <w:t>取</w:t>
      </w:r>
      <w:r>
        <w:rPr>
          <w:rFonts w:hint="eastAsia" w:ascii="宋体" w:hAnsi="宋体" w:cs="仿宋_GB2312+3+2"/>
          <w:kern w:val="0"/>
          <w:sz w:val="24"/>
          <w:highlight w:val="none"/>
        </w:rPr>
        <w:t>事故</w:t>
      </w:r>
      <w:r>
        <w:rPr>
          <w:rFonts w:hint="eastAsia" w:ascii="宋体" w:hAnsi="宋体" w:cs="仿宋_GB2312+3+5"/>
          <w:kern w:val="0"/>
          <w:sz w:val="24"/>
          <w:highlight w:val="none"/>
        </w:rPr>
        <w:t>教</w:t>
      </w:r>
      <w:r>
        <w:rPr>
          <w:rFonts w:hint="eastAsia" w:ascii="宋体" w:hAnsi="宋体" w:cs="仿宋_GB2312+3+6"/>
          <w:kern w:val="0"/>
          <w:sz w:val="24"/>
          <w:highlight w:val="none"/>
        </w:rPr>
        <w:t>训</w:t>
      </w:r>
      <w:r>
        <w:rPr>
          <w:rFonts w:hint="eastAsia" w:ascii="宋体" w:hAnsi="宋体" w:cs="仿宋_GB2312+3+1"/>
          <w:kern w:val="0"/>
          <w:sz w:val="24"/>
          <w:highlight w:val="none"/>
        </w:rPr>
        <w:t>，</w:t>
      </w:r>
      <w:r>
        <w:rPr>
          <w:rFonts w:hint="eastAsia" w:ascii="宋体" w:hAnsi="宋体" w:cs="仿宋_GB2312+3+4"/>
          <w:kern w:val="0"/>
          <w:sz w:val="24"/>
          <w:highlight w:val="none"/>
        </w:rPr>
        <w:t>防止</w:t>
      </w:r>
      <w:r>
        <w:rPr>
          <w:rFonts w:hint="eastAsia" w:ascii="宋体" w:hAnsi="宋体" w:cs="仿宋_GB2312+3+1"/>
          <w:kern w:val="0"/>
          <w:sz w:val="24"/>
          <w:highlight w:val="none"/>
        </w:rPr>
        <w:t>发</w:t>
      </w:r>
      <w:r>
        <w:rPr>
          <w:rFonts w:hint="eastAsia" w:ascii="宋体" w:hAnsi="宋体" w:cs="仿宋_GB2312+3+3"/>
          <w:kern w:val="0"/>
          <w:sz w:val="24"/>
          <w:highlight w:val="none"/>
        </w:rPr>
        <w:t>生重</w:t>
      </w:r>
      <w:r>
        <w:rPr>
          <w:rFonts w:hint="eastAsia" w:ascii="宋体" w:hAnsi="宋体" w:cs="仿宋_GB2312+3+5"/>
          <w:kern w:val="0"/>
          <w:sz w:val="24"/>
          <w:highlight w:val="none"/>
        </w:rPr>
        <w:t>复</w:t>
      </w:r>
      <w:r>
        <w:rPr>
          <w:rFonts w:hint="eastAsia" w:ascii="宋体" w:hAnsi="宋体" w:cs="仿宋_GB2312+3+2"/>
          <w:kern w:val="0"/>
          <w:sz w:val="24"/>
          <w:highlight w:val="none"/>
        </w:rPr>
        <w:t>事故。</w:t>
      </w:r>
    </w:p>
    <w:p w14:paraId="0331D574">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12</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对</w:t>
      </w:r>
      <w:r>
        <w:rPr>
          <w:rFonts w:hint="eastAsia" w:ascii="宋体" w:hAnsi="宋体" w:cs="仿宋_GB2312+3+4"/>
          <w:kern w:val="0"/>
          <w:sz w:val="24"/>
          <w:highlight w:val="none"/>
        </w:rPr>
        <w:t>因违</w:t>
      </w:r>
      <w:r>
        <w:rPr>
          <w:rFonts w:hint="eastAsia" w:ascii="宋体" w:hAnsi="宋体" w:cs="仿宋_GB2312+3+5"/>
          <w:kern w:val="0"/>
          <w:sz w:val="24"/>
          <w:highlight w:val="none"/>
        </w:rPr>
        <w:t>章</w:t>
      </w:r>
      <w:r>
        <w:rPr>
          <w:rFonts w:hint="eastAsia" w:ascii="宋体" w:hAnsi="宋体" w:cs="仿宋_GB2312+3+4"/>
          <w:kern w:val="0"/>
          <w:sz w:val="24"/>
          <w:highlight w:val="none"/>
        </w:rPr>
        <w:t>指挥或</w:t>
      </w:r>
      <w:r>
        <w:rPr>
          <w:rFonts w:hint="eastAsia" w:ascii="宋体" w:hAnsi="宋体" w:cs="仿宋_GB2312+3+3"/>
          <w:kern w:val="0"/>
          <w:sz w:val="24"/>
          <w:highlight w:val="none"/>
        </w:rPr>
        <w:t>决</w:t>
      </w:r>
      <w:r>
        <w:rPr>
          <w:rFonts w:hint="eastAsia" w:ascii="宋体" w:hAnsi="宋体" w:cs="仿宋_GB2312+3+2"/>
          <w:kern w:val="0"/>
          <w:sz w:val="24"/>
          <w:highlight w:val="none"/>
        </w:rPr>
        <w:t>策</w:t>
      </w:r>
      <w:r>
        <w:rPr>
          <w:rFonts w:hint="eastAsia" w:ascii="宋体" w:hAnsi="宋体" w:cs="仿宋_GB2312+3+6"/>
          <w:kern w:val="0"/>
          <w:sz w:val="24"/>
          <w:highlight w:val="none"/>
        </w:rPr>
        <w:t>失</w:t>
      </w:r>
      <w:r>
        <w:rPr>
          <w:rFonts w:hint="eastAsia" w:ascii="宋体" w:hAnsi="宋体" w:cs="仿宋_GB2312+3+5"/>
          <w:kern w:val="0"/>
          <w:sz w:val="24"/>
          <w:highlight w:val="none"/>
        </w:rPr>
        <w:t>误而</w:t>
      </w:r>
      <w:r>
        <w:rPr>
          <w:rFonts w:hint="eastAsia" w:ascii="宋体" w:hAnsi="宋体" w:cs="仿宋_GB2312+3+4"/>
          <w:kern w:val="0"/>
          <w:sz w:val="24"/>
          <w:highlight w:val="none"/>
        </w:rPr>
        <w:t>造</w:t>
      </w:r>
      <w:r>
        <w:rPr>
          <w:rFonts w:hint="eastAsia" w:ascii="宋体" w:hAnsi="宋体" w:cs="仿宋_GB2312+3+2"/>
          <w:kern w:val="0"/>
          <w:sz w:val="24"/>
          <w:highlight w:val="none"/>
        </w:rPr>
        <w:t>成</w:t>
      </w:r>
      <w:r>
        <w:rPr>
          <w:rFonts w:hint="eastAsia" w:ascii="宋体" w:hAnsi="宋体" w:cs="仿宋_GB2312+3+1"/>
          <w:kern w:val="0"/>
          <w:sz w:val="24"/>
          <w:highlight w:val="none"/>
        </w:rPr>
        <w:t>员工</w:t>
      </w:r>
      <w:r>
        <w:rPr>
          <w:rFonts w:hint="eastAsia" w:ascii="宋体" w:hAnsi="宋体" w:cs="仿宋_GB2312+3+8"/>
          <w:kern w:val="0"/>
          <w:sz w:val="24"/>
          <w:highlight w:val="none"/>
        </w:rPr>
        <w:t>伤亡的</w:t>
      </w:r>
      <w:r>
        <w:rPr>
          <w:rFonts w:hint="eastAsia" w:ascii="宋体" w:hAnsi="宋体" w:cs="仿宋_GB2312+3+2"/>
          <w:kern w:val="0"/>
          <w:sz w:val="24"/>
          <w:highlight w:val="none"/>
        </w:rPr>
        <w:t>事故承</w:t>
      </w:r>
      <w:r>
        <w:rPr>
          <w:rFonts w:hint="eastAsia" w:ascii="宋体" w:hAnsi="宋体" w:cs="仿宋_GB2312+3+3"/>
          <w:kern w:val="0"/>
          <w:sz w:val="24"/>
          <w:highlight w:val="none"/>
        </w:rPr>
        <w:t>担</w:t>
      </w:r>
      <w:r>
        <w:rPr>
          <w:rFonts w:hint="eastAsia" w:ascii="宋体" w:hAnsi="宋体" w:cs="仿宋_GB2312+3+2"/>
          <w:kern w:val="0"/>
          <w:sz w:val="24"/>
          <w:highlight w:val="none"/>
        </w:rPr>
        <w:t>领导</w:t>
      </w:r>
      <w:r>
        <w:rPr>
          <w:rFonts w:hint="eastAsia" w:ascii="宋体" w:hAnsi="宋体" w:cs="仿宋_GB2312+3+1"/>
          <w:kern w:val="0"/>
          <w:sz w:val="24"/>
          <w:highlight w:val="none"/>
        </w:rPr>
        <w:t>责任。</w:t>
      </w:r>
      <w:r>
        <w:rPr>
          <w:rFonts w:hint="eastAsia" w:ascii="宋体" w:hAnsi="宋体" w:cs="仿宋_GB2312+3+2"/>
          <w:kern w:val="0"/>
          <w:sz w:val="24"/>
          <w:highlight w:val="none"/>
        </w:rPr>
        <w:t>并对</w:t>
      </w:r>
      <w:r>
        <w:rPr>
          <w:rFonts w:hint="eastAsia" w:ascii="宋体" w:hAnsi="宋体" w:cs="仿宋_GB2312+3+4"/>
          <w:kern w:val="0"/>
          <w:sz w:val="24"/>
          <w:highlight w:val="none"/>
        </w:rPr>
        <w:t>因</w:t>
      </w:r>
      <w:r>
        <w:rPr>
          <w:rFonts w:hint="eastAsia" w:ascii="宋体" w:hAnsi="宋体" w:cs="仿宋_GB2312+3+1"/>
          <w:kern w:val="0"/>
          <w:sz w:val="24"/>
          <w:highlight w:val="none"/>
        </w:rPr>
        <w:t>强</w:t>
      </w:r>
      <w:r>
        <w:rPr>
          <w:rFonts w:hint="eastAsia" w:ascii="宋体" w:hAnsi="宋体" w:cs="仿宋_GB2312+3+4"/>
          <w:kern w:val="0"/>
          <w:sz w:val="24"/>
          <w:highlight w:val="none"/>
        </w:rPr>
        <w:t>令</w:t>
      </w:r>
      <w:r>
        <w:rPr>
          <w:rFonts w:hint="eastAsia" w:ascii="宋体" w:hAnsi="宋体" w:cs="仿宋_GB2312+3+1"/>
          <w:kern w:val="0"/>
          <w:sz w:val="24"/>
          <w:highlight w:val="none"/>
        </w:rPr>
        <w:t>员工</w:t>
      </w:r>
      <w:r>
        <w:rPr>
          <w:rFonts w:hint="eastAsia" w:ascii="宋体" w:hAnsi="宋体" w:cs="仿宋_GB2312+3+4"/>
          <w:kern w:val="0"/>
          <w:sz w:val="24"/>
          <w:highlight w:val="none"/>
        </w:rPr>
        <w:t>违</w:t>
      </w:r>
      <w:r>
        <w:rPr>
          <w:rFonts w:hint="eastAsia" w:ascii="宋体" w:hAnsi="宋体" w:cs="仿宋_GB2312+3+5"/>
          <w:kern w:val="0"/>
          <w:sz w:val="24"/>
          <w:highlight w:val="none"/>
        </w:rPr>
        <w:t>章</w:t>
      </w:r>
      <w:r>
        <w:rPr>
          <w:rFonts w:hint="eastAsia" w:ascii="宋体" w:hAnsi="宋体" w:cs="仿宋_GB2312+3+10"/>
          <w:kern w:val="0"/>
          <w:sz w:val="24"/>
          <w:highlight w:val="none"/>
        </w:rPr>
        <w:t>冒</w:t>
      </w:r>
      <w:r>
        <w:rPr>
          <w:rFonts w:hint="eastAsia" w:ascii="宋体" w:hAnsi="宋体" w:cs="仿宋_GB2312+3+8"/>
          <w:kern w:val="0"/>
          <w:sz w:val="24"/>
          <w:highlight w:val="none"/>
        </w:rPr>
        <w:t>险</w:t>
      </w:r>
      <w:r>
        <w:rPr>
          <w:rFonts w:hint="eastAsia" w:ascii="宋体" w:hAnsi="宋体" w:cs="仿宋_GB2312+3+1"/>
          <w:kern w:val="0"/>
          <w:sz w:val="24"/>
          <w:highlight w:val="none"/>
        </w:rPr>
        <w:t>作业，发</w:t>
      </w:r>
      <w:r>
        <w:rPr>
          <w:rFonts w:hint="eastAsia" w:ascii="宋体" w:hAnsi="宋体" w:cs="仿宋_GB2312+3+3"/>
          <w:kern w:val="0"/>
          <w:sz w:val="24"/>
          <w:highlight w:val="none"/>
        </w:rPr>
        <w:t>生重</w:t>
      </w:r>
      <w:r>
        <w:rPr>
          <w:rFonts w:hint="eastAsia" w:ascii="宋体" w:hAnsi="宋体" w:cs="仿宋_GB2312+3+2"/>
          <w:kern w:val="0"/>
          <w:sz w:val="24"/>
          <w:highlight w:val="none"/>
        </w:rPr>
        <w:t>大</w:t>
      </w:r>
      <w:r>
        <w:rPr>
          <w:rFonts w:hint="eastAsia" w:ascii="宋体" w:hAnsi="宋体" w:cs="仿宋_GB2312+3+8"/>
          <w:kern w:val="0"/>
          <w:sz w:val="24"/>
          <w:highlight w:val="none"/>
        </w:rPr>
        <w:t>伤亡</w:t>
      </w:r>
      <w:r>
        <w:rPr>
          <w:rFonts w:hint="eastAsia" w:ascii="宋体" w:hAnsi="宋体" w:cs="仿宋_GB2312+3+2"/>
          <w:kern w:val="0"/>
          <w:sz w:val="24"/>
          <w:highlight w:val="none"/>
        </w:rPr>
        <w:t>事故</w:t>
      </w:r>
      <w:r>
        <w:rPr>
          <w:rFonts w:hint="eastAsia" w:ascii="宋体" w:hAnsi="宋体" w:cs="仿宋_GB2312+3+1"/>
          <w:kern w:val="0"/>
          <w:sz w:val="24"/>
          <w:highlight w:val="none"/>
        </w:rPr>
        <w:t>，</w:t>
      </w:r>
      <w:r>
        <w:rPr>
          <w:rFonts w:hint="eastAsia" w:ascii="宋体" w:hAnsi="宋体" w:cs="仿宋_GB2312+3+2"/>
          <w:kern w:val="0"/>
          <w:sz w:val="24"/>
          <w:highlight w:val="none"/>
        </w:rPr>
        <w:t>承</w:t>
      </w:r>
      <w:r>
        <w:rPr>
          <w:rFonts w:hint="eastAsia" w:ascii="宋体" w:hAnsi="宋体" w:cs="仿宋_GB2312+3+3"/>
          <w:kern w:val="0"/>
          <w:sz w:val="24"/>
          <w:highlight w:val="none"/>
        </w:rPr>
        <w:t>担</w:t>
      </w:r>
      <w:r>
        <w:rPr>
          <w:rFonts w:hint="eastAsia" w:ascii="宋体" w:hAnsi="宋体" w:cs="仿宋_GB2312+3+8"/>
          <w:kern w:val="0"/>
          <w:sz w:val="24"/>
          <w:highlight w:val="none"/>
        </w:rPr>
        <w:t>刑</w:t>
      </w:r>
      <w:r>
        <w:rPr>
          <w:rFonts w:hint="eastAsia" w:ascii="宋体" w:hAnsi="宋体" w:cs="仿宋_GB2312+3+2"/>
          <w:kern w:val="0"/>
          <w:sz w:val="24"/>
          <w:highlight w:val="none"/>
        </w:rPr>
        <w:t>事</w:t>
      </w:r>
      <w:r>
        <w:rPr>
          <w:rFonts w:hint="eastAsia" w:ascii="宋体" w:hAnsi="宋体" w:cs="仿宋_GB2312+3+1"/>
          <w:kern w:val="0"/>
          <w:sz w:val="24"/>
          <w:highlight w:val="none"/>
        </w:rPr>
        <w:t>责任</w:t>
      </w:r>
      <w:r>
        <w:rPr>
          <w:rFonts w:hint="eastAsia" w:ascii="宋体" w:hAnsi="宋体" w:cs="仿宋_GB2312+3+2"/>
          <w:kern w:val="0"/>
          <w:sz w:val="24"/>
          <w:highlight w:val="none"/>
        </w:rPr>
        <w:t>。</w:t>
      </w:r>
    </w:p>
    <w:p w14:paraId="079D4189">
      <w:pPr>
        <w:bidi w:val="0"/>
        <w:ind w:firstLine="480" w:firstLineChars="200"/>
        <w:rPr>
          <w:rFonts w:hint="eastAsia"/>
          <w:highlight w:val="none"/>
        </w:rPr>
      </w:pPr>
      <w:r>
        <w:rPr>
          <w:rFonts w:hint="eastAsia"/>
          <w:highlight w:val="none"/>
        </w:rPr>
        <w:t>13</w:t>
      </w:r>
      <w:r>
        <w:rPr>
          <w:rFonts w:hint="eastAsia"/>
          <w:highlight w:val="none"/>
          <w:lang w:eastAsia="zh-CN"/>
        </w:rPr>
        <w:t>）</w:t>
      </w:r>
      <w:r>
        <w:rPr>
          <w:rFonts w:hint="eastAsia"/>
          <w:highlight w:val="none"/>
        </w:rPr>
        <w:t>及时、如实报告施工生产安全事故。</w:t>
      </w:r>
    </w:p>
    <w:p w14:paraId="1C9A5DE0">
      <w:pPr>
        <w:bidi w:val="0"/>
        <w:ind w:firstLine="480" w:firstLineChars="200"/>
        <w:rPr>
          <w:rFonts w:hint="default"/>
          <w:highlight w:val="none"/>
          <w:lang w:val="en-US" w:eastAsia="zh-CN"/>
        </w:rPr>
      </w:pPr>
      <w:r>
        <w:rPr>
          <w:rFonts w:hint="eastAsia"/>
          <w:highlight w:val="none"/>
        </w:rPr>
        <w:t>14</w:t>
      </w:r>
      <w:r>
        <w:rPr>
          <w:rFonts w:hint="eastAsia"/>
          <w:highlight w:val="none"/>
          <w:lang w:eastAsia="zh-CN"/>
        </w:rPr>
        <w:t>）</w:t>
      </w:r>
      <w:r>
        <w:rPr>
          <w:rFonts w:hint="eastAsia"/>
          <w:highlight w:val="none"/>
        </w:rPr>
        <w:t>保证安全生产和环保经费投入，并督促及时有效落实。</w:t>
      </w:r>
    </w:p>
    <w:p w14:paraId="7DF40141">
      <w:pPr>
        <w:spacing w:line="359" w:lineRule="auto"/>
        <w:ind w:left="516" w:firstLine="20"/>
        <w:rPr>
          <w:rFonts w:ascii="宋体" w:hAnsi="宋体" w:eastAsia="宋体" w:cs="宋体"/>
          <w:sz w:val="24"/>
          <w:szCs w:val="24"/>
          <w:highlight w:val="none"/>
        </w:rPr>
      </w:pPr>
      <w:r>
        <w:rPr>
          <w:rFonts w:ascii="宋体" w:hAnsi="宋体" w:eastAsia="宋体" w:cs="宋体"/>
          <w:spacing w:val="-2"/>
          <w:sz w:val="24"/>
          <w:szCs w:val="24"/>
          <w:highlight w:val="none"/>
        </w:rPr>
        <w:t>②</w:t>
      </w:r>
      <w:r>
        <w:rPr>
          <w:rFonts w:ascii="宋体" w:hAnsi="宋体" w:eastAsia="宋体" w:cs="宋体"/>
          <w:spacing w:val="-1"/>
          <w:sz w:val="24"/>
          <w:szCs w:val="24"/>
          <w:highlight w:val="none"/>
        </w:rPr>
        <w:t>项目总工程师</w:t>
      </w:r>
    </w:p>
    <w:p w14:paraId="6E2F0031">
      <w:pPr>
        <w:bidi w:val="0"/>
        <w:ind w:firstLine="480" w:firstLineChars="200"/>
        <w:rPr>
          <w:highlight w:val="none"/>
        </w:rPr>
      </w:pPr>
      <w:r>
        <w:rPr>
          <w:highlight w:val="none"/>
        </w:rPr>
        <w:t>项目总工程师对工程项目生产过程中安全生产负技术责任。</w:t>
      </w:r>
    </w:p>
    <w:p w14:paraId="50067DD4">
      <w:pPr>
        <w:numPr>
          <w:ilvl w:val="0"/>
          <w:numId w:val="0"/>
        </w:numPr>
        <w:bidi w:val="0"/>
        <w:ind w:firstLine="480" w:firstLineChars="200"/>
        <w:rPr>
          <w:highlight w:val="none"/>
        </w:rPr>
      </w:pPr>
      <w:r>
        <w:rPr>
          <w:highlight w:val="none"/>
        </w:rPr>
        <w:t>1)组织编制、会审施工组织设计、施工技术方案及危险性较大分部分项工程专项施工方案，对安全技术措施、防护设施进行技术把关。</w:t>
      </w:r>
    </w:p>
    <w:p w14:paraId="5FA506EA">
      <w:pPr>
        <w:numPr>
          <w:ilvl w:val="0"/>
          <w:numId w:val="0"/>
        </w:numPr>
        <w:bidi w:val="0"/>
        <w:ind w:firstLine="480" w:firstLineChars="200"/>
        <w:rPr>
          <w:highlight w:val="none"/>
        </w:rPr>
      </w:pPr>
      <w:r>
        <w:rPr>
          <w:highlight w:val="none"/>
        </w:rPr>
        <w:t>2)协助项目经理按规定要求开展实施项目的安全风险评估工作。</w:t>
      </w:r>
    </w:p>
    <w:p w14:paraId="7755C1CB">
      <w:pPr>
        <w:numPr>
          <w:ilvl w:val="0"/>
          <w:numId w:val="0"/>
        </w:numPr>
        <w:bidi w:val="0"/>
        <w:ind w:firstLine="480" w:firstLineChars="200"/>
        <w:rPr>
          <w:highlight w:val="none"/>
        </w:rPr>
      </w:pPr>
      <w:r>
        <w:rPr>
          <w:highlight w:val="none"/>
        </w:rPr>
        <w:t>3)对照图纸及设计说明的有关要求，组织对项目周围环境、地质条件、地下管</w:t>
      </w:r>
    </w:p>
    <w:p w14:paraId="1F79F0AC">
      <w:pPr>
        <w:bidi w:val="0"/>
        <w:rPr>
          <w:highlight w:val="none"/>
        </w:rPr>
      </w:pPr>
      <w:r>
        <w:rPr>
          <w:highlight w:val="none"/>
        </w:rPr>
        <w:t>线等因素进行调查复核。</w:t>
      </w:r>
    </w:p>
    <w:p w14:paraId="1E25C5AF">
      <w:pPr>
        <w:bidi w:val="0"/>
        <w:ind w:firstLine="480" w:firstLineChars="200"/>
        <w:rPr>
          <w:highlight w:val="none"/>
        </w:rPr>
      </w:pPr>
      <w:r>
        <w:rPr>
          <w:highlight w:val="none"/>
        </w:rPr>
        <w:t>4)督促技术部门按规定完成专项方案的报审、专家论证流程。</w:t>
      </w:r>
    </w:p>
    <w:p w14:paraId="568678C5">
      <w:pPr>
        <w:bidi w:val="0"/>
        <w:ind w:firstLine="480" w:firstLineChars="200"/>
        <w:rPr>
          <w:highlight w:val="none"/>
        </w:rPr>
      </w:pPr>
      <w:r>
        <w:rPr>
          <w:highlight w:val="none"/>
        </w:rPr>
        <w:t>5)督促技术部门牵头对分部分项工程施工进行安全技术交底。</w:t>
      </w:r>
    </w:p>
    <w:p w14:paraId="5EE3A7C9">
      <w:pPr>
        <w:bidi w:val="0"/>
        <w:ind w:firstLine="480" w:firstLineChars="200"/>
        <w:rPr>
          <w:highlight w:val="none"/>
        </w:rPr>
      </w:pPr>
      <w:r>
        <w:rPr>
          <w:highlight w:val="none"/>
        </w:rPr>
        <w:t>6)动态关注危险性较大分部分项工程实施过程中施工边界条件的变化，及时调整专项施工方案。</w:t>
      </w:r>
    </w:p>
    <w:p w14:paraId="54EBEEC6">
      <w:pPr>
        <w:bidi w:val="0"/>
        <w:ind w:firstLine="480" w:firstLineChars="200"/>
        <w:rPr>
          <w:rFonts w:hint="default"/>
          <w:highlight w:val="none"/>
          <w:lang w:val="en-US" w:eastAsia="zh-CN"/>
        </w:rPr>
      </w:pPr>
      <w:r>
        <w:rPr>
          <w:highlight w:val="none"/>
        </w:rPr>
        <w:t>7)针对项目应用的新材料、新工艺、新技术、新设备，组织编制并督促实施安全技术规程；编制作业指导书。</w:t>
      </w:r>
    </w:p>
    <w:p w14:paraId="1BE495AC">
      <w:pPr>
        <w:bidi w:val="0"/>
        <w:ind w:firstLine="480" w:firstLineChars="200"/>
        <w:rPr>
          <w:highlight w:val="none"/>
        </w:rPr>
      </w:pPr>
      <w:r>
        <w:rPr>
          <w:rFonts w:hint="eastAsia"/>
          <w:highlight w:val="none"/>
          <w:lang w:val="en-US" w:eastAsia="zh-CN"/>
        </w:rPr>
        <w:t>8</w:t>
      </w:r>
      <w:r>
        <w:rPr>
          <w:highlight w:val="none"/>
        </w:rPr>
        <w:t>)组织制订重大隐患治理方案。</w:t>
      </w:r>
    </w:p>
    <w:p w14:paraId="6FBCD397">
      <w:pPr>
        <w:bidi w:val="0"/>
        <w:ind w:firstLine="480" w:firstLineChars="200"/>
        <w:rPr>
          <w:highlight w:val="none"/>
        </w:rPr>
      </w:pPr>
      <w:r>
        <w:rPr>
          <w:rFonts w:hint="eastAsia"/>
          <w:highlight w:val="none"/>
          <w:lang w:val="en-US" w:eastAsia="zh-CN"/>
        </w:rPr>
        <w:t>9</w:t>
      </w:r>
      <w:r>
        <w:rPr>
          <w:highlight w:val="none"/>
        </w:rPr>
        <w:t>)分管试验检测工作，对试验检测的安全管理工作负技术领导责任。</w:t>
      </w:r>
    </w:p>
    <w:p w14:paraId="340CF243">
      <w:pPr>
        <w:bidi w:val="0"/>
        <w:ind w:firstLine="480" w:firstLineChars="200"/>
        <w:rPr>
          <w:highlight w:val="none"/>
        </w:rPr>
      </w:pPr>
      <w:r>
        <w:rPr>
          <w:highlight w:val="none"/>
        </w:rPr>
        <w:t>1</w:t>
      </w:r>
      <w:r>
        <w:rPr>
          <w:rFonts w:hint="eastAsia"/>
          <w:highlight w:val="none"/>
          <w:lang w:val="en-US" w:eastAsia="zh-CN"/>
        </w:rPr>
        <w:t>0</w:t>
      </w:r>
      <w:r>
        <w:rPr>
          <w:highlight w:val="none"/>
        </w:rPr>
        <w:t>)分管测量工作，对测量的安全管理工作负技术领导责任。</w:t>
      </w:r>
    </w:p>
    <w:p w14:paraId="132E7E49">
      <w:pPr>
        <w:bidi w:val="0"/>
        <w:ind w:firstLine="480" w:firstLineChars="200"/>
        <w:rPr>
          <w:highlight w:val="none"/>
        </w:rPr>
      </w:pPr>
      <w:r>
        <w:rPr>
          <w:highlight w:val="none"/>
        </w:rPr>
        <w:t>1</w:t>
      </w:r>
      <w:r>
        <w:rPr>
          <w:rFonts w:hint="eastAsia"/>
          <w:highlight w:val="none"/>
          <w:lang w:val="en-US" w:eastAsia="zh-CN"/>
        </w:rPr>
        <w:t>1</w:t>
      </w:r>
      <w:r>
        <w:rPr>
          <w:highlight w:val="none"/>
        </w:rPr>
        <w:t>) 按要求进行带班值班， 检查项目部的安全生产工作， 排查事故隐患， 协调解决安全生产问题。</w:t>
      </w:r>
    </w:p>
    <w:p w14:paraId="19270DD3">
      <w:pPr>
        <w:bidi w:val="0"/>
        <w:ind w:firstLine="480" w:firstLineChars="200"/>
        <w:rPr>
          <w:highlight w:val="none"/>
        </w:rPr>
      </w:pPr>
      <w:r>
        <w:rPr>
          <w:highlight w:val="none"/>
        </w:rPr>
        <w:t>1</w:t>
      </w:r>
      <w:r>
        <w:rPr>
          <w:rFonts w:hint="eastAsia"/>
          <w:highlight w:val="none"/>
          <w:lang w:val="en-US" w:eastAsia="zh-CN"/>
        </w:rPr>
        <w:t>2</w:t>
      </w:r>
      <w:r>
        <w:rPr>
          <w:highlight w:val="none"/>
        </w:rPr>
        <w:t>)参加生产安全事故(重大隐患)的调查处理。</w:t>
      </w:r>
    </w:p>
    <w:p w14:paraId="5F2F6A84">
      <w:pPr>
        <w:bidi w:val="0"/>
        <w:ind w:firstLine="480" w:firstLineChars="200"/>
        <w:rPr>
          <w:highlight w:val="none"/>
        </w:rPr>
      </w:pPr>
      <w:r>
        <w:rPr>
          <w:highlight w:val="none"/>
        </w:rPr>
        <w:t>③安监部职责</w:t>
      </w:r>
    </w:p>
    <w:p w14:paraId="51FC446A">
      <w:pPr>
        <w:bidi w:val="0"/>
        <w:ind w:firstLine="480" w:firstLineChars="200"/>
        <w:rPr>
          <w:highlight w:val="none"/>
        </w:rPr>
      </w:pPr>
      <w:r>
        <w:rPr>
          <w:highlight w:val="none"/>
        </w:rPr>
        <w:t>1)及时获取、识别适用于本项目的职业健康安全生产法律法规及标准规范，并 及时对从业人员进行宣贯培训。</w:t>
      </w:r>
    </w:p>
    <w:p w14:paraId="11E0A663">
      <w:pPr>
        <w:bidi w:val="0"/>
        <w:ind w:firstLine="480" w:firstLineChars="200"/>
        <w:rPr>
          <w:highlight w:val="none"/>
        </w:rPr>
      </w:pPr>
      <w:r>
        <w:rPr>
          <w:highlight w:val="none"/>
        </w:rPr>
        <w:t>2)协助项目经理及分管领导制定以责任制为核心的职业健康安全生产规章制度。</w:t>
      </w:r>
    </w:p>
    <w:p w14:paraId="0DC52931">
      <w:pPr>
        <w:bidi w:val="0"/>
        <w:ind w:firstLine="480" w:firstLineChars="200"/>
        <w:rPr>
          <w:highlight w:val="none"/>
        </w:rPr>
      </w:pPr>
      <w:r>
        <w:rPr>
          <w:highlight w:val="none"/>
        </w:rPr>
        <w:t>3)参与制定安全操作规程。</w:t>
      </w:r>
    </w:p>
    <w:p w14:paraId="74E791AD">
      <w:pPr>
        <w:bidi w:val="0"/>
        <w:ind w:firstLine="480" w:firstLineChars="200"/>
        <w:rPr>
          <w:highlight w:val="none"/>
        </w:rPr>
      </w:pPr>
      <w:r>
        <w:rPr>
          <w:highlight w:val="none"/>
        </w:rPr>
        <w:t>4)牵头编制安全生产保证计划、年(季)度安全生产工作计划，并定期检查计 划实施情况。</w:t>
      </w:r>
    </w:p>
    <w:p w14:paraId="6D7D660F">
      <w:pPr>
        <w:bidi w:val="0"/>
        <w:ind w:firstLine="480" w:firstLineChars="200"/>
        <w:rPr>
          <w:highlight w:val="none"/>
        </w:rPr>
      </w:pPr>
      <w:r>
        <w:rPr>
          <w:highlight w:val="none"/>
        </w:rPr>
        <w:t>5)督促检查各部门、工段、班组、船舶认真执行国家安全生产方针、政策、法规、法令、标准及上级指示、决议等，组织签订安全生产责任书。</w:t>
      </w:r>
    </w:p>
    <w:p w14:paraId="7065633E">
      <w:pPr>
        <w:bidi w:val="0"/>
        <w:ind w:firstLine="480" w:firstLineChars="200"/>
        <w:rPr>
          <w:highlight w:val="none"/>
        </w:rPr>
      </w:pPr>
      <w:r>
        <w:rPr>
          <w:highlight w:val="none"/>
        </w:rPr>
        <w:t>6)牵头组织危险有害因素的识别与评价，建立重大危害因素清单；组织编制项目应急预案，组织应急预案培训、交底，适时开展应急演练。</w:t>
      </w:r>
    </w:p>
    <w:p w14:paraId="07C7AED0">
      <w:pPr>
        <w:bidi w:val="0"/>
        <w:ind w:firstLine="480" w:firstLineChars="200"/>
        <w:rPr>
          <w:highlight w:val="none"/>
        </w:rPr>
      </w:pPr>
      <w:r>
        <w:rPr>
          <w:highlight w:val="none"/>
        </w:rPr>
        <w:t>7)牵头建立项目危险性较大分部分项工程清单， 参与编制、会审专项施工方案。</w:t>
      </w:r>
    </w:p>
    <w:p w14:paraId="7DFF45FC">
      <w:pPr>
        <w:bidi w:val="0"/>
        <w:ind w:firstLine="480" w:firstLineChars="200"/>
        <w:rPr>
          <w:highlight w:val="none"/>
        </w:rPr>
      </w:pPr>
      <w:r>
        <w:rPr>
          <w:highlight w:val="none"/>
        </w:rPr>
        <w:t>8)参与危险作业施工许可验收。</w:t>
      </w:r>
    </w:p>
    <w:p w14:paraId="538BB2C3">
      <w:pPr>
        <w:bidi w:val="0"/>
        <w:ind w:firstLine="480" w:firstLineChars="200"/>
        <w:rPr>
          <w:highlight w:val="none"/>
        </w:rPr>
      </w:pPr>
      <w:r>
        <w:rPr>
          <w:highlight w:val="none"/>
        </w:rPr>
        <w:t>9)建立特种作业人员花名册，并动态更新。</w:t>
      </w:r>
    </w:p>
    <w:p w14:paraId="62640650">
      <w:pPr>
        <w:bidi w:val="0"/>
        <w:ind w:firstLine="480" w:firstLineChars="200"/>
        <w:rPr>
          <w:highlight w:val="none"/>
        </w:rPr>
      </w:pPr>
      <w:r>
        <w:rPr>
          <w:highlight w:val="none"/>
        </w:rPr>
        <w:t>10)根据需求编制年度安全教育培训计划， 组织对新进场人员的“三级安全教育”、进场教育等教育培训，保证全员三级安全教育培训覆盖率 100%。</w:t>
      </w:r>
    </w:p>
    <w:p w14:paraId="25874E6B">
      <w:pPr>
        <w:bidi w:val="0"/>
        <w:ind w:firstLine="480" w:firstLineChars="200"/>
        <w:rPr>
          <w:highlight w:val="none"/>
        </w:rPr>
      </w:pPr>
      <w:r>
        <w:rPr>
          <w:highlight w:val="none"/>
        </w:rPr>
        <w:t>11)参与分部分项工程安全技术交底， 组织或参与特种作业人员的安全操作规程交底和培训，参与新工艺、新设备、新技术、新材料使用的教育培训。</w:t>
      </w:r>
    </w:p>
    <w:p w14:paraId="26DC9120">
      <w:pPr>
        <w:bidi w:val="0"/>
        <w:rPr>
          <w:highlight w:val="none"/>
        </w:rPr>
      </w:pPr>
      <w:r>
        <w:rPr>
          <w:highlight w:val="none"/>
        </w:rPr>
        <w:t>通过交底或培训， 书面告知作业人员项目存在的危险因素、防范措施及事故应急 措施。</w:t>
      </w:r>
    </w:p>
    <w:p w14:paraId="597964C6">
      <w:pPr>
        <w:bidi w:val="0"/>
        <w:ind w:firstLine="480" w:firstLineChars="200"/>
        <w:rPr>
          <w:highlight w:val="none"/>
        </w:rPr>
      </w:pPr>
      <w:r>
        <w:rPr>
          <w:highlight w:val="none"/>
        </w:rPr>
        <w:t>12)组织开展日常安全生产检查，监督事故隐患的整改落实情况。</w:t>
      </w:r>
    </w:p>
    <w:p w14:paraId="01FA4C80">
      <w:pPr>
        <w:bidi w:val="0"/>
        <w:ind w:firstLine="480" w:firstLineChars="200"/>
        <w:rPr>
          <w:highlight w:val="none"/>
        </w:rPr>
      </w:pPr>
      <w:r>
        <w:rPr>
          <w:highlight w:val="none"/>
        </w:rPr>
        <w:t>13)组织消防、安全防护设施专项检查。</w:t>
      </w:r>
    </w:p>
    <w:p w14:paraId="1AA5F983">
      <w:pPr>
        <w:bidi w:val="0"/>
        <w:ind w:firstLine="480" w:firstLineChars="200"/>
        <w:rPr>
          <w:highlight w:val="none"/>
        </w:rPr>
      </w:pPr>
      <w:r>
        <w:rPr>
          <w:highlight w:val="none"/>
        </w:rPr>
        <w:t>14) 参与月度安全生产大检查， 参与防台防汛、特种设备、临电、起重作业、模板、脚手架、易燃易爆危化品等安全专项检查。对查出的重大隐患登记建档， 重大隐 患有治理方案，并报相关部门备案。</w:t>
      </w:r>
    </w:p>
    <w:p w14:paraId="2DE82DD4">
      <w:pPr>
        <w:bidi w:val="0"/>
        <w:ind w:firstLine="480" w:firstLineChars="200"/>
        <w:rPr>
          <w:highlight w:val="none"/>
        </w:rPr>
      </w:pPr>
      <w:r>
        <w:rPr>
          <w:highlight w:val="none"/>
        </w:rPr>
        <w:t>15)参与施工现场安全设施、临时设施的验收、检查、维护工作。</w:t>
      </w:r>
    </w:p>
    <w:p w14:paraId="6B0C1B48">
      <w:pPr>
        <w:bidi w:val="0"/>
        <w:ind w:firstLine="480" w:firstLineChars="200"/>
        <w:rPr>
          <w:highlight w:val="none"/>
        </w:rPr>
      </w:pPr>
      <w:r>
        <w:rPr>
          <w:highlight w:val="none"/>
        </w:rPr>
        <w:t>16)参与项目安全风险评估， 协助技术管理部门制定重大危险有害因素及重大隐 患管控措施。</w:t>
      </w:r>
    </w:p>
    <w:p w14:paraId="20B31450">
      <w:pPr>
        <w:bidi w:val="0"/>
        <w:ind w:firstLine="480" w:firstLineChars="200"/>
        <w:rPr>
          <w:highlight w:val="none"/>
        </w:rPr>
      </w:pPr>
      <w:r>
        <w:rPr>
          <w:highlight w:val="none"/>
        </w:rPr>
        <w:t>17)组织开展“安全生产月” 、“隐患排查治理”及各类安全专项整治活动，活动有 方案，有记录、有总结。</w:t>
      </w:r>
    </w:p>
    <w:p w14:paraId="7749C7E1">
      <w:pPr>
        <w:bidi w:val="0"/>
        <w:ind w:firstLine="480" w:firstLineChars="200"/>
        <w:rPr>
          <w:highlight w:val="none"/>
        </w:rPr>
      </w:pPr>
      <w:r>
        <w:rPr>
          <w:highlight w:val="none"/>
        </w:rPr>
        <w:t>18)牵头编制项目安全专项费用使用总计划、年度计划及月度计划， 统计安全生产措施费用投入情况，配合合同管理部门向业主计量安全生产措施费用。</w:t>
      </w:r>
    </w:p>
    <w:p w14:paraId="62E05E6A">
      <w:pPr>
        <w:bidi w:val="0"/>
        <w:ind w:firstLine="480" w:firstLineChars="200"/>
        <w:rPr>
          <w:highlight w:val="none"/>
        </w:rPr>
      </w:pPr>
      <w:r>
        <w:rPr>
          <w:highlight w:val="none"/>
        </w:rPr>
        <w:t>19)对行业主管部门或上级单位的安全投诉及时处理。针对业主、监理及上级主 管部门在检查中提出的隐患整改意见，及时整改闭合。</w:t>
      </w:r>
    </w:p>
    <w:p w14:paraId="7543D5C2">
      <w:pPr>
        <w:bidi w:val="0"/>
        <w:ind w:firstLine="480" w:firstLineChars="200"/>
        <w:rPr>
          <w:highlight w:val="none"/>
        </w:rPr>
      </w:pPr>
      <w:r>
        <w:rPr>
          <w:highlight w:val="none"/>
        </w:rPr>
        <w:t>20)及时参与事故现场处置， 及时向有关部门报告。配合事故调查处理， 及时落 实整改措施。</w:t>
      </w:r>
    </w:p>
    <w:p w14:paraId="229CFC28">
      <w:pPr>
        <w:bidi w:val="0"/>
        <w:ind w:firstLine="480" w:firstLineChars="200"/>
        <w:rPr>
          <w:highlight w:val="none"/>
        </w:rPr>
      </w:pPr>
      <w:r>
        <w:rPr>
          <w:highlight w:val="none"/>
        </w:rPr>
        <w:t>21)协助上级安全管理部门落实国家注册安全工程师、国家要求取证的安全生产 管理人员的继续教育、取证换证工作，严格执行有关人员持证上岗的规定。</w:t>
      </w:r>
    </w:p>
    <w:p w14:paraId="064C5565">
      <w:pPr>
        <w:bidi w:val="0"/>
        <w:ind w:firstLine="480" w:firstLineChars="200"/>
        <w:rPr>
          <w:highlight w:val="none"/>
        </w:rPr>
      </w:pPr>
      <w:r>
        <w:rPr>
          <w:highlight w:val="none"/>
        </w:rPr>
        <w:t>22)按要求上报各类安全生产信息报表。</w:t>
      </w:r>
    </w:p>
    <w:p w14:paraId="3E078FA3">
      <w:pPr>
        <w:bidi w:val="0"/>
        <w:ind w:firstLine="480" w:firstLineChars="200"/>
        <w:rPr>
          <w:highlight w:val="none"/>
        </w:rPr>
      </w:pPr>
      <w:r>
        <w:rPr>
          <w:highlight w:val="none"/>
        </w:rPr>
        <w:t>④合约部职责</w:t>
      </w:r>
    </w:p>
    <w:p w14:paraId="2F480E09">
      <w:pPr>
        <w:bidi w:val="0"/>
        <w:ind w:firstLine="480" w:firstLineChars="200"/>
        <w:rPr>
          <w:highlight w:val="none"/>
        </w:rPr>
      </w:pPr>
      <w:r>
        <w:rPr>
          <w:highlight w:val="none"/>
        </w:rPr>
        <w:t>1)组织分包招议标及合同审查，确保分包单位具有独立法人资格和相应的资质 等级资格。</w:t>
      </w:r>
    </w:p>
    <w:p w14:paraId="471ABC63">
      <w:pPr>
        <w:bidi w:val="0"/>
        <w:ind w:firstLine="480" w:firstLineChars="200"/>
        <w:rPr>
          <w:highlight w:val="none"/>
        </w:rPr>
      </w:pPr>
      <w:r>
        <w:rPr>
          <w:highlight w:val="none"/>
        </w:rPr>
        <w:t>2)在签订有效的分包合同时，必须同时签订安全生产协议书。</w:t>
      </w:r>
    </w:p>
    <w:p w14:paraId="731AB5E1">
      <w:pPr>
        <w:bidi w:val="0"/>
        <w:ind w:firstLine="480" w:firstLineChars="200"/>
        <w:rPr>
          <w:highlight w:val="none"/>
        </w:rPr>
      </w:pPr>
      <w:r>
        <w:rPr>
          <w:highlight w:val="none"/>
        </w:rPr>
        <w:t>3)协助生产管理部门、安全管理部门做好分包队伍安全管理。</w:t>
      </w:r>
    </w:p>
    <w:p w14:paraId="11275F93">
      <w:pPr>
        <w:bidi w:val="0"/>
        <w:ind w:firstLine="480" w:firstLineChars="200"/>
        <w:rPr>
          <w:highlight w:val="none"/>
        </w:rPr>
      </w:pPr>
      <w:r>
        <w:rPr>
          <w:highlight w:val="none"/>
        </w:rPr>
        <w:t>4)做好安全生产措施费用的计量。</w:t>
      </w:r>
    </w:p>
    <w:p w14:paraId="1861E7DD">
      <w:pPr>
        <w:bidi w:val="0"/>
        <w:ind w:firstLine="480" w:firstLineChars="200"/>
        <w:rPr>
          <w:highlight w:val="none"/>
        </w:rPr>
      </w:pPr>
      <w:r>
        <w:rPr>
          <w:highlight w:val="none"/>
        </w:rPr>
        <w:t>5)使用、管理好本企业安全生产方面的资质证书。</w:t>
      </w:r>
    </w:p>
    <w:p w14:paraId="57D395A6">
      <w:pPr>
        <w:bidi w:val="0"/>
        <w:ind w:firstLine="480" w:firstLineChars="200"/>
        <w:rPr>
          <w:highlight w:val="none"/>
        </w:rPr>
      </w:pPr>
      <w:r>
        <w:rPr>
          <w:highlight w:val="none"/>
        </w:rPr>
        <w:t>6)每月定期收集分包队伍进场人员信息，协助综合办公室对进(退)场劳务人 员进行登记造册。</w:t>
      </w:r>
    </w:p>
    <w:p w14:paraId="5DB6D1F4">
      <w:pPr>
        <w:bidi w:val="0"/>
        <w:ind w:firstLine="480" w:firstLineChars="200"/>
        <w:rPr>
          <w:highlight w:val="none"/>
        </w:rPr>
      </w:pPr>
      <w:r>
        <w:rPr>
          <w:highlight w:val="none"/>
        </w:rPr>
        <w:t>⑤其他部门人员安全生产责任制</w:t>
      </w:r>
    </w:p>
    <w:p w14:paraId="53EB51DA">
      <w:pPr>
        <w:bidi w:val="0"/>
        <w:ind w:firstLine="480" w:firstLineChars="200"/>
        <w:rPr>
          <w:highlight w:val="none"/>
        </w:rPr>
      </w:pPr>
      <w:r>
        <w:rPr>
          <w:highlight w:val="none"/>
        </w:rPr>
        <w:t>负责配合协调现场安全生产工作，给予安全生产最大的支持。</w:t>
      </w:r>
    </w:p>
    <w:p w14:paraId="060F4787">
      <w:pPr>
        <w:bidi w:val="0"/>
        <w:ind w:firstLine="480" w:firstLineChars="200"/>
        <w:rPr>
          <w:highlight w:val="none"/>
        </w:rPr>
      </w:pPr>
      <w:r>
        <w:rPr>
          <w:highlight w:val="none"/>
        </w:rPr>
        <w:t>⑥安全监督人员安全生产责任</w:t>
      </w:r>
    </w:p>
    <w:p w14:paraId="66E8FF35">
      <w:pPr>
        <w:bidi w:val="0"/>
        <w:ind w:firstLine="480" w:firstLineChars="200"/>
        <w:rPr>
          <w:highlight w:val="none"/>
        </w:rPr>
      </w:pPr>
      <w:r>
        <w:rPr>
          <w:highlight w:val="none"/>
        </w:rPr>
        <w:t>1)负责监督施工现场安全管理制度及各项管理规定的贯彻实施，落实现场安全生产奖罚制度。</w:t>
      </w:r>
    </w:p>
    <w:p w14:paraId="44B45354">
      <w:pPr>
        <w:bidi w:val="0"/>
        <w:ind w:firstLine="480" w:firstLineChars="200"/>
        <w:rPr>
          <w:highlight w:val="none"/>
        </w:rPr>
      </w:pPr>
      <w:r>
        <w:rPr>
          <w:highlight w:val="none"/>
        </w:rPr>
        <w:t>2)进行日常安全检查，发现隐患及时上报安监部长，并要求现场技术人员及时 进行整改，跟踪落实各类事故隐患的整改。</w:t>
      </w:r>
    </w:p>
    <w:p w14:paraId="492D8DEA">
      <w:pPr>
        <w:bidi w:val="0"/>
        <w:ind w:firstLine="480" w:firstLineChars="200"/>
        <w:rPr>
          <w:highlight w:val="none"/>
        </w:rPr>
      </w:pPr>
      <w:r>
        <w:rPr>
          <w:highlight w:val="none"/>
        </w:rPr>
        <w:t>3)督促现场所有人员按要求穿戴好劳动防护用品，检查各项安全防护措施的有 效性， 有权制止他人的违规行为， 发现重大隐患要求现场立即整改， 并及时向安监部长和现场负责人报告。</w:t>
      </w:r>
    </w:p>
    <w:p w14:paraId="2E918D03">
      <w:pPr>
        <w:bidi w:val="0"/>
        <w:ind w:firstLine="480" w:firstLineChars="200"/>
        <w:rPr>
          <w:highlight w:val="none"/>
        </w:rPr>
      </w:pPr>
      <w:r>
        <w:rPr>
          <w:highlight w:val="none"/>
        </w:rPr>
        <w:t>4)负责各班组的安全教育和管理，协助相关部门抓好各班组、设备的资质管理 和相关证照把关，施工过程中加强督促检查，控制各班组、设备的事故发生率。</w:t>
      </w:r>
    </w:p>
    <w:p w14:paraId="5E327852">
      <w:pPr>
        <w:bidi w:val="0"/>
        <w:ind w:firstLine="480" w:firstLineChars="200"/>
        <w:rPr>
          <w:highlight w:val="none"/>
        </w:rPr>
      </w:pPr>
      <w:r>
        <w:rPr>
          <w:highlight w:val="none"/>
        </w:rPr>
        <w:t>5)组织开展安全教育和培训工作，对特殊工种作业人员把好外培质量关，确保 特殊工种的安全技术素质，确保持证上岗。</w:t>
      </w:r>
    </w:p>
    <w:p w14:paraId="5B155810">
      <w:pPr>
        <w:bidi w:val="0"/>
        <w:ind w:firstLine="480" w:firstLineChars="200"/>
        <w:rPr>
          <w:highlight w:val="none"/>
        </w:rPr>
      </w:pPr>
      <w:r>
        <w:rPr>
          <w:highlight w:val="none"/>
        </w:rPr>
        <w:t>6)组织召开现场安全会议和开展各类安全活动。</w:t>
      </w:r>
    </w:p>
    <w:p w14:paraId="35B4EC81">
      <w:pPr>
        <w:bidi w:val="0"/>
        <w:ind w:firstLine="480" w:firstLineChars="200"/>
        <w:rPr>
          <w:highlight w:val="none"/>
        </w:rPr>
      </w:pPr>
      <w:r>
        <w:rPr>
          <w:highlight w:val="none"/>
        </w:rPr>
        <w:t>7)重点抓好施工的季节性安全防范措施的现场落实工作。</w:t>
      </w:r>
    </w:p>
    <w:p w14:paraId="7ABC3186">
      <w:pPr>
        <w:bidi w:val="0"/>
        <w:ind w:firstLine="480" w:firstLineChars="200"/>
        <w:rPr>
          <w:highlight w:val="none"/>
        </w:rPr>
      </w:pPr>
      <w:r>
        <w:rPr>
          <w:highlight w:val="none"/>
        </w:rPr>
        <w:t>8) 及时传达上级主管部门对施工现场有关安全生产的指令， 抓好现场落实工作。</w:t>
      </w:r>
    </w:p>
    <w:p w14:paraId="3C615F8D">
      <w:pPr>
        <w:bidi w:val="0"/>
        <w:ind w:firstLine="480" w:firstLineChars="200"/>
        <w:rPr>
          <w:highlight w:val="none"/>
        </w:rPr>
      </w:pPr>
      <w:r>
        <w:rPr>
          <w:highlight w:val="none"/>
        </w:rPr>
        <w:t>9)发现事故，立即上报现场负责人，并采取有效措施防止事故扩大及蔓延，参 加各类事故(包括事故险兆)的调查、分析和处理。</w:t>
      </w:r>
    </w:p>
    <w:p w14:paraId="1ECE9933">
      <w:pPr>
        <w:bidi w:val="0"/>
        <w:ind w:firstLine="480" w:firstLineChars="200"/>
        <w:rPr>
          <w:highlight w:val="none"/>
        </w:rPr>
      </w:pPr>
      <w:r>
        <w:rPr>
          <w:highlight w:val="none"/>
        </w:rPr>
        <w:t>10)完成领导临时交办的工作任务。</w:t>
      </w:r>
    </w:p>
    <w:p w14:paraId="02B97089">
      <w:pPr>
        <w:bidi w:val="0"/>
        <w:ind w:firstLine="480" w:firstLineChars="200"/>
        <w:rPr>
          <w:highlight w:val="none"/>
        </w:rPr>
      </w:pPr>
      <w:r>
        <w:rPr>
          <w:highlight w:val="none"/>
        </w:rPr>
        <w:t>⑦班(组)长安全生产责任</w:t>
      </w:r>
    </w:p>
    <w:p w14:paraId="35C7C02D">
      <w:pPr>
        <w:bidi w:val="0"/>
        <w:ind w:firstLine="480" w:firstLineChars="200"/>
        <w:rPr>
          <w:highlight w:val="none"/>
        </w:rPr>
      </w:pPr>
      <w:r>
        <w:rPr>
          <w:highlight w:val="none"/>
        </w:rPr>
        <w:t>1)带领本班组员工认真落实上级安全生产规章制度，严格执行安全管理标准和 操作规程，遵守劳动纪律，制止“三违”行为。</w:t>
      </w:r>
    </w:p>
    <w:p w14:paraId="4D6EBD71">
      <w:pPr>
        <w:bidi w:val="0"/>
        <w:ind w:firstLine="480" w:firstLineChars="200"/>
        <w:rPr>
          <w:highlight w:val="none"/>
        </w:rPr>
      </w:pPr>
      <w:r>
        <w:rPr>
          <w:highlight w:val="none"/>
        </w:rPr>
        <w:t>2)认真坚持“三工”  (工前交代、工中检查、工后讲评)制度，积极开展班组安 全生产活动，做好班组安全活动记录和交接班记录。</w:t>
      </w:r>
    </w:p>
    <w:p w14:paraId="56E2E8F4">
      <w:pPr>
        <w:bidi w:val="0"/>
        <w:ind w:firstLine="480" w:firstLineChars="200"/>
        <w:rPr>
          <w:highlight w:val="none"/>
        </w:rPr>
      </w:pPr>
      <w:r>
        <w:rPr>
          <w:highlight w:val="none"/>
        </w:rPr>
        <w:t>3)认真组织安全生产和技术学习，不断提高班组人员安全技能素质，做好施工 过程中安全生产检查。及时制止员工违章行为， 消除事故隐患。 本班组不能处理事故 隐患及时向上级领导报告。</w:t>
      </w:r>
    </w:p>
    <w:p w14:paraId="09DE2FA3">
      <w:pPr>
        <w:bidi w:val="0"/>
        <w:ind w:firstLine="480" w:firstLineChars="200"/>
        <w:rPr>
          <w:highlight w:val="none"/>
        </w:rPr>
      </w:pPr>
      <w:r>
        <w:rPr>
          <w:highlight w:val="none"/>
        </w:rPr>
        <w:t>4)自觉接受上级领导和安检人员监督检查，对检查中提出的问题及时进行整改 不留隐患。</w:t>
      </w:r>
    </w:p>
    <w:p w14:paraId="7F9BE45A">
      <w:pPr>
        <w:bidi w:val="0"/>
        <w:ind w:firstLine="480" w:firstLineChars="200"/>
        <w:rPr>
          <w:rFonts w:hint="default"/>
          <w:highlight w:val="none"/>
          <w:lang w:val="en-US" w:eastAsia="zh-CN"/>
        </w:rPr>
      </w:pPr>
      <w:r>
        <w:rPr>
          <w:highlight w:val="none"/>
        </w:rPr>
        <w:t>5)认真执行安全技术交底制度，对不具备安全生产条件，人身安全得不到保障 工程任务，有权拒绝施工， 必要时可越级向上级领导或安检部门反映， 待问题解决后方可复工。</w:t>
      </w:r>
    </w:p>
    <w:p w14:paraId="670D3EC5">
      <w:pPr>
        <w:bidi w:val="0"/>
        <w:ind w:firstLine="480" w:firstLineChars="200"/>
        <w:rPr>
          <w:highlight w:val="none"/>
        </w:rPr>
      </w:pPr>
      <w:r>
        <w:rPr>
          <w:highlight w:val="none"/>
        </w:rPr>
        <w:t>6)对发现违章指挥、违章作业行为不予制止以及发现事故隐患不及时消除而导 致人身伤亡事故，承担直接领导责任。</w:t>
      </w:r>
    </w:p>
    <w:p w14:paraId="7B2D79FA">
      <w:pPr>
        <w:bidi w:val="0"/>
        <w:ind w:firstLine="480" w:firstLineChars="200"/>
        <w:rPr>
          <w:highlight w:val="none"/>
        </w:rPr>
      </w:pPr>
      <w:r>
        <w:rPr>
          <w:highlight w:val="none"/>
        </w:rPr>
        <w:t>⑨施工作业人员安全生产责任</w:t>
      </w:r>
    </w:p>
    <w:p w14:paraId="5775196E">
      <w:pPr>
        <w:bidi w:val="0"/>
        <w:ind w:firstLine="480" w:firstLineChars="200"/>
        <w:rPr>
          <w:highlight w:val="none"/>
        </w:rPr>
      </w:pPr>
      <w:r>
        <w:rPr>
          <w:highlight w:val="none"/>
        </w:rPr>
        <w:t>1)在班组长直接领导下积极参加各项安全活动，刻苦学习安全技术知识，不断 提高安全操作技能。</w:t>
      </w:r>
    </w:p>
    <w:p w14:paraId="35FA2C1C">
      <w:pPr>
        <w:bidi w:val="0"/>
        <w:ind w:firstLine="480" w:firstLineChars="200"/>
        <w:rPr>
          <w:highlight w:val="none"/>
        </w:rPr>
      </w:pPr>
      <w:r>
        <w:rPr>
          <w:highlight w:val="none"/>
        </w:rPr>
        <w:t>2)自觉遵守安全生产规章制度和操作规程，严格按照安全技术交底施工，按规 定佩戴劳动防护用品。在施工作业中做到不伤害他人，不伤害自己，不被他人伤害， 同时有责任劝阻他人违章作业。</w:t>
      </w:r>
    </w:p>
    <w:p w14:paraId="6E35D6C7">
      <w:pPr>
        <w:bidi w:val="0"/>
        <w:ind w:firstLine="480" w:firstLineChars="200"/>
        <w:rPr>
          <w:highlight w:val="none"/>
        </w:rPr>
      </w:pPr>
      <w:r>
        <w:rPr>
          <w:highlight w:val="none"/>
        </w:rPr>
        <w:t>3)爱护和正确使用机械设备、工具及劳动保护用品、防护用具；对成品、半成 品、材料及废料等按指定地点堆放整齐，做到文明施工。</w:t>
      </w:r>
    </w:p>
    <w:p w14:paraId="67D4D470">
      <w:pPr>
        <w:bidi w:val="0"/>
        <w:ind w:firstLine="480" w:firstLineChars="200"/>
        <w:rPr>
          <w:highlight w:val="none"/>
        </w:rPr>
      </w:pPr>
      <w:r>
        <w:rPr>
          <w:highlight w:val="none"/>
        </w:rPr>
        <w:t>4)作业前对使用机具、机械、电器设备、作业环境安全情况进行认真检查，发 现问题及时处理或向领导报告。</w:t>
      </w:r>
    </w:p>
    <w:p w14:paraId="3EF93BDF">
      <w:pPr>
        <w:bidi w:val="0"/>
        <w:ind w:firstLine="480" w:firstLineChars="200"/>
        <w:rPr>
          <w:highlight w:val="none"/>
        </w:rPr>
      </w:pPr>
      <w:r>
        <w:rPr>
          <w:highlight w:val="none"/>
        </w:rPr>
        <w:t>5)从事特种作业人员和技术工种人员积极参加培训，掌握本岗位操作技能，取 得特种作业资格，做到持证上岗。</w:t>
      </w:r>
    </w:p>
    <w:p w14:paraId="6F2B0FE4">
      <w:pPr>
        <w:bidi w:val="0"/>
        <w:ind w:firstLine="480" w:firstLineChars="200"/>
        <w:rPr>
          <w:highlight w:val="none"/>
        </w:rPr>
      </w:pPr>
      <w:r>
        <w:rPr>
          <w:highlight w:val="none"/>
        </w:rPr>
        <w:t>6)对施工现场不具备安全生产条件，有权建议改进，对违章指挥，强令冒险作 业，有权拒绝执行， 对危害生命安全和身体健康的行为， 有权提出批评、检举和控告。</w:t>
      </w:r>
    </w:p>
    <w:p w14:paraId="38DE0C97">
      <w:pPr>
        <w:bidi w:val="0"/>
        <w:ind w:firstLine="480" w:firstLineChars="200"/>
        <w:rPr>
          <w:highlight w:val="none"/>
        </w:rPr>
      </w:pPr>
      <w:r>
        <w:rPr>
          <w:highlight w:val="none"/>
        </w:rPr>
        <w:t>7)对因违章操作、盲目蛮干或不听指挥而造成本人及他人人身伤害事故和经济 损失承担直接责任。</w:t>
      </w:r>
    </w:p>
    <w:p w14:paraId="2C5AAE1C">
      <w:pPr>
        <w:pStyle w:val="3"/>
        <w:bidi w:val="0"/>
        <w:ind w:left="575" w:leftChars="0" w:hanging="575" w:firstLineChars="0"/>
      </w:pPr>
      <w:bookmarkStart w:id="248" w:name="_Toc10366"/>
      <w:r>
        <w:rPr>
          <w:rFonts w:hint="eastAsia"/>
        </w:rPr>
        <w:t xml:space="preserve"> </w:t>
      </w:r>
      <w:bookmarkStart w:id="249" w:name="_Toc8047"/>
      <w:r>
        <w:rPr>
          <w:rFonts w:hint="eastAsia"/>
        </w:rPr>
        <w:t>制度保障措施</w:t>
      </w:r>
      <w:bookmarkEnd w:id="245"/>
      <w:bookmarkEnd w:id="246"/>
      <w:bookmarkEnd w:id="248"/>
      <w:bookmarkEnd w:id="249"/>
    </w:p>
    <w:bookmarkEnd w:id="247"/>
    <w:p w14:paraId="5599593D">
      <w:pPr>
        <w:bidi w:val="0"/>
        <w:ind w:firstLine="480" w:firstLineChars="20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建立完善的进场验收及检查制度。对进场设备严格执行进场验收，不合格设备材料，不予进场；实行作业前检查制度，对不合格材料、零部件不得使用并及时更换。</w:t>
      </w:r>
    </w:p>
    <w:p w14:paraId="3AFEF059">
      <w:pPr>
        <w:bidi w:val="0"/>
        <w:ind w:firstLine="480" w:firstLineChars="200"/>
        <w:rPr>
          <w:rFonts w:hint="eastAsia"/>
          <w:highlight w:val="none"/>
        </w:rPr>
      </w:pPr>
      <w:r>
        <w:rPr>
          <w:rFonts w:hint="eastAsia" w:ascii="宋体" w:hAnsi="宋体" w:eastAsia="宋体" w:cs="宋体"/>
          <w:color w:val="000000"/>
          <w:kern w:val="0"/>
          <w:sz w:val="24"/>
          <w:szCs w:val="24"/>
          <w:highlight w:val="none"/>
          <w:lang w:val="en-US" w:eastAsia="zh-CN" w:bidi="ar"/>
        </w:rPr>
        <w:t>（2）实行逐级安全技术交底制，由经理部组织有关人员进行详细安全技术交底，凡参加安全技术交底的人员要履行签字手续，并保存资料。项目经理部专职监察工程师对安全技术措施的执行情况进行监督检查，并</w:t>
      </w:r>
      <w:r>
        <w:rPr>
          <w:rFonts w:hint="eastAsia" w:cs="宋体"/>
          <w:color w:val="000000"/>
          <w:kern w:val="0"/>
          <w:sz w:val="24"/>
          <w:szCs w:val="24"/>
          <w:highlight w:val="none"/>
          <w:lang w:val="en-US" w:eastAsia="zh-CN" w:bidi="ar"/>
        </w:rPr>
        <w:t>做好</w:t>
      </w:r>
      <w:r>
        <w:rPr>
          <w:rFonts w:hint="eastAsia" w:ascii="宋体" w:hAnsi="宋体" w:eastAsia="宋体" w:cs="宋体"/>
          <w:color w:val="000000"/>
          <w:kern w:val="0"/>
          <w:sz w:val="24"/>
          <w:szCs w:val="24"/>
          <w:highlight w:val="none"/>
          <w:lang w:val="en-US" w:eastAsia="zh-CN" w:bidi="ar"/>
        </w:rPr>
        <w:t>记录和反馈信息。</w:t>
      </w:r>
    </w:p>
    <w:p w14:paraId="55F659B4">
      <w:pPr>
        <w:bidi w:val="0"/>
        <w:ind w:firstLine="48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建立和贯彻执行安全教育制度。对进场人员进行岗前教育和三级教育，使用安装作业安全教育，并做好记录存档</w:t>
      </w:r>
      <w:r>
        <w:rPr>
          <w:rFonts w:hint="eastAsia"/>
          <w:highlight w:val="none"/>
          <w:lang w:eastAsia="zh-CN"/>
        </w:rPr>
        <w:t>。</w:t>
      </w:r>
    </w:p>
    <w:p w14:paraId="46FDBD58">
      <w:pPr>
        <w:bidi w:val="0"/>
        <w:ind w:firstLine="480" w:firstLineChars="200"/>
        <w:rPr>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highlight w:val="none"/>
        </w:rPr>
        <w:t>危险性较大分部分项工程安全专项方案编制审批制度</w:t>
      </w:r>
      <w:r>
        <w:rPr>
          <w:rFonts w:hint="eastAsia"/>
          <w:highlight w:val="none"/>
          <w:lang w:eastAsia="zh-CN"/>
        </w:rPr>
        <w:t>。</w:t>
      </w:r>
      <w:r>
        <w:rPr>
          <w:highlight w:val="none"/>
        </w:rPr>
        <w:t>危险性较大的分部分项工程开工前，由项目总工程师组织工程、安</w:t>
      </w:r>
      <w:r>
        <w:rPr>
          <w:rFonts w:hint="eastAsia"/>
          <w:highlight w:val="none"/>
          <w:lang w:val="en-US" w:eastAsia="zh-CN"/>
        </w:rPr>
        <w:t>监</w:t>
      </w:r>
      <w:r>
        <w:rPr>
          <w:highlight w:val="none"/>
        </w:rPr>
        <w:t>及质检等部门的专业技术人员编制专项方案并按照归属关系及时将编制的专项方案报送公司或 分(子)公司总工办审核。超过一定规模的危险性较大分部分项工程安全专项方案编制后，项目部应组织有关专家对方案进行论证，并根据专家组提供的论证报告修改完善专项方案，并经目总监理工程师、建设单位项目负责人签字后，方可组织实施。</w:t>
      </w:r>
    </w:p>
    <w:p w14:paraId="16E2EA67">
      <w:pPr>
        <w:bidi w:val="0"/>
        <w:ind w:firstLine="480" w:firstLineChars="200"/>
        <w:rPr>
          <w:rFonts w:hint="eastAsia" w:ascii="宋体" w:hAnsi="宋体" w:eastAsia="宋体" w:cs="Times New Roman"/>
          <w:highlight w:val="none"/>
          <w:lang w:val="en-US" w:eastAsia="zh-CN"/>
        </w:rPr>
      </w:pPr>
      <w:r>
        <w:rPr>
          <w:rFonts w:hint="eastAsia"/>
          <w:highlight w:val="none"/>
          <w:lang w:val="en-US" w:eastAsia="zh-CN"/>
        </w:rPr>
        <w:t>（5）</w:t>
      </w:r>
      <w:r>
        <w:rPr>
          <w:highlight w:val="none"/>
        </w:rPr>
        <w:t>危险作业</w:t>
      </w:r>
      <w:r>
        <w:rPr>
          <w:rFonts w:hint="eastAsia"/>
          <w:highlight w:val="none"/>
          <w:lang w:val="en-US" w:eastAsia="zh-CN"/>
        </w:rPr>
        <w:t>许可</w:t>
      </w:r>
      <w:r>
        <w:rPr>
          <w:highlight w:val="none"/>
        </w:rPr>
        <w:t>制度</w:t>
      </w:r>
      <w:r>
        <w:rPr>
          <w:rFonts w:hint="eastAsia"/>
          <w:highlight w:val="none"/>
          <w:lang w:eastAsia="zh-CN"/>
        </w:rPr>
        <w:t>。</w:t>
      </w:r>
      <w:r>
        <w:rPr>
          <w:rFonts w:ascii="宋体" w:hAnsi="宋体" w:eastAsia="宋体" w:cs="Times New Roman"/>
          <w:highlight w:val="none"/>
        </w:rPr>
        <w:t>项目实施前，项目</w:t>
      </w:r>
      <w:r>
        <w:rPr>
          <w:rFonts w:hint="eastAsia" w:ascii="宋体" w:hAnsi="宋体" w:eastAsia="宋体" w:cs="Times New Roman"/>
          <w:highlight w:val="none"/>
        </w:rPr>
        <w:t>经理</w:t>
      </w:r>
      <w:r>
        <w:rPr>
          <w:rFonts w:ascii="宋体" w:hAnsi="宋体" w:eastAsia="宋体" w:cs="Times New Roman"/>
          <w:highlight w:val="none"/>
        </w:rPr>
        <w:t>部生产管理部门应根据危险源辨识情况，确定项目中存在的危险作业,并作为现场安全管控重点，做好相关的安全技术措施准备工作。危险作业计划施工时，负责该施工作业的工长</w:t>
      </w:r>
      <w:r>
        <w:rPr>
          <w:rFonts w:hint="eastAsia" w:ascii="宋体" w:hAnsi="宋体" w:eastAsia="宋体" w:cs="Times New Roman"/>
          <w:highlight w:val="none"/>
        </w:rPr>
        <w:t>（项目现场总监）</w:t>
      </w:r>
      <w:r>
        <w:rPr>
          <w:rFonts w:ascii="宋体" w:hAnsi="宋体" w:eastAsia="宋体" w:cs="Times New Roman"/>
          <w:highlight w:val="none"/>
        </w:rPr>
        <w:t>或工程管理人员应于施工前至少7日，向现场的生产</w:t>
      </w:r>
      <w:r>
        <w:rPr>
          <w:rFonts w:hint="eastAsia" w:ascii="宋体" w:hAnsi="宋体" w:eastAsia="宋体" w:cs="Times New Roman"/>
          <w:highlight w:val="none"/>
        </w:rPr>
        <w:t>副</w:t>
      </w:r>
      <w:r>
        <w:rPr>
          <w:rFonts w:ascii="宋体" w:hAnsi="宋体" w:eastAsia="宋体" w:cs="Times New Roman"/>
          <w:highlight w:val="none"/>
        </w:rPr>
        <w:t>经理提出作业申请。接到危险作业施工申请后，生产</w:t>
      </w:r>
      <w:r>
        <w:rPr>
          <w:rFonts w:hint="eastAsia" w:ascii="宋体" w:hAnsi="宋体" w:eastAsia="宋体" w:cs="Times New Roman"/>
          <w:highlight w:val="none"/>
        </w:rPr>
        <w:t>副</w:t>
      </w:r>
      <w:r>
        <w:rPr>
          <w:rFonts w:ascii="宋体" w:hAnsi="宋体" w:eastAsia="宋体" w:cs="Times New Roman"/>
          <w:highlight w:val="none"/>
        </w:rPr>
        <w:t>经理应会同技术负责人、</w:t>
      </w:r>
      <w:r>
        <w:rPr>
          <w:rFonts w:hint="eastAsia" w:ascii="宋体" w:hAnsi="宋体" w:eastAsia="宋体" w:cs="Times New Roman"/>
          <w:highlight w:val="none"/>
        </w:rPr>
        <w:t>分管设备副经理、</w:t>
      </w:r>
      <w:r>
        <w:rPr>
          <w:rFonts w:ascii="宋体" w:hAnsi="宋体" w:eastAsia="宋体" w:cs="Times New Roman"/>
          <w:highlight w:val="none"/>
        </w:rPr>
        <w:t>安全总监组织班组长、</w:t>
      </w:r>
      <w:r>
        <w:rPr>
          <w:rFonts w:hint="eastAsia" w:ascii="宋体" w:hAnsi="宋体" w:eastAsia="宋体" w:cs="Times New Roman"/>
          <w:highlight w:val="none"/>
        </w:rPr>
        <w:t>生产</w:t>
      </w:r>
      <w:r>
        <w:rPr>
          <w:rFonts w:ascii="宋体" w:hAnsi="宋体" w:eastAsia="宋体" w:cs="Times New Roman"/>
          <w:highlight w:val="none"/>
        </w:rPr>
        <w:t>、技术、质量、</w:t>
      </w:r>
      <w:r>
        <w:rPr>
          <w:rFonts w:hint="eastAsia" w:ascii="宋体" w:hAnsi="宋体" w:eastAsia="宋体" w:cs="Times New Roman"/>
          <w:highlight w:val="none"/>
        </w:rPr>
        <w:t>设备</w:t>
      </w:r>
      <w:r>
        <w:rPr>
          <w:rFonts w:ascii="宋体" w:hAnsi="宋体" w:eastAsia="宋体" w:cs="Times New Roman"/>
          <w:highlight w:val="none"/>
        </w:rPr>
        <w:t>、安全等管理部门进行现场作业条件确认。项目技术负责人、生产</w:t>
      </w:r>
      <w:r>
        <w:rPr>
          <w:rFonts w:hint="eastAsia" w:ascii="宋体" w:hAnsi="宋体" w:eastAsia="宋体" w:cs="Times New Roman"/>
          <w:highlight w:val="none"/>
        </w:rPr>
        <w:t>副</w:t>
      </w:r>
      <w:r>
        <w:rPr>
          <w:rFonts w:ascii="宋体" w:hAnsi="宋体" w:eastAsia="宋体" w:cs="Times New Roman"/>
          <w:highlight w:val="none"/>
        </w:rPr>
        <w:t>经理</w:t>
      </w:r>
      <w:r>
        <w:rPr>
          <w:rFonts w:hint="eastAsia" w:ascii="宋体" w:hAnsi="宋体" w:eastAsia="宋体" w:cs="Times New Roman"/>
          <w:highlight w:val="none"/>
        </w:rPr>
        <w:t>、分管设备副经理</w:t>
      </w:r>
      <w:r>
        <w:rPr>
          <w:rFonts w:ascii="宋体" w:hAnsi="宋体" w:eastAsia="宋体" w:cs="Times New Roman"/>
          <w:highlight w:val="none"/>
        </w:rPr>
        <w:t>和安全总监应当根据检查结果对作业条件进行复核。技术负责人负责有关工程技术质量内容的检查复核，</w:t>
      </w:r>
      <w:r>
        <w:rPr>
          <w:rFonts w:hint="eastAsia" w:ascii="宋体" w:hAnsi="宋体" w:eastAsia="宋体" w:cs="Times New Roman"/>
          <w:highlight w:val="none"/>
        </w:rPr>
        <w:t>分管设备副</w:t>
      </w:r>
      <w:r>
        <w:rPr>
          <w:rFonts w:ascii="宋体" w:hAnsi="宋体" w:eastAsia="宋体" w:cs="Times New Roman"/>
          <w:highlight w:val="none"/>
        </w:rPr>
        <w:t>经理负责设备</w:t>
      </w:r>
      <w:r>
        <w:rPr>
          <w:rFonts w:hint="eastAsia" w:ascii="宋体" w:hAnsi="宋体" w:eastAsia="宋体" w:cs="Times New Roman"/>
          <w:highlight w:val="none"/>
        </w:rPr>
        <w:t>的检查复核，生产副经理负责</w:t>
      </w:r>
      <w:r>
        <w:rPr>
          <w:rFonts w:ascii="宋体" w:hAnsi="宋体" w:eastAsia="宋体" w:cs="Times New Roman"/>
          <w:highlight w:val="none"/>
        </w:rPr>
        <w:t>安全防护设施的检查复核，安全总监负责监督现场条件确认的落实情况。</w:t>
      </w:r>
    </w:p>
    <w:p w14:paraId="7D6D5406">
      <w:pPr>
        <w:keepNext w:val="0"/>
        <w:keepLines w:val="0"/>
        <w:widowControl/>
        <w:suppressLineNumbers w:val="0"/>
        <w:ind w:firstLine="480" w:firstLineChars="200"/>
        <w:jc w:val="left"/>
        <w:rPr>
          <w:highlight w:val="none"/>
        </w:rPr>
      </w:pPr>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ascii="Times New Roman" w:hAnsi="Times New Roman" w:eastAsia="宋体" w:cs="Times New Roman"/>
          <w:highlight w:val="none"/>
          <w:lang w:val="en-US" w:eastAsia="zh-CN"/>
        </w:rPr>
        <w:t>安全风险分级管控制度。</w:t>
      </w:r>
      <w:r>
        <w:rPr>
          <w:rFonts w:hint="eastAsia" w:ascii="宋体" w:hAnsi="宋体" w:eastAsia="宋体" w:cs="宋体"/>
          <w:color w:val="000000"/>
          <w:kern w:val="0"/>
          <w:sz w:val="24"/>
          <w:szCs w:val="24"/>
          <w:highlight w:val="none"/>
          <w:lang w:val="en-US" w:eastAsia="zh-CN" w:bidi="ar"/>
        </w:rPr>
        <w:t xml:space="preserve">安全生产风险管控遵循风险级别越高管控层级越高的原则，并符合下列要求： </w:t>
      </w:r>
    </w:p>
    <w:p w14:paraId="7B9BF1E8">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a</w:t>
      </w:r>
      <w:r>
        <w:rPr>
          <w:rFonts w:hint="eastAsia" w:ascii="宋体" w:hAnsi="宋体" w:eastAsia="宋体" w:cs="宋体"/>
          <w:color w:val="000000"/>
          <w:kern w:val="0"/>
          <w:sz w:val="24"/>
          <w:szCs w:val="24"/>
          <w:highlight w:val="none"/>
          <w:lang w:val="en-US" w:eastAsia="zh-CN" w:bidi="ar"/>
        </w:rPr>
        <w:t xml:space="preserve">、对于较大风险和重大风险应重点进行管控； </w:t>
      </w:r>
    </w:p>
    <w:p w14:paraId="4CF1E0C9">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b</w:t>
      </w:r>
      <w:r>
        <w:rPr>
          <w:rFonts w:hint="eastAsia" w:ascii="宋体" w:hAnsi="宋体" w:eastAsia="宋体" w:cs="宋体"/>
          <w:color w:val="000000"/>
          <w:kern w:val="0"/>
          <w:sz w:val="24"/>
          <w:szCs w:val="24"/>
          <w:highlight w:val="none"/>
          <w:lang w:val="en-US" w:eastAsia="zh-CN" w:bidi="ar"/>
        </w:rPr>
        <w:t xml:space="preserve">、上一级负责管控的施工安全风险，下一级必须同时负责具体管控，并逐级落实具体措施； </w:t>
      </w:r>
    </w:p>
    <w:p w14:paraId="27338968">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c</w:t>
      </w:r>
      <w:r>
        <w:rPr>
          <w:rFonts w:hint="eastAsia" w:ascii="宋体" w:hAnsi="宋体" w:eastAsia="宋体" w:cs="宋体"/>
          <w:color w:val="000000"/>
          <w:kern w:val="0"/>
          <w:sz w:val="24"/>
          <w:szCs w:val="24"/>
          <w:highlight w:val="none"/>
          <w:lang w:val="en-US" w:eastAsia="zh-CN" w:bidi="ar"/>
        </w:rPr>
        <w:t xml:space="preserve">、管控层级可进行增加或提级； </w:t>
      </w:r>
    </w:p>
    <w:p w14:paraId="2C795EA4">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d</w:t>
      </w:r>
      <w:r>
        <w:rPr>
          <w:rFonts w:hint="eastAsia" w:ascii="宋体" w:hAnsi="宋体" w:eastAsia="宋体" w:cs="宋体"/>
          <w:color w:val="000000"/>
          <w:kern w:val="0"/>
          <w:sz w:val="24"/>
          <w:szCs w:val="24"/>
          <w:highlight w:val="none"/>
          <w:lang w:val="en-US" w:eastAsia="zh-CN" w:bidi="ar"/>
        </w:rPr>
        <w:t>、风险管控采取公示告知、组织编制并落实专项施工方案、带班跟班作业、上级监督检查等方式予以管控。</w:t>
      </w:r>
    </w:p>
    <w:p w14:paraId="7CDD4499">
      <w:pPr>
        <w:bidi w:val="0"/>
        <w:ind w:firstLine="480" w:firstLineChars="200"/>
        <w:rPr>
          <w:highlight w:val="none"/>
        </w:rPr>
      </w:pPr>
      <w:r>
        <w:rPr>
          <w:rFonts w:hint="eastAsia"/>
          <w:highlight w:val="none"/>
          <w:lang w:val="en-US" w:eastAsia="zh-CN"/>
        </w:rPr>
        <w:t>项目部应加强安全生产风险的现场监控，明确分管领导、现场负责人，配齐生产、技术、安全、设备、班组长等相关人员，做好领导带班生产、管理人员跟班作业等，结合日常各项工作，实行网格化管理，实施监测预警，在相应方案中明确监控对象、监测指标及阈值、分级预警及处置流程等，按方案进行风险预警处置。较大风险（Ⅲ级）点、重大风险（</w:t>
      </w:r>
      <w:r>
        <w:rPr>
          <w:rFonts w:hint="default"/>
          <w:highlight w:val="none"/>
          <w:lang w:val="en-US" w:eastAsia="zh-CN"/>
        </w:rPr>
        <w:t>IV</w:t>
      </w:r>
      <w:r>
        <w:rPr>
          <w:rFonts w:hint="eastAsia"/>
          <w:highlight w:val="none"/>
          <w:lang w:val="en-US" w:eastAsia="zh-CN"/>
        </w:rPr>
        <w:t>级）点由生产管理部督促安装远程视频监控，分别接入分子公司、公司生产指挥中心。</w:t>
      </w:r>
    </w:p>
    <w:p w14:paraId="7B854CE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（8）事故隐患排查治理制度</w:t>
      </w:r>
    </w:p>
    <w:p w14:paraId="7FDA02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一般事故隐患由项目部安全管理部门和检查部门督促责任工区、责任部门或者责任分包作业单位整改落实，并组织验收。</w:t>
      </w:r>
    </w:p>
    <w:p w14:paraId="53CE5FB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重大事故隐患由项目主要负责人组织制定、实施事故隐患 治理方案，并组织验收；安全管理部门负责督促整改落实。重 大事故隐患治理方案应当包括以下内容：</w:t>
      </w:r>
    </w:p>
    <w:p w14:paraId="71C41332">
      <w:pPr>
        <w:bidi w:val="0"/>
        <w:ind w:firstLine="480" w:firstLineChars="200"/>
        <w:rPr>
          <w:rFonts w:hint="eastAsia"/>
          <w:highlight w:val="none"/>
          <w:lang w:val="en-US" w:eastAsia="zh-CN"/>
        </w:rPr>
      </w:pPr>
      <w:bookmarkStart w:id="250" w:name="（一）治理的目标和任务；"/>
      <w:bookmarkEnd w:id="250"/>
      <w:r>
        <w:rPr>
          <w:rFonts w:hint="eastAsia"/>
          <w:highlight w:val="none"/>
          <w:lang w:val="en-US" w:eastAsia="zh-CN"/>
        </w:rPr>
        <w:t>（一）治理的目标和任务；</w:t>
      </w:r>
    </w:p>
    <w:p w14:paraId="544E3A26">
      <w:pPr>
        <w:bidi w:val="0"/>
        <w:ind w:firstLine="480" w:firstLineChars="200"/>
        <w:rPr>
          <w:rFonts w:hint="eastAsia"/>
          <w:highlight w:val="none"/>
          <w:lang w:val="en-US" w:eastAsia="zh-CN"/>
        </w:rPr>
      </w:pPr>
      <w:bookmarkStart w:id="251" w:name="（二）采取的方法和措施；"/>
      <w:bookmarkEnd w:id="251"/>
      <w:r>
        <w:rPr>
          <w:rFonts w:hint="eastAsia"/>
          <w:highlight w:val="none"/>
          <w:lang w:val="en-US" w:eastAsia="zh-CN"/>
        </w:rPr>
        <w:t>（二）采取的方法和措施；</w:t>
      </w:r>
    </w:p>
    <w:p w14:paraId="3F84DE8C">
      <w:pPr>
        <w:bidi w:val="0"/>
        <w:ind w:firstLine="480" w:firstLineChars="200"/>
        <w:rPr>
          <w:rFonts w:hint="eastAsia"/>
          <w:highlight w:val="none"/>
          <w:lang w:val="en-US" w:eastAsia="zh-CN"/>
        </w:rPr>
      </w:pPr>
      <w:bookmarkStart w:id="252" w:name="（三）经费和物资的落实；"/>
      <w:bookmarkEnd w:id="252"/>
      <w:r>
        <w:rPr>
          <w:rFonts w:hint="eastAsia"/>
          <w:highlight w:val="none"/>
          <w:lang w:val="en-US" w:eastAsia="zh-CN"/>
        </w:rPr>
        <w:t>（三）经费和物资的落实；</w:t>
      </w:r>
    </w:p>
    <w:p w14:paraId="678ABD47">
      <w:pPr>
        <w:bidi w:val="0"/>
        <w:ind w:firstLine="480" w:firstLineChars="200"/>
        <w:rPr>
          <w:rFonts w:hint="eastAsia"/>
          <w:highlight w:val="none"/>
          <w:lang w:val="en-US" w:eastAsia="zh-CN"/>
        </w:rPr>
      </w:pPr>
      <w:bookmarkStart w:id="253" w:name="（四）负责治理的机构和人员；"/>
      <w:bookmarkEnd w:id="253"/>
      <w:r>
        <w:rPr>
          <w:rFonts w:hint="eastAsia"/>
          <w:highlight w:val="none"/>
          <w:lang w:val="en-US" w:eastAsia="zh-CN"/>
        </w:rPr>
        <w:t>（四）负责治理的机构和人员；</w:t>
      </w:r>
    </w:p>
    <w:p w14:paraId="1693D4AE">
      <w:pPr>
        <w:bidi w:val="0"/>
        <w:ind w:firstLine="480" w:firstLineChars="200"/>
        <w:rPr>
          <w:rFonts w:hint="eastAsia"/>
          <w:highlight w:val="none"/>
          <w:lang w:val="en-US" w:eastAsia="zh-CN"/>
        </w:rPr>
      </w:pPr>
      <w:bookmarkStart w:id="254" w:name="（五）治理的时限和要求；"/>
      <w:bookmarkEnd w:id="254"/>
      <w:r>
        <w:rPr>
          <w:rFonts w:hint="eastAsia"/>
          <w:highlight w:val="none"/>
          <w:lang w:val="en-US" w:eastAsia="zh-CN"/>
        </w:rPr>
        <w:t>（五）治理的时限和要求；</w:t>
      </w:r>
    </w:p>
    <w:p w14:paraId="2DF9302D">
      <w:pPr>
        <w:bidi w:val="0"/>
        <w:ind w:firstLine="480" w:firstLineChars="200"/>
        <w:rPr>
          <w:rFonts w:hint="eastAsia"/>
          <w:highlight w:val="none"/>
          <w:lang w:val="en-US" w:eastAsia="zh-CN"/>
        </w:rPr>
      </w:pPr>
      <w:bookmarkStart w:id="255" w:name="（六）安全措施和应急预案。"/>
      <w:bookmarkEnd w:id="255"/>
      <w:r>
        <w:rPr>
          <w:rFonts w:hint="eastAsia"/>
          <w:highlight w:val="none"/>
          <w:lang w:val="en-US" w:eastAsia="zh-CN"/>
        </w:rPr>
        <w:t>（六）安全措施和应急预案。</w:t>
      </w:r>
      <w:bookmarkStart w:id="256" w:name="第十三条【事故隐患治理防范】"/>
      <w:bookmarkEnd w:id="256"/>
      <w:r>
        <w:rPr>
          <w:rFonts w:hint="eastAsia"/>
          <w:highlight w:val="none"/>
          <w:lang w:val="en-US" w:eastAsia="zh-CN"/>
        </w:rPr>
        <w:t xml:space="preserve"> </w:t>
      </w:r>
    </w:p>
    <w:p w14:paraId="561D06F1">
      <w:pPr>
        <w:bidi w:val="0"/>
        <w:ind w:left="480" w:leftChars="200" w:firstLine="0" w:firstLineChars="0"/>
        <w:rPr>
          <w:highlight w:val="none"/>
        </w:rPr>
      </w:pPr>
      <w:r>
        <w:rPr>
          <w:rFonts w:hint="eastAsia"/>
          <w:highlight w:val="none"/>
        </w:rPr>
        <w:t>建立和完善塔式起重机安装作业各岗位（领导、相关部门）安全生产职责。严格按照各岗位安全生产职责执行。</w:t>
      </w:r>
    </w:p>
    <w:p w14:paraId="1BD61A76">
      <w:pPr>
        <w:bidi w:val="0"/>
        <w:ind w:firstLine="480" w:firstLineChars="200"/>
        <w:rPr>
          <w:highlight w:val="none"/>
        </w:rPr>
      </w:pPr>
      <w:r>
        <w:rPr>
          <w:rFonts w:hint="eastAsia"/>
          <w:highlight w:val="none"/>
        </w:rPr>
        <w:t>项目部从项目经理至作业员应层层明确安全岗位职责，确保安全工作有章可循。各部门安全岗位职责分工参见表-1</w:t>
      </w:r>
    </w:p>
    <w:p w14:paraId="73762266">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表6-1 安全生产岗位职责分工</w:t>
      </w:r>
    </w:p>
    <w:tbl>
      <w:tblPr>
        <w:tblStyle w:val="30"/>
        <w:tblW w:w="90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71"/>
        <w:gridCol w:w="5765"/>
      </w:tblGrid>
      <w:tr w14:paraId="0946B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Align w:val="center"/>
          </w:tcPr>
          <w:p w14:paraId="5781EF2F">
            <w:pPr>
              <w:pStyle w:val="105"/>
              <w:bidi w:val="0"/>
              <w:rPr>
                <w:rFonts w:hint="eastAsia"/>
                <w:highlight w:val="none"/>
              </w:rPr>
            </w:pPr>
            <w:r>
              <w:rPr>
                <w:rFonts w:hint="eastAsia"/>
                <w:highlight w:val="none"/>
              </w:rPr>
              <w:t>安全生产</w:t>
            </w:r>
          </w:p>
          <w:p w14:paraId="1279BAEF">
            <w:pPr>
              <w:pStyle w:val="105"/>
              <w:bidi w:val="0"/>
              <w:rPr>
                <w:rFonts w:hint="eastAsia"/>
                <w:highlight w:val="none"/>
              </w:rPr>
            </w:pPr>
            <w:r>
              <w:rPr>
                <w:rFonts w:hint="eastAsia"/>
                <w:highlight w:val="none"/>
              </w:rPr>
              <w:t>领导小组</w:t>
            </w:r>
          </w:p>
        </w:tc>
        <w:tc>
          <w:tcPr>
            <w:tcW w:w="1035" w:type="dxa"/>
            <w:vAlign w:val="center"/>
          </w:tcPr>
          <w:p w14:paraId="08F995A6">
            <w:pPr>
              <w:pStyle w:val="105"/>
              <w:bidi w:val="0"/>
              <w:rPr>
                <w:rFonts w:hint="eastAsia"/>
                <w:highlight w:val="none"/>
              </w:rPr>
            </w:pPr>
            <w:r>
              <w:rPr>
                <w:rFonts w:hint="eastAsia"/>
                <w:highlight w:val="none"/>
              </w:rPr>
              <w:t>责任人</w:t>
            </w:r>
          </w:p>
        </w:tc>
        <w:tc>
          <w:tcPr>
            <w:tcW w:w="1171" w:type="dxa"/>
            <w:vAlign w:val="center"/>
          </w:tcPr>
          <w:p w14:paraId="4F5641BB">
            <w:pPr>
              <w:pStyle w:val="105"/>
              <w:bidi w:val="0"/>
              <w:rPr>
                <w:rFonts w:hint="eastAsia"/>
                <w:highlight w:val="none"/>
              </w:rPr>
            </w:pPr>
            <w:r>
              <w:rPr>
                <w:rFonts w:hint="eastAsia"/>
                <w:highlight w:val="none"/>
              </w:rPr>
              <w:t>职  务</w:t>
            </w:r>
          </w:p>
        </w:tc>
        <w:tc>
          <w:tcPr>
            <w:tcW w:w="5765" w:type="dxa"/>
            <w:vAlign w:val="center"/>
          </w:tcPr>
          <w:p w14:paraId="5DE0978F">
            <w:pPr>
              <w:pStyle w:val="105"/>
              <w:bidi w:val="0"/>
              <w:rPr>
                <w:rFonts w:hint="eastAsia"/>
                <w:highlight w:val="none"/>
              </w:rPr>
            </w:pPr>
            <w:r>
              <w:rPr>
                <w:rFonts w:hint="eastAsia"/>
                <w:highlight w:val="none"/>
              </w:rPr>
              <w:t>职责分工</w:t>
            </w:r>
          </w:p>
        </w:tc>
      </w:tr>
      <w:tr w14:paraId="6B7CA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Align w:val="center"/>
          </w:tcPr>
          <w:p w14:paraId="64C3508C">
            <w:pPr>
              <w:pStyle w:val="105"/>
              <w:bidi w:val="0"/>
              <w:rPr>
                <w:rFonts w:hint="eastAsia"/>
                <w:highlight w:val="none"/>
              </w:rPr>
            </w:pPr>
            <w:r>
              <w:rPr>
                <w:rFonts w:hint="eastAsia"/>
                <w:highlight w:val="none"/>
              </w:rPr>
              <w:t>组  长</w:t>
            </w:r>
          </w:p>
        </w:tc>
        <w:tc>
          <w:tcPr>
            <w:tcW w:w="1035" w:type="dxa"/>
            <w:vAlign w:val="center"/>
          </w:tcPr>
          <w:p w14:paraId="2D2ED6CA">
            <w:pPr>
              <w:pStyle w:val="105"/>
              <w:bidi w:val="0"/>
              <w:rPr>
                <w:rFonts w:hint="eastAsia"/>
                <w:highlight w:val="none"/>
                <w:lang w:val="en-US" w:eastAsia="zh-CN"/>
              </w:rPr>
            </w:pPr>
            <w:r>
              <w:rPr>
                <w:rFonts w:hint="eastAsia"/>
                <w:highlight w:val="none"/>
                <w:lang w:val="en-US" w:eastAsia="zh-CN"/>
              </w:rPr>
              <w:t>程金平</w:t>
            </w:r>
          </w:p>
        </w:tc>
        <w:tc>
          <w:tcPr>
            <w:tcW w:w="1171" w:type="dxa"/>
            <w:vAlign w:val="center"/>
          </w:tcPr>
          <w:p w14:paraId="188AC164">
            <w:pPr>
              <w:pStyle w:val="105"/>
              <w:bidi w:val="0"/>
              <w:rPr>
                <w:rFonts w:hint="eastAsia"/>
                <w:highlight w:val="none"/>
              </w:rPr>
            </w:pPr>
            <w:r>
              <w:rPr>
                <w:rFonts w:hint="eastAsia"/>
                <w:highlight w:val="none"/>
              </w:rPr>
              <w:t>项目经理</w:t>
            </w:r>
          </w:p>
        </w:tc>
        <w:tc>
          <w:tcPr>
            <w:tcW w:w="5765" w:type="dxa"/>
            <w:vAlign w:val="center"/>
          </w:tcPr>
          <w:p w14:paraId="2C486402">
            <w:pPr>
              <w:pStyle w:val="105"/>
              <w:bidi w:val="0"/>
              <w:rPr>
                <w:rFonts w:hint="eastAsia"/>
                <w:highlight w:val="none"/>
              </w:rPr>
            </w:pPr>
            <w:r>
              <w:rPr>
                <w:rFonts w:hint="eastAsia"/>
                <w:highlight w:val="none"/>
              </w:rPr>
              <w:t>安全第一责任人，主要负责进行定期或不定期安全大检查，及时解决安全隐患；组织项目部各部门进行全员安全教育，开展安全生产竞赛，发布安全生产奖惩办法与奖惩决定；主持处理安全事故，提出今后事故预防措施，并督促实施。</w:t>
            </w:r>
          </w:p>
        </w:tc>
      </w:tr>
      <w:tr w14:paraId="04C17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restart"/>
            <w:vAlign w:val="center"/>
          </w:tcPr>
          <w:p w14:paraId="592385A5">
            <w:pPr>
              <w:pStyle w:val="105"/>
              <w:bidi w:val="0"/>
              <w:rPr>
                <w:rFonts w:hint="eastAsia"/>
                <w:highlight w:val="none"/>
              </w:rPr>
            </w:pPr>
            <w:r>
              <w:rPr>
                <w:rFonts w:hint="eastAsia"/>
                <w:highlight w:val="none"/>
              </w:rPr>
              <w:t>副组长</w:t>
            </w:r>
          </w:p>
        </w:tc>
        <w:tc>
          <w:tcPr>
            <w:tcW w:w="1035" w:type="dxa"/>
            <w:vAlign w:val="center"/>
          </w:tcPr>
          <w:p w14:paraId="2CDCAA1D">
            <w:pPr>
              <w:pStyle w:val="105"/>
              <w:bidi w:val="0"/>
              <w:rPr>
                <w:rFonts w:hint="eastAsia"/>
                <w:highlight w:val="none"/>
                <w:lang w:val="en-US" w:eastAsia="zh-CN"/>
              </w:rPr>
            </w:pPr>
            <w:r>
              <w:rPr>
                <w:rFonts w:hint="eastAsia"/>
                <w:highlight w:val="none"/>
                <w:lang w:val="en-US" w:eastAsia="zh-CN"/>
              </w:rPr>
              <w:t>赵凯</w:t>
            </w:r>
          </w:p>
        </w:tc>
        <w:tc>
          <w:tcPr>
            <w:tcW w:w="1171" w:type="dxa"/>
            <w:vAlign w:val="center"/>
          </w:tcPr>
          <w:p w14:paraId="3DD93FB3">
            <w:pPr>
              <w:pStyle w:val="105"/>
              <w:bidi w:val="0"/>
              <w:rPr>
                <w:rFonts w:hint="eastAsia"/>
                <w:highlight w:val="none"/>
              </w:rPr>
            </w:pPr>
            <w:r>
              <w:rPr>
                <w:rFonts w:hint="eastAsia"/>
                <w:highlight w:val="none"/>
              </w:rPr>
              <w:t>项目书记</w:t>
            </w:r>
          </w:p>
        </w:tc>
        <w:tc>
          <w:tcPr>
            <w:tcW w:w="5765" w:type="dxa"/>
            <w:vAlign w:val="center"/>
          </w:tcPr>
          <w:p w14:paraId="767CF32B">
            <w:pPr>
              <w:pStyle w:val="105"/>
              <w:bidi w:val="0"/>
              <w:rPr>
                <w:rFonts w:hint="eastAsia"/>
                <w:highlight w:val="none"/>
              </w:rPr>
            </w:pPr>
            <w:r>
              <w:rPr>
                <w:rFonts w:hint="eastAsia"/>
                <w:highlight w:val="none"/>
              </w:rPr>
              <w:t>安全生产直接责任人，主要负责制定各种安全生产岗位责任制，并检查、督促、执行落实；安排日常安全工作，定期召开安全例会，分析安全情况，找出存在的问题，采取措施，并组织实施；经常深入现场检查设备、工具、生产、安全设施等情况，及时消除隐患。</w:t>
            </w:r>
          </w:p>
        </w:tc>
      </w:tr>
      <w:tr w14:paraId="50E9C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761F89BA">
            <w:pPr>
              <w:pStyle w:val="105"/>
              <w:bidi w:val="0"/>
              <w:rPr>
                <w:rFonts w:hint="eastAsia"/>
                <w:highlight w:val="none"/>
              </w:rPr>
            </w:pPr>
          </w:p>
        </w:tc>
        <w:tc>
          <w:tcPr>
            <w:tcW w:w="1035" w:type="dxa"/>
            <w:vAlign w:val="center"/>
          </w:tcPr>
          <w:p w14:paraId="77F756A8">
            <w:pPr>
              <w:pStyle w:val="105"/>
              <w:bidi w:val="0"/>
              <w:rPr>
                <w:rFonts w:hint="eastAsia"/>
                <w:highlight w:val="none"/>
                <w:lang w:val="en-US" w:eastAsia="zh-CN"/>
              </w:rPr>
            </w:pPr>
            <w:r>
              <w:rPr>
                <w:rFonts w:hint="eastAsia"/>
                <w:highlight w:val="none"/>
                <w:lang w:val="en-US" w:eastAsia="zh-CN"/>
              </w:rPr>
              <w:t>刘海</w:t>
            </w:r>
          </w:p>
        </w:tc>
        <w:tc>
          <w:tcPr>
            <w:tcW w:w="1171" w:type="dxa"/>
            <w:vAlign w:val="center"/>
          </w:tcPr>
          <w:p w14:paraId="2F9600DA">
            <w:pPr>
              <w:pStyle w:val="105"/>
              <w:bidi w:val="0"/>
              <w:rPr>
                <w:rFonts w:hint="eastAsia"/>
                <w:highlight w:val="none"/>
              </w:rPr>
            </w:pPr>
            <w:r>
              <w:rPr>
                <w:rFonts w:hint="eastAsia"/>
                <w:highlight w:val="none"/>
              </w:rPr>
              <w:t>项目总工</w:t>
            </w:r>
          </w:p>
        </w:tc>
        <w:tc>
          <w:tcPr>
            <w:tcW w:w="5765" w:type="dxa"/>
            <w:vAlign w:val="center"/>
          </w:tcPr>
          <w:p w14:paraId="1A10AF82">
            <w:pPr>
              <w:pStyle w:val="105"/>
              <w:bidi w:val="0"/>
              <w:rPr>
                <w:rFonts w:hint="eastAsia"/>
                <w:highlight w:val="none"/>
              </w:rPr>
            </w:pPr>
            <w:r>
              <w:rPr>
                <w:rFonts w:hint="eastAsia"/>
                <w:highlight w:val="none"/>
              </w:rPr>
              <w:t>组织编制、审定施工方案，审核技术文件和处理技术问题时，必须贯彻安全生产的原则；指导安全技术教育，组织安全专业技术培训；参加伤亡事故的调查处理，负责作出技术性结论。</w:t>
            </w:r>
          </w:p>
        </w:tc>
      </w:tr>
      <w:tr w14:paraId="1A861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589A88EF">
            <w:pPr>
              <w:pStyle w:val="105"/>
              <w:bidi w:val="0"/>
              <w:rPr>
                <w:rFonts w:hint="eastAsia"/>
                <w:highlight w:val="none"/>
              </w:rPr>
            </w:pPr>
          </w:p>
        </w:tc>
        <w:tc>
          <w:tcPr>
            <w:tcW w:w="1035" w:type="dxa"/>
            <w:vAlign w:val="center"/>
          </w:tcPr>
          <w:p w14:paraId="4EE389BE">
            <w:pPr>
              <w:pStyle w:val="105"/>
              <w:bidi w:val="0"/>
              <w:rPr>
                <w:rFonts w:hint="default"/>
                <w:highlight w:val="none"/>
                <w:lang w:val="en-US" w:eastAsia="zh-CN"/>
              </w:rPr>
            </w:pPr>
            <w:r>
              <w:rPr>
                <w:rFonts w:hint="eastAsia"/>
                <w:highlight w:val="none"/>
                <w:lang w:val="en-US" w:eastAsia="zh-CN"/>
              </w:rPr>
              <w:t>李野</w:t>
            </w:r>
          </w:p>
        </w:tc>
        <w:tc>
          <w:tcPr>
            <w:tcW w:w="1171" w:type="dxa"/>
            <w:vAlign w:val="center"/>
          </w:tcPr>
          <w:p w14:paraId="42315458">
            <w:pPr>
              <w:pStyle w:val="105"/>
              <w:bidi w:val="0"/>
              <w:rPr>
                <w:rFonts w:hint="eastAsia"/>
                <w:highlight w:val="none"/>
              </w:rPr>
            </w:pPr>
            <w:r>
              <w:rPr>
                <w:rFonts w:hint="eastAsia"/>
                <w:highlight w:val="none"/>
              </w:rPr>
              <w:t>副经理</w:t>
            </w:r>
          </w:p>
        </w:tc>
        <w:tc>
          <w:tcPr>
            <w:tcW w:w="5765" w:type="dxa"/>
            <w:vAlign w:val="center"/>
          </w:tcPr>
          <w:p w14:paraId="22275A84">
            <w:pPr>
              <w:pStyle w:val="105"/>
              <w:bidi w:val="0"/>
              <w:rPr>
                <w:rFonts w:hint="eastAsia"/>
                <w:highlight w:val="none"/>
              </w:rPr>
            </w:pPr>
            <w:r>
              <w:rPr>
                <w:rFonts w:hint="eastAsia"/>
                <w:highlight w:val="none"/>
              </w:rPr>
              <w:t>对项目安全生产承担直接责任、执行公司各项安全生产规定，贯彻项目部的安全管理制度；审查施工方案中提出的安全技术保证措施；提出安全生产奖惩意见；事故发生后，组织事故的调查、分析、处理和上报工作；参与事故的调查、处理和整改隐患。</w:t>
            </w:r>
          </w:p>
        </w:tc>
      </w:tr>
      <w:tr w14:paraId="6A7C5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restart"/>
            <w:vAlign w:val="center"/>
          </w:tcPr>
          <w:p w14:paraId="3450C983">
            <w:pPr>
              <w:pStyle w:val="105"/>
              <w:bidi w:val="0"/>
              <w:rPr>
                <w:rFonts w:hint="eastAsia"/>
                <w:highlight w:val="none"/>
              </w:rPr>
            </w:pPr>
            <w:r>
              <w:rPr>
                <w:rFonts w:hint="eastAsia"/>
                <w:highlight w:val="none"/>
              </w:rPr>
              <w:t>组  员</w:t>
            </w:r>
          </w:p>
        </w:tc>
        <w:tc>
          <w:tcPr>
            <w:tcW w:w="1035" w:type="dxa"/>
            <w:vAlign w:val="center"/>
          </w:tcPr>
          <w:p w14:paraId="6BDB42A5">
            <w:pPr>
              <w:pStyle w:val="105"/>
              <w:bidi w:val="0"/>
              <w:rPr>
                <w:rFonts w:hint="eastAsia"/>
                <w:highlight w:val="none"/>
                <w:lang w:val="en-US" w:eastAsia="zh-CN"/>
              </w:rPr>
            </w:pPr>
            <w:r>
              <w:rPr>
                <w:rFonts w:hint="eastAsia"/>
                <w:highlight w:val="none"/>
                <w:lang w:val="en-US" w:eastAsia="zh-CN"/>
              </w:rPr>
              <w:t>岳蛟</w:t>
            </w:r>
          </w:p>
        </w:tc>
        <w:tc>
          <w:tcPr>
            <w:tcW w:w="1171" w:type="dxa"/>
            <w:vAlign w:val="center"/>
          </w:tcPr>
          <w:p w14:paraId="638C7639">
            <w:pPr>
              <w:pStyle w:val="105"/>
              <w:bidi w:val="0"/>
              <w:rPr>
                <w:rFonts w:hint="eastAsia"/>
                <w:highlight w:val="none"/>
              </w:rPr>
            </w:pPr>
            <w:r>
              <w:rPr>
                <w:rFonts w:hint="eastAsia"/>
                <w:highlight w:val="none"/>
              </w:rPr>
              <w:t>质检部部长</w:t>
            </w:r>
          </w:p>
        </w:tc>
        <w:tc>
          <w:tcPr>
            <w:tcW w:w="5765" w:type="dxa"/>
            <w:vAlign w:val="center"/>
          </w:tcPr>
          <w:p w14:paraId="15CFD5DF">
            <w:pPr>
              <w:pStyle w:val="105"/>
              <w:bidi w:val="0"/>
              <w:rPr>
                <w:rFonts w:hint="eastAsia"/>
                <w:highlight w:val="none"/>
              </w:rPr>
            </w:pPr>
            <w:r>
              <w:rPr>
                <w:rFonts w:hint="eastAsia"/>
                <w:highlight w:val="none"/>
              </w:rPr>
              <w:t>经常深入现场，检查、掌握安全生产动态，提出整改意见，制止违章作业，对违反安全的操作，有权责令停工，并立即报告有关领导。参加领导组织的定期和不定期的安全检查，对查出的问题用安全通知书等形式上报下达，限期改进。</w:t>
            </w:r>
          </w:p>
        </w:tc>
      </w:tr>
      <w:tr w14:paraId="6E03A1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349E0A67">
            <w:pPr>
              <w:pStyle w:val="105"/>
              <w:bidi w:val="0"/>
              <w:rPr>
                <w:rFonts w:hint="eastAsia"/>
                <w:highlight w:val="none"/>
              </w:rPr>
            </w:pPr>
          </w:p>
        </w:tc>
        <w:tc>
          <w:tcPr>
            <w:tcW w:w="1035" w:type="dxa"/>
            <w:vAlign w:val="center"/>
          </w:tcPr>
          <w:p w14:paraId="2A21F3B0">
            <w:pPr>
              <w:pStyle w:val="105"/>
              <w:bidi w:val="0"/>
              <w:rPr>
                <w:rFonts w:hint="eastAsia"/>
                <w:highlight w:val="none"/>
                <w:lang w:val="en-US" w:eastAsia="zh-CN"/>
              </w:rPr>
            </w:pPr>
            <w:r>
              <w:rPr>
                <w:rFonts w:hint="eastAsia"/>
                <w:highlight w:val="none"/>
                <w:lang w:val="en-US" w:eastAsia="zh-CN"/>
              </w:rPr>
              <w:t>陈硕</w:t>
            </w:r>
          </w:p>
        </w:tc>
        <w:tc>
          <w:tcPr>
            <w:tcW w:w="1171" w:type="dxa"/>
            <w:vAlign w:val="center"/>
          </w:tcPr>
          <w:p w14:paraId="252DAD57">
            <w:pPr>
              <w:pStyle w:val="105"/>
              <w:bidi w:val="0"/>
              <w:rPr>
                <w:rFonts w:hint="eastAsia"/>
                <w:highlight w:val="none"/>
              </w:rPr>
            </w:pPr>
            <w:r>
              <w:rPr>
                <w:rFonts w:hint="eastAsia"/>
                <w:highlight w:val="none"/>
              </w:rPr>
              <w:t>安</w:t>
            </w:r>
            <w:r>
              <w:rPr>
                <w:rFonts w:hint="eastAsia"/>
                <w:highlight w:val="none"/>
                <w:lang w:val="en-US" w:eastAsia="zh-CN"/>
              </w:rPr>
              <w:t>监</w:t>
            </w:r>
            <w:r>
              <w:rPr>
                <w:rFonts w:hint="eastAsia"/>
                <w:highlight w:val="none"/>
              </w:rPr>
              <w:t>部部长</w:t>
            </w:r>
          </w:p>
        </w:tc>
        <w:tc>
          <w:tcPr>
            <w:tcW w:w="5765" w:type="dxa"/>
            <w:vAlign w:val="center"/>
          </w:tcPr>
          <w:p w14:paraId="0F106E2D">
            <w:pPr>
              <w:pStyle w:val="105"/>
              <w:bidi w:val="0"/>
              <w:rPr>
                <w:rFonts w:hint="eastAsia"/>
                <w:highlight w:val="none"/>
              </w:rPr>
            </w:pPr>
            <w:r>
              <w:rPr>
                <w:rFonts w:hint="eastAsia"/>
                <w:highlight w:val="none"/>
              </w:rPr>
              <w:t>认真贯彻执行施工组织设计和技术交底中的安全措施；在施工现场随班盯岗，随时注意检查工人操作、工作环境、生产机具等安全情况和防护用品的正确使用情况；必须坚持特殊工种工人持证操作。</w:t>
            </w:r>
          </w:p>
        </w:tc>
      </w:tr>
      <w:tr w14:paraId="23DEE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6085BCC6">
            <w:pPr>
              <w:pStyle w:val="105"/>
              <w:bidi w:val="0"/>
              <w:rPr>
                <w:rFonts w:hint="eastAsia"/>
                <w:highlight w:val="none"/>
              </w:rPr>
            </w:pPr>
          </w:p>
        </w:tc>
        <w:tc>
          <w:tcPr>
            <w:tcW w:w="1035" w:type="dxa"/>
            <w:vAlign w:val="center"/>
          </w:tcPr>
          <w:p w14:paraId="76AF63B8">
            <w:pPr>
              <w:pStyle w:val="105"/>
              <w:bidi w:val="0"/>
              <w:rPr>
                <w:rFonts w:hint="eastAsia"/>
                <w:highlight w:val="none"/>
                <w:lang w:val="en-US" w:eastAsia="zh-CN"/>
              </w:rPr>
            </w:pPr>
            <w:r>
              <w:rPr>
                <w:rFonts w:hint="eastAsia"/>
                <w:highlight w:val="none"/>
                <w:lang w:val="en-US" w:eastAsia="zh-CN"/>
              </w:rPr>
              <w:t>丁阳</w:t>
            </w:r>
          </w:p>
        </w:tc>
        <w:tc>
          <w:tcPr>
            <w:tcW w:w="1171" w:type="dxa"/>
            <w:vAlign w:val="center"/>
          </w:tcPr>
          <w:p w14:paraId="364B9618">
            <w:pPr>
              <w:pStyle w:val="105"/>
              <w:bidi w:val="0"/>
              <w:rPr>
                <w:rFonts w:hint="eastAsia"/>
                <w:highlight w:val="none"/>
              </w:rPr>
            </w:pPr>
            <w:r>
              <w:rPr>
                <w:rFonts w:hint="eastAsia"/>
                <w:highlight w:val="none"/>
              </w:rPr>
              <w:t>设备部部长</w:t>
            </w:r>
          </w:p>
        </w:tc>
        <w:tc>
          <w:tcPr>
            <w:tcW w:w="5765" w:type="dxa"/>
            <w:vAlign w:val="center"/>
          </w:tcPr>
          <w:p w14:paraId="3CF326B6">
            <w:pPr>
              <w:pStyle w:val="105"/>
              <w:bidi w:val="0"/>
              <w:rPr>
                <w:rFonts w:hint="eastAsia"/>
                <w:highlight w:val="none"/>
              </w:rPr>
            </w:pPr>
            <w:r>
              <w:rPr>
                <w:rFonts w:hint="eastAsia"/>
                <w:highlight w:val="none"/>
              </w:rPr>
              <w:t>认真落实公司及项目部关于设备管理的规章制度。加强设备的科学管理，确保设备使用安全，对违反设备操作规程及时提出处理意见。</w:t>
            </w:r>
          </w:p>
          <w:p w14:paraId="0779544E">
            <w:pPr>
              <w:pStyle w:val="105"/>
              <w:bidi w:val="0"/>
              <w:rPr>
                <w:rFonts w:hint="eastAsia"/>
                <w:highlight w:val="none"/>
              </w:rPr>
            </w:pPr>
            <w:r>
              <w:rPr>
                <w:rFonts w:hint="eastAsia"/>
                <w:highlight w:val="none"/>
              </w:rPr>
              <w:t>负责对设备安全事故提出分析和处理意见。</w:t>
            </w:r>
          </w:p>
        </w:tc>
      </w:tr>
      <w:tr w14:paraId="06225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67DBA245">
            <w:pPr>
              <w:pStyle w:val="105"/>
              <w:bidi w:val="0"/>
              <w:rPr>
                <w:rFonts w:hint="eastAsia"/>
                <w:highlight w:val="none"/>
              </w:rPr>
            </w:pPr>
          </w:p>
        </w:tc>
        <w:tc>
          <w:tcPr>
            <w:tcW w:w="1035" w:type="dxa"/>
            <w:vAlign w:val="center"/>
          </w:tcPr>
          <w:p w14:paraId="289F6C02">
            <w:pPr>
              <w:pStyle w:val="105"/>
              <w:bidi w:val="0"/>
              <w:rPr>
                <w:rFonts w:hint="eastAsia"/>
                <w:highlight w:val="none"/>
                <w:lang w:eastAsia="zh-CN"/>
              </w:rPr>
            </w:pPr>
            <w:r>
              <w:rPr>
                <w:rFonts w:hint="eastAsia"/>
                <w:highlight w:val="none"/>
                <w:lang w:val="en-US" w:eastAsia="zh-CN"/>
              </w:rPr>
              <w:t>桂海波</w:t>
            </w:r>
          </w:p>
        </w:tc>
        <w:tc>
          <w:tcPr>
            <w:tcW w:w="1171" w:type="dxa"/>
            <w:vAlign w:val="center"/>
          </w:tcPr>
          <w:p w14:paraId="6635E7A2">
            <w:pPr>
              <w:pStyle w:val="105"/>
              <w:bidi w:val="0"/>
              <w:rPr>
                <w:rFonts w:hint="eastAsia"/>
                <w:highlight w:val="none"/>
              </w:rPr>
            </w:pPr>
            <w:r>
              <w:rPr>
                <w:rFonts w:hint="eastAsia"/>
                <w:highlight w:val="none"/>
              </w:rPr>
              <w:t>工程部部长</w:t>
            </w:r>
          </w:p>
        </w:tc>
        <w:tc>
          <w:tcPr>
            <w:tcW w:w="5765" w:type="dxa"/>
            <w:vAlign w:val="center"/>
          </w:tcPr>
          <w:p w14:paraId="6E2257C6">
            <w:pPr>
              <w:pStyle w:val="105"/>
              <w:bidi w:val="0"/>
              <w:rPr>
                <w:rFonts w:hint="eastAsia"/>
                <w:highlight w:val="none"/>
              </w:rPr>
            </w:pPr>
            <w:r>
              <w:rPr>
                <w:rFonts w:hint="eastAsia"/>
                <w:highlight w:val="none"/>
              </w:rPr>
              <w:t>以身作则并教育职工严格遵守劳动纪律，严格执行安全技术操作规程；坚持工间检查制度和交接班制度；合理安排劳力，根据工人的身体、年龄、技术、熟练程度和其他特点分配工作，以防事故的发生；发生事故，要立即组织抢救和报告，并保护现场，参加事故调查分析</w:t>
            </w:r>
          </w:p>
        </w:tc>
      </w:tr>
    </w:tbl>
    <w:p w14:paraId="1E7E2513">
      <w:pPr>
        <w:pStyle w:val="3"/>
        <w:bidi w:val="0"/>
        <w:ind w:left="575" w:leftChars="0" w:hanging="575" w:firstLineChars="0"/>
      </w:pPr>
      <w:bookmarkStart w:id="257" w:name="_Toc20981"/>
      <w:bookmarkStart w:id="258" w:name="_Toc42642306"/>
      <w:bookmarkStart w:id="259" w:name="_Toc24708"/>
      <w:r>
        <w:rPr>
          <w:rFonts w:hint="eastAsia"/>
        </w:rPr>
        <w:t xml:space="preserve"> </w:t>
      </w:r>
      <w:bookmarkStart w:id="260" w:name="_Toc27356"/>
      <w:r>
        <w:rPr>
          <w:rFonts w:hint="eastAsia"/>
        </w:rPr>
        <w:t>监管措施</w:t>
      </w:r>
      <w:bookmarkEnd w:id="257"/>
      <w:bookmarkEnd w:id="258"/>
      <w:bookmarkEnd w:id="259"/>
      <w:bookmarkEnd w:id="260"/>
    </w:p>
    <w:p w14:paraId="05A29CDA">
      <w:pPr>
        <w:bidi w:val="0"/>
        <w:ind w:firstLine="480" w:firstLineChars="200"/>
        <w:rPr>
          <w:highlight w:val="none"/>
        </w:rPr>
      </w:pPr>
      <w:r>
        <w:rPr>
          <w:rFonts w:hint="eastAsia"/>
          <w:highlight w:val="none"/>
        </w:rPr>
        <w:t>为落实塔式起重机安装安全管理工作，项目部采取以下监控措施：</w:t>
      </w:r>
    </w:p>
    <w:p w14:paraId="2A94EE1C">
      <w:pPr>
        <w:bidi w:val="0"/>
        <w:rPr>
          <w:highlight w:val="none"/>
        </w:rPr>
      </w:pPr>
      <w:r>
        <w:rPr>
          <w:rFonts w:hint="eastAsia"/>
          <w:highlight w:val="none"/>
        </w:rPr>
        <w:t>1）现场安全、技术管理人员必须参与作业施工方案的编制，熟悉方案。</w:t>
      </w:r>
    </w:p>
    <w:p w14:paraId="564F60AD">
      <w:pPr>
        <w:bidi w:val="0"/>
        <w:rPr>
          <w:highlight w:val="none"/>
        </w:rPr>
      </w:pPr>
      <w:r>
        <w:rPr>
          <w:rFonts w:hint="eastAsia"/>
          <w:highlight w:val="none"/>
        </w:rPr>
        <w:t>2）安装作业时必须按施工组织设备要求配置相关人员。</w:t>
      </w:r>
    </w:p>
    <w:p w14:paraId="5196A7CB">
      <w:pPr>
        <w:bidi w:val="0"/>
        <w:rPr>
          <w:highlight w:val="none"/>
        </w:rPr>
      </w:pPr>
      <w:r>
        <w:rPr>
          <w:rFonts w:hint="eastAsia"/>
          <w:highlight w:val="none"/>
        </w:rPr>
        <w:t>现场安全员监督操作人员是否按施工方案几安全操作规程进行操作，并督促操作人员按规定正确使用安全防护用品。</w:t>
      </w:r>
    </w:p>
    <w:p w14:paraId="10BC1752">
      <w:pPr>
        <w:bidi w:val="0"/>
        <w:rPr>
          <w:highlight w:val="none"/>
        </w:rPr>
      </w:pPr>
      <w:r>
        <w:rPr>
          <w:rFonts w:hint="eastAsia"/>
          <w:highlight w:val="none"/>
        </w:rPr>
        <w:t>3）专职安全人员对操作人员的操作实施全程监控，发现不良行为及时制</w:t>
      </w:r>
    </w:p>
    <w:p w14:paraId="542ECC19">
      <w:pPr>
        <w:bidi w:val="0"/>
        <w:rPr>
          <w:highlight w:val="none"/>
        </w:rPr>
      </w:pPr>
      <w:r>
        <w:rPr>
          <w:rFonts w:hint="eastAsia"/>
          <w:highlight w:val="none"/>
        </w:rPr>
        <w:t>止纠正。</w:t>
      </w:r>
    </w:p>
    <w:p w14:paraId="01EE2E65">
      <w:pPr>
        <w:bidi w:val="0"/>
        <w:rPr>
          <w:highlight w:val="none"/>
        </w:rPr>
      </w:pPr>
      <w:r>
        <w:rPr>
          <w:rFonts w:hint="eastAsia"/>
          <w:highlight w:val="none"/>
        </w:rPr>
        <w:t>4）现场管理人员必须留存影像、图片、纸质资料并建立每日汇报机制。</w:t>
      </w:r>
    </w:p>
    <w:p w14:paraId="6AEB3A89">
      <w:pPr>
        <w:bidi w:val="0"/>
        <w:rPr>
          <w:highlight w:val="none"/>
        </w:rPr>
      </w:pPr>
      <w:r>
        <w:rPr>
          <w:rFonts w:hint="eastAsia"/>
          <w:highlight w:val="none"/>
        </w:rPr>
        <w:t>5）带班领导随机抽查现场落实情况。</w:t>
      </w:r>
    </w:p>
    <w:p w14:paraId="40C2177A">
      <w:pPr>
        <w:bidi w:val="0"/>
        <w:rPr>
          <w:highlight w:val="none"/>
        </w:rPr>
      </w:pPr>
      <w:r>
        <w:rPr>
          <w:rFonts w:hint="eastAsia"/>
          <w:highlight w:val="none"/>
        </w:rPr>
        <w:t>6）每项工作完成后必须进行验收后方可开展下道工序。</w:t>
      </w:r>
    </w:p>
    <w:p w14:paraId="27A3C973">
      <w:pPr>
        <w:pStyle w:val="3"/>
        <w:bidi w:val="0"/>
        <w:ind w:left="575" w:leftChars="0" w:hanging="575" w:firstLineChars="0"/>
      </w:pPr>
      <w:bookmarkStart w:id="261" w:name="_Toc17055"/>
      <w:bookmarkStart w:id="262" w:name="_Toc42642307"/>
      <w:bookmarkStart w:id="263" w:name="_Toc20307"/>
      <w:r>
        <w:rPr>
          <w:rFonts w:hint="eastAsia"/>
        </w:rPr>
        <w:t xml:space="preserve"> </w:t>
      </w:r>
      <w:bookmarkStart w:id="264" w:name="_Toc1541"/>
      <w:r>
        <w:rPr>
          <w:rFonts w:hint="eastAsia"/>
        </w:rPr>
        <w:t>施工安全技术控制措施</w:t>
      </w:r>
      <w:bookmarkEnd w:id="261"/>
      <w:bookmarkEnd w:id="262"/>
      <w:bookmarkEnd w:id="263"/>
      <w:bookmarkEnd w:id="264"/>
    </w:p>
    <w:p w14:paraId="3D492511">
      <w:pPr>
        <w:pStyle w:val="4"/>
        <w:bidi w:val="0"/>
        <w:ind w:left="720" w:leftChars="0" w:hanging="720" w:firstLineChars="0"/>
        <w:rPr>
          <w:rFonts w:hint="default"/>
          <w:lang w:val="en-US" w:eastAsia="zh-CN"/>
        </w:rPr>
      </w:pPr>
      <w:bookmarkStart w:id="265" w:name="_Toc23080"/>
      <w:bookmarkStart w:id="266" w:name="_Toc17617"/>
      <w:r>
        <w:rPr>
          <w:rFonts w:hint="default"/>
          <w:lang w:val="en-US" w:eastAsia="zh-CN"/>
        </w:rPr>
        <w:t>安装</w:t>
      </w:r>
      <w:r>
        <w:rPr>
          <w:rFonts w:hint="eastAsia"/>
          <w:lang w:val="en-US" w:eastAsia="zh-CN"/>
        </w:rPr>
        <w:t>安全</w:t>
      </w:r>
      <w:r>
        <w:rPr>
          <w:rFonts w:hint="eastAsia"/>
        </w:rPr>
        <w:t>技术</w:t>
      </w:r>
      <w:r>
        <w:rPr>
          <w:rFonts w:hint="eastAsia"/>
          <w:lang w:val="en-US" w:eastAsia="zh-CN"/>
        </w:rPr>
        <w:t>管控措施</w:t>
      </w:r>
      <w:bookmarkEnd w:id="265"/>
      <w:bookmarkEnd w:id="266"/>
    </w:p>
    <w:p w14:paraId="10F0BC99">
      <w:pPr>
        <w:bidi w:val="0"/>
        <w:rPr>
          <w:rFonts w:hint="default"/>
          <w:highlight w:val="none"/>
          <w:lang w:val="en-US" w:eastAsia="zh-CN"/>
        </w:rPr>
      </w:pPr>
      <w:r>
        <w:rPr>
          <w:rFonts w:hint="default"/>
          <w:highlight w:val="none"/>
          <w:lang w:val="en-US" w:eastAsia="zh-CN"/>
        </w:rPr>
        <w:t>（1）必须佩戴安全帽，上高人员必须穿防滑鞋，危险部位作业必须系好安全带。</w:t>
      </w:r>
    </w:p>
    <w:p w14:paraId="41A61162">
      <w:pPr>
        <w:bidi w:val="0"/>
        <w:rPr>
          <w:rFonts w:hint="default"/>
          <w:highlight w:val="none"/>
          <w:lang w:val="en-US" w:eastAsia="zh-CN"/>
        </w:rPr>
      </w:pPr>
      <w:r>
        <w:rPr>
          <w:rFonts w:hint="default"/>
          <w:highlight w:val="none"/>
          <w:lang w:val="en-US" w:eastAsia="zh-CN"/>
        </w:rPr>
        <w:t>（2）作业吊车必须严格遵守安全操作规程。</w:t>
      </w:r>
    </w:p>
    <w:p w14:paraId="72AF5483">
      <w:pPr>
        <w:bidi w:val="0"/>
        <w:rPr>
          <w:rFonts w:hint="default"/>
          <w:highlight w:val="none"/>
          <w:lang w:val="en-US" w:eastAsia="zh-CN"/>
        </w:rPr>
      </w:pPr>
      <w:r>
        <w:rPr>
          <w:rFonts w:hint="default"/>
          <w:highlight w:val="none"/>
          <w:lang w:val="en-US" w:eastAsia="zh-CN"/>
        </w:rPr>
        <w:t>（3）工作期间一律禁止饮酒。</w:t>
      </w:r>
    </w:p>
    <w:p w14:paraId="44BC8B7E">
      <w:pPr>
        <w:bidi w:val="0"/>
        <w:rPr>
          <w:rFonts w:hint="default"/>
          <w:highlight w:val="none"/>
          <w:lang w:val="en-US" w:eastAsia="zh-CN"/>
        </w:rPr>
      </w:pPr>
      <w:r>
        <w:rPr>
          <w:rFonts w:hint="default"/>
          <w:highlight w:val="none"/>
          <w:lang w:val="en-US" w:eastAsia="zh-CN"/>
        </w:rPr>
        <w:t>（4）集中精力，不得随意开玩笑和打闹。</w:t>
      </w:r>
    </w:p>
    <w:p w14:paraId="2CFB3A12">
      <w:pPr>
        <w:bidi w:val="0"/>
        <w:rPr>
          <w:rFonts w:hint="default"/>
          <w:highlight w:val="none"/>
          <w:lang w:val="en-US" w:eastAsia="zh-CN"/>
        </w:rPr>
      </w:pPr>
      <w:r>
        <w:rPr>
          <w:rFonts w:hint="default"/>
          <w:highlight w:val="none"/>
          <w:lang w:val="en-US" w:eastAsia="zh-CN"/>
        </w:rPr>
        <w:t>（5）交叉作业时，要注意工具和零部件放置位置必须安全可靠，防止坠落伤人。</w:t>
      </w:r>
    </w:p>
    <w:p w14:paraId="014C83F0">
      <w:pPr>
        <w:bidi w:val="0"/>
        <w:rPr>
          <w:rFonts w:hint="default"/>
          <w:highlight w:val="none"/>
          <w:lang w:val="en-US" w:eastAsia="zh-CN"/>
        </w:rPr>
      </w:pPr>
      <w:r>
        <w:rPr>
          <w:rFonts w:hint="default"/>
          <w:highlight w:val="none"/>
          <w:lang w:val="en-US" w:eastAsia="zh-CN"/>
        </w:rPr>
        <w:t>（6）指挥人员应熟悉吊车起重性能、吊物的起重量以及构件安装部位。</w:t>
      </w:r>
    </w:p>
    <w:p w14:paraId="6EB2A446">
      <w:pPr>
        <w:bidi w:val="0"/>
        <w:rPr>
          <w:rFonts w:hint="default"/>
          <w:highlight w:val="none"/>
          <w:lang w:val="en-US" w:eastAsia="zh-CN"/>
        </w:rPr>
      </w:pPr>
      <w:r>
        <w:rPr>
          <w:rFonts w:hint="default"/>
          <w:highlight w:val="none"/>
          <w:lang w:val="en-US" w:eastAsia="zh-CN"/>
        </w:rPr>
        <w:t>（7）规定品起重高度超过两米要系拖拉绳。</w:t>
      </w:r>
    </w:p>
    <w:p w14:paraId="294983AE">
      <w:pPr>
        <w:bidi w:val="0"/>
        <w:rPr>
          <w:rFonts w:hint="default"/>
          <w:highlight w:val="none"/>
          <w:lang w:val="en-US" w:eastAsia="zh-CN"/>
        </w:rPr>
      </w:pPr>
      <w:r>
        <w:rPr>
          <w:rFonts w:hint="default"/>
          <w:highlight w:val="none"/>
          <w:lang w:val="en-US" w:eastAsia="zh-CN"/>
        </w:rPr>
        <w:t>（8）钢丝绳必须符合安全规定，所吊构件重心必须准确，符合说明书的要求。</w:t>
      </w:r>
    </w:p>
    <w:p w14:paraId="2262592A">
      <w:pPr>
        <w:bidi w:val="0"/>
        <w:rPr>
          <w:rFonts w:hint="default"/>
          <w:highlight w:val="none"/>
          <w:lang w:val="en-US" w:eastAsia="zh-CN"/>
        </w:rPr>
      </w:pPr>
      <w:r>
        <w:rPr>
          <w:rFonts w:hint="default"/>
          <w:highlight w:val="none"/>
          <w:lang w:val="en-US" w:eastAsia="zh-CN"/>
        </w:rPr>
        <w:t>（9）总成件及附属装置必须按规定上足所有的螺栓及销，确保使用的安全性。</w:t>
      </w:r>
    </w:p>
    <w:p w14:paraId="1228DD29">
      <w:pPr>
        <w:bidi w:val="0"/>
        <w:rPr>
          <w:rFonts w:hint="default"/>
          <w:highlight w:val="none"/>
          <w:lang w:val="en-US" w:eastAsia="zh-CN"/>
        </w:rPr>
      </w:pPr>
      <w:r>
        <w:rPr>
          <w:rFonts w:hint="default"/>
          <w:highlight w:val="none"/>
          <w:lang w:val="en-US" w:eastAsia="zh-CN"/>
        </w:rPr>
        <w:t>（10）有的裸体电线必须停电，专人守护。</w:t>
      </w:r>
    </w:p>
    <w:p w14:paraId="13E9D545">
      <w:pPr>
        <w:bidi w:val="0"/>
        <w:rPr>
          <w:rFonts w:hint="default"/>
          <w:highlight w:val="none"/>
          <w:lang w:val="en-US" w:eastAsia="zh-CN"/>
        </w:rPr>
      </w:pPr>
      <w:r>
        <w:rPr>
          <w:rFonts w:hint="default"/>
          <w:highlight w:val="none"/>
          <w:lang w:val="en-US" w:eastAsia="zh-CN"/>
        </w:rPr>
        <w:t>（11）雪、大雾、大风（风速达m/s）等天气禁止拆装</w:t>
      </w:r>
      <w:r>
        <w:rPr>
          <w:rFonts w:hint="eastAsia"/>
          <w:highlight w:val="none"/>
          <w:lang w:val="en-US" w:eastAsia="zh-CN"/>
        </w:rPr>
        <w:t>塔机</w:t>
      </w:r>
      <w:r>
        <w:rPr>
          <w:rFonts w:hint="default"/>
          <w:highlight w:val="none"/>
          <w:lang w:val="en-US" w:eastAsia="zh-CN"/>
        </w:rPr>
        <w:t>。</w:t>
      </w:r>
    </w:p>
    <w:p w14:paraId="67B7533E">
      <w:pPr>
        <w:bidi w:val="0"/>
        <w:rPr>
          <w:rFonts w:hint="default"/>
          <w:highlight w:val="none"/>
          <w:lang w:val="en-US" w:eastAsia="zh-CN"/>
        </w:rPr>
      </w:pPr>
      <w:r>
        <w:rPr>
          <w:rFonts w:hint="default"/>
          <w:highlight w:val="none"/>
          <w:lang w:val="en-US" w:eastAsia="zh-CN"/>
        </w:rPr>
        <w:t>（12）必须有足够的照明灯光。</w:t>
      </w:r>
    </w:p>
    <w:p w14:paraId="2C9C4FD8">
      <w:pPr>
        <w:bidi w:val="0"/>
        <w:rPr>
          <w:rFonts w:hint="default"/>
          <w:highlight w:val="none"/>
          <w:lang w:val="en-US" w:eastAsia="zh-CN"/>
        </w:rPr>
      </w:pPr>
      <w:r>
        <w:rPr>
          <w:rFonts w:hint="default"/>
          <w:highlight w:val="none"/>
          <w:lang w:val="en-US" w:eastAsia="zh-CN"/>
        </w:rPr>
        <w:t>（13）应禁止闲杂人员的进出，临街作业时，要采取临时保护措施。</w:t>
      </w:r>
    </w:p>
    <w:p w14:paraId="2B902131">
      <w:pPr>
        <w:pStyle w:val="4"/>
        <w:bidi w:val="0"/>
        <w:ind w:left="720" w:leftChars="0" w:hanging="720" w:firstLineChars="0"/>
        <w:rPr>
          <w:rFonts w:hint="default"/>
          <w:lang w:val="en-US" w:eastAsia="zh-CN"/>
        </w:rPr>
      </w:pPr>
      <w:bookmarkStart w:id="267" w:name="_Toc24437"/>
      <w:bookmarkStart w:id="268" w:name="_Toc3128"/>
      <w:r>
        <w:rPr>
          <w:rFonts w:hint="default"/>
          <w:lang w:val="en-US" w:eastAsia="zh-CN"/>
        </w:rPr>
        <w:t>顶升</w:t>
      </w:r>
      <w:r>
        <w:rPr>
          <w:rFonts w:hint="eastAsia"/>
          <w:lang w:val="en-US" w:eastAsia="zh-CN"/>
        </w:rPr>
        <w:t>过程安全</w:t>
      </w:r>
      <w:r>
        <w:rPr>
          <w:rFonts w:hint="eastAsia"/>
        </w:rPr>
        <w:t>技术</w:t>
      </w:r>
      <w:r>
        <w:rPr>
          <w:rFonts w:hint="eastAsia"/>
          <w:lang w:val="en-US" w:eastAsia="zh-CN"/>
        </w:rPr>
        <w:t>管控措施</w:t>
      </w:r>
      <w:bookmarkEnd w:id="267"/>
      <w:bookmarkEnd w:id="268"/>
    </w:p>
    <w:p w14:paraId="26B11E2C">
      <w:pPr>
        <w:rPr>
          <w:rFonts w:hint="default"/>
          <w:highlight w:val="none"/>
          <w:lang w:val="en-US" w:eastAsia="zh-CN"/>
        </w:rPr>
      </w:pPr>
      <w:r>
        <w:rPr>
          <w:rFonts w:hint="default"/>
          <w:highlight w:val="none"/>
          <w:lang w:val="en-US" w:eastAsia="zh-CN"/>
        </w:rPr>
        <w:t>（1）</w:t>
      </w:r>
      <w:r>
        <w:rPr>
          <w:rFonts w:hint="eastAsia"/>
          <w:highlight w:val="none"/>
          <w:lang w:val="en-US" w:eastAsia="zh-CN"/>
        </w:rPr>
        <w:t>风力大于</w:t>
      </w:r>
      <w:r>
        <w:rPr>
          <w:rFonts w:hint="default"/>
          <w:highlight w:val="none"/>
          <w:lang w:val="en-US" w:eastAsia="zh-CN"/>
        </w:rPr>
        <w:t>于四级禁止顶升。</w:t>
      </w:r>
    </w:p>
    <w:p w14:paraId="7F39712A">
      <w:pPr>
        <w:rPr>
          <w:rFonts w:hint="default"/>
          <w:highlight w:val="none"/>
          <w:lang w:val="en-US" w:eastAsia="zh-CN"/>
        </w:rPr>
      </w:pPr>
      <w:r>
        <w:rPr>
          <w:rFonts w:hint="default"/>
          <w:highlight w:val="none"/>
          <w:lang w:val="en-US" w:eastAsia="zh-CN"/>
        </w:rPr>
        <w:t>（2）作业人员均要持有效证件上岗。</w:t>
      </w:r>
    </w:p>
    <w:p w14:paraId="79879815">
      <w:pPr>
        <w:rPr>
          <w:rFonts w:hint="default"/>
          <w:highlight w:val="none"/>
          <w:lang w:val="en-US" w:eastAsia="zh-CN"/>
        </w:rPr>
      </w:pPr>
      <w:r>
        <w:rPr>
          <w:rFonts w:hint="default"/>
          <w:highlight w:val="none"/>
          <w:lang w:val="en-US" w:eastAsia="zh-CN"/>
        </w:rPr>
        <w:t>（3）遵守安全操作规程及说明书规定的工艺和技术交底进行。</w:t>
      </w:r>
    </w:p>
    <w:p w14:paraId="15D9D9AC">
      <w:pPr>
        <w:rPr>
          <w:rFonts w:hint="default"/>
          <w:highlight w:val="none"/>
          <w:lang w:val="en-US" w:eastAsia="zh-CN"/>
        </w:rPr>
      </w:pPr>
      <w:r>
        <w:rPr>
          <w:rFonts w:hint="default"/>
          <w:highlight w:val="none"/>
          <w:lang w:val="en-US" w:eastAsia="zh-CN"/>
        </w:rPr>
        <w:t>（4）作业人员必须戴安全帽，着防滑鞋，必要时系安全带。</w:t>
      </w:r>
    </w:p>
    <w:p w14:paraId="11112B65">
      <w:pPr>
        <w:rPr>
          <w:rFonts w:hint="default"/>
          <w:highlight w:val="none"/>
          <w:lang w:val="en-US" w:eastAsia="zh-CN"/>
        </w:rPr>
      </w:pPr>
      <w:r>
        <w:rPr>
          <w:rFonts w:hint="default"/>
          <w:highlight w:val="none"/>
          <w:lang w:val="en-US" w:eastAsia="zh-CN"/>
        </w:rPr>
        <w:t>（5）使用的工具及螺栓应放在安全可靠的位置，防止坠落伤人。</w:t>
      </w:r>
    </w:p>
    <w:p w14:paraId="202BE2BF">
      <w:pPr>
        <w:pStyle w:val="5"/>
        <w:bidi w:val="0"/>
        <w:ind w:left="864" w:leftChars="0" w:hanging="864" w:firstLineChars="0"/>
        <w:rPr>
          <w:rFonts w:hint="default"/>
          <w:lang w:val="en-US" w:eastAsia="zh-CN"/>
        </w:rPr>
      </w:pPr>
      <w:r>
        <w:rPr>
          <w:rFonts w:hint="default"/>
          <w:lang w:val="en-US" w:eastAsia="zh-CN"/>
        </w:rPr>
        <w:t>顶升过程中</w:t>
      </w:r>
      <w:r>
        <w:rPr>
          <w:rFonts w:hint="eastAsia"/>
          <w:lang w:val="en-US" w:eastAsia="zh-CN"/>
        </w:rPr>
        <w:t>安全</w:t>
      </w:r>
      <w:r>
        <w:rPr>
          <w:rFonts w:hint="eastAsia"/>
        </w:rPr>
        <w:t>技术</w:t>
      </w:r>
      <w:r>
        <w:rPr>
          <w:rFonts w:hint="eastAsia"/>
          <w:lang w:val="en-US" w:eastAsia="zh-CN"/>
        </w:rPr>
        <w:t>管控措施</w:t>
      </w:r>
    </w:p>
    <w:p w14:paraId="6471D804">
      <w:pPr>
        <w:rPr>
          <w:rFonts w:hint="default"/>
          <w:highlight w:val="none"/>
          <w:lang w:val="en-US" w:eastAsia="zh-CN"/>
        </w:rPr>
      </w:pPr>
      <w:r>
        <w:rPr>
          <w:rFonts w:hint="eastAsia"/>
          <w:highlight w:val="none"/>
          <w:lang w:val="en-US" w:eastAsia="zh-CN"/>
        </w:rPr>
        <w:t>（1）</w:t>
      </w:r>
      <w:r>
        <w:rPr>
          <w:rFonts w:hint="default"/>
          <w:highlight w:val="none"/>
          <w:lang w:val="en-US" w:eastAsia="zh-CN"/>
        </w:rPr>
        <w:t>运动前，必须检查顶升横梁是否处在正确位置，顶升上部是否处于平衡位置，否则应加以调整，使塔身前后两边平衡。调整方法：调整小车的位置，使得</w:t>
      </w:r>
      <w:r>
        <w:rPr>
          <w:rFonts w:hint="eastAsia"/>
          <w:highlight w:val="none"/>
          <w:lang w:val="en-US" w:eastAsia="zh-CN"/>
        </w:rPr>
        <w:t>塔机</w:t>
      </w:r>
      <w:r>
        <w:rPr>
          <w:rFonts w:hint="default"/>
          <w:highlight w:val="none"/>
          <w:lang w:val="en-US" w:eastAsia="zh-CN"/>
        </w:rPr>
        <w:t>的上部重心落在顶升横梁的位置上，实际操作中，观察到爬升架上四角导向轮基本上与塔身标准节弦杆脱开时，即为理想位置）。</w:t>
      </w:r>
    </w:p>
    <w:p w14:paraId="78854261">
      <w:pPr>
        <w:rPr>
          <w:rFonts w:hint="default"/>
          <w:highlight w:val="none"/>
          <w:lang w:val="en-US" w:eastAsia="zh-CN"/>
        </w:rPr>
      </w:pPr>
      <w:r>
        <w:rPr>
          <w:rFonts w:hint="eastAsia"/>
          <w:highlight w:val="none"/>
          <w:lang w:val="en-US" w:eastAsia="zh-CN"/>
        </w:rPr>
        <w:t>（2）</w:t>
      </w:r>
      <w:r>
        <w:rPr>
          <w:rFonts w:hint="default"/>
          <w:highlight w:val="none"/>
          <w:lang w:val="en-US" w:eastAsia="zh-CN"/>
        </w:rPr>
        <w:t>操作中，吊臂不能旋转，油缸始终处于规定压力。</w:t>
      </w:r>
    </w:p>
    <w:p w14:paraId="649B1EC5">
      <w:pPr>
        <w:rPr>
          <w:rFonts w:hint="default"/>
          <w:highlight w:val="none"/>
          <w:lang w:val="en-US" w:eastAsia="zh-CN"/>
        </w:rPr>
      </w:pPr>
      <w:r>
        <w:rPr>
          <w:rFonts w:hint="eastAsia"/>
          <w:highlight w:val="none"/>
          <w:lang w:val="en-US" w:eastAsia="zh-CN"/>
        </w:rPr>
        <w:t>（3）</w:t>
      </w:r>
      <w:r>
        <w:rPr>
          <w:rFonts w:hint="default"/>
          <w:highlight w:val="none"/>
          <w:lang w:val="en-US" w:eastAsia="zh-CN"/>
        </w:rPr>
        <w:t>允许单独动作，严禁爬升与其它动作同时进行。</w:t>
      </w:r>
    </w:p>
    <w:p w14:paraId="66CD2B4E">
      <w:pPr>
        <w:rPr>
          <w:rFonts w:hint="default"/>
          <w:highlight w:val="none"/>
          <w:lang w:val="en-US" w:eastAsia="zh-CN"/>
        </w:rPr>
      </w:pPr>
      <w:r>
        <w:rPr>
          <w:rFonts w:hint="eastAsia"/>
          <w:highlight w:val="none"/>
          <w:lang w:val="en-US" w:eastAsia="zh-CN"/>
        </w:rPr>
        <w:t>（4）</w:t>
      </w:r>
      <w:r>
        <w:rPr>
          <w:rFonts w:hint="default"/>
          <w:highlight w:val="none"/>
          <w:lang w:val="en-US" w:eastAsia="zh-CN"/>
        </w:rPr>
        <w:t>升套与塔身标准节脱离后，禁止起吊重物。</w:t>
      </w:r>
    </w:p>
    <w:p w14:paraId="08AA370C">
      <w:pPr>
        <w:rPr>
          <w:rFonts w:hint="default"/>
          <w:highlight w:val="none"/>
          <w:lang w:val="en-US" w:eastAsia="zh-CN"/>
        </w:rPr>
      </w:pPr>
      <w:r>
        <w:rPr>
          <w:rFonts w:hint="eastAsia"/>
          <w:highlight w:val="none"/>
          <w:lang w:val="en-US" w:eastAsia="zh-CN"/>
        </w:rPr>
        <w:t>（5）</w:t>
      </w:r>
      <w:r>
        <w:rPr>
          <w:rFonts w:hint="default"/>
          <w:highlight w:val="none"/>
          <w:lang w:val="en-US" w:eastAsia="zh-CN"/>
        </w:rPr>
        <w:t>过程中起重臂应保持在正前方位置（引进标准节方为前方）。</w:t>
      </w:r>
    </w:p>
    <w:p w14:paraId="51955115">
      <w:pPr>
        <w:rPr>
          <w:rFonts w:hint="default"/>
          <w:highlight w:val="none"/>
          <w:lang w:val="en-US" w:eastAsia="zh-CN"/>
        </w:rPr>
      </w:pPr>
      <w:r>
        <w:rPr>
          <w:rFonts w:hint="eastAsia"/>
          <w:highlight w:val="none"/>
          <w:lang w:val="en-US" w:eastAsia="zh-CN"/>
        </w:rPr>
        <w:t>（6）</w:t>
      </w:r>
      <w:r>
        <w:rPr>
          <w:rFonts w:hint="default"/>
          <w:highlight w:val="none"/>
          <w:lang w:val="en-US" w:eastAsia="zh-CN"/>
        </w:rPr>
        <w:t>过程中，回转机构必须处于有效的制动状态。</w:t>
      </w:r>
    </w:p>
    <w:p w14:paraId="0D982EF4">
      <w:pPr>
        <w:rPr>
          <w:rFonts w:hint="default"/>
          <w:highlight w:val="none"/>
          <w:lang w:val="en-US" w:eastAsia="zh-CN"/>
        </w:rPr>
      </w:pPr>
      <w:r>
        <w:rPr>
          <w:rFonts w:hint="eastAsia"/>
          <w:highlight w:val="none"/>
          <w:lang w:val="en-US" w:eastAsia="zh-CN"/>
        </w:rPr>
        <w:t>（7）</w:t>
      </w:r>
      <w:r>
        <w:rPr>
          <w:rFonts w:hint="default"/>
          <w:highlight w:val="none"/>
          <w:lang w:val="en-US" w:eastAsia="zh-CN"/>
        </w:rPr>
        <w:t>连续加节，每加完一节后，用塔身自身起吊下一标准节前，塔身标准节和下支座之间的高强度螺栓要全部拧紧。</w:t>
      </w:r>
    </w:p>
    <w:p w14:paraId="541846E1">
      <w:pPr>
        <w:rPr>
          <w:rFonts w:hint="default"/>
          <w:highlight w:val="none"/>
          <w:lang w:val="en-US" w:eastAsia="zh-CN"/>
        </w:rPr>
      </w:pPr>
      <w:r>
        <w:rPr>
          <w:rFonts w:hint="eastAsia"/>
          <w:highlight w:val="none"/>
          <w:lang w:val="en-US" w:eastAsia="zh-CN"/>
        </w:rPr>
        <w:t>（8）</w:t>
      </w:r>
      <w:r>
        <w:rPr>
          <w:rFonts w:hint="default"/>
          <w:highlight w:val="none"/>
          <w:lang w:val="en-US" w:eastAsia="zh-CN"/>
        </w:rPr>
        <w:t>继续加的标准节必须与已有的塔身标准节对齐。</w:t>
      </w:r>
    </w:p>
    <w:p w14:paraId="453D2071">
      <w:pPr>
        <w:pStyle w:val="5"/>
        <w:bidi w:val="0"/>
        <w:ind w:left="864" w:leftChars="0" w:hanging="864" w:firstLineChars="0"/>
        <w:rPr>
          <w:rFonts w:hint="default"/>
          <w:lang w:val="en-US" w:eastAsia="zh-CN"/>
        </w:rPr>
      </w:pPr>
      <w:r>
        <w:rPr>
          <w:rFonts w:hint="default"/>
          <w:lang w:val="en-US" w:eastAsia="zh-CN"/>
        </w:rPr>
        <w:t>顶升完毕后</w:t>
      </w:r>
      <w:r>
        <w:rPr>
          <w:rFonts w:hint="eastAsia"/>
          <w:lang w:val="en-US" w:eastAsia="zh-CN"/>
        </w:rPr>
        <w:t>安全</w:t>
      </w:r>
      <w:r>
        <w:rPr>
          <w:rFonts w:hint="eastAsia"/>
        </w:rPr>
        <w:t>技术</w:t>
      </w:r>
      <w:r>
        <w:rPr>
          <w:rFonts w:hint="eastAsia"/>
          <w:lang w:val="en-US" w:eastAsia="zh-CN"/>
        </w:rPr>
        <w:t>管控措施</w:t>
      </w:r>
    </w:p>
    <w:p w14:paraId="5AEE4F8C">
      <w:pPr>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w:t>
      </w:r>
      <w:r>
        <w:rPr>
          <w:rFonts w:hint="default"/>
          <w:highlight w:val="none"/>
          <w:lang w:val="en-US" w:eastAsia="zh-CN"/>
        </w:rPr>
        <w:t>加节完毕，应旋转臂架至不同的角度，检查塔身节各接头高强度螺栓的拧紧情况，重点检查下支座与塔身连接螺栓的紧固情况。（哪一塔身主弦杆位于平衡臂正下方，就把主弦杆从下到下的螺栓拧紧）。</w:t>
      </w:r>
    </w:p>
    <w:p w14:paraId="0E880576">
      <w:pPr>
        <w:rPr>
          <w:rFonts w:hint="default"/>
          <w:highlight w:val="none"/>
          <w:lang w:val="en-US" w:eastAsia="zh-CN"/>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w:t>
      </w:r>
      <w:r>
        <w:rPr>
          <w:rFonts w:hint="default"/>
          <w:highlight w:val="none"/>
          <w:lang w:val="en-US" w:eastAsia="zh-CN"/>
        </w:rPr>
        <w:t>加节完毕，将爬升架下降到塔身底部并加以固定，以降低整个塔机的重心和减少迎风面积。</w:t>
      </w:r>
    </w:p>
    <w:p w14:paraId="46EA9A66">
      <w:pPr>
        <w:rPr>
          <w:rFonts w:hint="default"/>
          <w:highlight w:val="none"/>
          <w:lang w:val="en-US" w:eastAsia="zh-CN"/>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w:t>
      </w:r>
      <w:r>
        <w:rPr>
          <w:rFonts w:hint="default"/>
          <w:highlight w:val="none"/>
          <w:lang w:val="en-US" w:eastAsia="zh-CN"/>
        </w:rPr>
        <w:t>加节完毕，将操作手柄置于零位，并切断液压系统电源。</w:t>
      </w:r>
    </w:p>
    <w:p w14:paraId="04EEA392">
      <w:pPr>
        <w:pStyle w:val="4"/>
        <w:bidi w:val="0"/>
        <w:ind w:left="720" w:leftChars="0" w:hanging="720" w:firstLineChars="0"/>
        <w:rPr>
          <w:rFonts w:hint="default"/>
          <w:lang w:val="en-US" w:eastAsia="zh-CN"/>
        </w:rPr>
      </w:pPr>
      <w:bookmarkStart w:id="269" w:name="_Toc11806"/>
      <w:bookmarkStart w:id="270" w:name="_Toc5740"/>
      <w:r>
        <w:rPr>
          <w:rFonts w:hint="default"/>
          <w:lang w:val="en-US" w:eastAsia="zh-CN"/>
        </w:rPr>
        <w:t>群塔施工安全</w:t>
      </w:r>
      <w:r>
        <w:rPr>
          <w:rFonts w:hint="eastAsia"/>
        </w:rPr>
        <w:t>技术</w:t>
      </w:r>
      <w:r>
        <w:rPr>
          <w:rFonts w:hint="default"/>
          <w:lang w:val="en-US" w:eastAsia="zh-CN"/>
        </w:rPr>
        <w:t>保证措施</w:t>
      </w:r>
      <w:bookmarkEnd w:id="269"/>
      <w:bookmarkEnd w:id="270"/>
    </w:p>
    <w:p w14:paraId="7FC657E0">
      <w:pPr>
        <w:pStyle w:val="5"/>
        <w:bidi w:val="0"/>
        <w:ind w:left="864" w:leftChars="0" w:hanging="864" w:firstLineChars="0"/>
        <w:rPr>
          <w:rFonts w:hint="default"/>
          <w:lang w:val="en-US" w:eastAsia="zh-CN"/>
        </w:rPr>
      </w:pPr>
      <w:r>
        <w:rPr>
          <w:rFonts w:hint="default"/>
          <w:lang w:val="en-US" w:eastAsia="zh-CN"/>
        </w:rPr>
        <w:t>群塔安装顶升应遵循的原则</w:t>
      </w:r>
    </w:p>
    <w:p w14:paraId="2B96D45A">
      <w:pPr>
        <w:bidi w:val="0"/>
        <w:rPr>
          <w:rFonts w:hint="default"/>
          <w:highlight w:val="none"/>
          <w:lang w:val="en-US" w:eastAsia="zh-CN"/>
        </w:rPr>
      </w:pPr>
      <w:r>
        <w:rPr>
          <w:rFonts w:hint="default"/>
          <w:highlight w:val="none"/>
          <w:lang w:val="en-US" w:eastAsia="zh-CN"/>
        </w:rPr>
        <w:t>（1）高塔的最低部件</w:t>
      </w:r>
      <w:r>
        <w:rPr>
          <w:rFonts w:hint="eastAsia"/>
          <w:highlight w:val="none"/>
          <w:lang w:val="en-US" w:eastAsia="zh-CN"/>
        </w:rPr>
        <w:t>（</w:t>
      </w:r>
      <w:r>
        <w:rPr>
          <w:rFonts w:hint="default"/>
          <w:highlight w:val="none"/>
          <w:lang w:val="en-US" w:eastAsia="zh-CN"/>
        </w:rPr>
        <w:t>吊钩较高的位置，平衡重</w:t>
      </w:r>
      <w:r>
        <w:rPr>
          <w:rFonts w:hint="eastAsia"/>
          <w:highlight w:val="none"/>
          <w:lang w:val="en-US" w:eastAsia="zh-CN"/>
        </w:rPr>
        <w:t>）</w:t>
      </w:r>
      <w:r>
        <w:rPr>
          <w:rFonts w:hint="default"/>
          <w:highlight w:val="none"/>
          <w:lang w:val="en-US" w:eastAsia="zh-CN"/>
        </w:rPr>
        <w:t>和另一台塔机的最高部件之间的净高差必须大于2米</w:t>
      </w:r>
      <w:r>
        <w:rPr>
          <w:rFonts w:hint="eastAsia"/>
          <w:highlight w:val="none"/>
          <w:lang w:val="en-US" w:eastAsia="zh-CN"/>
        </w:rPr>
        <w:t>（</w:t>
      </w:r>
      <w:r>
        <w:rPr>
          <w:rFonts w:hint="default"/>
          <w:highlight w:val="none"/>
          <w:lang w:val="en-US" w:eastAsia="zh-CN"/>
        </w:rPr>
        <w:t>最小值</w:t>
      </w:r>
      <w:r>
        <w:rPr>
          <w:rFonts w:hint="eastAsia"/>
          <w:highlight w:val="none"/>
          <w:lang w:val="en-US" w:eastAsia="zh-CN"/>
        </w:rPr>
        <w:t>）</w:t>
      </w:r>
      <w:r>
        <w:rPr>
          <w:rFonts w:hint="default"/>
          <w:highlight w:val="none"/>
          <w:lang w:val="en-US" w:eastAsia="zh-CN"/>
        </w:rPr>
        <w:t>。</w:t>
      </w:r>
    </w:p>
    <w:p w14:paraId="47826075">
      <w:pPr>
        <w:bidi w:val="0"/>
        <w:rPr>
          <w:rFonts w:hint="default"/>
          <w:highlight w:val="none"/>
          <w:lang w:val="en-US" w:eastAsia="zh-CN"/>
        </w:rPr>
      </w:pPr>
      <w:r>
        <w:rPr>
          <w:rFonts w:hint="default"/>
          <w:highlight w:val="none"/>
          <w:lang w:val="en-US" w:eastAsia="zh-CN"/>
        </w:rPr>
        <w:t>（2）当塔机在另一台塔机的上面工作时，高塔必须装备有防止起升钢丝绳进入正在工作的低搭的平衡臂工作区域的装置，安全距离为2米。</w:t>
      </w:r>
    </w:p>
    <w:p w14:paraId="01E357EF">
      <w:pPr>
        <w:bidi w:val="0"/>
        <w:ind w:left="0" w:leftChars="0" w:firstLine="0" w:firstLineChars="0"/>
        <w:jc w:val="center"/>
        <w:rPr>
          <w:rFonts w:hint="eastAsia" w:ascii="宋体" w:hAnsi="宋体" w:cs="宋体"/>
          <w:kern w:val="0"/>
          <w:sz w:val="24"/>
          <w:highlight w:val="none"/>
        </w:rPr>
      </w:pPr>
      <w:r>
        <w:rPr>
          <w:rFonts w:hint="eastAsia" w:ascii="宋体" w:hAnsi="宋体" w:cs="宋体"/>
          <w:kern w:val="0"/>
          <w:sz w:val="24"/>
          <w:highlight w:val="none"/>
        </w:rPr>
        <w:drawing>
          <wp:inline distT="0" distB="0" distL="114300" distR="114300">
            <wp:extent cx="4912995" cy="2195830"/>
            <wp:effectExtent l="0" t="0" r="1905" b="1270"/>
            <wp:docPr id="11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0"/>
                    <pic:cNvPicPr>
                      <a:picLocks noChangeAspect="1"/>
                    </pic:cNvPicPr>
                  </pic:nvPicPr>
                  <pic:blipFill>
                    <a:blip r:embed="rId60"/>
                    <a:stretch>
                      <a:fillRect/>
                    </a:stretch>
                  </pic:blipFill>
                  <pic:spPr>
                    <a:xfrm>
                      <a:off x="0" y="0"/>
                      <a:ext cx="4912995" cy="2195830"/>
                    </a:xfrm>
                    <a:prstGeom prst="rect">
                      <a:avLst/>
                    </a:prstGeom>
                    <a:noFill/>
                    <a:ln>
                      <a:noFill/>
                    </a:ln>
                  </pic:spPr>
                </pic:pic>
              </a:graphicData>
            </a:graphic>
          </wp:inline>
        </w:drawing>
      </w:r>
    </w:p>
    <w:p w14:paraId="5556A752">
      <w:pPr>
        <w:bidi w:val="0"/>
        <w:ind w:left="0" w:leftChars="0" w:firstLine="0" w:firstLineChars="0"/>
        <w:jc w:val="center"/>
        <w:rPr>
          <w:rFonts w:hint="eastAsia"/>
          <w:highlight w:val="none"/>
        </w:rPr>
      </w:pPr>
      <w:r>
        <w:rPr>
          <w:rFonts w:ascii="宋体" w:hAnsi="宋体"/>
          <w:sz w:val="24"/>
          <w:highlight w:val="none"/>
        </w:rPr>
        <w:drawing>
          <wp:inline distT="0" distB="0" distL="114300" distR="114300">
            <wp:extent cx="3962400" cy="2195830"/>
            <wp:effectExtent l="0" t="0" r="0" b="1270"/>
            <wp:docPr id="11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1"/>
                    <pic:cNvPicPr>
                      <a:picLocks noChangeAspect="1"/>
                    </pic:cNvPicPr>
                  </pic:nvPicPr>
                  <pic:blipFill>
                    <a:blip r:embed="rId61"/>
                    <a:stretch>
                      <a:fillRect/>
                    </a:stretch>
                  </pic:blipFill>
                  <pic:spPr>
                    <a:xfrm>
                      <a:off x="0" y="0"/>
                      <a:ext cx="3962400" cy="2195830"/>
                    </a:xfrm>
                    <a:prstGeom prst="rect">
                      <a:avLst/>
                    </a:prstGeom>
                    <a:noFill/>
                    <a:ln>
                      <a:noFill/>
                    </a:ln>
                  </pic:spPr>
                </pic:pic>
              </a:graphicData>
            </a:graphic>
          </wp:inline>
        </w:drawing>
      </w:r>
    </w:p>
    <w:p w14:paraId="73C69690">
      <w:pPr>
        <w:pStyle w:val="15"/>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图6-2 群塔安装示意图</w:t>
      </w:r>
    </w:p>
    <w:p w14:paraId="576B6832">
      <w:pPr>
        <w:pStyle w:val="5"/>
        <w:bidi w:val="0"/>
        <w:ind w:left="864" w:leftChars="0" w:hanging="864" w:firstLineChars="0"/>
        <w:rPr>
          <w:rFonts w:hint="default"/>
          <w:lang w:val="en-US" w:eastAsia="zh-CN"/>
        </w:rPr>
      </w:pPr>
      <w:r>
        <w:rPr>
          <w:rFonts w:hint="default"/>
          <w:lang w:val="en-US" w:eastAsia="zh-CN"/>
        </w:rPr>
        <w:t>群塔作业应遵循的原则</w:t>
      </w:r>
    </w:p>
    <w:p w14:paraId="35D1E8D4">
      <w:pPr>
        <w:rPr>
          <w:rFonts w:hint="default"/>
          <w:b/>
          <w:bCs/>
          <w:highlight w:val="none"/>
          <w:lang w:val="en-US" w:eastAsia="zh-CN"/>
        </w:rPr>
      </w:pPr>
      <w:r>
        <w:rPr>
          <w:rFonts w:hint="default"/>
          <w:b/>
          <w:bCs/>
          <w:highlight w:val="none"/>
          <w:lang w:val="en-US" w:eastAsia="zh-CN"/>
        </w:rPr>
        <w:t>1、低塔让高塔原则</w:t>
      </w:r>
    </w:p>
    <w:p w14:paraId="193C3049">
      <w:pPr>
        <w:ind w:firstLine="480" w:firstLineChars="200"/>
        <w:rPr>
          <w:rFonts w:hint="default"/>
          <w:highlight w:val="none"/>
          <w:lang w:val="en-US" w:eastAsia="zh-CN"/>
        </w:rPr>
      </w:pPr>
      <w:r>
        <w:rPr>
          <w:rFonts w:hint="default"/>
          <w:highlight w:val="none"/>
          <w:lang w:val="en-US" w:eastAsia="zh-CN"/>
        </w:rPr>
        <w:t>一般情况下，主要位置的</w:t>
      </w:r>
      <w:r>
        <w:rPr>
          <w:rFonts w:hint="eastAsia"/>
          <w:highlight w:val="none"/>
          <w:lang w:val="en-US" w:eastAsia="zh-CN"/>
        </w:rPr>
        <w:t>塔机</w:t>
      </w:r>
      <w:r>
        <w:rPr>
          <w:rFonts w:hint="default"/>
          <w:highlight w:val="none"/>
          <w:lang w:val="en-US" w:eastAsia="zh-CN"/>
        </w:rPr>
        <w:t>、施工繁忙的</w:t>
      </w:r>
      <w:r>
        <w:rPr>
          <w:rFonts w:hint="eastAsia"/>
          <w:highlight w:val="none"/>
          <w:lang w:val="en-US" w:eastAsia="zh-CN"/>
        </w:rPr>
        <w:t>塔机</w:t>
      </w:r>
      <w:r>
        <w:rPr>
          <w:rFonts w:hint="default"/>
          <w:highlight w:val="none"/>
          <w:lang w:val="en-US" w:eastAsia="zh-CN"/>
        </w:rPr>
        <w:t>应安装的较高，次要位置的</w:t>
      </w:r>
      <w:r>
        <w:rPr>
          <w:rFonts w:hint="eastAsia"/>
          <w:highlight w:val="none"/>
          <w:lang w:val="en-US" w:eastAsia="zh-CN"/>
        </w:rPr>
        <w:t>塔机</w:t>
      </w:r>
      <w:r>
        <w:rPr>
          <w:rFonts w:hint="default"/>
          <w:highlight w:val="none"/>
          <w:lang w:val="en-US" w:eastAsia="zh-CN"/>
        </w:rPr>
        <w:t>安装的较低，施工中，低位</w:t>
      </w:r>
      <w:r>
        <w:rPr>
          <w:rFonts w:hint="eastAsia"/>
          <w:highlight w:val="none"/>
          <w:lang w:val="en-US" w:eastAsia="zh-CN"/>
        </w:rPr>
        <w:t>塔机</w:t>
      </w:r>
      <w:r>
        <w:rPr>
          <w:rFonts w:hint="default"/>
          <w:highlight w:val="none"/>
          <w:lang w:val="en-US" w:eastAsia="zh-CN"/>
        </w:rPr>
        <w:t>应关注相关的高位</w:t>
      </w:r>
      <w:r>
        <w:rPr>
          <w:rFonts w:hint="eastAsia"/>
          <w:highlight w:val="none"/>
          <w:lang w:val="en-US" w:eastAsia="zh-CN"/>
        </w:rPr>
        <w:t>塔机</w:t>
      </w:r>
      <w:r>
        <w:rPr>
          <w:rFonts w:hint="default"/>
          <w:highlight w:val="none"/>
          <w:lang w:val="en-US" w:eastAsia="zh-CN"/>
        </w:rPr>
        <w:t>运行情况，在查明情况后再进行动作。</w:t>
      </w:r>
    </w:p>
    <w:p w14:paraId="2DEE6E10">
      <w:pPr>
        <w:rPr>
          <w:rFonts w:hint="default"/>
          <w:b/>
          <w:bCs/>
          <w:highlight w:val="none"/>
          <w:lang w:val="en-US" w:eastAsia="zh-CN"/>
        </w:rPr>
      </w:pPr>
      <w:r>
        <w:rPr>
          <w:rFonts w:hint="default"/>
          <w:b/>
          <w:bCs/>
          <w:highlight w:val="none"/>
          <w:lang w:val="en-US" w:eastAsia="zh-CN"/>
        </w:rPr>
        <w:t>2、后塔让先塔原则</w:t>
      </w:r>
    </w:p>
    <w:p w14:paraId="0ACFB34D">
      <w:pPr>
        <w:ind w:firstLine="480" w:firstLineChars="200"/>
        <w:rPr>
          <w:rFonts w:hint="default"/>
          <w:highlight w:val="none"/>
          <w:lang w:val="en-US" w:eastAsia="zh-CN"/>
        </w:rPr>
      </w:pPr>
      <w:r>
        <w:rPr>
          <w:rFonts w:hint="eastAsia"/>
          <w:highlight w:val="none"/>
          <w:lang w:val="en-US" w:eastAsia="zh-CN"/>
        </w:rPr>
        <w:t>塔机</w:t>
      </w:r>
      <w:r>
        <w:rPr>
          <w:rFonts w:hint="default"/>
          <w:highlight w:val="none"/>
          <w:lang w:val="en-US" w:eastAsia="zh-CN"/>
        </w:rPr>
        <w:t>同时在交叉作业区运行时，后进入该区域的</w:t>
      </w:r>
      <w:r>
        <w:rPr>
          <w:rFonts w:hint="eastAsia"/>
          <w:highlight w:val="none"/>
          <w:lang w:val="en-US" w:eastAsia="zh-CN"/>
        </w:rPr>
        <w:t>塔机</w:t>
      </w:r>
      <w:r>
        <w:rPr>
          <w:rFonts w:hint="default"/>
          <w:highlight w:val="none"/>
          <w:lang w:val="en-US" w:eastAsia="zh-CN"/>
        </w:rPr>
        <w:t>应避让先进入该区域的</w:t>
      </w:r>
      <w:r>
        <w:rPr>
          <w:rFonts w:hint="eastAsia"/>
          <w:highlight w:val="none"/>
          <w:lang w:val="en-US" w:eastAsia="zh-CN"/>
        </w:rPr>
        <w:t>塔机</w:t>
      </w:r>
      <w:r>
        <w:rPr>
          <w:rFonts w:hint="default"/>
          <w:highlight w:val="none"/>
          <w:lang w:val="en-US" w:eastAsia="zh-CN"/>
        </w:rPr>
        <w:t>。</w:t>
      </w:r>
    </w:p>
    <w:p w14:paraId="2A7900E7">
      <w:pPr>
        <w:rPr>
          <w:rFonts w:hint="default"/>
          <w:b/>
          <w:bCs/>
          <w:highlight w:val="none"/>
          <w:lang w:val="en-US" w:eastAsia="zh-CN"/>
        </w:rPr>
      </w:pPr>
      <w:r>
        <w:rPr>
          <w:rFonts w:hint="default"/>
          <w:b/>
          <w:bCs/>
          <w:highlight w:val="none"/>
          <w:lang w:val="en-US" w:eastAsia="zh-CN"/>
        </w:rPr>
        <w:t>3、动塔让静塔原则</w:t>
      </w:r>
    </w:p>
    <w:p w14:paraId="2DA33E79">
      <w:pPr>
        <w:ind w:firstLine="480" w:firstLineChars="200"/>
        <w:rPr>
          <w:rFonts w:hint="default"/>
          <w:highlight w:val="none"/>
          <w:lang w:val="en-US" w:eastAsia="zh-CN"/>
        </w:rPr>
      </w:pPr>
      <w:r>
        <w:rPr>
          <w:rFonts w:hint="eastAsia"/>
          <w:highlight w:val="none"/>
          <w:lang w:val="en-US" w:eastAsia="zh-CN"/>
        </w:rPr>
        <w:t>塔机</w:t>
      </w:r>
      <w:r>
        <w:rPr>
          <w:rFonts w:hint="default"/>
          <w:highlight w:val="none"/>
          <w:lang w:val="en-US" w:eastAsia="zh-CN"/>
        </w:rPr>
        <w:t>在交叉作业区施工时，有动作的</w:t>
      </w:r>
      <w:r>
        <w:rPr>
          <w:rFonts w:hint="eastAsia"/>
          <w:highlight w:val="none"/>
          <w:lang w:val="en-US" w:eastAsia="zh-CN"/>
        </w:rPr>
        <w:t>塔机</w:t>
      </w:r>
      <w:r>
        <w:rPr>
          <w:rFonts w:hint="default"/>
          <w:highlight w:val="none"/>
          <w:lang w:val="en-US" w:eastAsia="zh-CN"/>
        </w:rPr>
        <w:t>应避让正停在某位置施工的</w:t>
      </w:r>
      <w:r>
        <w:rPr>
          <w:rFonts w:hint="eastAsia"/>
          <w:highlight w:val="none"/>
          <w:lang w:val="en-US" w:eastAsia="zh-CN"/>
        </w:rPr>
        <w:t>塔机</w:t>
      </w:r>
      <w:r>
        <w:rPr>
          <w:rFonts w:hint="default"/>
          <w:highlight w:val="none"/>
          <w:lang w:val="en-US" w:eastAsia="zh-CN"/>
        </w:rPr>
        <w:t>。</w:t>
      </w:r>
    </w:p>
    <w:p w14:paraId="3CEED3FA">
      <w:pPr>
        <w:rPr>
          <w:rFonts w:hint="default"/>
          <w:b/>
          <w:bCs/>
          <w:highlight w:val="none"/>
          <w:lang w:val="en-US" w:eastAsia="zh-CN"/>
        </w:rPr>
      </w:pPr>
      <w:r>
        <w:rPr>
          <w:rFonts w:hint="default"/>
          <w:b/>
          <w:bCs/>
          <w:highlight w:val="none"/>
          <w:lang w:val="en-US" w:eastAsia="zh-CN"/>
        </w:rPr>
        <w:t>4、荷重先行原则</w:t>
      </w:r>
    </w:p>
    <w:p w14:paraId="6F543125">
      <w:pPr>
        <w:ind w:firstLine="480" w:firstLineChars="200"/>
        <w:rPr>
          <w:rFonts w:hint="default"/>
          <w:highlight w:val="none"/>
          <w:lang w:val="en-US" w:eastAsia="zh-CN"/>
        </w:rPr>
      </w:pPr>
      <w:r>
        <w:rPr>
          <w:rFonts w:hint="default"/>
          <w:highlight w:val="none"/>
          <w:lang w:val="en-US" w:eastAsia="zh-CN"/>
        </w:rPr>
        <w:t>两塔同时施工在交叉作业区时，无吊载的</w:t>
      </w:r>
      <w:r>
        <w:rPr>
          <w:rFonts w:hint="eastAsia"/>
          <w:highlight w:val="none"/>
          <w:lang w:val="en-US" w:eastAsia="zh-CN"/>
        </w:rPr>
        <w:t>塔机</w:t>
      </w:r>
      <w:r>
        <w:rPr>
          <w:rFonts w:hint="default"/>
          <w:highlight w:val="none"/>
          <w:lang w:val="en-US" w:eastAsia="zh-CN"/>
        </w:rPr>
        <w:t>应避让有吊载的</w:t>
      </w:r>
      <w:r>
        <w:rPr>
          <w:rFonts w:hint="eastAsia"/>
          <w:highlight w:val="none"/>
          <w:lang w:val="en-US" w:eastAsia="zh-CN"/>
        </w:rPr>
        <w:t>塔机</w:t>
      </w:r>
      <w:r>
        <w:rPr>
          <w:rFonts w:hint="default"/>
          <w:highlight w:val="none"/>
          <w:lang w:val="en-US" w:eastAsia="zh-CN"/>
        </w:rPr>
        <w:t>，吊载较轻或所吊构件较小的</w:t>
      </w:r>
      <w:r>
        <w:rPr>
          <w:rFonts w:hint="eastAsia"/>
          <w:highlight w:val="none"/>
          <w:lang w:val="en-US" w:eastAsia="zh-CN"/>
        </w:rPr>
        <w:t>塔机</w:t>
      </w:r>
      <w:r>
        <w:rPr>
          <w:rFonts w:hint="default"/>
          <w:highlight w:val="none"/>
          <w:lang w:val="en-US" w:eastAsia="zh-CN"/>
        </w:rPr>
        <w:t>应避让吊载较重或吊物尺寸较大的</w:t>
      </w:r>
      <w:r>
        <w:rPr>
          <w:rFonts w:hint="eastAsia"/>
          <w:highlight w:val="none"/>
          <w:lang w:val="en-US" w:eastAsia="zh-CN"/>
        </w:rPr>
        <w:t>塔机</w:t>
      </w:r>
      <w:r>
        <w:rPr>
          <w:rFonts w:hint="default"/>
          <w:highlight w:val="none"/>
          <w:lang w:val="en-US" w:eastAsia="zh-CN"/>
        </w:rPr>
        <w:t>。</w:t>
      </w:r>
    </w:p>
    <w:p w14:paraId="48C70BBC">
      <w:pPr>
        <w:rPr>
          <w:rFonts w:hint="default"/>
          <w:b/>
          <w:bCs/>
          <w:highlight w:val="none"/>
          <w:lang w:val="en-US" w:eastAsia="zh-CN"/>
        </w:rPr>
      </w:pPr>
      <w:r>
        <w:rPr>
          <w:rFonts w:hint="default"/>
          <w:b/>
          <w:bCs/>
          <w:highlight w:val="none"/>
          <w:lang w:val="en-US" w:eastAsia="zh-CN"/>
        </w:rPr>
        <w:t>5、客塔让主塔原则</w:t>
      </w:r>
    </w:p>
    <w:p w14:paraId="0D95D36C">
      <w:pPr>
        <w:ind w:firstLine="480" w:firstLineChars="200"/>
        <w:rPr>
          <w:rFonts w:hint="default"/>
          <w:highlight w:val="none"/>
          <w:lang w:val="en-US" w:eastAsia="zh-CN"/>
        </w:rPr>
      </w:pPr>
      <w:r>
        <w:rPr>
          <w:rFonts w:hint="default"/>
          <w:highlight w:val="none"/>
          <w:lang w:val="en-US" w:eastAsia="zh-CN"/>
        </w:rPr>
        <w:t>在明确划分施工区域后，闯入非本</w:t>
      </w:r>
      <w:r>
        <w:rPr>
          <w:rFonts w:hint="eastAsia"/>
          <w:highlight w:val="none"/>
          <w:lang w:val="en-US" w:eastAsia="zh-CN"/>
        </w:rPr>
        <w:t>塔机</w:t>
      </w:r>
      <w:r>
        <w:rPr>
          <w:rFonts w:hint="default"/>
          <w:highlight w:val="none"/>
          <w:lang w:val="en-US" w:eastAsia="zh-CN"/>
        </w:rPr>
        <w:t>施工区域的</w:t>
      </w:r>
      <w:r>
        <w:rPr>
          <w:rFonts w:hint="eastAsia"/>
          <w:highlight w:val="none"/>
          <w:lang w:val="en-US" w:eastAsia="zh-CN"/>
        </w:rPr>
        <w:t>塔机</w:t>
      </w:r>
      <w:r>
        <w:rPr>
          <w:rFonts w:hint="default"/>
          <w:highlight w:val="none"/>
          <w:lang w:val="en-US" w:eastAsia="zh-CN"/>
        </w:rPr>
        <w:t>应主动避让，该区域主</w:t>
      </w:r>
      <w:r>
        <w:rPr>
          <w:rFonts w:hint="eastAsia"/>
          <w:highlight w:val="none"/>
          <w:lang w:val="en-US" w:eastAsia="zh-CN"/>
        </w:rPr>
        <w:t>塔机</w:t>
      </w:r>
      <w:r>
        <w:rPr>
          <w:rFonts w:hint="default"/>
          <w:highlight w:val="none"/>
          <w:lang w:val="en-US" w:eastAsia="zh-CN"/>
        </w:rPr>
        <w:t>。</w:t>
      </w:r>
    </w:p>
    <w:p w14:paraId="03B9115C">
      <w:pPr>
        <w:pStyle w:val="4"/>
        <w:bidi w:val="0"/>
        <w:ind w:left="720" w:leftChars="0" w:hanging="720" w:firstLineChars="0"/>
        <w:rPr>
          <w:rFonts w:hint="default"/>
          <w:lang w:val="en-US" w:eastAsia="zh-CN"/>
        </w:rPr>
      </w:pPr>
      <w:bookmarkStart w:id="271" w:name="_Toc20568"/>
      <w:bookmarkStart w:id="272" w:name="_Toc13270"/>
      <w:r>
        <w:rPr>
          <w:rFonts w:hint="default"/>
          <w:lang w:val="en-US" w:eastAsia="zh-CN"/>
        </w:rPr>
        <w:t>吊装</w:t>
      </w:r>
      <w:r>
        <w:rPr>
          <w:rFonts w:hint="eastAsia"/>
          <w:lang w:val="en-US" w:eastAsia="zh-CN"/>
        </w:rPr>
        <w:t>安全技术管控措施</w:t>
      </w:r>
      <w:bookmarkEnd w:id="271"/>
      <w:bookmarkEnd w:id="272"/>
    </w:p>
    <w:p w14:paraId="08F0FEA1">
      <w:pPr>
        <w:ind w:firstLine="480" w:firstLineChars="200"/>
        <w:rPr>
          <w:rFonts w:hint="default"/>
          <w:highlight w:val="none"/>
          <w:lang w:val="en-US" w:eastAsia="zh-CN"/>
        </w:rPr>
      </w:pPr>
      <w:r>
        <w:rPr>
          <w:rFonts w:hint="default"/>
          <w:highlight w:val="none"/>
          <w:lang w:val="en-US" w:eastAsia="zh-CN"/>
        </w:rPr>
        <w:t>起重吊装前，必须对工作现场环境、经过路线、架空电线、建筑物以及构件重量和分布等情况进行全面了解，吊装操作规定如下：</w:t>
      </w:r>
    </w:p>
    <w:p w14:paraId="214363ED">
      <w:pPr>
        <w:rPr>
          <w:rFonts w:hint="default"/>
          <w:highlight w:val="none"/>
          <w:lang w:val="en-US" w:eastAsia="zh-CN"/>
        </w:rPr>
      </w:pPr>
      <w:r>
        <w:rPr>
          <w:rFonts w:hint="eastAsia"/>
          <w:highlight w:val="none"/>
          <w:lang w:val="en-US" w:eastAsia="zh-CN"/>
        </w:rPr>
        <w:t>1、</w:t>
      </w:r>
      <w:r>
        <w:rPr>
          <w:rFonts w:hint="default"/>
          <w:highlight w:val="none"/>
          <w:lang w:val="en-US" w:eastAsia="zh-CN"/>
        </w:rPr>
        <w:t>起重臂回转半径内无障碍物。</w:t>
      </w:r>
    </w:p>
    <w:p w14:paraId="374EDD92">
      <w:pPr>
        <w:rPr>
          <w:rFonts w:hint="default"/>
          <w:highlight w:val="none"/>
          <w:lang w:val="en-US" w:eastAsia="zh-CN"/>
        </w:rPr>
      </w:pPr>
      <w:r>
        <w:rPr>
          <w:rFonts w:hint="eastAsia"/>
          <w:highlight w:val="none"/>
          <w:lang w:val="en-US" w:eastAsia="zh-CN"/>
        </w:rPr>
        <w:t>2、</w:t>
      </w:r>
      <w:r>
        <w:rPr>
          <w:rFonts w:hint="default"/>
          <w:highlight w:val="none"/>
          <w:lang w:val="en-US" w:eastAsia="zh-CN"/>
        </w:rPr>
        <w:t>操作前重点检查：</w:t>
      </w:r>
    </w:p>
    <w:p w14:paraId="42DFA866">
      <w:pPr>
        <w:rPr>
          <w:rFonts w:hint="default"/>
          <w:highlight w:val="none"/>
          <w:lang w:val="en-US" w:eastAsia="zh-CN"/>
        </w:rPr>
      </w:pPr>
      <w:r>
        <w:rPr>
          <w:rFonts w:hint="eastAsia"/>
          <w:highlight w:val="none"/>
          <w:lang w:val="en-US" w:eastAsia="zh-CN"/>
        </w:rPr>
        <w:t>（1）</w:t>
      </w:r>
      <w:r>
        <w:rPr>
          <w:rFonts w:hint="default"/>
          <w:highlight w:val="none"/>
          <w:lang w:val="en-US" w:eastAsia="zh-CN"/>
        </w:rPr>
        <w:t>机械结构的外观情况，各传动机构应正常；</w:t>
      </w:r>
    </w:p>
    <w:p w14:paraId="0BD074A0">
      <w:pPr>
        <w:rPr>
          <w:rFonts w:hint="default"/>
          <w:highlight w:val="none"/>
          <w:lang w:val="en-US" w:eastAsia="zh-CN"/>
        </w:rPr>
      </w:pPr>
      <w:r>
        <w:rPr>
          <w:rFonts w:hint="eastAsia"/>
          <w:highlight w:val="none"/>
          <w:lang w:val="en-US" w:eastAsia="zh-CN"/>
        </w:rPr>
        <w:t>（2）</w:t>
      </w:r>
      <w:r>
        <w:rPr>
          <w:rFonts w:hint="default"/>
          <w:highlight w:val="none"/>
          <w:lang w:val="en-US" w:eastAsia="zh-CN"/>
        </w:rPr>
        <w:t>各齿轮箱、液压油箱的油位应符合标准；</w:t>
      </w:r>
    </w:p>
    <w:p w14:paraId="58224DD9">
      <w:pPr>
        <w:rPr>
          <w:rFonts w:hint="default"/>
          <w:highlight w:val="none"/>
          <w:lang w:val="en-US" w:eastAsia="zh-CN"/>
        </w:rPr>
      </w:pPr>
      <w:r>
        <w:rPr>
          <w:rFonts w:hint="eastAsia"/>
          <w:highlight w:val="none"/>
          <w:lang w:val="en-US" w:eastAsia="zh-CN"/>
        </w:rPr>
        <w:t>（3）</w:t>
      </w:r>
      <w:r>
        <w:rPr>
          <w:rFonts w:hint="default"/>
          <w:highlight w:val="none"/>
          <w:lang w:val="en-US" w:eastAsia="zh-CN"/>
        </w:rPr>
        <w:t>主要部位连接螺栓应无松动；</w:t>
      </w:r>
    </w:p>
    <w:p w14:paraId="1D2433B6">
      <w:pPr>
        <w:rPr>
          <w:rFonts w:hint="default"/>
          <w:highlight w:val="none"/>
          <w:lang w:val="en-US" w:eastAsia="zh-CN"/>
        </w:rPr>
      </w:pPr>
      <w:r>
        <w:rPr>
          <w:rFonts w:hint="eastAsia"/>
          <w:highlight w:val="none"/>
          <w:lang w:val="en-US" w:eastAsia="zh-CN"/>
        </w:rPr>
        <w:t>（4）</w:t>
      </w:r>
      <w:r>
        <w:rPr>
          <w:rFonts w:hint="default"/>
          <w:highlight w:val="none"/>
          <w:lang w:val="en-US" w:eastAsia="zh-CN"/>
        </w:rPr>
        <w:t>钢丝绳磨损情况及穿绕滑轮应符合规定；</w:t>
      </w:r>
    </w:p>
    <w:p w14:paraId="1D582A50">
      <w:pPr>
        <w:rPr>
          <w:rFonts w:hint="default"/>
          <w:highlight w:val="none"/>
          <w:lang w:val="en-US" w:eastAsia="zh-CN"/>
        </w:rPr>
      </w:pPr>
      <w:r>
        <w:rPr>
          <w:rFonts w:hint="eastAsia"/>
          <w:highlight w:val="none"/>
          <w:lang w:val="en-US" w:eastAsia="zh-CN"/>
        </w:rPr>
        <w:t>（5）</w:t>
      </w:r>
      <w:r>
        <w:rPr>
          <w:rFonts w:hint="default"/>
          <w:highlight w:val="none"/>
          <w:lang w:val="en-US" w:eastAsia="zh-CN"/>
        </w:rPr>
        <w:t>供电电缆应无磨损；</w:t>
      </w:r>
    </w:p>
    <w:p w14:paraId="7CB5140E">
      <w:pPr>
        <w:rPr>
          <w:rFonts w:hint="default"/>
          <w:highlight w:val="none"/>
          <w:lang w:val="en-US" w:eastAsia="zh-CN"/>
        </w:rPr>
      </w:pPr>
      <w:r>
        <w:rPr>
          <w:rFonts w:hint="eastAsia"/>
          <w:highlight w:val="none"/>
          <w:lang w:val="en-US" w:eastAsia="zh-CN"/>
        </w:rPr>
        <w:t>（6）</w:t>
      </w:r>
      <w:r>
        <w:rPr>
          <w:rFonts w:hint="default"/>
          <w:highlight w:val="none"/>
          <w:lang w:val="en-US" w:eastAsia="zh-CN"/>
        </w:rPr>
        <w:t>检查电源电压应达到380伏，其变动范围不得超过±20伏，送电前启动控制开关应在零位。接通电源，检查金属结构部分无漏电后方可上机操作；</w:t>
      </w:r>
    </w:p>
    <w:p w14:paraId="557DE64D">
      <w:pPr>
        <w:rPr>
          <w:rFonts w:hint="default"/>
          <w:highlight w:val="none"/>
          <w:lang w:val="en-US" w:eastAsia="zh-CN"/>
        </w:rPr>
      </w:pPr>
      <w:r>
        <w:rPr>
          <w:rFonts w:hint="eastAsia"/>
          <w:highlight w:val="none"/>
          <w:lang w:val="en-US" w:eastAsia="zh-CN"/>
        </w:rPr>
        <w:t>（7）</w:t>
      </w:r>
      <w:r>
        <w:rPr>
          <w:rFonts w:hint="default"/>
          <w:highlight w:val="none"/>
          <w:lang w:val="en-US" w:eastAsia="zh-CN"/>
        </w:rPr>
        <w:t>空载运转，检查回转、起重、变幅等各机构的制动器、安全限位、防护装置等确认正确后，方可作业。</w:t>
      </w:r>
    </w:p>
    <w:p w14:paraId="2910B3FB">
      <w:pPr>
        <w:rPr>
          <w:rFonts w:hint="default"/>
          <w:highlight w:val="none"/>
          <w:lang w:val="en-US" w:eastAsia="zh-CN"/>
        </w:rPr>
      </w:pPr>
      <w:r>
        <w:rPr>
          <w:rFonts w:hint="eastAsia"/>
          <w:highlight w:val="none"/>
          <w:lang w:val="en-US" w:eastAsia="zh-CN"/>
        </w:rPr>
        <w:t>3、</w:t>
      </w:r>
      <w:r>
        <w:rPr>
          <w:rFonts w:hint="default"/>
          <w:highlight w:val="none"/>
          <w:lang w:val="en-US" w:eastAsia="zh-CN"/>
        </w:rPr>
        <w:t>在作业时，操作人员在进行起重机回转、吊钩升降、变幅等动作前，应鸣声示意。</w:t>
      </w:r>
    </w:p>
    <w:p w14:paraId="6F5FFD4A">
      <w:pPr>
        <w:rPr>
          <w:rFonts w:hint="default"/>
          <w:highlight w:val="none"/>
          <w:lang w:val="en-US" w:eastAsia="zh-CN"/>
        </w:rPr>
      </w:pPr>
      <w:r>
        <w:rPr>
          <w:rFonts w:hint="eastAsia"/>
          <w:highlight w:val="none"/>
          <w:lang w:val="en-US" w:eastAsia="zh-CN"/>
        </w:rPr>
        <w:t>4、</w:t>
      </w:r>
      <w:r>
        <w:rPr>
          <w:rFonts w:hint="default"/>
          <w:highlight w:val="none"/>
          <w:lang w:val="en-US" w:eastAsia="zh-CN"/>
        </w:rPr>
        <w:t>地面指挥人员必须经过培训取得合格证后，方可担任指挥。作业时应与操作人员密切配合。操作人员应严格执行指挥人员的信号，如信号不清或错误，操作人员应拒绝执行。</w:t>
      </w:r>
    </w:p>
    <w:p w14:paraId="781476F9">
      <w:pPr>
        <w:rPr>
          <w:rFonts w:hint="default"/>
          <w:highlight w:val="none"/>
          <w:lang w:val="en-US" w:eastAsia="zh-CN"/>
        </w:rPr>
      </w:pPr>
      <w:r>
        <w:rPr>
          <w:rFonts w:hint="eastAsia"/>
          <w:highlight w:val="none"/>
          <w:lang w:val="en-US" w:eastAsia="zh-CN"/>
        </w:rPr>
        <w:t>5、</w:t>
      </w:r>
      <w:r>
        <w:rPr>
          <w:rFonts w:hint="default"/>
          <w:highlight w:val="none"/>
          <w:lang w:val="en-US" w:eastAsia="zh-CN"/>
        </w:rPr>
        <w:t>当操作室远离地面，正常指挥发生困难时，可设高空、地面两个指挥人员或采用对讲机进行指挥。</w:t>
      </w:r>
    </w:p>
    <w:p w14:paraId="509CAEDC">
      <w:pPr>
        <w:rPr>
          <w:rFonts w:hint="default"/>
          <w:highlight w:val="none"/>
          <w:lang w:val="en-US" w:eastAsia="zh-CN"/>
        </w:rPr>
      </w:pPr>
      <w:r>
        <w:rPr>
          <w:rFonts w:hint="eastAsia"/>
          <w:highlight w:val="none"/>
          <w:lang w:val="en-US" w:eastAsia="zh-CN"/>
        </w:rPr>
        <w:t>6、</w:t>
      </w:r>
      <w:r>
        <w:rPr>
          <w:rFonts w:hint="default"/>
          <w:highlight w:val="none"/>
          <w:lang w:val="en-US" w:eastAsia="zh-CN"/>
        </w:rPr>
        <w:t>遇六级以上大风或大雨、大雪、大雾等恶劣天气时应停止起重机露天作业。</w:t>
      </w:r>
    </w:p>
    <w:p w14:paraId="2D6FC361">
      <w:pPr>
        <w:rPr>
          <w:rFonts w:hint="default"/>
          <w:highlight w:val="none"/>
          <w:lang w:val="en-US" w:eastAsia="zh-CN"/>
        </w:rPr>
      </w:pPr>
      <w:r>
        <w:rPr>
          <w:rFonts w:hint="eastAsia"/>
          <w:highlight w:val="none"/>
          <w:lang w:val="en-US" w:eastAsia="zh-CN"/>
        </w:rPr>
        <w:t>7、</w:t>
      </w:r>
      <w:r>
        <w:rPr>
          <w:rFonts w:hint="default"/>
          <w:highlight w:val="none"/>
          <w:lang w:val="en-US" w:eastAsia="zh-CN"/>
        </w:rPr>
        <w:t>起重机的变幅指示器、力矩限制器以及起重机的各种行程限位开关等保护装置，必须完整齐全、灵敏可靠，不得随意调整和拆除。严禁用限位装置代替操作机构。</w:t>
      </w:r>
    </w:p>
    <w:p w14:paraId="2176A50C">
      <w:pPr>
        <w:rPr>
          <w:rFonts w:hint="default"/>
          <w:highlight w:val="none"/>
          <w:lang w:val="en-US" w:eastAsia="zh-CN"/>
        </w:rPr>
      </w:pPr>
      <w:r>
        <w:rPr>
          <w:rFonts w:hint="eastAsia"/>
          <w:highlight w:val="none"/>
          <w:lang w:val="en-US" w:eastAsia="zh-CN"/>
        </w:rPr>
        <w:t>8、</w:t>
      </w:r>
      <w:r>
        <w:rPr>
          <w:rFonts w:hint="default"/>
          <w:highlight w:val="none"/>
          <w:lang w:val="en-US" w:eastAsia="zh-CN"/>
        </w:rPr>
        <w:t>起重机作业时，重物下方不得有人停留或通过。严禁用</w:t>
      </w:r>
      <w:r>
        <w:rPr>
          <w:rFonts w:hint="eastAsia"/>
          <w:highlight w:val="none"/>
          <w:lang w:val="en-US" w:eastAsia="zh-CN"/>
        </w:rPr>
        <w:t>塔机</w:t>
      </w:r>
      <w:r>
        <w:rPr>
          <w:rFonts w:hint="default"/>
          <w:highlight w:val="none"/>
          <w:lang w:val="en-US" w:eastAsia="zh-CN"/>
        </w:rPr>
        <w:t>运载人员。</w:t>
      </w:r>
    </w:p>
    <w:p w14:paraId="60ECD6A6">
      <w:pPr>
        <w:rPr>
          <w:rFonts w:hint="default"/>
          <w:highlight w:val="none"/>
          <w:lang w:val="en-US" w:eastAsia="zh-CN"/>
        </w:rPr>
      </w:pPr>
      <w:r>
        <w:rPr>
          <w:rFonts w:hint="eastAsia"/>
          <w:highlight w:val="none"/>
          <w:lang w:val="en-US" w:eastAsia="zh-CN"/>
        </w:rPr>
        <w:t>9、</w:t>
      </w:r>
      <w:r>
        <w:rPr>
          <w:rFonts w:hint="default"/>
          <w:highlight w:val="none"/>
          <w:lang w:val="en-US" w:eastAsia="zh-CN"/>
        </w:rPr>
        <w:t>起重机机械必须按规定的起重性能作业，不得超荷载和吊不明重量的物件。特殊情况下需超荷载使用时，必须有保证安全的技术措施，经技术负责人批准，有专人在现场监护下，方可起吊。</w:t>
      </w:r>
    </w:p>
    <w:p w14:paraId="66BC2A9E">
      <w:pPr>
        <w:rPr>
          <w:rFonts w:hint="default"/>
          <w:highlight w:val="none"/>
          <w:lang w:val="en-US" w:eastAsia="zh-CN"/>
        </w:rPr>
      </w:pPr>
      <w:r>
        <w:rPr>
          <w:rFonts w:hint="eastAsia"/>
          <w:highlight w:val="none"/>
          <w:lang w:val="en-US" w:eastAsia="zh-CN"/>
        </w:rPr>
        <w:t>10、</w:t>
      </w:r>
      <w:r>
        <w:rPr>
          <w:rFonts w:hint="default"/>
          <w:highlight w:val="none"/>
          <w:lang w:val="en-US" w:eastAsia="zh-CN"/>
        </w:rPr>
        <w:t>严禁使用起重机进行斜拉、斜吊、和起吊地下埋设或凝结在地面上的重物。现场浇筑的砼构件或模板，必须全部松动后方可起吊。</w:t>
      </w:r>
    </w:p>
    <w:p w14:paraId="628C8FFC">
      <w:pPr>
        <w:rPr>
          <w:rFonts w:hint="default"/>
          <w:highlight w:val="none"/>
          <w:lang w:val="en-US" w:eastAsia="zh-CN"/>
        </w:rPr>
      </w:pPr>
      <w:r>
        <w:rPr>
          <w:rFonts w:hint="eastAsia"/>
          <w:highlight w:val="none"/>
          <w:lang w:val="en-US" w:eastAsia="zh-CN"/>
        </w:rPr>
        <w:t>11、</w:t>
      </w:r>
      <w:r>
        <w:rPr>
          <w:rFonts w:hint="default"/>
          <w:highlight w:val="none"/>
          <w:lang w:val="en-US" w:eastAsia="zh-CN"/>
        </w:rPr>
        <w:t>起吊重物时应绑扎平稳、牢固，不得在重物上堆放或悬挂零星物件。零星材料和物件，必须用吊笼或钢丝绳绑扎牢固后，方可起吊。标有绑扎位置的或记号的物件，应按标明位置绑扎。绑扎钢丝绳与物件的夹角不得小于30度   。</w:t>
      </w:r>
    </w:p>
    <w:p w14:paraId="7C5EA1EE">
      <w:pPr>
        <w:rPr>
          <w:rFonts w:hint="default"/>
          <w:highlight w:val="none"/>
          <w:lang w:val="en-US" w:eastAsia="zh-CN"/>
        </w:rPr>
      </w:pPr>
      <w:r>
        <w:rPr>
          <w:rFonts w:hint="eastAsia"/>
          <w:highlight w:val="none"/>
          <w:lang w:val="en-US" w:eastAsia="zh-CN"/>
        </w:rPr>
        <w:t>12、</w:t>
      </w:r>
      <w:r>
        <w:rPr>
          <w:rFonts w:hint="default"/>
          <w:highlight w:val="none"/>
          <w:lang w:val="en-US" w:eastAsia="zh-CN"/>
        </w:rPr>
        <w:t>起重机在雨雪天气作业时，应先经过试吊，确认制动器灵敏可靠后方可进行作业。</w:t>
      </w:r>
    </w:p>
    <w:p w14:paraId="06D88E2F">
      <w:pPr>
        <w:rPr>
          <w:rFonts w:hint="default"/>
          <w:highlight w:val="none"/>
          <w:lang w:val="en-US" w:eastAsia="zh-CN"/>
        </w:rPr>
      </w:pPr>
      <w:r>
        <w:rPr>
          <w:rFonts w:hint="eastAsia"/>
          <w:highlight w:val="none"/>
          <w:lang w:val="en-US" w:eastAsia="zh-CN"/>
        </w:rPr>
        <w:t>13、</w:t>
      </w:r>
      <w:r>
        <w:rPr>
          <w:rFonts w:hint="default"/>
          <w:highlight w:val="none"/>
          <w:lang w:val="en-US" w:eastAsia="zh-CN"/>
        </w:rPr>
        <w:t>起重机在吊装满荷载时或接近满荷载时，应先将重物吊离地面20-50cm停止提升检查:起重机的稳定性能、制动器的可靠性、重物的平衡性、绑扎的牢固性。确认无误后方可再行提升。对于有可能晃动的重物，必须栓拉绳。</w:t>
      </w:r>
    </w:p>
    <w:p w14:paraId="2964EE9C">
      <w:pPr>
        <w:rPr>
          <w:rFonts w:hint="default"/>
          <w:highlight w:val="none"/>
          <w:lang w:val="en-US" w:eastAsia="zh-CN"/>
        </w:rPr>
      </w:pPr>
      <w:r>
        <w:rPr>
          <w:rFonts w:hint="eastAsia"/>
          <w:highlight w:val="none"/>
          <w:lang w:val="en-US" w:eastAsia="zh-CN"/>
        </w:rPr>
        <w:t>14、</w:t>
      </w:r>
      <w:r>
        <w:rPr>
          <w:rFonts w:hint="default"/>
          <w:highlight w:val="none"/>
          <w:lang w:val="en-US" w:eastAsia="zh-CN"/>
        </w:rPr>
        <w:t>重物提升和降落速度要均匀。严禁突快突慢和突然制动。左右回转动作要平稳，当回转未停稳前不得作回转运动。</w:t>
      </w:r>
    </w:p>
    <w:p w14:paraId="56303645">
      <w:pPr>
        <w:rPr>
          <w:rFonts w:hint="default"/>
          <w:highlight w:val="none"/>
          <w:lang w:val="en-US" w:eastAsia="zh-CN"/>
        </w:rPr>
      </w:pPr>
      <w:r>
        <w:rPr>
          <w:rFonts w:hint="eastAsia"/>
          <w:highlight w:val="none"/>
          <w:lang w:val="en-US" w:eastAsia="zh-CN"/>
        </w:rPr>
        <w:t>15、</w:t>
      </w:r>
      <w:r>
        <w:rPr>
          <w:rFonts w:hint="default"/>
          <w:highlight w:val="none"/>
          <w:lang w:val="en-US" w:eastAsia="zh-CN"/>
        </w:rPr>
        <w:t>起重机不得靠近架空输电线路作业，如限于现场条件，必须在线路旁作业时，应采取安全保护措施。6起重机使用的钢丝绳，应有制造厂的技术证明文件作为依据。如无证件时应经过检测试验合格后方可使用。</w:t>
      </w:r>
    </w:p>
    <w:p w14:paraId="782E79D4">
      <w:pPr>
        <w:rPr>
          <w:rFonts w:hint="default"/>
          <w:highlight w:val="none"/>
          <w:lang w:val="en-US" w:eastAsia="zh-CN"/>
        </w:rPr>
      </w:pPr>
      <w:r>
        <w:rPr>
          <w:rFonts w:hint="eastAsia"/>
          <w:highlight w:val="none"/>
          <w:lang w:val="en-US" w:eastAsia="zh-CN"/>
        </w:rPr>
        <w:t>16、</w:t>
      </w:r>
      <w:r>
        <w:rPr>
          <w:rFonts w:hint="default"/>
          <w:highlight w:val="none"/>
          <w:lang w:val="en-US" w:eastAsia="zh-CN"/>
        </w:rPr>
        <w:t>起重机使用的钢丝绳，其结构型式、规格强度必须符合该型起重机的要求。钢丝绳固定牢固、排列整齐，放出钢丝绳时，卷筒上至少保留3圈以上。收放钢丝绳时应防止钢丝绳打环、扭结、弯折和乱绳。</w:t>
      </w:r>
    </w:p>
    <w:p w14:paraId="56047A5E">
      <w:pPr>
        <w:rPr>
          <w:rFonts w:hint="default"/>
          <w:highlight w:val="none"/>
          <w:lang w:val="en-US" w:eastAsia="zh-CN"/>
        </w:rPr>
      </w:pPr>
      <w:r>
        <w:rPr>
          <w:rFonts w:hint="eastAsia"/>
          <w:highlight w:val="none"/>
          <w:lang w:val="en-US" w:eastAsia="zh-CN"/>
        </w:rPr>
        <w:t>17、</w:t>
      </w:r>
      <w:r>
        <w:rPr>
          <w:rFonts w:hint="default"/>
          <w:highlight w:val="none"/>
          <w:lang w:val="en-US" w:eastAsia="zh-CN"/>
        </w:rPr>
        <w:t>钢丝绳采用编结固接时，编结部分的长度不得小于钢丝绳直径的15倍，并不得少于300mm，其编结部分应绑扎细钢丝。采用绳卡固结时，数量不得少于3个。最后一个卡子距绳头的长度不小于140mm。绳卡夹板应在钢丝绳工作时受力的一侧，“U”形螺栓需在钢丝绳的尾端，不得正反交错。绳卡固定后，待钢丝绳受力后再度紧固，并应拧紧到使两绳直径高度压扁1/3左右。作业中必须经常检查紧固情况。</w:t>
      </w:r>
    </w:p>
    <w:p w14:paraId="271CC781">
      <w:pPr>
        <w:rPr>
          <w:rFonts w:hint="default"/>
          <w:highlight w:val="none"/>
          <w:lang w:val="en-US" w:eastAsia="zh-CN"/>
        </w:rPr>
      </w:pPr>
      <w:r>
        <w:rPr>
          <w:rFonts w:hint="eastAsia"/>
          <w:highlight w:val="none"/>
          <w:lang w:val="en-US" w:eastAsia="zh-CN"/>
        </w:rPr>
        <w:t>18、</w:t>
      </w:r>
      <w:r>
        <w:rPr>
          <w:rFonts w:hint="default"/>
          <w:highlight w:val="none"/>
          <w:lang w:val="en-US" w:eastAsia="zh-CN"/>
        </w:rPr>
        <w:t>每班作业前，应对钢丝绳所有可见部分以及钢丝绳的连接部位进行检查。钢丝绳表面磨损或腐蚀使钢丝绳的名义直径减少7%时或在规定长度范围内断丝根数达到以下表规定时应予更换。</w:t>
      </w:r>
    </w:p>
    <w:p w14:paraId="572984A2">
      <w:pPr>
        <w:rPr>
          <w:rFonts w:hint="default"/>
          <w:highlight w:val="none"/>
          <w:lang w:val="en-US" w:eastAsia="zh-CN"/>
        </w:rPr>
      </w:pPr>
      <w:r>
        <w:rPr>
          <w:rFonts w:hint="eastAsia"/>
          <w:highlight w:val="none"/>
          <w:lang w:val="en-US" w:eastAsia="zh-CN"/>
        </w:rPr>
        <w:t>19、</w:t>
      </w:r>
      <w:r>
        <w:rPr>
          <w:rFonts w:hint="default"/>
          <w:highlight w:val="none"/>
          <w:lang w:val="en-US" w:eastAsia="zh-CN"/>
        </w:rPr>
        <w:t>起重机的吊钩和吊环严禁补焊，有下列情况之一的即应更换：</w:t>
      </w:r>
    </w:p>
    <w:p w14:paraId="4C4ED6CC">
      <w:pPr>
        <w:rPr>
          <w:rFonts w:hint="default"/>
          <w:highlight w:val="none"/>
          <w:lang w:val="en-US" w:eastAsia="zh-CN"/>
        </w:rPr>
      </w:pPr>
      <w:r>
        <w:rPr>
          <w:rFonts w:hint="eastAsia"/>
          <w:highlight w:val="none"/>
          <w:lang w:val="en-US" w:eastAsia="zh-CN"/>
        </w:rPr>
        <w:t>（1）</w:t>
      </w:r>
      <w:r>
        <w:rPr>
          <w:rFonts w:hint="default"/>
          <w:highlight w:val="none"/>
          <w:lang w:val="en-US" w:eastAsia="zh-CN"/>
        </w:rPr>
        <w:t>表面有裂纹。</w:t>
      </w:r>
    </w:p>
    <w:p w14:paraId="2ECDBC7F">
      <w:pPr>
        <w:rPr>
          <w:rFonts w:hint="default"/>
          <w:highlight w:val="none"/>
          <w:lang w:val="en-US" w:eastAsia="zh-CN"/>
        </w:rPr>
      </w:pPr>
      <w:r>
        <w:rPr>
          <w:rFonts w:hint="eastAsia"/>
          <w:highlight w:val="none"/>
          <w:lang w:val="en-US" w:eastAsia="zh-CN"/>
        </w:rPr>
        <w:t>（2）</w:t>
      </w:r>
      <w:r>
        <w:rPr>
          <w:rFonts w:hint="default"/>
          <w:highlight w:val="none"/>
          <w:lang w:val="en-US" w:eastAsia="zh-CN"/>
        </w:rPr>
        <w:t>危险断面及钩颈有永久变形。</w:t>
      </w:r>
    </w:p>
    <w:p w14:paraId="324C4CDA">
      <w:pPr>
        <w:rPr>
          <w:rFonts w:hint="default"/>
          <w:highlight w:val="none"/>
          <w:lang w:val="en-US" w:eastAsia="zh-CN"/>
        </w:rPr>
      </w:pPr>
      <w:r>
        <w:rPr>
          <w:rFonts w:hint="eastAsia"/>
          <w:highlight w:val="none"/>
          <w:lang w:val="en-US" w:eastAsia="zh-CN"/>
        </w:rPr>
        <w:t>（3）</w:t>
      </w:r>
      <w:r>
        <w:rPr>
          <w:rFonts w:hint="default"/>
          <w:highlight w:val="none"/>
          <w:lang w:val="en-US" w:eastAsia="zh-CN"/>
        </w:rPr>
        <w:t>挂绳处断面磨损超过高度10％。</w:t>
      </w:r>
    </w:p>
    <w:p w14:paraId="18179B4C">
      <w:pPr>
        <w:rPr>
          <w:rFonts w:hint="default"/>
          <w:highlight w:val="none"/>
          <w:lang w:val="en-US" w:eastAsia="zh-CN"/>
        </w:rPr>
      </w:pPr>
      <w:r>
        <w:rPr>
          <w:rFonts w:hint="eastAsia"/>
          <w:highlight w:val="none"/>
          <w:lang w:val="en-US" w:eastAsia="zh-CN"/>
        </w:rPr>
        <w:t>（4）</w:t>
      </w:r>
      <w:r>
        <w:rPr>
          <w:rFonts w:hint="default"/>
          <w:highlight w:val="none"/>
          <w:lang w:val="en-US" w:eastAsia="zh-CN"/>
        </w:rPr>
        <w:t>吊钩衬套磨损超过原厚度50％，心轴（销子）磨损超过其直径的百分之三。</w:t>
      </w:r>
    </w:p>
    <w:p w14:paraId="22AEC297">
      <w:pPr>
        <w:rPr>
          <w:rFonts w:hint="default"/>
          <w:highlight w:val="none"/>
          <w:lang w:val="en-US" w:eastAsia="zh-CN"/>
        </w:rPr>
      </w:pPr>
      <w:r>
        <w:rPr>
          <w:rFonts w:hint="eastAsia"/>
          <w:highlight w:val="none"/>
          <w:lang w:val="en-US" w:eastAsia="zh-CN"/>
        </w:rPr>
        <w:t>（5）</w:t>
      </w:r>
      <w:r>
        <w:rPr>
          <w:rFonts w:hint="default"/>
          <w:highlight w:val="none"/>
          <w:lang w:val="en-US" w:eastAsia="zh-CN"/>
        </w:rPr>
        <w:t>起重机制动器的制动鼓面磨损达—mm时（大径取大值，小径取小值）或制动带磨损超过原厚度50％时均应更换。</w:t>
      </w:r>
    </w:p>
    <w:p w14:paraId="650DA767">
      <w:pPr>
        <w:rPr>
          <w:rFonts w:hint="default"/>
          <w:highlight w:val="none"/>
          <w:lang w:val="en-US" w:eastAsia="zh-CN"/>
        </w:rPr>
      </w:pPr>
      <w:r>
        <w:rPr>
          <w:rFonts w:hint="eastAsia"/>
          <w:highlight w:val="none"/>
          <w:lang w:val="en-US" w:eastAsia="zh-CN"/>
        </w:rPr>
        <w:t>20、</w:t>
      </w:r>
      <w:r>
        <w:rPr>
          <w:rFonts w:hint="default"/>
          <w:highlight w:val="none"/>
          <w:lang w:val="en-US" w:eastAsia="zh-CN"/>
        </w:rPr>
        <w:t>吊装作业步骤</w:t>
      </w:r>
    </w:p>
    <w:p w14:paraId="6142F52E">
      <w:pPr>
        <w:rPr>
          <w:rFonts w:hint="default"/>
          <w:highlight w:val="none"/>
          <w:lang w:val="en-US" w:eastAsia="zh-CN"/>
        </w:rPr>
      </w:pPr>
      <w:r>
        <w:rPr>
          <w:rFonts w:hint="default"/>
          <w:highlight w:val="none"/>
          <w:lang w:val="en-US" w:eastAsia="zh-CN"/>
        </w:rPr>
        <w:t>（1）作业前，应进行空载运转，试验各工作机构是否运转正常，有无噪音及异响，各机构的制动器及安全防护装置是否有效，确认正常后方可作业。</w:t>
      </w:r>
    </w:p>
    <w:p w14:paraId="34063D75">
      <w:pPr>
        <w:rPr>
          <w:rFonts w:hint="default"/>
          <w:highlight w:val="none"/>
          <w:lang w:val="en-US" w:eastAsia="zh-CN"/>
        </w:rPr>
      </w:pPr>
      <w:r>
        <w:rPr>
          <w:rFonts w:hint="default"/>
          <w:highlight w:val="none"/>
          <w:lang w:val="en-US" w:eastAsia="zh-CN"/>
        </w:rPr>
        <w:t>（2）由地面指挥告知</w:t>
      </w:r>
      <w:r>
        <w:rPr>
          <w:rFonts w:hint="eastAsia"/>
          <w:highlight w:val="none"/>
          <w:lang w:val="en-US" w:eastAsia="zh-CN"/>
        </w:rPr>
        <w:t>塔机</w:t>
      </w:r>
      <w:r>
        <w:rPr>
          <w:rFonts w:hint="default"/>
          <w:highlight w:val="none"/>
          <w:lang w:val="en-US" w:eastAsia="zh-CN"/>
        </w:rPr>
        <w:t>司机吊装内容，通知司索工就位，并将吊装路线及时告知地面工作人员做好避让工作。</w:t>
      </w:r>
    </w:p>
    <w:p w14:paraId="5C712513">
      <w:pPr>
        <w:rPr>
          <w:rFonts w:hint="default"/>
          <w:highlight w:val="none"/>
          <w:lang w:val="en-US" w:eastAsia="zh-CN"/>
        </w:rPr>
      </w:pPr>
      <w:r>
        <w:rPr>
          <w:rFonts w:hint="default"/>
          <w:highlight w:val="none"/>
          <w:lang w:val="en-US" w:eastAsia="zh-CN"/>
        </w:rPr>
        <w:t>（3）司索工绑扎吊物吊点。</w:t>
      </w:r>
    </w:p>
    <w:p w14:paraId="7894B77C">
      <w:pPr>
        <w:rPr>
          <w:rFonts w:hint="default"/>
          <w:highlight w:val="none"/>
          <w:lang w:val="en-US" w:eastAsia="zh-CN"/>
        </w:rPr>
      </w:pPr>
      <w:r>
        <w:rPr>
          <w:rFonts w:hint="default"/>
          <w:highlight w:val="none"/>
          <w:lang w:val="en-US" w:eastAsia="zh-CN"/>
        </w:rPr>
        <w:t>（4）信号工通知</w:t>
      </w:r>
      <w:r>
        <w:rPr>
          <w:rFonts w:hint="eastAsia"/>
          <w:highlight w:val="none"/>
          <w:lang w:val="en-US" w:eastAsia="zh-CN"/>
        </w:rPr>
        <w:t>塔机</w:t>
      </w:r>
      <w:r>
        <w:rPr>
          <w:rFonts w:hint="default"/>
          <w:highlight w:val="none"/>
          <w:lang w:val="en-US" w:eastAsia="zh-CN"/>
        </w:rPr>
        <w:t>司机试吊。</w:t>
      </w:r>
    </w:p>
    <w:p w14:paraId="153FB9A6">
      <w:pPr>
        <w:rPr>
          <w:rFonts w:hint="default"/>
          <w:highlight w:val="none"/>
          <w:lang w:val="en-US" w:eastAsia="zh-CN"/>
        </w:rPr>
      </w:pPr>
      <w:r>
        <w:rPr>
          <w:rFonts w:hint="default"/>
          <w:highlight w:val="none"/>
          <w:lang w:val="en-US" w:eastAsia="zh-CN"/>
        </w:rPr>
        <w:t>（5）信号工通知</w:t>
      </w:r>
      <w:r>
        <w:rPr>
          <w:rFonts w:hint="eastAsia"/>
          <w:highlight w:val="none"/>
          <w:lang w:val="en-US" w:eastAsia="zh-CN"/>
        </w:rPr>
        <w:t>塔机</w:t>
      </w:r>
      <w:r>
        <w:rPr>
          <w:rFonts w:hint="default"/>
          <w:highlight w:val="none"/>
          <w:lang w:val="en-US" w:eastAsia="zh-CN"/>
        </w:rPr>
        <w:t>司机正式起吊。</w:t>
      </w:r>
    </w:p>
    <w:p w14:paraId="26CEF2E9">
      <w:pPr>
        <w:rPr>
          <w:rFonts w:hint="default"/>
          <w:highlight w:val="none"/>
          <w:lang w:val="en-US" w:eastAsia="zh-CN"/>
        </w:rPr>
      </w:pPr>
      <w:r>
        <w:rPr>
          <w:rFonts w:hint="default"/>
          <w:highlight w:val="none"/>
          <w:lang w:val="en-US" w:eastAsia="zh-CN"/>
        </w:rPr>
        <w:t>（6）信号工通知</w:t>
      </w:r>
      <w:r>
        <w:rPr>
          <w:rFonts w:hint="eastAsia"/>
          <w:highlight w:val="none"/>
          <w:lang w:val="en-US" w:eastAsia="zh-CN"/>
        </w:rPr>
        <w:t>塔机</w:t>
      </w:r>
      <w:r>
        <w:rPr>
          <w:rFonts w:hint="default"/>
          <w:highlight w:val="none"/>
          <w:lang w:val="en-US" w:eastAsia="zh-CN"/>
        </w:rPr>
        <w:t>司机将起吊物平稳就位。</w:t>
      </w:r>
    </w:p>
    <w:p w14:paraId="6803AD94">
      <w:pPr>
        <w:pStyle w:val="4"/>
        <w:bidi w:val="0"/>
        <w:ind w:left="720" w:leftChars="0" w:hanging="720" w:firstLineChars="0"/>
        <w:rPr>
          <w:rFonts w:hint="default"/>
          <w:lang w:val="en-US" w:eastAsia="zh-CN"/>
        </w:rPr>
      </w:pPr>
      <w:bookmarkStart w:id="273" w:name="_Toc9542"/>
      <w:bookmarkStart w:id="274" w:name="_Toc11245"/>
      <w:r>
        <w:rPr>
          <w:rFonts w:hint="eastAsia"/>
          <w:lang w:val="en-US" w:eastAsia="zh-CN"/>
        </w:rPr>
        <w:t>塔机</w:t>
      </w:r>
      <w:r>
        <w:rPr>
          <w:rFonts w:hint="default"/>
          <w:lang w:val="en-US" w:eastAsia="zh-CN"/>
        </w:rPr>
        <w:t>操作中安全注意事项</w:t>
      </w:r>
      <w:bookmarkEnd w:id="273"/>
      <w:bookmarkEnd w:id="274"/>
    </w:p>
    <w:p w14:paraId="095139F9">
      <w:pPr>
        <w:rPr>
          <w:rFonts w:hint="default"/>
          <w:highlight w:val="none"/>
          <w:lang w:val="en-US" w:eastAsia="zh-CN"/>
        </w:rPr>
      </w:pPr>
      <w:r>
        <w:rPr>
          <w:rFonts w:hint="default"/>
          <w:highlight w:val="none"/>
          <w:lang w:val="en-US" w:eastAsia="zh-CN"/>
        </w:rPr>
        <w:t>（1）操作各控制器时应依次逐级操作，严禁越档操作。在变换运转方向时，应将控制器转到零位，待电动机停止转动后，在转向另一方向。操作时力求平稳。严禁急开急停。</w:t>
      </w:r>
    </w:p>
    <w:p w14:paraId="55B01C63">
      <w:pPr>
        <w:rPr>
          <w:rFonts w:hint="default"/>
          <w:highlight w:val="none"/>
          <w:lang w:val="en-US" w:eastAsia="zh-CN"/>
        </w:rPr>
      </w:pPr>
      <w:r>
        <w:rPr>
          <w:rFonts w:hint="default"/>
          <w:highlight w:val="none"/>
          <w:lang w:val="en-US" w:eastAsia="zh-CN"/>
        </w:rPr>
        <w:t>（2）吊钩提升接近臂杆顶部、小车行至端点时，应减速缓行至停止位置。吊钩距臂杆顶部不得小于一米。</w:t>
      </w:r>
    </w:p>
    <w:p w14:paraId="301762F1">
      <w:pPr>
        <w:rPr>
          <w:rFonts w:hint="default"/>
          <w:highlight w:val="none"/>
          <w:lang w:val="en-US" w:eastAsia="zh-CN"/>
        </w:rPr>
      </w:pPr>
      <w:r>
        <w:rPr>
          <w:rFonts w:hint="default"/>
          <w:highlight w:val="none"/>
          <w:lang w:val="en-US" w:eastAsia="zh-CN"/>
        </w:rPr>
        <w:t>（3）每次变幅后应对变幅部位进行检查。允许带载变幅的在满荷载或接近满荷载时，不得变幅。</w:t>
      </w:r>
    </w:p>
    <w:p w14:paraId="596582DD">
      <w:pPr>
        <w:rPr>
          <w:rFonts w:hint="default"/>
          <w:highlight w:val="none"/>
          <w:lang w:val="en-US" w:eastAsia="zh-CN"/>
        </w:rPr>
      </w:pPr>
      <w:r>
        <w:rPr>
          <w:rFonts w:hint="default"/>
          <w:highlight w:val="none"/>
          <w:lang w:val="en-US" w:eastAsia="zh-CN"/>
        </w:rPr>
        <w:t>（4）提升重物后严禁自由下落。重物就位时，可用微动机构或使用制动器使之缓慢下降。</w:t>
      </w:r>
    </w:p>
    <w:p w14:paraId="569C76CE">
      <w:pPr>
        <w:rPr>
          <w:rFonts w:hint="default"/>
          <w:highlight w:val="none"/>
          <w:lang w:val="en-US" w:eastAsia="zh-CN"/>
        </w:rPr>
      </w:pPr>
      <w:r>
        <w:rPr>
          <w:rFonts w:hint="default"/>
          <w:highlight w:val="none"/>
          <w:lang w:val="en-US" w:eastAsia="zh-CN"/>
        </w:rPr>
        <w:t>（5）提升的重物平移时，应高出其跨越的障碍物m以上。</w:t>
      </w:r>
    </w:p>
    <w:p w14:paraId="728C61FF">
      <w:pPr>
        <w:rPr>
          <w:rFonts w:hint="default"/>
          <w:highlight w:val="none"/>
          <w:lang w:val="en-US" w:eastAsia="zh-CN"/>
        </w:rPr>
      </w:pPr>
      <w:r>
        <w:rPr>
          <w:rFonts w:hint="default"/>
          <w:highlight w:val="none"/>
          <w:lang w:val="en-US" w:eastAsia="zh-CN"/>
        </w:rPr>
        <w:t>（6）钢筋、型钢、管材等细长和多根物件必须捆扎牢靠，多点起吊。单头“千斤”或捆扎不牢靠不准吊。</w:t>
      </w:r>
    </w:p>
    <w:p w14:paraId="5EE892D1">
      <w:pPr>
        <w:rPr>
          <w:rFonts w:hint="default"/>
          <w:highlight w:val="none"/>
          <w:lang w:val="en-US" w:eastAsia="zh-CN"/>
        </w:rPr>
      </w:pPr>
      <w:r>
        <w:rPr>
          <w:rFonts w:hint="default"/>
          <w:highlight w:val="none"/>
          <w:lang w:val="en-US" w:eastAsia="zh-CN"/>
        </w:rPr>
        <w:t>（7）多孔板、积灰斗、手推翻斗车不用四点吊或大模板外挂板不用卸甲不准吊。</w:t>
      </w:r>
    </w:p>
    <w:p w14:paraId="6A9B4F97">
      <w:pPr>
        <w:rPr>
          <w:rFonts w:hint="default"/>
          <w:highlight w:val="none"/>
          <w:lang w:val="en-US" w:eastAsia="zh-CN"/>
        </w:rPr>
      </w:pPr>
      <w:r>
        <w:rPr>
          <w:rFonts w:hint="default"/>
          <w:highlight w:val="none"/>
          <w:lang w:val="en-US" w:eastAsia="zh-CN"/>
        </w:rPr>
        <w:t>（8）吊砌块必须使用安全可靠的砌块夹具，吊砖必须使用砖笼，并堆放整齐。木砖、预埋件等零星物件要用盛器堆放稳妥，叠放不齐不准吊。</w:t>
      </w:r>
    </w:p>
    <w:p w14:paraId="63040859">
      <w:pPr>
        <w:pStyle w:val="4"/>
        <w:bidi w:val="0"/>
        <w:ind w:left="720" w:leftChars="0" w:hanging="720" w:firstLineChars="0"/>
        <w:rPr>
          <w:rFonts w:hint="default"/>
          <w:lang w:val="en-US" w:eastAsia="zh-CN"/>
        </w:rPr>
      </w:pPr>
      <w:bookmarkStart w:id="275" w:name="_Toc538"/>
      <w:bookmarkStart w:id="276" w:name="_Toc1108"/>
      <w:r>
        <w:rPr>
          <w:rFonts w:hint="eastAsia"/>
          <w:lang w:val="en-US" w:eastAsia="zh-CN"/>
        </w:rPr>
        <w:t>塔机</w:t>
      </w:r>
      <w:r>
        <w:rPr>
          <w:rFonts w:hint="default"/>
          <w:lang w:val="en-US" w:eastAsia="zh-CN"/>
        </w:rPr>
        <w:t>作业后安全注意事项</w:t>
      </w:r>
      <w:bookmarkEnd w:id="275"/>
      <w:bookmarkEnd w:id="276"/>
    </w:p>
    <w:p w14:paraId="2BF4AB31">
      <w:pPr>
        <w:rPr>
          <w:rFonts w:hint="default"/>
          <w:highlight w:val="none"/>
          <w:lang w:val="en-US" w:eastAsia="zh-CN"/>
        </w:rPr>
      </w:pPr>
      <w:r>
        <w:rPr>
          <w:rFonts w:hint="default"/>
          <w:highlight w:val="none"/>
          <w:lang w:val="en-US" w:eastAsia="zh-CN"/>
        </w:rPr>
        <w:t>（1）作业后，臂杆应转到顺风方向，并放松回转制动器。小车及平衡重应移到非工作状态位置。吊钩提升到离臂杆顶端2—3m处。</w:t>
      </w:r>
    </w:p>
    <w:p w14:paraId="3F8DB6DA">
      <w:pPr>
        <w:rPr>
          <w:rFonts w:hint="default"/>
          <w:highlight w:val="none"/>
          <w:lang w:val="en-US" w:eastAsia="zh-CN"/>
        </w:rPr>
      </w:pPr>
      <w:r>
        <w:rPr>
          <w:rFonts w:hint="default"/>
          <w:highlight w:val="none"/>
          <w:lang w:val="en-US" w:eastAsia="zh-CN"/>
        </w:rPr>
        <w:t>（2）将每个控制开关拨至零位，依次断开各路开关，关闭操作室门窗，下机后关闭电源总开关。打开高空指示灯。</w:t>
      </w:r>
    </w:p>
    <w:p w14:paraId="6E2CB721">
      <w:pPr>
        <w:rPr>
          <w:rFonts w:hint="default"/>
          <w:highlight w:val="none"/>
          <w:lang w:val="en-US" w:eastAsia="zh-CN"/>
        </w:rPr>
      </w:pPr>
      <w:r>
        <w:rPr>
          <w:rFonts w:hint="default"/>
          <w:highlight w:val="none"/>
          <w:lang w:val="en-US" w:eastAsia="zh-CN"/>
        </w:rPr>
        <w:t>（3）应用经纬仪经常检查塔身垂直度并及时调整。</w:t>
      </w:r>
    </w:p>
    <w:p w14:paraId="7E8F234F">
      <w:pPr>
        <w:rPr>
          <w:rFonts w:hint="default"/>
          <w:highlight w:val="none"/>
          <w:lang w:val="en-US" w:eastAsia="zh-CN"/>
        </w:rPr>
      </w:pPr>
    </w:p>
    <w:p w14:paraId="73973224">
      <w:pPr>
        <w:pStyle w:val="4"/>
        <w:bidi w:val="0"/>
        <w:ind w:left="720" w:leftChars="0" w:hanging="720" w:firstLineChars="0"/>
      </w:pPr>
      <w:bookmarkStart w:id="277" w:name="_Toc530055697"/>
      <w:bookmarkStart w:id="278" w:name="_Toc24745_WPSOffice_Level2"/>
      <w:r>
        <w:rPr>
          <w:rFonts w:hint="eastAsia"/>
        </w:rPr>
        <w:t>电气设备</w:t>
      </w:r>
      <w:r>
        <w:rPr>
          <w:rFonts w:hint="eastAsia"/>
          <w:lang w:val="en-US" w:eastAsia="zh-CN"/>
        </w:rPr>
        <w:t>技术管控措施</w:t>
      </w:r>
    </w:p>
    <w:bookmarkEnd w:id="277"/>
    <w:bookmarkEnd w:id="278"/>
    <w:p w14:paraId="212C7ECB">
      <w:pPr>
        <w:bidi w:val="0"/>
        <w:rPr>
          <w:highlight w:val="none"/>
        </w:rPr>
      </w:pPr>
      <w:bookmarkStart w:id="279" w:name="_Toc530055698"/>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电气部分</w:t>
      </w:r>
      <w:bookmarkEnd w:id="279"/>
    </w:p>
    <w:p w14:paraId="74FC9021">
      <w:pPr>
        <w:bidi w:val="0"/>
        <w:ind w:firstLine="480" w:firstLineChars="200"/>
        <w:rPr>
          <w:highlight w:val="none"/>
        </w:rPr>
      </w:pPr>
      <w:r>
        <w:rPr>
          <w:rFonts w:hint="eastAsia"/>
          <w:highlight w:val="none"/>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4D4C9387">
      <w:pPr>
        <w:bidi w:val="0"/>
        <w:rPr>
          <w:highlight w:val="none"/>
        </w:rPr>
      </w:pPr>
      <w:bookmarkStart w:id="280" w:name="_Toc530055699"/>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供电</w:t>
      </w:r>
      <w:bookmarkEnd w:id="280"/>
    </w:p>
    <w:p w14:paraId="59BE2BC6">
      <w:pPr>
        <w:bidi w:val="0"/>
        <w:ind w:firstLine="480" w:firstLineChars="200"/>
        <w:rPr>
          <w:highlight w:val="none"/>
        </w:rPr>
      </w:pPr>
      <w:r>
        <w:rPr>
          <w:rFonts w:hint="eastAsia"/>
          <w:highlight w:val="none"/>
        </w:rPr>
        <w:t>起重机供电电源为三相交流电源,电压380V±10%,频率50HZ。</w:t>
      </w:r>
    </w:p>
    <w:p w14:paraId="27377D02">
      <w:pPr>
        <w:bidi w:val="0"/>
        <w:rPr>
          <w:highlight w:val="none"/>
        </w:rPr>
      </w:pPr>
      <w:bookmarkStart w:id="281" w:name="_Toc530055700"/>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电气保护</w:t>
      </w:r>
      <w:bookmarkEnd w:id="281"/>
    </w:p>
    <w:p w14:paraId="7A2867AA">
      <w:pPr>
        <w:bidi w:val="0"/>
        <w:rPr>
          <w:highlight w:val="none"/>
        </w:rPr>
      </w:pPr>
      <w:r>
        <w:rPr>
          <w:rFonts w:hint="eastAsia"/>
          <w:highlight w:val="none"/>
        </w:rPr>
        <w:t>1）短路及过载保护</w:t>
      </w:r>
    </w:p>
    <w:p w14:paraId="4BA21377">
      <w:pPr>
        <w:bidi w:val="0"/>
        <w:ind w:firstLine="480" w:firstLineChars="200"/>
        <w:rPr>
          <w:highlight w:val="none"/>
        </w:rPr>
      </w:pPr>
      <w:r>
        <w:rPr>
          <w:rFonts w:hint="eastAsia"/>
          <w:highlight w:val="none"/>
        </w:rPr>
        <w:t>起重机总受电屏、控制屏进出电源设置断路器、控制回路设置小容量断路器，使各机构在短路，过载等事故状态下，迅速与电源脱离,以达到保护设备及</w:t>
      </w:r>
      <w:bookmarkStart w:id="282" w:name="_Toc20258_WPSOffice_Level2"/>
      <w:r>
        <w:rPr>
          <w:rFonts w:hint="eastAsia"/>
          <w:highlight w:val="none"/>
        </w:rPr>
        <w:t>人机安全的目的。</w:t>
      </w:r>
      <w:bookmarkEnd w:id="282"/>
    </w:p>
    <w:p w14:paraId="7FC3883D">
      <w:pPr>
        <w:bidi w:val="0"/>
        <w:rPr>
          <w:highlight w:val="none"/>
        </w:rPr>
      </w:pPr>
      <w:r>
        <w:rPr>
          <w:rFonts w:hint="eastAsia"/>
          <w:highlight w:val="none"/>
        </w:rPr>
        <w:t>2）失压保护</w:t>
      </w:r>
    </w:p>
    <w:p w14:paraId="2187EC71">
      <w:pPr>
        <w:bidi w:val="0"/>
        <w:ind w:firstLine="480" w:firstLineChars="200"/>
        <w:rPr>
          <w:highlight w:val="none"/>
        </w:rPr>
      </w:pPr>
      <w:r>
        <w:rPr>
          <w:rFonts w:hint="eastAsia"/>
          <w:highlight w:val="none"/>
        </w:rPr>
        <w:t>在总受电屏及机构控制屏中，用线路接触器</w:t>
      </w:r>
      <w:bookmarkStart w:id="283" w:name="_Toc12226_WPSOffice_Level2"/>
      <w:r>
        <w:rPr>
          <w:rFonts w:hint="eastAsia"/>
          <w:highlight w:val="none"/>
        </w:rPr>
        <w:t>作为失压保护</w:t>
      </w:r>
      <w:bookmarkEnd w:id="283"/>
      <w:r>
        <w:rPr>
          <w:rFonts w:hint="eastAsia"/>
          <w:highlight w:val="none"/>
        </w:rPr>
        <w:t>装置，当供电电源中断时,能够自动断开电源。</w:t>
      </w:r>
    </w:p>
    <w:p w14:paraId="58B2AC2D">
      <w:pPr>
        <w:bidi w:val="0"/>
        <w:rPr>
          <w:highlight w:val="none"/>
        </w:rPr>
      </w:pPr>
      <w:r>
        <w:rPr>
          <w:rFonts w:hint="eastAsia"/>
          <w:highlight w:val="none"/>
        </w:rPr>
        <w:t>3）零位保护</w:t>
      </w:r>
    </w:p>
    <w:p w14:paraId="1165CFCF">
      <w:pPr>
        <w:bidi w:val="0"/>
        <w:ind w:firstLine="480" w:firstLineChars="200"/>
        <w:rPr>
          <w:highlight w:val="none"/>
        </w:rPr>
      </w:pPr>
      <w:r>
        <w:rPr>
          <w:rFonts w:hint="eastAsia"/>
          <w:highlight w:val="none"/>
        </w:rPr>
        <w:t>司机室的联动台凸轮控制器手柄上设有零位连锁，达到零位的目的。即当起重机开始运转前和失压恢复供电时，必须将控制器的手柄置于零位，各机构</w:t>
      </w:r>
      <w:bookmarkStart w:id="284" w:name="_Toc29864_WPSOffice_Level1"/>
      <w:r>
        <w:rPr>
          <w:rFonts w:hint="eastAsia"/>
          <w:highlight w:val="none"/>
        </w:rPr>
        <w:t>的电动机才能启动工作。</w:t>
      </w:r>
      <w:bookmarkEnd w:id="284"/>
    </w:p>
    <w:p w14:paraId="055EC179">
      <w:pPr>
        <w:bidi w:val="0"/>
        <w:rPr>
          <w:highlight w:val="none"/>
        </w:rPr>
      </w:pPr>
      <w:r>
        <w:rPr>
          <w:rFonts w:hint="eastAsia"/>
          <w:highlight w:val="none"/>
        </w:rPr>
        <w:t>4）紧急断电保护</w:t>
      </w:r>
    </w:p>
    <w:p w14:paraId="53110ECC">
      <w:pPr>
        <w:bidi w:val="0"/>
        <w:ind w:firstLine="480" w:firstLineChars="200"/>
        <w:rPr>
          <w:highlight w:val="none"/>
        </w:rPr>
      </w:pPr>
      <w:r>
        <w:rPr>
          <w:rFonts w:hint="eastAsia"/>
          <w:highlight w:val="none"/>
        </w:rPr>
        <w:t>司机室内设有紧急断电按钮，当起重机发生紧急情况时，随时方便地切断控制回路电源，从而使主回路断电，确保起重机的安全运行。</w:t>
      </w:r>
    </w:p>
    <w:p w14:paraId="1D66F3C3">
      <w:pPr>
        <w:bidi w:val="0"/>
        <w:rPr>
          <w:highlight w:val="none"/>
        </w:rPr>
      </w:pPr>
      <w:r>
        <w:rPr>
          <w:rFonts w:hint="eastAsia"/>
          <w:highlight w:val="none"/>
        </w:rPr>
        <w:t>5）起升,行程限位保护</w:t>
      </w:r>
    </w:p>
    <w:p w14:paraId="66A668B7">
      <w:pPr>
        <w:bidi w:val="0"/>
        <w:ind w:firstLine="480" w:firstLineChars="200"/>
        <w:rPr>
          <w:highlight w:val="none"/>
        </w:rPr>
      </w:pPr>
      <w:r>
        <w:rPr>
          <w:rFonts w:hint="eastAsia"/>
          <w:highlight w:val="none"/>
        </w:rPr>
        <w:t>起升采用变频控制，起升机构设有限位开关，可保证吊钩上升到极限位置时切断电源，变幅、回转运行到极限位置时切断控制回路电源，使主回路断电，从而达到减速和停</w:t>
      </w:r>
      <w:bookmarkStart w:id="285" w:name="_Toc27220_WPSOffice_Level2"/>
      <w:r>
        <w:rPr>
          <w:rFonts w:hint="eastAsia"/>
          <w:highlight w:val="none"/>
        </w:rPr>
        <w:t>车的目的，确保起重机的</w:t>
      </w:r>
      <w:bookmarkEnd w:id="285"/>
      <w:r>
        <w:rPr>
          <w:rFonts w:hint="eastAsia"/>
          <w:highlight w:val="none"/>
        </w:rPr>
        <w:t>安全运行。</w:t>
      </w:r>
    </w:p>
    <w:p w14:paraId="60BD1612">
      <w:pPr>
        <w:bidi w:val="0"/>
        <w:rPr>
          <w:highlight w:val="none"/>
        </w:rPr>
      </w:pPr>
      <w:r>
        <w:rPr>
          <w:rFonts w:hint="eastAsia"/>
          <w:highlight w:val="none"/>
          <w:lang w:val="en-US" w:eastAsia="zh-CN"/>
        </w:rPr>
        <w:t>6</w:t>
      </w:r>
      <w:r>
        <w:rPr>
          <w:rFonts w:hint="eastAsia"/>
          <w:highlight w:val="none"/>
        </w:rPr>
        <w:t>）超载保护</w:t>
      </w:r>
    </w:p>
    <w:p w14:paraId="6F54A060">
      <w:pPr>
        <w:bidi w:val="0"/>
        <w:ind w:firstLine="480" w:firstLineChars="200"/>
        <w:rPr>
          <w:highlight w:val="none"/>
        </w:rPr>
      </w:pPr>
      <w:r>
        <w:rPr>
          <w:rFonts w:hint="eastAsia"/>
          <w:highlight w:val="none"/>
        </w:rPr>
        <w:t>起升机构配置超载限制器，具有报警功能，当载荷达到额定起重量的90％时，能发出提示性报警信号，当起重量超过额定起重量时，能自动切断起升动力源，并发出禁止性报警信号。</w:t>
      </w:r>
    </w:p>
    <w:p w14:paraId="297EB24B">
      <w:pPr>
        <w:bidi w:val="0"/>
        <w:rPr>
          <w:highlight w:val="none"/>
        </w:rPr>
      </w:pPr>
      <w:r>
        <w:rPr>
          <w:rFonts w:hint="eastAsia"/>
          <w:highlight w:val="none"/>
          <w:lang w:val="en-US" w:eastAsia="zh-CN"/>
        </w:rPr>
        <w:t>7</w:t>
      </w:r>
      <w:r>
        <w:rPr>
          <w:rFonts w:hint="eastAsia"/>
          <w:highlight w:val="none"/>
        </w:rPr>
        <w:t>）控制柜,端子箱防护等级IP55，端子箱采用下部或侧部进线上部做防雨，槽盖加防脱落装置。</w:t>
      </w:r>
    </w:p>
    <w:p w14:paraId="1B212E70">
      <w:pPr>
        <w:bidi w:val="0"/>
        <w:rPr>
          <w:highlight w:val="none"/>
        </w:rPr>
      </w:pPr>
      <w:bookmarkStart w:id="286" w:name="_Toc530055703"/>
      <w:bookmarkStart w:id="287" w:name="_Toc530055701"/>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起重机的接地</w:t>
      </w:r>
      <w:bookmarkEnd w:id="286"/>
    </w:p>
    <w:p w14:paraId="12F5321F">
      <w:pPr>
        <w:bidi w:val="0"/>
        <w:rPr>
          <w:highlight w:val="none"/>
        </w:rPr>
      </w:pPr>
      <w:r>
        <w:rPr>
          <w:rFonts w:hint="eastAsia"/>
          <w:highlight w:val="none"/>
        </w:rPr>
        <w:t>1）起重机的金属结构及所有电气设备的金属外壳，电缆金属外皮和变压器的低压侧均有可靠的接地。</w:t>
      </w:r>
    </w:p>
    <w:p w14:paraId="3AF6199D">
      <w:pPr>
        <w:bidi w:val="0"/>
        <w:rPr>
          <w:highlight w:val="none"/>
        </w:rPr>
      </w:pPr>
      <w:r>
        <w:rPr>
          <w:rFonts w:hint="eastAsia"/>
          <w:highlight w:val="none"/>
        </w:rPr>
        <w:t>3）起重机上任何一点的接地电阻均不大于4Ω。</w:t>
      </w:r>
    </w:p>
    <w:p w14:paraId="596E8B17">
      <w:pPr>
        <w:bidi w:val="0"/>
        <w:rPr>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操纵方式</w:t>
      </w:r>
      <w:bookmarkEnd w:id="287"/>
    </w:p>
    <w:p w14:paraId="1900238B">
      <w:pPr>
        <w:bidi w:val="0"/>
        <w:rPr>
          <w:highlight w:val="none"/>
        </w:rPr>
      </w:pPr>
      <w:r>
        <w:rPr>
          <w:rFonts w:hint="eastAsia"/>
          <w:highlight w:val="none"/>
        </w:rPr>
        <w:t>1）司机室设有总电源和控制电源开关状态信号指示灯。</w:t>
      </w:r>
    </w:p>
    <w:p w14:paraId="075EC4ED">
      <w:pPr>
        <w:bidi w:val="0"/>
        <w:rPr>
          <w:highlight w:val="none"/>
        </w:rPr>
      </w:pPr>
      <w:r>
        <w:rPr>
          <w:rFonts w:hint="eastAsia"/>
          <w:highlight w:val="none"/>
        </w:rPr>
        <w:t>2）司机室设置交流220V电源插座及三相380V电源，备接其它电气设备。</w:t>
      </w:r>
    </w:p>
    <w:p w14:paraId="5F936AA7">
      <w:pPr>
        <w:bidi w:val="0"/>
        <w:rPr>
          <w:highlight w:val="none"/>
        </w:rPr>
      </w:pPr>
      <w:r>
        <w:rPr>
          <w:rFonts w:hint="eastAsia"/>
          <w:highlight w:val="none"/>
        </w:rPr>
        <w:t>3）司机室设有36V插座，以便于检修作业。</w:t>
      </w:r>
    </w:p>
    <w:p w14:paraId="0D12F839">
      <w:pPr>
        <w:bidi w:val="0"/>
        <w:rPr>
          <w:highlight w:val="none"/>
        </w:rPr>
      </w:pPr>
      <w:r>
        <w:rPr>
          <w:rFonts w:hint="eastAsia"/>
          <w:highlight w:val="none"/>
        </w:rPr>
        <w:t>4）司机室用交流220V/40W荧光灯具照明，以满足照度不低于200LX的要求。</w:t>
      </w:r>
    </w:p>
    <w:p w14:paraId="4D44D57A">
      <w:pPr>
        <w:bidi w:val="0"/>
        <w:rPr>
          <w:highlight w:val="none"/>
        </w:rPr>
      </w:pPr>
      <w:bookmarkStart w:id="288" w:name="_Toc530055702"/>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highlight w:val="none"/>
        </w:rPr>
        <w:t>照明信号</w:t>
      </w:r>
      <w:bookmarkEnd w:id="288"/>
    </w:p>
    <w:p w14:paraId="34D86656">
      <w:pPr>
        <w:bidi w:val="0"/>
        <w:rPr>
          <w:highlight w:val="none"/>
        </w:rPr>
      </w:pPr>
      <w:r>
        <w:rPr>
          <w:rFonts w:hint="eastAsia"/>
          <w:highlight w:val="none"/>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4B7FFE47">
      <w:pPr>
        <w:bidi w:val="0"/>
        <w:rPr>
          <w:highlight w:val="none"/>
        </w:rPr>
      </w:pPr>
      <w:r>
        <w:rPr>
          <w:rFonts w:hint="eastAsia"/>
          <w:highlight w:val="none"/>
        </w:rPr>
        <w:t>2）设有报警装置,操作时起提示作用，在司机室通过按钮开关控制。</w:t>
      </w:r>
    </w:p>
    <w:p w14:paraId="6B581DC7">
      <w:pPr>
        <w:bidi w:val="0"/>
        <w:rPr>
          <w:highlight w:val="none"/>
        </w:rPr>
      </w:pPr>
      <w:bookmarkStart w:id="289" w:name="_Toc530055704"/>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highlight w:val="none"/>
        </w:rPr>
        <w:t>其它</w:t>
      </w:r>
      <w:bookmarkEnd w:id="289"/>
    </w:p>
    <w:p w14:paraId="51BC3D44">
      <w:pPr>
        <w:bidi w:val="0"/>
        <w:rPr>
          <w:highlight w:val="none"/>
        </w:rPr>
      </w:pPr>
      <w:r>
        <w:rPr>
          <w:rFonts w:hint="eastAsia"/>
          <w:highlight w:val="none"/>
        </w:rPr>
        <w:t>1）起重机上布线采用截面积不小于mm²的铜导线。</w:t>
      </w:r>
    </w:p>
    <w:p w14:paraId="3825E0F6">
      <w:pPr>
        <w:bidi w:val="0"/>
        <w:rPr>
          <w:color w:val="808080" w:themeColor="background1" w:themeShade="80"/>
          <w:highlight w:val="none"/>
        </w:rPr>
      </w:pPr>
      <w:r>
        <w:rPr>
          <w:rFonts w:hint="eastAsia"/>
          <w:highlight w:val="none"/>
        </w:rPr>
        <w:t>2）总受电屏和各机构控制屏中的布线采用铜导线和铜排。</w:t>
      </w:r>
    </w:p>
    <w:p w14:paraId="361865C9">
      <w:pPr>
        <w:pStyle w:val="4"/>
        <w:bidi w:val="0"/>
        <w:ind w:left="720" w:leftChars="0" w:hanging="720" w:firstLineChars="0"/>
        <w:rPr>
          <w:rFonts w:hint="default"/>
          <w:lang w:val="en-US" w:eastAsia="zh-CN"/>
        </w:rPr>
      </w:pPr>
      <w:bookmarkStart w:id="290" w:name="_Toc9893"/>
      <w:bookmarkStart w:id="291" w:name="_Toc19093"/>
      <w:r>
        <w:rPr>
          <w:rFonts w:hint="default"/>
          <w:lang w:val="en-US" w:eastAsia="zh-CN"/>
        </w:rPr>
        <w:t>维护与保养</w:t>
      </w:r>
      <w:bookmarkEnd w:id="290"/>
      <w:bookmarkEnd w:id="291"/>
    </w:p>
    <w:p w14:paraId="5B595DD9">
      <w:pPr>
        <w:rPr>
          <w:rFonts w:hint="default"/>
          <w:highlight w:val="none"/>
          <w:lang w:val="en-US" w:eastAsia="zh-CN"/>
        </w:rPr>
      </w:pPr>
      <w:r>
        <w:rPr>
          <w:rFonts w:hint="eastAsia"/>
          <w:highlight w:val="none"/>
          <w:lang w:val="en-US" w:eastAsia="zh-CN"/>
        </w:rPr>
        <w:t>（1）</w:t>
      </w:r>
      <w:r>
        <w:rPr>
          <w:rFonts w:hint="default"/>
          <w:highlight w:val="none"/>
          <w:lang w:val="en-US" w:eastAsia="zh-CN"/>
        </w:rPr>
        <w:t>机械的制动器应经常进行检查和调整制动瓦和制动轮的间隙，以保证制动的灵活可靠，其间隙在～mm之间，在摩擦面上不应有污物存在，遇有异物即用汽油洗净。</w:t>
      </w:r>
    </w:p>
    <w:p w14:paraId="11CE9896">
      <w:pPr>
        <w:rPr>
          <w:rFonts w:hint="default"/>
          <w:highlight w:val="none"/>
          <w:lang w:val="en-US" w:eastAsia="zh-CN"/>
        </w:rPr>
      </w:pPr>
      <w:r>
        <w:rPr>
          <w:rFonts w:hint="eastAsia"/>
          <w:highlight w:val="none"/>
          <w:lang w:val="en-US" w:eastAsia="zh-CN"/>
        </w:rPr>
        <w:t>（2）</w:t>
      </w:r>
      <w:r>
        <w:rPr>
          <w:rFonts w:hint="default"/>
          <w:highlight w:val="none"/>
          <w:lang w:val="en-US" w:eastAsia="zh-CN"/>
        </w:rPr>
        <w:t>减速箱、变速箱、外啮合齿轮等部分的润滑按照润滑指标进行添加或更换。要注意检查各部位的钢丝绳有无断股现象和松股现象，如超过有关规定，必须立即更换。</w:t>
      </w:r>
    </w:p>
    <w:p w14:paraId="4CD38123">
      <w:pPr>
        <w:rPr>
          <w:rFonts w:hint="default"/>
          <w:highlight w:val="none"/>
          <w:lang w:val="en-US" w:eastAsia="zh-CN"/>
        </w:rPr>
      </w:pPr>
      <w:r>
        <w:rPr>
          <w:rFonts w:hint="eastAsia"/>
          <w:highlight w:val="none"/>
          <w:lang w:val="en-US" w:eastAsia="zh-CN"/>
        </w:rPr>
        <w:t>（3）</w:t>
      </w:r>
      <w:r>
        <w:rPr>
          <w:rFonts w:hint="default"/>
          <w:highlight w:val="none"/>
          <w:lang w:val="en-US" w:eastAsia="zh-CN"/>
        </w:rPr>
        <w:t>经常检查各部位的联结情况，如有松动应予以拧紧，塔身连结螺栓应在塔身受压时检查松紧度，所有连接销轴必须带有开口销，并需张开。</w:t>
      </w:r>
    </w:p>
    <w:p w14:paraId="6BA691EB">
      <w:pPr>
        <w:rPr>
          <w:rFonts w:hint="default"/>
          <w:highlight w:val="none"/>
          <w:lang w:val="en-US" w:eastAsia="zh-CN"/>
        </w:rPr>
      </w:pPr>
      <w:r>
        <w:rPr>
          <w:rFonts w:hint="eastAsia"/>
          <w:highlight w:val="none"/>
          <w:lang w:val="en-US" w:eastAsia="zh-CN"/>
        </w:rPr>
        <w:t>（4）</w:t>
      </w:r>
      <w:r>
        <w:rPr>
          <w:rFonts w:hint="default"/>
          <w:highlight w:val="none"/>
          <w:lang w:val="en-US" w:eastAsia="zh-CN"/>
        </w:rPr>
        <w:t>安装、拆卸和调整回转机械时，要注意保证回转机械与减速器的中心线与回转大齿圈的中心线平行，回转小齿轮与大齿圈的啮合面不小于70％，啮合间隙要合适。</w:t>
      </w:r>
    </w:p>
    <w:p w14:paraId="0FA2835A">
      <w:pPr>
        <w:rPr>
          <w:rFonts w:hint="default"/>
          <w:highlight w:val="none"/>
          <w:lang w:val="en-US" w:eastAsia="zh-CN"/>
        </w:rPr>
      </w:pPr>
      <w:r>
        <w:rPr>
          <w:rFonts w:hint="eastAsia"/>
          <w:highlight w:val="none"/>
          <w:lang w:val="en-US" w:eastAsia="zh-CN"/>
        </w:rPr>
        <w:t>（5）</w:t>
      </w:r>
      <w:r>
        <w:rPr>
          <w:rFonts w:hint="default"/>
          <w:highlight w:val="none"/>
          <w:lang w:val="en-US" w:eastAsia="zh-CN"/>
        </w:rPr>
        <w:t>在运输中尽量设法防止构件变形及碰撞损坏，必须定期检修和保养，经常检查结构联结螺栓、焊缝以及构件是否损坏、变形和松动。</w:t>
      </w:r>
    </w:p>
    <w:p w14:paraId="36416BB6">
      <w:pPr>
        <w:rPr>
          <w:rFonts w:hint="default"/>
          <w:highlight w:val="none"/>
          <w:lang w:val="en-US" w:eastAsia="zh-CN"/>
        </w:rPr>
      </w:pPr>
      <w:r>
        <w:rPr>
          <w:rFonts w:hint="eastAsia"/>
          <w:highlight w:val="none"/>
          <w:lang w:val="en-US" w:eastAsia="zh-CN"/>
        </w:rPr>
        <w:t>（6）塔机</w:t>
      </w:r>
      <w:r>
        <w:rPr>
          <w:rFonts w:hint="default"/>
          <w:highlight w:val="none"/>
          <w:lang w:val="en-US" w:eastAsia="zh-CN"/>
        </w:rPr>
        <w:t>基础沉降观测半月一次。垂直度在</w:t>
      </w:r>
      <w:r>
        <w:rPr>
          <w:rFonts w:hint="eastAsia"/>
          <w:highlight w:val="none"/>
          <w:lang w:val="en-US" w:eastAsia="zh-CN"/>
        </w:rPr>
        <w:t>塔机</w:t>
      </w:r>
      <w:r>
        <w:rPr>
          <w:rFonts w:hint="default"/>
          <w:highlight w:val="none"/>
          <w:lang w:val="en-US" w:eastAsia="zh-CN"/>
        </w:rPr>
        <w:t>自由高度时半月一次测定。 在塔机出现沉降，垂直度偏差超过规定范围时，必须进行偏差校正。在最低节与</w:t>
      </w:r>
      <w:r>
        <w:rPr>
          <w:rFonts w:hint="eastAsia"/>
          <w:highlight w:val="none"/>
          <w:lang w:val="en-US" w:eastAsia="zh-CN"/>
        </w:rPr>
        <w:t>塔机</w:t>
      </w:r>
      <w:r>
        <w:rPr>
          <w:rFonts w:hint="default"/>
          <w:highlight w:val="none"/>
          <w:lang w:val="en-US" w:eastAsia="zh-CN"/>
        </w:rPr>
        <w:t>基脚螺栓加垫钢片校正。校正过程中用高吨位千斤顶顶起塔身，顶塔身之前，塔身用大缆绳四面揽紧，在确保安全的前提下才能起顶塔身。</w:t>
      </w:r>
    </w:p>
    <w:p w14:paraId="55173C25">
      <w:pPr>
        <w:rPr>
          <w:rFonts w:ascii="宋体" w:hAnsi="宋体" w:eastAsia="宋体" w:cs="宋体"/>
          <w:color w:val="808080" w:themeColor="background1" w:themeShade="80"/>
          <w:sz w:val="24"/>
          <w:szCs w:val="24"/>
          <w:highlight w:val="none"/>
        </w:rPr>
      </w:pPr>
      <w:r>
        <w:rPr>
          <w:rFonts w:hint="eastAsia"/>
          <w:highlight w:val="none"/>
          <w:lang w:val="en-US" w:eastAsia="zh-CN"/>
        </w:rPr>
        <w:t>（7）</w:t>
      </w:r>
      <w:r>
        <w:rPr>
          <w:rFonts w:hint="default"/>
          <w:highlight w:val="none"/>
          <w:lang w:val="en-US" w:eastAsia="zh-CN"/>
        </w:rPr>
        <w:t>塔机必须定机定人，专人负责，非机组人员不得进入司机室擅自进行操作。处理电气故障时，须有维修人员。</w:t>
      </w:r>
    </w:p>
    <w:p w14:paraId="45A6AF37">
      <w:pPr>
        <w:pStyle w:val="4"/>
        <w:bidi w:val="0"/>
        <w:ind w:left="720" w:leftChars="0" w:hanging="720" w:firstLineChars="0"/>
        <w:rPr>
          <w:rFonts w:hint="eastAsia"/>
        </w:rPr>
      </w:pPr>
      <w:r>
        <w:rPr>
          <w:rFonts w:hint="eastAsia"/>
        </w:rPr>
        <w:t>强制性条文和具体措施</w:t>
      </w:r>
    </w:p>
    <w:p w14:paraId="12E7A684">
      <w:pPr>
        <w:bidi w:val="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应执行的强制性条文</w:t>
      </w:r>
    </w:p>
    <w:p w14:paraId="7E06D737">
      <w:pPr>
        <w:bidi w:val="0"/>
        <w:ind w:firstLine="480" w:firstLineChars="200"/>
        <w:rPr>
          <w:highlight w:val="none"/>
        </w:rPr>
      </w:pPr>
      <w:r>
        <w:rPr>
          <w:rFonts w:hint="eastAsia"/>
          <w:highlight w:val="none"/>
        </w:rP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3644ED83">
      <w:pPr>
        <w:bidi w:val="0"/>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具体措施</w:t>
      </w:r>
    </w:p>
    <w:p w14:paraId="541C9491">
      <w:pPr>
        <w:bidi w:val="0"/>
        <w:ind w:firstLine="480" w:firstLineChars="200"/>
        <w:rPr>
          <w:rFonts w:hint="eastAsia" w:ascii="宋体" w:hAnsi="宋体" w:eastAsia="宋体" w:cs="宋体"/>
          <w:color w:val="808080" w:themeColor="background1" w:themeShade="80"/>
          <w:szCs w:val="24"/>
          <w:highlight w:val="none"/>
        </w:rPr>
      </w:pPr>
      <w:r>
        <w:rPr>
          <w:rFonts w:hint="eastAsia"/>
          <w:highlight w:val="none"/>
        </w:rPr>
        <w:t>电气系统的验收作为整机验收的一部分，调试不合格不得投入使用。</w:t>
      </w:r>
    </w:p>
    <w:p w14:paraId="46F70687">
      <w:pPr>
        <w:pStyle w:val="4"/>
        <w:bidi w:val="0"/>
        <w:ind w:left="720" w:leftChars="0" w:hanging="720" w:firstLineChars="0"/>
        <w:rPr>
          <w:rFonts w:hint="default"/>
          <w:lang w:val="en-US" w:eastAsia="zh-CN"/>
        </w:rPr>
      </w:pPr>
      <w:bookmarkStart w:id="292" w:name="_Toc951"/>
      <w:bookmarkStart w:id="293" w:name="_Toc5129"/>
      <w:bookmarkStart w:id="294" w:name="_Toc18484"/>
      <w:r>
        <w:rPr>
          <w:rFonts w:hint="eastAsia"/>
          <w:lang w:val="en-US" w:eastAsia="zh-CN"/>
        </w:rPr>
        <w:t>0监控监测措施</w:t>
      </w:r>
      <w:bookmarkEnd w:id="292"/>
      <w:bookmarkEnd w:id="293"/>
      <w:bookmarkEnd w:id="294"/>
    </w:p>
    <w:p w14:paraId="6874E436">
      <w:pPr>
        <w:pStyle w:val="5"/>
        <w:bidi w:val="0"/>
        <w:ind w:left="864" w:leftChars="0" w:hanging="864" w:firstLineChars="0"/>
        <w:rPr>
          <w:rFonts w:hint="default"/>
          <w:lang w:val="en-US" w:eastAsia="zh-CN"/>
        </w:rPr>
      </w:pPr>
      <w:bookmarkStart w:id="295" w:name="_Toc32645"/>
      <w:bookmarkStart w:id="296" w:name="_Toc22702"/>
      <w:r>
        <w:rPr>
          <w:rFonts w:hint="eastAsia"/>
          <w:lang w:val="en-US" w:eastAsia="zh-CN"/>
        </w:rPr>
        <w:t>监测项目</w:t>
      </w:r>
      <w:bookmarkEnd w:id="295"/>
      <w:bookmarkEnd w:id="296"/>
    </w:p>
    <w:p w14:paraId="5EFCFD8E">
      <w:pPr>
        <w:ind w:firstLine="480" w:firstLineChars="200"/>
        <w:rPr>
          <w:rFonts w:hint="default"/>
          <w:highlight w:val="none"/>
          <w:lang w:val="en-US" w:eastAsia="zh-CN"/>
        </w:rPr>
      </w:pPr>
      <w:r>
        <w:rPr>
          <w:rFonts w:hint="eastAsia"/>
          <w:highlight w:val="none"/>
          <w:lang w:val="en-US" w:eastAsia="zh-CN"/>
        </w:rPr>
        <w:t>塔机</w:t>
      </w:r>
      <w:r>
        <w:rPr>
          <w:rFonts w:hint="default"/>
          <w:highlight w:val="none"/>
          <w:lang w:val="en-US" w:eastAsia="zh-CN"/>
        </w:rPr>
        <w:t>监测的主要内容为塔身垂直度监测、基础沉降监测、基础位移监测。</w:t>
      </w:r>
    </w:p>
    <w:p w14:paraId="6001870B">
      <w:pPr>
        <w:pStyle w:val="5"/>
        <w:bidi w:val="0"/>
        <w:ind w:left="864" w:leftChars="0" w:hanging="864" w:firstLineChars="0"/>
        <w:rPr>
          <w:rFonts w:hint="default"/>
          <w:lang w:val="en-US" w:eastAsia="zh-CN"/>
        </w:rPr>
      </w:pPr>
      <w:bookmarkStart w:id="297" w:name="_Toc17955"/>
      <w:bookmarkStart w:id="298" w:name="_Toc14789"/>
      <w:r>
        <w:rPr>
          <w:rFonts w:hint="eastAsia"/>
          <w:lang w:val="en-US" w:eastAsia="zh-CN"/>
        </w:rPr>
        <w:t>监测方法</w:t>
      </w:r>
      <w:bookmarkEnd w:id="297"/>
      <w:bookmarkEnd w:id="298"/>
    </w:p>
    <w:p w14:paraId="0923FBF8">
      <w:pPr>
        <w:ind w:firstLine="480" w:firstLineChars="200"/>
        <w:rPr>
          <w:rFonts w:hint="default"/>
          <w:highlight w:val="none"/>
          <w:lang w:val="en-US" w:eastAsia="zh-CN"/>
        </w:rPr>
      </w:pPr>
      <w:r>
        <w:rPr>
          <w:rFonts w:hint="eastAsia"/>
          <w:highlight w:val="none"/>
          <w:lang w:val="en-US" w:eastAsia="zh-CN"/>
        </w:rPr>
        <w:t>塔机</w:t>
      </w:r>
      <w:r>
        <w:rPr>
          <w:rFonts w:hint="default"/>
          <w:highlight w:val="none"/>
          <w:lang w:val="en-US" w:eastAsia="zh-CN"/>
        </w:rPr>
        <w:t>安装好由技术监督部门进行设备检测</w:t>
      </w:r>
      <w:r>
        <w:rPr>
          <w:rFonts w:hint="eastAsia"/>
          <w:highlight w:val="none"/>
          <w:lang w:val="en-US" w:eastAsia="zh-CN"/>
        </w:rPr>
        <w:t>，</w:t>
      </w:r>
      <w:r>
        <w:rPr>
          <w:rFonts w:hint="default"/>
          <w:highlight w:val="none"/>
          <w:lang w:val="en-US" w:eastAsia="zh-CN"/>
        </w:rPr>
        <w:t>检测合格再组织检查验收，验收合格后方可交付使用。</w:t>
      </w:r>
    </w:p>
    <w:p w14:paraId="0C4E7CB3">
      <w:pPr>
        <w:bidi w:val="0"/>
        <w:ind w:firstLine="480" w:firstLineChars="200"/>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塔机</w:t>
      </w:r>
      <w:r>
        <w:rPr>
          <w:rFonts w:hint="default"/>
          <w:highlight w:val="none"/>
          <w:lang w:val="en-US" w:eastAsia="zh-CN"/>
        </w:rPr>
        <w:t>塔身垂直度监测</w:t>
      </w:r>
    </w:p>
    <w:p w14:paraId="37B954B2">
      <w:pPr>
        <w:bidi w:val="0"/>
        <w:ind w:firstLine="480" w:firstLineChars="200"/>
        <w:rPr>
          <w:rFonts w:hint="eastAsia"/>
          <w:highlight w:val="none"/>
          <w:lang w:val="en-US" w:eastAsia="zh-CN"/>
        </w:rPr>
      </w:pPr>
      <w:r>
        <w:rPr>
          <w:rFonts w:hint="default"/>
          <w:highlight w:val="none"/>
          <w:lang w:val="en-US" w:eastAsia="zh-CN"/>
        </w:rPr>
        <w:t>用</w:t>
      </w:r>
      <w:r>
        <w:rPr>
          <w:rFonts w:hint="eastAsia"/>
          <w:highlight w:val="none"/>
          <w:lang w:val="en-US" w:eastAsia="zh-CN"/>
        </w:rPr>
        <w:t>全站仪</w:t>
      </w:r>
      <w:r>
        <w:rPr>
          <w:rFonts w:hint="default"/>
          <w:highlight w:val="none"/>
          <w:lang w:val="en-US" w:eastAsia="zh-CN"/>
        </w:rPr>
        <w:t>定期测量</w:t>
      </w:r>
      <w:r>
        <w:rPr>
          <w:rFonts w:hint="eastAsia"/>
          <w:highlight w:val="none"/>
          <w:lang w:val="en-US" w:eastAsia="zh-CN"/>
        </w:rPr>
        <w:t>塔机</w:t>
      </w:r>
      <w:r>
        <w:rPr>
          <w:rFonts w:hint="default"/>
          <w:highlight w:val="none"/>
          <w:lang w:val="en-US" w:eastAsia="zh-CN"/>
        </w:rPr>
        <w:t>垂直度确保</w:t>
      </w:r>
      <w:r>
        <w:rPr>
          <w:rFonts w:hint="eastAsia"/>
          <w:highlight w:val="none"/>
          <w:lang w:val="en-US" w:eastAsia="zh-CN"/>
        </w:rPr>
        <w:t>塔机</w:t>
      </w:r>
      <w:r>
        <w:rPr>
          <w:rFonts w:hint="default"/>
          <w:highlight w:val="none"/>
          <w:lang w:val="en-US" w:eastAsia="zh-CN"/>
        </w:rPr>
        <w:t>使用过程的安全稳定，测量方法</w:t>
      </w:r>
      <w:r>
        <w:rPr>
          <w:rFonts w:hint="eastAsia"/>
          <w:highlight w:val="none"/>
          <w:lang w:val="en-US" w:eastAsia="zh-CN"/>
        </w:rPr>
        <w:t>如</w:t>
      </w:r>
      <w:r>
        <w:rPr>
          <w:rFonts w:hint="default"/>
          <w:highlight w:val="none"/>
          <w:lang w:val="en-US" w:eastAsia="zh-CN"/>
        </w:rPr>
        <w:t>下图</w:t>
      </w:r>
      <w:r>
        <w:rPr>
          <w:rFonts w:hint="eastAsia"/>
          <w:highlight w:val="none"/>
          <w:lang w:val="en-US" w:eastAsia="zh-CN"/>
        </w:rPr>
        <w:t>：</w:t>
      </w:r>
    </w:p>
    <w:p w14:paraId="01A31A32">
      <w:pPr>
        <w:bidi w:val="0"/>
        <w:ind w:left="0" w:leftChars="0" w:firstLine="0" w:firstLineChars="0"/>
        <w:jc w:val="center"/>
        <w:rPr>
          <w:highlight w:val="none"/>
        </w:rPr>
      </w:pPr>
      <w:r>
        <w:rPr>
          <w:highlight w:val="none"/>
        </w:rPr>
        <w:drawing>
          <wp:inline distT="0" distB="0" distL="114300" distR="114300">
            <wp:extent cx="4229100" cy="1573530"/>
            <wp:effectExtent l="0" t="0" r="0" b="1270"/>
            <wp:docPr id="3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1"/>
                    <pic:cNvPicPr>
                      <a:picLocks noChangeAspect="1"/>
                    </pic:cNvPicPr>
                  </pic:nvPicPr>
                  <pic:blipFill>
                    <a:blip r:embed="rId62"/>
                    <a:stretch>
                      <a:fillRect/>
                    </a:stretch>
                  </pic:blipFill>
                  <pic:spPr>
                    <a:xfrm>
                      <a:off x="0" y="0"/>
                      <a:ext cx="4229100" cy="1573530"/>
                    </a:xfrm>
                    <a:prstGeom prst="rect">
                      <a:avLst/>
                    </a:prstGeom>
                    <a:noFill/>
                    <a:ln>
                      <a:noFill/>
                    </a:ln>
                  </pic:spPr>
                </pic:pic>
              </a:graphicData>
            </a:graphic>
          </wp:inline>
        </w:drawing>
      </w:r>
    </w:p>
    <w:p w14:paraId="6439C6B0">
      <w:pPr>
        <w:pStyle w:val="15"/>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图6-3塔机</w:t>
      </w:r>
      <w:r>
        <w:rPr>
          <w:rFonts w:hint="default"/>
          <w:highlight w:val="none"/>
          <w:lang w:val="en-US" w:eastAsia="zh-CN"/>
        </w:rPr>
        <w:t>垂直度观测示意图</w:t>
      </w:r>
    </w:p>
    <w:p w14:paraId="7C761D9A">
      <w:pPr>
        <w:bidi w:val="0"/>
        <w:ind w:firstLine="480" w:firstLineChars="200"/>
        <w:rPr>
          <w:rFonts w:hint="default"/>
          <w:highlight w:val="none"/>
          <w:lang w:val="en-US" w:eastAsia="zh-CN"/>
        </w:rPr>
      </w:pPr>
      <w:r>
        <w:rPr>
          <w:rFonts w:hint="default"/>
          <w:highlight w:val="none"/>
          <w:lang w:val="en-US" w:eastAsia="zh-CN"/>
        </w:rPr>
        <w:t>独立状态或附着状态下最高附着点以上塔身轴线对支承面垂直度不得大于4/1000</w:t>
      </w:r>
      <w:r>
        <w:rPr>
          <w:rFonts w:hint="eastAsia"/>
          <w:highlight w:val="none"/>
          <w:lang w:val="en-US" w:eastAsia="zh-CN"/>
        </w:rPr>
        <w:t>，</w:t>
      </w:r>
      <w:r>
        <w:rPr>
          <w:rFonts w:hint="default"/>
          <w:highlight w:val="none"/>
          <w:lang w:val="en-US" w:eastAsia="zh-CN"/>
        </w:rPr>
        <w:t>最高附着点下塔身轴线对支承面垂直度不得大于相应高度的2/1000。即塔机垂直度&lt;4/1000，安装附着装置后，附着以下&lt;2/1000，附着以上&lt;4/1000。</w:t>
      </w:r>
    </w:p>
    <w:p w14:paraId="41A5305B">
      <w:pPr>
        <w:bidi w:val="0"/>
        <w:ind w:firstLine="480" w:firstLineChars="200"/>
        <w:rPr>
          <w:rFonts w:hint="eastAsia"/>
          <w:highlight w:val="none"/>
          <w:lang w:val="en-US" w:eastAsia="zh-CN"/>
        </w:rPr>
      </w:pPr>
      <w:r>
        <w:rPr>
          <w:rFonts w:hint="eastAsia"/>
          <w:highlight w:val="none"/>
          <w:lang w:val="en-US" w:eastAsia="zh-CN"/>
        </w:rPr>
        <w:t>（2）塔机基础沉降、位移监测</w:t>
      </w:r>
    </w:p>
    <w:p w14:paraId="537365EC">
      <w:pPr>
        <w:bidi w:val="0"/>
        <w:ind w:firstLine="480" w:firstLineChars="200"/>
        <w:rPr>
          <w:rFonts w:hint="default"/>
          <w:highlight w:val="none"/>
          <w:lang w:val="en-US" w:eastAsia="zh-CN"/>
        </w:rPr>
      </w:pPr>
      <w:r>
        <w:rPr>
          <w:rFonts w:hint="default"/>
          <w:highlight w:val="none"/>
          <w:lang w:val="en-US" w:eastAsia="zh-CN"/>
        </w:rPr>
        <w:t>在</w:t>
      </w:r>
      <w:r>
        <w:rPr>
          <w:rFonts w:hint="eastAsia"/>
          <w:highlight w:val="none"/>
          <w:lang w:val="en-US" w:eastAsia="zh-CN"/>
        </w:rPr>
        <w:t>塔机</w:t>
      </w:r>
      <w:r>
        <w:rPr>
          <w:rFonts w:hint="default"/>
          <w:highlight w:val="none"/>
          <w:lang w:val="en-US" w:eastAsia="zh-CN"/>
        </w:rPr>
        <w:t>基础承台上设置四个水平定位点，作为沉降观测点。布置情况</w:t>
      </w:r>
      <w:r>
        <w:rPr>
          <w:rFonts w:hint="eastAsia"/>
          <w:highlight w:val="none"/>
          <w:lang w:val="en-US" w:eastAsia="zh-CN"/>
        </w:rPr>
        <w:t>如</w:t>
      </w:r>
      <w:r>
        <w:rPr>
          <w:rFonts w:hint="default"/>
          <w:highlight w:val="none"/>
          <w:lang w:val="en-US" w:eastAsia="zh-CN"/>
        </w:rPr>
        <w:t>下图</w:t>
      </w:r>
      <w:r>
        <w:rPr>
          <w:rFonts w:hint="eastAsia"/>
          <w:highlight w:val="none"/>
          <w:lang w:val="en-US" w:eastAsia="zh-CN"/>
        </w:rPr>
        <w:t>：</w:t>
      </w:r>
    </w:p>
    <w:p w14:paraId="3D4F6965">
      <w:pPr>
        <w:bidi w:val="0"/>
        <w:ind w:left="0" w:leftChars="0" w:firstLine="0" w:firstLineChars="0"/>
        <w:jc w:val="center"/>
        <w:rPr>
          <w:rFonts w:hint="default"/>
          <w:highlight w:val="none"/>
          <w:lang w:val="en-US" w:eastAsia="zh-CN"/>
        </w:rPr>
      </w:pPr>
      <w:r>
        <w:rPr>
          <w:highlight w:val="none"/>
        </w:rPr>
        <w:drawing>
          <wp:inline distT="0" distB="0" distL="114300" distR="114300">
            <wp:extent cx="4632960" cy="2103755"/>
            <wp:effectExtent l="0" t="0" r="2540" b="4445"/>
            <wp:docPr id="3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2"/>
                    <pic:cNvPicPr>
                      <a:picLocks noChangeAspect="1"/>
                    </pic:cNvPicPr>
                  </pic:nvPicPr>
                  <pic:blipFill>
                    <a:blip r:embed="rId63">
                      <a:clrChange>
                        <a:clrFrom>
                          <a:srgbClr val="FCFEFC">
                            <a:alpha val="100000"/>
                          </a:srgbClr>
                        </a:clrFrom>
                        <a:clrTo>
                          <a:srgbClr val="FCFEFC">
                            <a:alpha val="100000"/>
                            <a:alpha val="0"/>
                          </a:srgbClr>
                        </a:clrTo>
                      </a:clrChange>
                    </a:blip>
                    <a:stretch>
                      <a:fillRect/>
                    </a:stretch>
                  </pic:blipFill>
                  <pic:spPr>
                    <a:xfrm>
                      <a:off x="0" y="0"/>
                      <a:ext cx="4632960" cy="2103755"/>
                    </a:xfrm>
                    <a:prstGeom prst="rect">
                      <a:avLst/>
                    </a:prstGeom>
                    <a:noFill/>
                    <a:ln>
                      <a:noFill/>
                    </a:ln>
                  </pic:spPr>
                </pic:pic>
              </a:graphicData>
            </a:graphic>
          </wp:inline>
        </w:drawing>
      </w:r>
    </w:p>
    <w:p w14:paraId="6F8D86AD">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图6-4塔机沉降观测示意图</w:t>
      </w:r>
    </w:p>
    <w:p w14:paraId="759A4706">
      <w:pPr>
        <w:pStyle w:val="5"/>
        <w:bidi w:val="0"/>
        <w:ind w:left="864" w:leftChars="0" w:hanging="864" w:firstLineChars="0"/>
        <w:rPr>
          <w:rFonts w:hint="default"/>
          <w:lang w:val="en-US" w:eastAsia="zh-CN"/>
        </w:rPr>
      </w:pPr>
      <w:bookmarkStart w:id="299" w:name="_Toc12390"/>
      <w:bookmarkStart w:id="300" w:name="_Toc3551"/>
      <w:r>
        <w:rPr>
          <w:rFonts w:hint="eastAsia"/>
          <w:lang w:val="en-US" w:eastAsia="zh-CN"/>
        </w:rPr>
        <w:t>监测频率</w:t>
      </w:r>
      <w:bookmarkEnd w:id="299"/>
      <w:bookmarkEnd w:id="300"/>
    </w:p>
    <w:p w14:paraId="4D654238">
      <w:pPr>
        <w:ind w:firstLine="480" w:firstLineChars="200"/>
        <w:rPr>
          <w:rFonts w:hint="default"/>
          <w:highlight w:val="none"/>
          <w:lang w:val="en-US" w:eastAsia="zh-CN"/>
        </w:rPr>
      </w:pPr>
      <w:r>
        <w:rPr>
          <w:rFonts w:hint="eastAsia"/>
          <w:highlight w:val="none"/>
          <w:lang w:val="en-US" w:eastAsia="zh-CN"/>
        </w:rPr>
        <w:t>正常使用情况下，</w:t>
      </w:r>
      <w:r>
        <w:rPr>
          <w:rFonts w:hint="default"/>
          <w:highlight w:val="none"/>
          <w:lang w:val="en-US" w:eastAsia="zh-CN"/>
        </w:rPr>
        <w:t>主体施工阶段每月不得少于二次</w:t>
      </w:r>
      <w:r>
        <w:rPr>
          <w:rFonts w:hint="eastAsia"/>
          <w:highlight w:val="none"/>
          <w:lang w:val="en-US" w:eastAsia="zh-CN"/>
        </w:rPr>
        <w:t>，</w:t>
      </w:r>
      <w:r>
        <w:rPr>
          <w:rFonts w:hint="default"/>
          <w:highlight w:val="none"/>
          <w:lang w:val="en-US" w:eastAsia="zh-CN"/>
        </w:rPr>
        <w:t>其它阶段每月一次</w:t>
      </w:r>
      <w:r>
        <w:rPr>
          <w:rFonts w:hint="eastAsia"/>
          <w:highlight w:val="none"/>
          <w:lang w:val="en-US" w:eastAsia="zh-CN"/>
        </w:rPr>
        <w:t>。遇特殊天气或其他特殊情况，根据实际需要增加监控监测频率，如三天一次、每周一次等。</w:t>
      </w:r>
    </w:p>
    <w:p w14:paraId="4252DAA5">
      <w:pPr>
        <w:pStyle w:val="5"/>
        <w:bidi w:val="0"/>
        <w:ind w:left="864" w:leftChars="0" w:hanging="864" w:firstLineChars="0"/>
        <w:rPr>
          <w:rFonts w:hint="default"/>
          <w:lang w:val="en-US" w:eastAsia="zh-CN"/>
        </w:rPr>
      </w:pPr>
      <w:bookmarkStart w:id="301" w:name="_Toc12969"/>
      <w:bookmarkStart w:id="302" w:name="_Toc24242"/>
      <w:r>
        <w:rPr>
          <w:rFonts w:hint="eastAsia"/>
          <w:lang w:val="en-US" w:eastAsia="zh-CN"/>
        </w:rPr>
        <w:t>监测记录表</w:t>
      </w:r>
      <w:bookmarkEnd w:id="301"/>
      <w:bookmarkEnd w:id="302"/>
    </w:p>
    <w:p w14:paraId="30176616">
      <w:pPr>
        <w:pStyle w:val="15"/>
        <w:bidi w:val="0"/>
        <w:rPr>
          <w:rFonts w:hint="eastAsia"/>
          <w:highlight w:val="none"/>
          <w:lang w:val="en-US" w:eastAsia="zh-CN"/>
        </w:rPr>
      </w:pPr>
      <w:r>
        <w:rPr>
          <w:rFonts w:hint="eastAsia"/>
          <w:highlight w:val="none"/>
          <w:lang w:val="en-US" w:eastAsia="zh-CN"/>
        </w:rPr>
        <w:t>表6-2塔式起重机垂直度观测记录表</w:t>
      </w:r>
    </w:p>
    <w:tbl>
      <w:tblPr>
        <w:tblStyle w:val="30"/>
        <w:tblW w:w="4995"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36"/>
        <w:gridCol w:w="1121"/>
        <w:gridCol w:w="927"/>
        <w:gridCol w:w="929"/>
        <w:gridCol w:w="813"/>
        <w:gridCol w:w="813"/>
        <w:gridCol w:w="813"/>
        <w:gridCol w:w="813"/>
        <w:gridCol w:w="818"/>
        <w:gridCol w:w="830"/>
      </w:tblGrid>
      <w:tr w14:paraId="3C32F9A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373" w:type="pct"/>
            <w:tcBorders>
              <w:tl2br w:val="nil"/>
              <w:tr2bl w:val="nil"/>
            </w:tcBorders>
            <w:shd w:val="clear" w:color="auto" w:fill="DAE3F3" w:themeFill="accent5" w:themeFillTint="32"/>
            <w:noWrap w:val="0"/>
            <w:vAlign w:val="center"/>
          </w:tcPr>
          <w:p w14:paraId="6062E3B2">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序号</w:t>
            </w:r>
          </w:p>
        </w:tc>
        <w:tc>
          <w:tcPr>
            <w:tcW w:w="658" w:type="pct"/>
            <w:tcBorders>
              <w:tl2br w:val="nil"/>
              <w:tr2bl w:val="nil"/>
            </w:tcBorders>
            <w:shd w:val="clear" w:color="auto" w:fill="DAE3F3" w:themeFill="accent5" w:themeFillTint="32"/>
            <w:noWrap w:val="0"/>
            <w:vAlign w:val="center"/>
          </w:tcPr>
          <w:p w14:paraId="3F69449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塔机布置位置及编号</w:t>
            </w:r>
          </w:p>
        </w:tc>
        <w:tc>
          <w:tcPr>
            <w:tcW w:w="544" w:type="pct"/>
            <w:tcBorders>
              <w:tl2br w:val="nil"/>
              <w:tr2bl w:val="nil"/>
            </w:tcBorders>
            <w:shd w:val="clear" w:color="auto" w:fill="DAE3F3" w:themeFill="accent5" w:themeFillTint="32"/>
            <w:noWrap w:val="0"/>
            <w:vAlign w:val="center"/>
          </w:tcPr>
          <w:p w14:paraId="7B69464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观测日期</w:t>
            </w:r>
          </w:p>
        </w:tc>
        <w:tc>
          <w:tcPr>
            <w:tcW w:w="545" w:type="pct"/>
            <w:tcBorders>
              <w:tl2br w:val="nil"/>
              <w:tr2bl w:val="nil"/>
            </w:tcBorders>
            <w:shd w:val="clear" w:color="auto" w:fill="DAE3F3" w:themeFill="accent5" w:themeFillTint="32"/>
            <w:noWrap w:val="0"/>
            <w:vAlign w:val="center"/>
          </w:tcPr>
          <w:p w14:paraId="6C30A88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测量高度</w:t>
            </w:r>
          </w:p>
        </w:tc>
        <w:tc>
          <w:tcPr>
            <w:tcW w:w="477" w:type="pct"/>
            <w:tcBorders>
              <w:tl2br w:val="nil"/>
              <w:tr2bl w:val="nil"/>
            </w:tcBorders>
            <w:shd w:val="clear" w:color="auto" w:fill="DAE3F3" w:themeFill="accent5" w:themeFillTint="32"/>
            <w:noWrap w:val="0"/>
            <w:vAlign w:val="center"/>
          </w:tcPr>
          <w:p w14:paraId="6E20F109">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X方向偏差</w:t>
            </w:r>
          </w:p>
        </w:tc>
        <w:tc>
          <w:tcPr>
            <w:tcW w:w="477" w:type="pct"/>
            <w:tcBorders>
              <w:tl2br w:val="nil"/>
              <w:tr2bl w:val="nil"/>
            </w:tcBorders>
            <w:shd w:val="clear" w:color="auto" w:fill="DAE3F3" w:themeFill="accent5" w:themeFillTint="32"/>
            <w:noWrap w:val="0"/>
            <w:vAlign w:val="center"/>
          </w:tcPr>
          <w:p w14:paraId="29414AE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Y方向偏差</w:t>
            </w:r>
          </w:p>
        </w:tc>
        <w:tc>
          <w:tcPr>
            <w:tcW w:w="477" w:type="pct"/>
            <w:tcBorders>
              <w:tl2br w:val="nil"/>
              <w:tr2bl w:val="nil"/>
            </w:tcBorders>
            <w:shd w:val="clear" w:color="auto" w:fill="DAE3F3" w:themeFill="accent5" w:themeFillTint="32"/>
            <w:noWrap w:val="0"/>
            <w:vAlign w:val="center"/>
          </w:tcPr>
          <w:p w14:paraId="648292C7">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垂直度偏差</w:t>
            </w:r>
          </w:p>
        </w:tc>
        <w:tc>
          <w:tcPr>
            <w:tcW w:w="477" w:type="pct"/>
            <w:tcBorders>
              <w:tl2br w:val="nil"/>
              <w:tr2bl w:val="nil"/>
            </w:tcBorders>
            <w:shd w:val="clear" w:color="auto" w:fill="DAE3F3" w:themeFill="accent5" w:themeFillTint="32"/>
            <w:noWrap w:val="0"/>
            <w:vAlign w:val="center"/>
          </w:tcPr>
          <w:p w14:paraId="34DE9AEB">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测量仪器型号</w:t>
            </w:r>
          </w:p>
        </w:tc>
        <w:tc>
          <w:tcPr>
            <w:tcW w:w="480" w:type="pct"/>
            <w:tcBorders>
              <w:tl2br w:val="nil"/>
              <w:tr2bl w:val="nil"/>
            </w:tcBorders>
            <w:shd w:val="clear" w:color="auto" w:fill="DAE3F3" w:themeFill="accent5" w:themeFillTint="32"/>
            <w:noWrap w:val="0"/>
            <w:vAlign w:val="center"/>
          </w:tcPr>
          <w:p w14:paraId="3515DB84">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检测人</w:t>
            </w:r>
          </w:p>
        </w:tc>
        <w:tc>
          <w:tcPr>
            <w:tcW w:w="487" w:type="pct"/>
            <w:tcBorders>
              <w:tl2br w:val="nil"/>
              <w:tr2bl w:val="nil"/>
            </w:tcBorders>
            <w:shd w:val="clear" w:color="auto" w:fill="DAE3F3" w:themeFill="accent5" w:themeFillTint="32"/>
            <w:noWrap w:val="0"/>
            <w:vAlign w:val="center"/>
          </w:tcPr>
          <w:p w14:paraId="4829626E">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备注</w:t>
            </w:r>
          </w:p>
        </w:tc>
      </w:tr>
      <w:tr w14:paraId="07842D8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6B99DD9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658" w:type="pct"/>
            <w:tcBorders>
              <w:tl2br w:val="nil"/>
              <w:tr2bl w:val="nil"/>
            </w:tcBorders>
            <w:noWrap w:val="0"/>
            <w:vAlign w:val="center"/>
          </w:tcPr>
          <w:p w14:paraId="087E00C9">
            <w:pPr>
              <w:spacing w:line="240" w:lineRule="auto"/>
              <w:ind w:firstLine="0" w:firstLineChars="0"/>
              <w:jc w:val="center"/>
              <w:rPr>
                <w:rFonts w:hint="eastAsia" w:ascii="仿宋" w:hAnsi="仿宋" w:eastAsia="仿宋" w:cs="仿宋"/>
                <w:sz w:val="21"/>
                <w:szCs w:val="21"/>
                <w:highlight w:val="none"/>
              </w:rPr>
            </w:pPr>
          </w:p>
        </w:tc>
        <w:tc>
          <w:tcPr>
            <w:tcW w:w="544" w:type="pct"/>
            <w:tcBorders>
              <w:tl2br w:val="nil"/>
              <w:tr2bl w:val="nil"/>
            </w:tcBorders>
            <w:noWrap w:val="0"/>
            <w:vAlign w:val="center"/>
          </w:tcPr>
          <w:p w14:paraId="7F9F1E63">
            <w:pPr>
              <w:spacing w:line="240" w:lineRule="auto"/>
              <w:ind w:firstLine="0" w:firstLineChars="0"/>
              <w:jc w:val="center"/>
              <w:rPr>
                <w:rFonts w:hint="eastAsia" w:ascii="仿宋" w:hAnsi="仿宋" w:eastAsia="仿宋" w:cs="仿宋"/>
                <w:sz w:val="21"/>
                <w:szCs w:val="21"/>
                <w:highlight w:val="none"/>
              </w:rPr>
            </w:pPr>
          </w:p>
        </w:tc>
        <w:tc>
          <w:tcPr>
            <w:tcW w:w="545" w:type="pct"/>
            <w:tcBorders>
              <w:tl2br w:val="nil"/>
              <w:tr2bl w:val="nil"/>
            </w:tcBorders>
            <w:noWrap w:val="0"/>
            <w:vAlign w:val="center"/>
          </w:tcPr>
          <w:p w14:paraId="3957A43B">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42DAFBD1">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3917C1F8">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76D85C95">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1F29FF87">
            <w:pPr>
              <w:spacing w:line="240" w:lineRule="auto"/>
              <w:ind w:firstLine="0" w:firstLineChars="0"/>
              <w:jc w:val="center"/>
              <w:rPr>
                <w:rFonts w:hint="eastAsia" w:ascii="仿宋" w:hAnsi="仿宋" w:eastAsia="仿宋" w:cs="仿宋"/>
                <w:sz w:val="21"/>
                <w:szCs w:val="21"/>
                <w:highlight w:val="none"/>
              </w:rPr>
            </w:pPr>
          </w:p>
        </w:tc>
        <w:tc>
          <w:tcPr>
            <w:tcW w:w="480" w:type="pct"/>
            <w:tcBorders>
              <w:tl2br w:val="nil"/>
              <w:tr2bl w:val="nil"/>
            </w:tcBorders>
            <w:noWrap w:val="0"/>
            <w:vAlign w:val="center"/>
          </w:tcPr>
          <w:p w14:paraId="6DA6B557">
            <w:pPr>
              <w:spacing w:line="240" w:lineRule="auto"/>
              <w:ind w:firstLine="0" w:firstLineChars="0"/>
              <w:jc w:val="center"/>
              <w:rPr>
                <w:rFonts w:hint="eastAsia" w:ascii="仿宋" w:hAnsi="仿宋" w:eastAsia="仿宋" w:cs="仿宋"/>
                <w:sz w:val="21"/>
                <w:szCs w:val="21"/>
                <w:highlight w:val="none"/>
              </w:rPr>
            </w:pPr>
          </w:p>
        </w:tc>
        <w:tc>
          <w:tcPr>
            <w:tcW w:w="487" w:type="pct"/>
            <w:tcBorders>
              <w:tl2br w:val="nil"/>
              <w:tr2bl w:val="nil"/>
            </w:tcBorders>
            <w:noWrap w:val="0"/>
            <w:vAlign w:val="center"/>
          </w:tcPr>
          <w:p w14:paraId="73BD7B3D">
            <w:pPr>
              <w:spacing w:line="240" w:lineRule="auto"/>
              <w:ind w:firstLine="0" w:firstLineChars="0"/>
              <w:jc w:val="center"/>
              <w:rPr>
                <w:rFonts w:hint="eastAsia" w:ascii="仿宋" w:hAnsi="仿宋" w:eastAsia="仿宋" w:cs="仿宋"/>
                <w:sz w:val="21"/>
                <w:szCs w:val="21"/>
                <w:highlight w:val="none"/>
              </w:rPr>
            </w:pPr>
          </w:p>
        </w:tc>
      </w:tr>
      <w:tr w14:paraId="1F125C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12AA22C1">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658" w:type="pct"/>
            <w:tcBorders>
              <w:tl2br w:val="nil"/>
              <w:tr2bl w:val="nil"/>
            </w:tcBorders>
            <w:noWrap w:val="0"/>
            <w:vAlign w:val="center"/>
          </w:tcPr>
          <w:p w14:paraId="747EABCC">
            <w:pPr>
              <w:spacing w:line="240" w:lineRule="auto"/>
              <w:ind w:firstLine="0" w:firstLineChars="0"/>
              <w:jc w:val="center"/>
              <w:rPr>
                <w:rFonts w:hint="eastAsia" w:ascii="仿宋" w:hAnsi="仿宋" w:eastAsia="仿宋" w:cs="仿宋"/>
                <w:sz w:val="21"/>
                <w:szCs w:val="21"/>
                <w:highlight w:val="none"/>
              </w:rPr>
            </w:pPr>
          </w:p>
        </w:tc>
        <w:tc>
          <w:tcPr>
            <w:tcW w:w="544" w:type="pct"/>
            <w:tcBorders>
              <w:tl2br w:val="nil"/>
              <w:tr2bl w:val="nil"/>
            </w:tcBorders>
            <w:noWrap w:val="0"/>
            <w:vAlign w:val="center"/>
          </w:tcPr>
          <w:p w14:paraId="1F54A54B">
            <w:pPr>
              <w:spacing w:line="240" w:lineRule="auto"/>
              <w:ind w:firstLine="0" w:firstLineChars="0"/>
              <w:jc w:val="center"/>
              <w:rPr>
                <w:rFonts w:hint="eastAsia" w:ascii="仿宋" w:hAnsi="仿宋" w:eastAsia="仿宋" w:cs="仿宋"/>
                <w:sz w:val="21"/>
                <w:szCs w:val="21"/>
                <w:highlight w:val="none"/>
              </w:rPr>
            </w:pPr>
          </w:p>
        </w:tc>
        <w:tc>
          <w:tcPr>
            <w:tcW w:w="545" w:type="pct"/>
            <w:tcBorders>
              <w:tl2br w:val="nil"/>
              <w:tr2bl w:val="nil"/>
            </w:tcBorders>
            <w:noWrap w:val="0"/>
            <w:vAlign w:val="center"/>
          </w:tcPr>
          <w:p w14:paraId="5B913B05">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5E8E1AA7">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46006DAD">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0938D410">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5B44B555">
            <w:pPr>
              <w:spacing w:line="240" w:lineRule="auto"/>
              <w:ind w:firstLine="0" w:firstLineChars="0"/>
              <w:jc w:val="center"/>
              <w:rPr>
                <w:rFonts w:hint="eastAsia" w:ascii="仿宋" w:hAnsi="仿宋" w:eastAsia="仿宋" w:cs="仿宋"/>
                <w:sz w:val="21"/>
                <w:szCs w:val="21"/>
                <w:highlight w:val="none"/>
              </w:rPr>
            </w:pPr>
          </w:p>
        </w:tc>
        <w:tc>
          <w:tcPr>
            <w:tcW w:w="480" w:type="pct"/>
            <w:tcBorders>
              <w:tl2br w:val="nil"/>
              <w:tr2bl w:val="nil"/>
            </w:tcBorders>
            <w:noWrap w:val="0"/>
            <w:vAlign w:val="center"/>
          </w:tcPr>
          <w:p w14:paraId="769149BE">
            <w:pPr>
              <w:spacing w:line="240" w:lineRule="auto"/>
              <w:ind w:firstLine="0" w:firstLineChars="0"/>
              <w:jc w:val="center"/>
              <w:rPr>
                <w:rFonts w:hint="eastAsia" w:ascii="仿宋" w:hAnsi="仿宋" w:eastAsia="仿宋" w:cs="仿宋"/>
                <w:sz w:val="21"/>
                <w:szCs w:val="21"/>
                <w:highlight w:val="none"/>
              </w:rPr>
            </w:pPr>
          </w:p>
        </w:tc>
        <w:tc>
          <w:tcPr>
            <w:tcW w:w="487" w:type="pct"/>
            <w:tcBorders>
              <w:tl2br w:val="nil"/>
              <w:tr2bl w:val="nil"/>
            </w:tcBorders>
            <w:noWrap w:val="0"/>
            <w:vAlign w:val="center"/>
          </w:tcPr>
          <w:p w14:paraId="181829D7">
            <w:pPr>
              <w:spacing w:line="240" w:lineRule="auto"/>
              <w:ind w:firstLine="0" w:firstLineChars="0"/>
              <w:jc w:val="center"/>
              <w:rPr>
                <w:rFonts w:hint="eastAsia" w:ascii="仿宋" w:hAnsi="仿宋" w:eastAsia="仿宋" w:cs="仿宋"/>
                <w:sz w:val="21"/>
                <w:szCs w:val="21"/>
                <w:highlight w:val="none"/>
              </w:rPr>
            </w:pPr>
          </w:p>
        </w:tc>
      </w:tr>
    </w:tbl>
    <w:p w14:paraId="310ED20F">
      <w:pPr>
        <w:pStyle w:val="15"/>
        <w:bidi w:val="0"/>
        <w:rPr>
          <w:rFonts w:hint="eastAsia"/>
          <w:highlight w:val="none"/>
          <w:lang w:val="en-US" w:eastAsia="zh-CN"/>
        </w:rPr>
      </w:pPr>
      <w:r>
        <w:rPr>
          <w:rFonts w:hint="eastAsia"/>
          <w:highlight w:val="none"/>
          <w:lang w:val="en-US" w:eastAsia="zh-CN"/>
        </w:rPr>
        <w:t>表6-3塔式起重机基础沉降、位移观测记录表</w:t>
      </w:r>
    </w:p>
    <w:tbl>
      <w:tblPr>
        <w:tblStyle w:val="30"/>
        <w:tblW w:w="4997"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36"/>
        <w:gridCol w:w="704"/>
        <w:gridCol w:w="619"/>
        <w:gridCol w:w="803"/>
        <w:gridCol w:w="812"/>
        <w:gridCol w:w="534"/>
        <w:gridCol w:w="655"/>
        <w:gridCol w:w="694"/>
        <w:gridCol w:w="536"/>
        <w:gridCol w:w="544"/>
        <w:gridCol w:w="635"/>
        <w:gridCol w:w="670"/>
        <w:gridCol w:w="675"/>
      </w:tblGrid>
      <w:tr w14:paraId="5F48FF3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63" w:hRule="atLeast"/>
          <w:tblHeader/>
          <w:jc w:val="center"/>
        </w:trPr>
        <w:tc>
          <w:tcPr>
            <w:tcW w:w="373" w:type="pct"/>
            <w:vMerge w:val="restart"/>
            <w:tcBorders>
              <w:tl2br w:val="nil"/>
              <w:tr2bl w:val="nil"/>
            </w:tcBorders>
            <w:shd w:val="clear" w:color="auto" w:fill="DAE3F3" w:themeFill="accent5" w:themeFillTint="32"/>
            <w:noWrap w:val="0"/>
            <w:vAlign w:val="center"/>
          </w:tcPr>
          <w:p w14:paraId="0EC8E439">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序号</w:t>
            </w:r>
          </w:p>
        </w:tc>
        <w:tc>
          <w:tcPr>
            <w:tcW w:w="413" w:type="pct"/>
            <w:vMerge w:val="restart"/>
            <w:tcBorders>
              <w:tl2br w:val="nil"/>
              <w:tr2bl w:val="nil"/>
            </w:tcBorders>
            <w:shd w:val="clear" w:color="auto" w:fill="DAE3F3" w:themeFill="accent5" w:themeFillTint="32"/>
            <w:noWrap w:val="0"/>
            <w:vAlign w:val="center"/>
          </w:tcPr>
          <w:p w14:paraId="2023215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塔机布置位置及编号</w:t>
            </w:r>
          </w:p>
        </w:tc>
        <w:tc>
          <w:tcPr>
            <w:tcW w:w="363" w:type="pct"/>
            <w:vMerge w:val="restart"/>
            <w:tcBorders>
              <w:tl2br w:val="nil"/>
              <w:tr2bl w:val="nil"/>
            </w:tcBorders>
            <w:shd w:val="clear" w:color="auto" w:fill="DAE3F3" w:themeFill="accent5" w:themeFillTint="32"/>
            <w:noWrap w:val="0"/>
            <w:vAlign w:val="center"/>
          </w:tcPr>
          <w:p w14:paraId="3D61DD5D">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观测日期</w:t>
            </w:r>
          </w:p>
        </w:tc>
        <w:tc>
          <w:tcPr>
            <w:tcW w:w="471" w:type="pct"/>
            <w:vMerge w:val="restart"/>
            <w:tcBorders>
              <w:tl2br w:val="nil"/>
              <w:tr2bl w:val="nil"/>
            </w:tcBorders>
            <w:shd w:val="clear" w:color="auto" w:fill="DAE3F3" w:themeFill="accent5" w:themeFillTint="32"/>
            <w:noWrap w:val="0"/>
            <w:vAlign w:val="center"/>
          </w:tcPr>
          <w:p w14:paraId="4A9674FA">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X坐标值</w:t>
            </w:r>
          </w:p>
        </w:tc>
        <w:tc>
          <w:tcPr>
            <w:tcW w:w="476" w:type="pct"/>
            <w:vMerge w:val="restart"/>
            <w:tcBorders>
              <w:tl2br w:val="nil"/>
              <w:tr2bl w:val="nil"/>
            </w:tcBorders>
            <w:shd w:val="clear" w:color="auto" w:fill="DAE3F3" w:themeFill="accent5" w:themeFillTint="32"/>
            <w:noWrap w:val="0"/>
            <w:vAlign w:val="center"/>
          </w:tcPr>
          <w:p w14:paraId="61C563B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Y坐标值</w:t>
            </w:r>
          </w:p>
        </w:tc>
        <w:tc>
          <w:tcPr>
            <w:tcW w:w="313" w:type="pct"/>
            <w:vMerge w:val="restart"/>
            <w:tcBorders>
              <w:tl2br w:val="nil"/>
              <w:tr2bl w:val="nil"/>
            </w:tcBorders>
            <w:shd w:val="clear" w:color="auto" w:fill="DAE3F3" w:themeFill="accent5" w:themeFillTint="32"/>
            <w:noWrap w:val="0"/>
            <w:vAlign w:val="center"/>
          </w:tcPr>
          <w:p w14:paraId="2633D97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高程值(m)</w:t>
            </w:r>
          </w:p>
        </w:tc>
        <w:tc>
          <w:tcPr>
            <w:tcW w:w="791" w:type="pct"/>
            <w:gridSpan w:val="2"/>
            <w:tcBorders>
              <w:tl2br w:val="nil"/>
              <w:tr2bl w:val="nil"/>
            </w:tcBorders>
            <w:shd w:val="clear" w:color="auto" w:fill="DAE3F3" w:themeFill="accent5" w:themeFillTint="32"/>
            <w:noWrap w:val="0"/>
            <w:vAlign w:val="center"/>
          </w:tcPr>
          <w:p w14:paraId="1D704B1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沉降差（mm）</w:t>
            </w:r>
          </w:p>
        </w:tc>
        <w:tc>
          <w:tcPr>
            <w:tcW w:w="633" w:type="pct"/>
            <w:gridSpan w:val="2"/>
            <w:tcBorders>
              <w:tl2br w:val="nil"/>
              <w:tr2bl w:val="nil"/>
            </w:tcBorders>
            <w:shd w:val="clear" w:color="auto" w:fill="DAE3F3" w:themeFill="accent5" w:themeFillTint="32"/>
            <w:noWrap w:val="0"/>
            <w:vAlign w:val="center"/>
          </w:tcPr>
          <w:p w14:paraId="66AFD6F4">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位移差（mm）</w:t>
            </w:r>
          </w:p>
        </w:tc>
        <w:tc>
          <w:tcPr>
            <w:tcW w:w="372" w:type="pct"/>
            <w:vMerge w:val="restart"/>
            <w:tcBorders>
              <w:tl2br w:val="nil"/>
              <w:tr2bl w:val="nil"/>
            </w:tcBorders>
            <w:shd w:val="clear" w:color="auto" w:fill="DAE3F3" w:themeFill="accent5" w:themeFillTint="32"/>
            <w:noWrap w:val="0"/>
            <w:vAlign w:val="center"/>
          </w:tcPr>
          <w:p w14:paraId="42C48822">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测量仪器型号</w:t>
            </w:r>
          </w:p>
        </w:tc>
        <w:tc>
          <w:tcPr>
            <w:tcW w:w="393" w:type="pct"/>
            <w:vMerge w:val="restart"/>
            <w:tcBorders>
              <w:tl2br w:val="nil"/>
              <w:tr2bl w:val="nil"/>
            </w:tcBorders>
            <w:shd w:val="clear" w:color="auto" w:fill="DAE3F3" w:themeFill="accent5" w:themeFillTint="32"/>
            <w:noWrap w:val="0"/>
            <w:vAlign w:val="center"/>
          </w:tcPr>
          <w:p w14:paraId="6845FC0F">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检测人</w:t>
            </w:r>
          </w:p>
        </w:tc>
        <w:tc>
          <w:tcPr>
            <w:tcW w:w="395" w:type="pct"/>
            <w:vMerge w:val="restart"/>
            <w:tcBorders>
              <w:tl2br w:val="nil"/>
              <w:tr2bl w:val="nil"/>
            </w:tcBorders>
            <w:shd w:val="clear" w:color="auto" w:fill="DAE3F3" w:themeFill="accent5" w:themeFillTint="32"/>
            <w:noWrap w:val="0"/>
            <w:vAlign w:val="center"/>
          </w:tcPr>
          <w:p w14:paraId="1ED050FE">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备注</w:t>
            </w:r>
          </w:p>
        </w:tc>
      </w:tr>
      <w:tr w14:paraId="477719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63" w:hRule="atLeast"/>
          <w:tblHeader/>
          <w:jc w:val="center"/>
        </w:trPr>
        <w:tc>
          <w:tcPr>
            <w:tcW w:w="373" w:type="pct"/>
            <w:vMerge w:val="continue"/>
            <w:tcBorders>
              <w:tl2br w:val="nil"/>
              <w:tr2bl w:val="nil"/>
            </w:tcBorders>
            <w:shd w:val="clear" w:color="auto" w:fill="DAE3F3" w:themeFill="accent5" w:themeFillTint="32"/>
            <w:noWrap w:val="0"/>
            <w:vAlign w:val="center"/>
          </w:tcPr>
          <w:p w14:paraId="4E8A9218">
            <w:pPr>
              <w:spacing w:line="240" w:lineRule="auto"/>
              <w:ind w:firstLine="0" w:firstLineChars="0"/>
              <w:jc w:val="center"/>
              <w:rPr>
                <w:highlight w:val="none"/>
              </w:rPr>
            </w:pPr>
          </w:p>
        </w:tc>
        <w:tc>
          <w:tcPr>
            <w:tcW w:w="413" w:type="pct"/>
            <w:vMerge w:val="continue"/>
            <w:tcBorders>
              <w:tl2br w:val="nil"/>
              <w:tr2bl w:val="nil"/>
            </w:tcBorders>
            <w:shd w:val="clear" w:color="auto" w:fill="DAE3F3" w:themeFill="accent5" w:themeFillTint="32"/>
            <w:noWrap w:val="0"/>
            <w:vAlign w:val="center"/>
          </w:tcPr>
          <w:p w14:paraId="7584E79E">
            <w:pPr>
              <w:spacing w:line="240" w:lineRule="auto"/>
              <w:ind w:firstLine="0" w:firstLineChars="0"/>
              <w:jc w:val="center"/>
              <w:rPr>
                <w:highlight w:val="none"/>
              </w:rPr>
            </w:pPr>
          </w:p>
        </w:tc>
        <w:tc>
          <w:tcPr>
            <w:tcW w:w="363" w:type="pct"/>
            <w:vMerge w:val="continue"/>
            <w:tcBorders>
              <w:tl2br w:val="nil"/>
              <w:tr2bl w:val="nil"/>
            </w:tcBorders>
            <w:shd w:val="clear" w:color="auto" w:fill="DAE3F3" w:themeFill="accent5" w:themeFillTint="32"/>
            <w:noWrap w:val="0"/>
            <w:vAlign w:val="center"/>
          </w:tcPr>
          <w:p w14:paraId="1AC2B482">
            <w:pPr>
              <w:spacing w:line="240" w:lineRule="auto"/>
              <w:ind w:firstLine="0" w:firstLineChars="0"/>
              <w:jc w:val="center"/>
              <w:rPr>
                <w:highlight w:val="none"/>
              </w:rPr>
            </w:pPr>
          </w:p>
        </w:tc>
        <w:tc>
          <w:tcPr>
            <w:tcW w:w="471" w:type="pct"/>
            <w:vMerge w:val="continue"/>
            <w:tcBorders>
              <w:tl2br w:val="nil"/>
              <w:tr2bl w:val="nil"/>
            </w:tcBorders>
            <w:shd w:val="clear" w:color="auto" w:fill="DAE3F3" w:themeFill="accent5" w:themeFillTint="32"/>
            <w:noWrap w:val="0"/>
            <w:vAlign w:val="center"/>
          </w:tcPr>
          <w:p w14:paraId="41015434">
            <w:pPr>
              <w:spacing w:line="240" w:lineRule="auto"/>
              <w:ind w:firstLine="0" w:firstLineChars="0"/>
              <w:jc w:val="center"/>
              <w:rPr>
                <w:highlight w:val="none"/>
              </w:rPr>
            </w:pPr>
          </w:p>
        </w:tc>
        <w:tc>
          <w:tcPr>
            <w:tcW w:w="476" w:type="pct"/>
            <w:vMerge w:val="continue"/>
            <w:tcBorders>
              <w:tl2br w:val="nil"/>
              <w:tr2bl w:val="nil"/>
            </w:tcBorders>
            <w:shd w:val="clear" w:color="auto" w:fill="DAE3F3" w:themeFill="accent5" w:themeFillTint="32"/>
            <w:noWrap w:val="0"/>
            <w:vAlign w:val="center"/>
          </w:tcPr>
          <w:p w14:paraId="0F69C141">
            <w:pPr>
              <w:spacing w:line="240" w:lineRule="auto"/>
              <w:ind w:firstLine="0" w:firstLineChars="0"/>
              <w:jc w:val="center"/>
              <w:rPr>
                <w:highlight w:val="none"/>
              </w:rPr>
            </w:pPr>
          </w:p>
        </w:tc>
        <w:tc>
          <w:tcPr>
            <w:tcW w:w="313" w:type="pct"/>
            <w:vMerge w:val="continue"/>
            <w:tcBorders>
              <w:tl2br w:val="nil"/>
              <w:tr2bl w:val="nil"/>
            </w:tcBorders>
            <w:shd w:val="clear" w:color="auto" w:fill="DAE3F3" w:themeFill="accent5" w:themeFillTint="32"/>
            <w:noWrap w:val="0"/>
            <w:vAlign w:val="center"/>
          </w:tcPr>
          <w:p w14:paraId="0A1AE50B">
            <w:pPr>
              <w:spacing w:line="240" w:lineRule="auto"/>
              <w:ind w:firstLine="0" w:firstLineChars="0"/>
              <w:jc w:val="center"/>
              <w:rPr>
                <w:highlight w:val="none"/>
              </w:rPr>
            </w:pPr>
          </w:p>
        </w:tc>
        <w:tc>
          <w:tcPr>
            <w:tcW w:w="384" w:type="pct"/>
            <w:tcBorders>
              <w:tl2br w:val="nil"/>
              <w:tr2bl w:val="nil"/>
            </w:tcBorders>
            <w:shd w:val="clear" w:color="auto" w:fill="DAE3F3" w:themeFill="accent5" w:themeFillTint="32"/>
            <w:noWrap w:val="0"/>
            <w:vAlign w:val="center"/>
          </w:tcPr>
          <w:p w14:paraId="6743EC59">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本次</w:t>
            </w:r>
          </w:p>
        </w:tc>
        <w:tc>
          <w:tcPr>
            <w:tcW w:w="406" w:type="pct"/>
            <w:tcBorders>
              <w:tl2br w:val="nil"/>
              <w:tr2bl w:val="nil"/>
            </w:tcBorders>
            <w:shd w:val="clear" w:color="auto" w:fill="DAE3F3" w:themeFill="accent5" w:themeFillTint="32"/>
            <w:noWrap w:val="0"/>
            <w:vAlign w:val="center"/>
          </w:tcPr>
          <w:p w14:paraId="5F4E9CB4">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累计</w:t>
            </w:r>
          </w:p>
        </w:tc>
        <w:tc>
          <w:tcPr>
            <w:tcW w:w="314" w:type="pct"/>
            <w:tcBorders>
              <w:tl2br w:val="nil"/>
              <w:tr2bl w:val="nil"/>
            </w:tcBorders>
            <w:shd w:val="clear" w:color="auto" w:fill="DAE3F3" w:themeFill="accent5" w:themeFillTint="32"/>
            <w:noWrap w:val="0"/>
            <w:vAlign w:val="center"/>
          </w:tcPr>
          <w:p w14:paraId="4361630A">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本次</w:t>
            </w:r>
          </w:p>
        </w:tc>
        <w:tc>
          <w:tcPr>
            <w:tcW w:w="318" w:type="pct"/>
            <w:tcBorders>
              <w:tl2br w:val="nil"/>
              <w:tr2bl w:val="nil"/>
            </w:tcBorders>
            <w:shd w:val="clear" w:color="auto" w:fill="DAE3F3" w:themeFill="accent5" w:themeFillTint="32"/>
            <w:noWrap w:val="0"/>
            <w:vAlign w:val="center"/>
          </w:tcPr>
          <w:p w14:paraId="30C60249">
            <w:pPr>
              <w:spacing w:line="240" w:lineRule="auto"/>
              <w:ind w:firstLine="0" w:firstLineChars="0"/>
              <w:jc w:val="center"/>
              <w:rPr>
                <w:highlight w:val="none"/>
              </w:rPr>
            </w:pPr>
            <w:r>
              <w:rPr>
                <w:rFonts w:hint="eastAsia" w:ascii="仿宋" w:hAnsi="仿宋" w:eastAsia="仿宋" w:cs="仿宋"/>
                <w:b/>
                <w:bCs/>
                <w:sz w:val="21"/>
                <w:szCs w:val="21"/>
                <w:highlight w:val="none"/>
                <w:lang w:val="en-US" w:eastAsia="zh-CN"/>
              </w:rPr>
              <w:t>累计</w:t>
            </w:r>
          </w:p>
        </w:tc>
        <w:tc>
          <w:tcPr>
            <w:tcW w:w="372" w:type="pct"/>
            <w:vMerge w:val="continue"/>
            <w:tcBorders>
              <w:tl2br w:val="nil"/>
              <w:tr2bl w:val="nil"/>
            </w:tcBorders>
            <w:shd w:val="clear" w:color="auto" w:fill="DAE3F3" w:themeFill="accent5" w:themeFillTint="32"/>
            <w:noWrap w:val="0"/>
            <w:vAlign w:val="center"/>
          </w:tcPr>
          <w:p w14:paraId="0527C13E">
            <w:pPr>
              <w:spacing w:line="240" w:lineRule="auto"/>
              <w:ind w:firstLine="0" w:firstLineChars="0"/>
              <w:jc w:val="center"/>
              <w:rPr>
                <w:rFonts w:hint="eastAsia" w:ascii="仿宋" w:hAnsi="仿宋" w:eastAsia="仿宋" w:cs="仿宋"/>
                <w:b/>
                <w:bCs/>
                <w:sz w:val="21"/>
                <w:szCs w:val="21"/>
                <w:highlight w:val="none"/>
                <w:lang w:val="en-US" w:eastAsia="zh-CN"/>
              </w:rPr>
            </w:pPr>
          </w:p>
        </w:tc>
        <w:tc>
          <w:tcPr>
            <w:tcW w:w="393" w:type="pct"/>
            <w:vMerge w:val="continue"/>
            <w:tcBorders>
              <w:tl2br w:val="nil"/>
              <w:tr2bl w:val="nil"/>
            </w:tcBorders>
            <w:shd w:val="clear" w:color="auto" w:fill="DAE3F3" w:themeFill="accent5" w:themeFillTint="32"/>
            <w:noWrap w:val="0"/>
            <w:vAlign w:val="center"/>
          </w:tcPr>
          <w:p w14:paraId="65641A9D">
            <w:pPr>
              <w:spacing w:line="240" w:lineRule="auto"/>
              <w:ind w:firstLine="0" w:firstLineChars="0"/>
              <w:jc w:val="center"/>
              <w:rPr>
                <w:rFonts w:hint="eastAsia" w:ascii="仿宋" w:hAnsi="仿宋" w:eastAsia="仿宋" w:cs="仿宋"/>
                <w:b/>
                <w:bCs/>
                <w:sz w:val="21"/>
                <w:szCs w:val="21"/>
                <w:highlight w:val="none"/>
                <w:lang w:val="en-US" w:eastAsia="zh-CN"/>
              </w:rPr>
            </w:pPr>
          </w:p>
        </w:tc>
        <w:tc>
          <w:tcPr>
            <w:tcW w:w="395" w:type="pct"/>
            <w:vMerge w:val="continue"/>
            <w:tcBorders>
              <w:tl2br w:val="nil"/>
              <w:tr2bl w:val="nil"/>
            </w:tcBorders>
            <w:shd w:val="clear" w:color="auto" w:fill="DAE3F3" w:themeFill="accent5" w:themeFillTint="32"/>
            <w:noWrap w:val="0"/>
            <w:vAlign w:val="center"/>
          </w:tcPr>
          <w:p w14:paraId="5D1AFA43">
            <w:pPr>
              <w:spacing w:line="240" w:lineRule="auto"/>
              <w:ind w:firstLine="0" w:firstLineChars="0"/>
              <w:jc w:val="center"/>
              <w:rPr>
                <w:rFonts w:hint="eastAsia" w:ascii="仿宋" w:hAnsi="仿宋" w:eastAsia="仿宋" w:cs="仿宋"/>
                <w:b/>
                <w:bCs/>
                <w:sz w:val="21"/>
                <w:szCs w:val="21"/>
                <w:highlight w:val="none"/>
                <w:lang w:val="en-US" w:eastAsia="zh-CN"/>
              </w:rPr>
            </w:pPr>
          </w:p>
        </w:tc>
      </w:tr>
      <w:tr w14:paraId="1F87BE6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57E6CA43">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413" w:type="pct"/>
            <w:tcBorders>
              <w:tl2br w:val="nil"/>
              <w:tr2bl w:val="nil"/>
            </w:tcBorders>
            <w:noWrap w:val="0"/>
            <w:vAlign w:val="center"/>
          </w:tcPr>
          <w:p w14:paraId="4B2C8B30">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7619C661">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0ED84AFC">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3C27422D">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579CE12C">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5A925338">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4FA20D28">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38221A6A">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4839EDDB">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6CA03E37">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30D6BCE6">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1FB57DC5">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初始值</w:t>
            </w:r>
          </w:p>
        </w:tc>
      </w:tr>
      <w:tr w14:paraId="2F9983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3B0B320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413" w:type="pct"/>
            <w:tcBorders>
              <w:tl2br w:val="nil"/>
              <w:tr2bl w:val="nil"/>
            </w:tcBorders>
            <w:noWrap w:val="0"/>
            <w:vAlign w:val="center"/>
          </w:tcPr>
          <w:p w14:paraId="20F899D5">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04E86281">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00883C15">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703760B8">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76CFD4C1">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1DBF52E6">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44A67814">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3A0A4D26">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21EFAF85">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11A58A75">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69023DA6">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2E3981AB">
            <w:pPr>
              <w:spacing w:line="240" w:lineRule="auto"/>
              <w:ind w:firstLine="0" w:firstLineChars="0"/>
              <w:jc w:val="center"/>
              <w:rPr>
                <w:rFonts w:hint="eastAsia" w:ascii="仿宋" w:hAnsi="仿宋" w:eastAsia="仿宋" w:cs="仿宋"/>
                <w:sz w:val="21"/>
                <w:szCs w:val="21"/>
                <w:highlight w:val="none"/>
              </w:rPr>
            </w:pPr>
          </w:p>
        </w:tc>
      </w:tr>
      <w:tr w14:paraId="1C7F727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3F246E2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w:t>
            </w:r>
          </w:p>
        </w:tc>
        <w:tc>
          <w:tcPr>
            <w:tcW w:w="413" w:type="pct"/>
            <w:tcBorders>
              <w:tl2br w:val="nil"/>
              <w:tr2bl w:val="nil"/>
            </w:tcBorders>
            <w:noWrap w:val="0"/>
            <w:vAlign w:val="center"/>
          </w:tcPr>
          <w:p w14:paraId="390F4D55">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4E1BA232">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458E8D3D">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10011838">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2E778F61">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49D960BF">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3ED01AFA">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5464505B">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3F66D4EC">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0FAC0EB2">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49A97F0B">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244320C1">
            <w:pPr>
              <w:spacing w:line="240" w:lineRule="auto"/>
              <w:ind w:firstLine="0" w:firstLineChars="0"/>
              <w:jc w:val="center"/>
              <w:rPr>
                <w:rFonts w:hint="eastAsia" w:ascii="仿宋" w:hAnsi="仿宋" w:eastAsia="仿宋" w:cs="仿宋"/>
                <w:sz w:val="21"/>
                <w:szCs w:val="21"/>
                <w:highlight w:val="none"/>
              </w:rPr>
            </w:pPr>
          </w:p>
        </w:tc>
      </w:tr>
    </w:tbl>
    <w:p w14:paraId="4434CAA0">
      <w:pPr>
        <w:rPr>
          <w:rFonts w:hint="default"/>
          <w:highlight w:val="none"/>
          <w:lang w:val="en-US" w:eastAsia="zh-CN"/>
        </w:rPr>
      </w:pPr>
    </w:p>
    <w:p w14:paraId="7C3FC8D7">
      <w:pPr>
        <w:pStyle w:val="12"/>
        <w:jc w:val="both"/>
        <w:rPr>
          <w:highlight w:val="none"/>
        </w:rPr>
      </w:pPr>
    </w:p>
    <w:p w14:paraId="7240E4B1">
      <w:pPr>
        <w:rPr>
          <w:rFonts w:ascii="黑体" w:hAnsi="黑体" w:eastAsia="黑体" w:cs="黑体"/>
          <w:color w:val="808080" w:themeColor="background1" w:themeShade="80"/>
          <w:highlight w:val="none"/>
        </w:rPr>
      </w:pPr>
      <w:r>
        <w:rPr>
          <w:rFonts w:hint="eastAsia" w:ascii="黑体" w:hAnsi="黑体" w:eastAsia="黑体" w:cs="黑体"/>
          <w:color w:val="808080" w:themeColor="background1" w:themeShade="80"/>
          <w:highlight w:val="none"/>
        </w:rPr>
        <w:br w:type="page"/>
      </w:r>
    </w:p>
    <w:p w14:paraId="4CA4D711">
      <w:pPr>
        <w:pStyle w:val="2"/>
        <w:bidi w:val="0"/>
        <w:ind w:left="432" w:leftChars="0" w:hanging="432" w:firstLineChars="0"/>
      </w:pPr>
      <w:bookmarkStart w:id="303" w:name="_Toc23087"/>
      <w:bookmarkStart w:id="304" w:name="_Toc7034"/>
      <w:bookmarkStart w:id="305" w:name="_Toc26404"/>
      <w:bookmarkStart w:id="306" w:name="_Toc9163"/>
      <w:bookmarkStart w:id="307" w:name="_Toc10409836"/>
      <w:r>
        <w:t>施工管理及作业人员配备和分工</w:t>
      </w:r>
      <w:bookmarkEnd w:id="303"/>
      <w:bookmarkEnd w:id="304"/>
      <w:bookmarkEnd w:id="305"/>
      <w:bookmarkEnd w:id="306"/>
    </w:p>
    <w:p w14:paraId="28827606">
      <w:pPr>
        <w:pStyle w:val="3"/>
        <w:bidi w:val="0"/>
        <w:ind w:left="575" w:leftChars="0" w:hanging="575" w:firstLineChars="0"/>
        <w:rPr>
          <w:highlight w:val="none"/>
        </w:rPr>
      </w:pPr>
      <w:bookmarkStart w:id="308" w:name="_Toc24986"/>
      <w:bookmarkStart w:id="309" w:name="_Toc21237"/>
      <w:bookmarkStart w:id="310" w:name="_Toc31316"/>
      <w:bookmarkStart w:id="311" w:name="_Toc28100"/>
      <w:bookmarkStart w:id="312" w:name="_Toc10409814"/>
      <w:r>
        <w:rPr>
          <w:rFonts w:hint="eastAsia"/>
          <w:highlight w:val="none"/>
        </w:rPr>
        <w:t>施工</w:t>
      </w:r>
      <w:r>
        <w:rPr>
          <w:rFonts w:hint="eastAsia" w:ascii="宋体" w:hAnsi="宋体" w:eastAsia="宋体" w:cs="Times New Roman"/>
        </w:rPr>
        <w:t>组织</w:t>
      </w:r>
      <w:r>
        <w:rPr>
          <w:rFonts w:hint="eastAsia"/>
          <w:highlight w:val="none"/>
        </w:rPr>
        <w:t>机构</w:t>
      </w:r>
      <w:bookmarkEnd w:id="308"/>
      <w:bookmarkEnd w:id="309"/>
      <w:bookmarkEnd w:id="310"/>
      <w:bookmarkEnd w:id="311"/>
      <w:bookmarkEnd w:id="312"/>
    </w:p>
    <w:p w14:paraId="21BB1141">
      <w:pPr>
        <w:pStyle w:val="66"/>
        <w:spacing w:before="156"/>
        <w:ind w:left="0" w:leftChars="0" w:firstLine="0" w:firstLineChars="0"/>
        <w:jc w:val="both"/>
        <w:rPr>
          <w:highlight w:val="none"/>
        </w:rPr>
      </w:pPr>
      <w:r>
        <w:rPr>
          <w:highlight w:val="none"/>
        </w:rPr>
        <w:drawing>
          <wp:inline distT="0" distB="0" distL="0" distR="0">
            <wp:extent cx="5168900" cy="2413635"/>
            <wp:effectExtent l="0" t="0" r="0" b="12065"/>
            <wp:docPr id="22" name="图片 1124"/>
            <wp:cNvGraphicFramePr/>
            <a:graphic xmlns:a="http://schemas.openxmlformats.org/drawingml/2006/main">
              <a:graphicData uri="http://schemas.openxmlformats.org/drawingml/2006/picture">
                <pic:pic xmlns:pic="http://schemas.openxmlformats.org/drawingml/2006/picture">
                  <pic:nvPicPr>
                    <pic:cNvPr id="22" name="图片 1124"/>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168900" cy="2413635"/>
                    </a:xfrm>
                    <a:prstGeom prst="rect">
                      <a:avLst/>
                    </a:prstGeom>
                    <a:noFill/>
                    <a:ln>
                      <a:noFill/>
                    </a:ln>
                  </pic:spPr>
                </pic:pic>
              </a:graphicData>
            </a:graphic>
          </wp:inline>
        </w:drawing>
      </w:r>
    </w:p>
    <w:p w14:paraId="2C97CF18">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图7-1 施工组织机构图</w:t>
      </w:r>
    </w:p>
    <w:p w14:paraId="6BB81D77">
      <w:pPr>
        <w:pStyle w:val="3"/>
        <w:bidi w:val="0"/>
        <w:ind w:left="575" w:leftChars="0" w:hanging="575" w:firstLineChars="0"/>
        <w:rPr>
          <w:highlight w:val="none"/>
        </w:rPr>
      </w:pPr>
      <w:bookmarkStart w:id="313" w:name="_Toc11450"/>
      <w:bookmarkStart w:id="314" w:name="_Toc21435"/>
      <w:bookmarkStart w:id="315" w:name="_Toc5699"/>
      <w:bookmarkStart w:id="316" w:name="_Toc521"/>
      <w:bookmarkStart w:id="317" w:name="_Toc10409815"/>
      <w:r>
        <w:rPr>
          <w:rFonts w:hint="eastAsia"/>
          <w:highlight w:val="none"/>
        </w:rPr>
        <w:t>人员</w:t>
      </w:r>
      <w:r>
        <w:rPr>
          <w:rFonts w:hint="eastAsia" w:ascii="宋体" w:hAnsi="宋体" w:eastAsia="宋体" w:cs="Times New Roman"/>
        </w:rPr>
        <w:t>配置</w:t>
      </w:r>
      <w:bookmarkEnd w:id="313"/>
      <w:bookmarkEnd w:id="314"/>
      <w:bookmarkEnd w:id="315"/>
    </w:p>
    <w:bookmarkEnd w:id="316"/>
    <w:bookmarkEnd w:id="317"/>
    <w:p w14:paraId="259AC385">
      <w:pPr>
        <w:bidi w:val="0"/>
        <w:ind w:firstLine="480" w:firstLineChars="200"/>
        <w:rPr>
          <w:rFonts w:hint="default"/>
          <w:highlight w:val="none"/>
          <w:lang w:val="en-US"/>
        </w:rPr>
      </w:pPr>
      <w:r>
        <w:rPr>
          <w:rFonts w:hint="eastAsia"/>
          <w:highlight w:val="none"/>
          <w:lang w:val="en-US" w:eastAsia="zh-CN"/>
        </w:rPr>
        <w:t>1、塔机安拆现场施工管理人员配置如下表所示。</w:t>
      </w:r>
    </w:p>
    <w:p w14:paraId="260B51B8">
      <w:pPr>
        <w:pStyle w:val="15"/>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表7-</w:t>
      </w:r>
      <w:r>
        <w:rPr>
          <w:rFonts w:hint="eastAsia"/>
          <w:highlight w:val="none"/>
          <w:lang w:val="en-US" w:eastAsia="zh-CN"/>
        </w:rPr>
        <w:fldChar w:fldCharType="begin"/>
      </w:r>
      <w:r>
        <w:rPr>
          <w:rFonts w:hint="eastAsia"/>
          <w:highlight w:val="none"/>
          <w:lang w:val="en-US" w:eastAsia="zh-CN"/>
        </w:rPr>
        <w:instrText xml:space="preserve"> SEQ 表5- \* ARABIC </w:instrText>
      </w:r>
      <w:r>
        <w:rPr>
          <w:rFonts w:hint="eastAsia"/>
          <w:highlight w:val="none"/>
          <w:lang w:val="en-US" w:eastAsia="zh-CN"/>
        </w:rPr>
        <w:fldChar w:fldCharType="separate"/>
      </w:r>
      <w:r>
        <w:rPr>
          <w:rFonts w:hint="eastAsia"/>
          <w:highlight w:val="none"/>
          <w:lang w:val="en-US" w:eastAsia="zh-CN"/>
        </w:rPr>
        <w:t>1</w:t>
      </w:r>
      <w:r>
        <w:rPr>
          <w:rFonts w:hint="eastAsia"/>
          <w:highlight w:val="none"/>
          <w:lang w:val="en-US" w:eastAsia="zh-CN"/>
        </w:rPr>
        <w:fldChar w:fldCharType="end"/>
      </w:r>
      <w:r>
        <w:rPr>
          <w:rFonts w:hint="eastAsia"/>
          <w:highlight w:val="none"/>
          <w:lang w:val="en-US" w:eastAsia="zh-CN"/>
        </w:rPr>
        <w:t>塔机安拆施工管理人员配置计划表</w:t>
      </w:r>
    </w:p>
    <w:tbl>
      <w:tblPr>
        <w:tblStyle w:val="30"/>
        <w:tblW w:w="8554"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009"/>
        <w:gridCol w:w="1365"/>
        <w:gridCol w:w="2268"/>
        <w:gridCol w:w="3912"/>
      </w:tblGrid>
      <w:tr w14:paraId="361C805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tblHeader/>
          <w:jc w:val="center"/>
        </w:trPr>
        <w:tc>
          <w:tcPr>
            <w:tcW w:w="1009" w:type="dxa"/>
            <w:tcBorders>
              <w:tl2br w:val="nil"/>
              <w:tr2bl w:val="nil"/>
            </w:tcBorders>
            <w:shd w:val="clear" w:color="auto" w:fill="DAE3F3" w:themeFill="accent5" w:themeFillTint="32"/>
            <w:vAlign w:val="center"/>
          </w:tcPr>
          <w:p w14:paraId="151F9607">
            <w:pPr>
              <w:pStyle w:val="105"/>
              <w:bidi w:val="0"/>
              <w:rPr>
                <w:rFonts w:hint="eastAsia"/>
                <w:highlight w:val="none"/>
              </w:rPr>
            </w:pPr>
            <w:r>
              <w:rPr>
                <w:rFonts w:hint="eastAsia"/>
                <w:highlight w:val="none"/>
              </w:rPr>
              <w:t>序号</w:t>
            </w:r>
          </w:p>
        </w:tc>
        <w:tc>
          <w:tcPr>
            <w:tcW w:w="1365" w:type="dxa"/>
            <w:tcBorders>
              <w:tl2br w:val="nil"/>
              <w:tr2bl w:val="nil"/>
            </w:tcBorders>
            <w:shd w:val="clear" w:color="auto" w:fill="DAE3F3" w:themeFill="accent5" w:themeFillTint="32"/>
            <w:vAlign w:val="center"/>
          </w:tcPr>
          <w:p w14:paraId="768CAB0A">
            <w:pPr>
              <w:pStyle w:val="105"/>
              <w:bidi w:val="0"/>
              <w:rPr>
                <w:rFonts w:hint="eastAsia"/>
                <w:highlight w:val="none"/>
                <w:lang w:val="en-US" w:eastAsia="zh-CN"/>
              </w:rPr>
            </w:pPr>
            <w:r>
              <w:rPr>
                <w:rFonts w:hint="eastAsia"/>
                <w:highlight w:val="none"/>
                <w:lang w:val="en-US" w:eastAsia="zh-CN"/>
              </w:rPr>
              <w:t>岗位名称</w:t>
            </w:r>
          </w:p>
        </w:tc>
        <w:tc>
          <w:tcPr>
            <w:tcW w:w="2268" w:type="dxa"/>
            <w:tcBorders>
              <w:tl2br w:val="nil"/>
              <w:tr2bl w:val="nil"/>
            </w:tcBorders>
            <w:shd w:val="clear" w:color="auto" w:fill="DAE3F3" w:themeFill="accent5" w:themeFillTint="32"/>
            <w:vAlign w:val="center"/>
          </w:tcPr>
          <w:p w14:paraId="67256022">
            <w:pPr>
              <w:pStyle w:val="105"/>
              <w:bidi w:val="0"/>
              <w:rPr>
                <w:rFonts w:hint="eastAsia"/>
                <w:highlight w:val="none"/>
                <w:lang w:eastAsia="zh-CN"/>
              </w:rPr>
            </w:pPr>
            <w:r>
              <w:rPr>
                <w:rFonts w:hint="eastAsia"/>
                <w:highlight w:val="none"/>
              </w:rPr>
              <w:t>数量</w:t>
            </w:r>
          </w:p>
        </w:tc>
        <w:tc>
          <w:tcPr>
            <w:tcW w:w="3912" w:type="dxa"/>
            <w:tcBorders>
              <w:tl2br w:val="nil"/>
              <w:tr2bl w:val="nil"/>
            </w:tcBorders>
            <w:shd w:val="clear" w:color="auto" w:fill="DAE3F3" w:themeFill="accent5" w:themeFillTint="32"/>
            <w:vAlign w:val="center"/>
          </w:tcPr>
          <w:p w14:paraId="529EF4C4">
            <w:pPr>
              <w:pStyle w:val="105"/>
              <w:bidi w:val="0"/>
              <w:rPr>
                <w:rFonts w:hint="eastAsia"/>
                <w:highlight w:val="none"/>
              </w:rPr>
            </w:pPr>
            <w:r>
              <w:rPr>
                <w:rFonts w:hint="eastAsia"/>
                <w:highlight w:val="none"/>
              </w:rPr>
              <w:t>职责</w:t>
            </w:r>
          </w:p>
        </w:tc>
      </w:tr>
      <w:tr w14:paraId="28610DE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B5D4998">
            <w:pPr>
              <w:pStyle w:val="105"/>
              <w:bidi w:val="0"/>
              <w:rPr>
                <w:rFonts w:hint="eastAsia"/>
                <w:highlight w:val="none"/>
              </w:rPr>
            </w:pPr>
            <w:r>
              <w:rPr>
                <w:rFonts w:hint="eastAsia"/>
                <w:highlight w:val="none"/>
              </w:rPr>
              <w:t>1</w:t>
            </w:r>
          </w:p>
        </w:tc>
        <w:tc>
          <w:tcPr>
            <w:tcW w:w="1365" w:type="dxa"/>
            <w:tcBorders>
              <w:tl2br w:val="nil"/>
              <w:tr2bl w:val="nil"/>
            </w:tcBorders>
            <w:vAlign w:val="center"/>
          </w:tcPr>
          <w:p w14:paraId="684DBB7B">
            <w:pPr>
              <w:pStyle w:val="105"/>
              <w:bidi w:val="0"/>
              <w:rPr>
                <w:rFonts w:hint="default"/>
                <w:highlight w:val="none"/>
                <w:lang w:val="en-US"/>
              </w:rPr>
            </w:pPr>
            <w:r>
              <w:rPr>
                <w:rFonts w:hint="eastAsia"/>
                <w:highlight w:val="none"/>
                <w:lang w:val="en-US" w:eastAsia="zh-CN"/>
              </w:rPr>
              <w:t>项目经理</w:t>
            </w:r>
          </w:p>
        </w:tc>
        <w:tc>
          <w:tcPr>
            <w:tcW w:w="2268" w:type="dxa"/>
            <w:tcBorders>
              <w:tl2br w:val="nil"/>
              <w:tr2bl w:val="nil"/>
            </w:tcBorders>
            <w:vAlign w:val="center"/>
          </w:tcPr>
          <w:p w14:paraId="77F0C975">
            <w:pPr>
              <w:pStyle w:val="105"/>
              <w:bidi w:val="0"/>
              <w:rPr>
                <w:rFonts w:hint="eastAsia"/>
                <w:highlight w:val="none"/>
                <w:lang w:val="en-US" w:eastAsia="zh-CN"/>
              </w:rPr>
            </w:pPr>
            <w:r>
              <w:rPr>
                <w:rFonts w:hint="eastAsia"/>
                <w:highlight w:val="none"/>
              </w:rPr>
              <w:t>1</w:t>
            </w:r>
            <w:r>
              <w:rPr>
                <w:rFonts w:hint="eastAsia"/>
                <w:highlight w:val="none"/>
                <w:lang w:val="en-US" w:eastAsia="zh-CN"/>
              </w:rPr>
              <w:t>人</w:t>
            </w:r>
          </w:p>
        </w:tc>
        <w:tc>
          <w:tcPr>
            <w:tcW w:w="3912" w:type="dxa"/>
            <w:tcBorders>
              <w:tl2br w:val="nil"/>
              <w:tr2bl w:val="nil"/>
            </w:tcBorders>
            <w:vAlign w:val="center"/>
          </w:tcPr>
          <w:p w14:paraId="4FDC41BE">
            <w:pPr>
              <w:pStyle w:val="105"/>
              <w:bidi w:val="0"/>
              <w:rPr>
                <w:rFonts w:hint="eastAsia"/>
                <w:highlight w:val="none"/>
              </w:rPr>
            </w:pPr>
            <w:r>
              <w:rPr>
                <w:rFonts w:hint="eastAsia"/>
                <w:highlight w:val="none"/>
              </w:rPr>
              <w:t>负责现场全面管理</w:t>
            </w:r>
          </w:p>
        </w:tc>
      </w:tr>
      <w:tr w14:paraId="21D49F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4520621">
            <w:pPr>
              <w:pStyle w:val="105"/>
              <w:bidi w:val="0"/>
              <w:rPr>
                <w:rFonts w:hint="eastAsia"/>
                <w:highlight w:val="none"/>
              </w:rPr>
            </w:pPr>
            <w:r>
              <w:rPr>
                <w:rFonts w:hint="eastAsia"/>
                <w:highlight w:val="none"/>
              </w:rPr>
              <w:t>2</w:t>
            </w:r>
          </w:p>
        </w:tc>
        <w:tc>
          <w:tcPr>
            <w:tcW w:w="1365" w:type="dxa"/>
            <w:tcBorders>
              <w:tl2br w:val="nil"/>
              <w:tr2bl w:val="nil"/>
            </w:tcBorders>
            <w:vAlign w:val="center"/>
          </w:tcPr>
          <w:p w14:paraId="41B60EE3">
            <w:pPr>
              <w:pStyle w:val="105"/>
              <w:bidi w:val="0"/>
              <w:rPr>
                <w:rFonts w:hint="eastAsia"/>
                <w:highlight w:val="none"/>
                <w:lang w:eastAsia="zh-CN"/>
              </w:rPr>
            </w:pPr>
            <w:r>
              <w:rPr>
                <w:rFonts w:hint="eastAsia"/>
                <w:highlight w:val="none"/>
                <w:lang w:val="en-US" w:eastAsia="zh-CN"/>
              </w:rPr>
              <w:t>项目总工</w:t>
            </w:r>
          </w:p>
        </w:tc>
        <w:tc>
          <w:tcPr>
            <w:tcW w:w="2268" w:type="dxa"/>
            <w:tcBorders>
              <w:tl2br w:val="nil"/>
              <w:tr2bl w:val="nil"/>
            </w:tcBorders>
            <w:vAlign w:val="center"/>
          </w:tcPr>
          <w:p w14:paraId="5AB6A9C0">
            <w:pPr>
              <w:pStyle w:val="105"/>
              <w:bidi w:val="0"/>
              <w:rPr>
                <w:rFonts w:hint="eastAsia"/>
                <w:highlight w:val="none"/>
                <w:lang w:val="en-US" w:eastAsia="zh-CN"/>
              </w:rPr>
            </w:pPr>
            <w:r>
              <w:rPr>
                <w:rFonts w:hint="eastAsia"/>
                <w:highlight w:val="none"/>
              </w:rPr>
              <w:t>1</w:t>
            </w:r>
            <w:r>
              <w:rPr>
                <w:rFonts w:hint="eastAsia"/>
                <w:highlight w:val="none"/>
                <w:lang w:val="en-US" w:eastAsia="zh-CN"/>
              </w:rPr>
              <w:t>人</w:t>
            </w:r>
          </w:p>
        </w:tc>
        <w:tc>
          <w:tcPr>
            <w:tcW w:w="3912" w:type="dxa"/>
            <w:tcBorders>
              <w:tl2br w:val="nil"/>
              <w:tr2bl w:val="nil"/>
            </w:tcBorders>
            <w:vAlign w:val="center"/>
          </w:tcPr>
          <w:p w14:paraId="5AD851B8">
            <w:pPr>
              <w:pStyle w:val="105"/>
              <w:bidi w:val="0"/>
              <w:rPr>
                <w:rFonts w:hint="eastAsia"/>
                <w:highlight w:val="none"/>
              </w:rPr>
            </w:pPr>
            <w:r>
              <w:rPr>
                <w:rFonts w:hint="eastAsia"/>
                <w:highlight w:val="none"/>
              </w:rPr>
              <w:t>负责现场全面技术管理</w:t>
            </w:r>
          </w:p>
        </w:tc>
      </w:tr>
      <w:tr w14:paraId="5B8BC53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D4BDA99">
            <w:pPr>
              <w:pStyle w:val="105"/>
              <w:bidi w:val="0"/>
              <w:rPr>
                <w:rFonts w:hint="eastAsia"/>
                <w:highlight w:val="none"/>
              </w:rPr>
            </w:pPr>
            <w:r>
              <w:rPr>
                <w:rFonts w:hint="eastAsia"/>
                <w:highlight w:val="none"/>
              </w:rPr>
              <w:t>3</w:t>
            </w:r>
          </w:p>
        </w:tc>
        <w:tc>
          <w:tcPr>
            <w:tcW w:w="1365" w:type="dxa"/>
            <w:tcBorders>
              <w:tl2br w:val="nil"/>
              <w:tr2bl w:val="nil"/>
            </w:tcBorders>
            <w:vAlign w:val="center"/>
          </w:tcPr>
          <w:p w14:paraId="7E7F8FD5">
            <w:pPr>
              <w:pStyle w:val="105"/>
              <w:bidi w:val="0"/>
              <w:rPr>
                <w:rFonts w:hint="eastAsia"/>
                <w:highlight w:val="none"/>
                <w:lang w:val="en-US" w:eastAsia="zh-CN"/>
              </w:rPr>
            </w:pPr>
            <w:r>
              <w:rPr>
                <w:rFonts w:hint="eastAsia"/>
                <w:highlight w:val="none"/>
                <w:lang w:val="en-US" w:eastAsia="zh-CN"/>
              </w:rPr>
              <w:t>项目副经理</w:t>
            </w:r>
          </w:p>
        </w:tc>
        <w:tc>
          <w:tcPr>
            <w:tcW w:w="2268" w:type="dxa"/>
            <w:tcBorders>
              <w:tl2br w:val="nil"/>
              <w:tr2bl w:val="nil"/>
            </w:tcBorders>
            <w:vAlign w:val="center"/>
          </w:tcPr>
          <w:p w14:paraId="62BEA79B">
            <w:pPr>
              <w:pStyle w:val="105"/>
              <w:bidi w:val="0"/>
              <w:rPr>
                <w:rFonts w:hint="default"/>
                <w:highlight w:val="none"/>
                <w:lang w:val="en-US" w:eastAsia="zh-CN"/>
              </w:rPr>
            </w:pPr>
            <w:r>
              <w:rPr>
                <w:rFonts w:hint="eastAsia"/>
                <w:highlight w:val="none"/>
                <w:lang w:val="en-US" w:eastAsia="zh-CN"/>
              </w:rPr>
              <w:t>每分部1人</w:t>
            </w:r>
          </w:p>
        </w:tc>
        <w:tc>
          <w:tcPr>
            <w:tcW w:w="3912" w:type="dxa"/>
            <w:tcBorders>
              <w:tl2br w:val="nil"/>
              <w:tr2bl w:val="nil"/>
            </w:tcBorders>
            <w:vAlign w:val="center"/>
          </w:tcPr>
          <w:p w14:paraId="0609084B">
            <w:pPr>
              <w:pStyle w:val="105"/>
              <w:bidi w:val="0"/>
              <w:rPr>
                <w:rFonts w:hint="eastAsia"/>
                <w:highlight w:val="none"/>
                <w:lang w:val="en-US" w:eastAsia="zh-CN"/>
              </w:rPr>
            </w:pPr>
            <w:r>
              <w:rPr>
                <w:rFonts w:hint="eastAsia"/>
                <w:highlight w:val="none"/>
                <w:lang w:val="en-US" w:eastAsia="zh-CN"/>
              </w:rPr>
              <w:t>负责现场进度、质量、安全及资源组织</w:t>
            </w:r>
          </w:p>
        </w:tc>
      </w:tr>
      <w:tr w14:paraId="4CA8A4B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4F39A6B">
            <w:pPr>
              <w:pStyle w:val="105"/>
              <w:bidi w:val="0"/>
              <w:rPr>
                <w:rFonts w:hint="eastAsia"/>
                <w:highlight w:val="none"/>
                <w:lang w:val="en-US" w:eastAsia="zh-CN"/>
              </w:rPr>
            </w:pPr>
            <w:r>
              <w:rPr>
                <w:rFonts w:hint="eastAsia"/>
                <w:highlight w:val="none"/>
              </w:rPr>
              <w:t>4</w:t>
            </w:r>
          </w:p>
        </w:tc>
        <w:tc>
          <w:tcPr>
            <w:tcW w:w="1365" w:type="dxa"/>
            <w:tcBorders>
              <w:tl2br w:val="nil"/>
              <w:tr2bl w:val="nil"/>
            </w:tcBorders>
            <w:vAlign w:val="center"/>
          </w:tcPr>
          <w:p w14:paraId="09BCCE93">
            <w:pPr>
              <w:pStyle w:val="105"/>
              <w:bidi w:val="0"/>
              <w:rPr>
                <w:rFonts w:hint="eastAsia"/>
                <w:highlight w:val="none"/>
                <w:lang w:val="en-US" w:eastAsia="zh-CN"/>
              </w:rPr>
            </w:pPr>
            <w:r>
              <w:rPr>
                <w:rFonts w:hint="eastAsia"/>
                <w:highlight w:val="none"/>
                <w:lang w:val="en-US" w:eastAsia="zh-CN"/>
              </w:rPr>
              <w:t>技术主管</w:t>
            </w:r>
          </w:p>
        </w:tc>
        <w:tc>
          <w:tcPr>
            <w:tcW w:w="2268" w:type="dxa"/>
            <w:tcBorders>
              <w:tl2br w:val="nil"/>
              <w:tr2bl w:val="nil"/>
            </w:tcBorders>
            <w:vAlign w:val="center"/>
          </w:tcPr>
          <w:p w14:paraId="5690C992">
            <w:pPr>
              <w:pStyle w:val="105"/>
              <w:bidi w:val="0"/>
              <w:rPr>
                <w:rFonts w:hint="default"/>
                <w:highlight w:val="none"/>
                <w:lang w:val="en-US" w:eastAsia="zh-CN"/>
              </w:rPr>
            </w:pPr>
            <w:r>
              <w:rPr>
                <w:rFonts w:hint="eastAsia"/>
                <w:highlight w:val="none"/>
                <w:lang w:val="en-US" w:eastAsia="zh-CN"/>
              </w:rPr>
              <w:t>每分部1人</w:t>
            </w:r>
          </w:p>
        </w:tc>
        <w:tc>
          <w:tcPr>
            <w:tcW w:w="3912" w:type="dxa"/>
            <w:tcBorders>
              <w:tl2br w:val="nil"/>
              <w:tr2bl w:val="nil"/>
            </w:tcBorders>
            <w:vAlign w:val="center"/>
          </w:tcPr>
          <w:p w14:paraId="7356C318">
            <w:pPr>
              <w:pStyle w:val="105"/>
              <w:bidi w:val="0"/>
              <w:rPr>
                <w:rFonts w:hint="eastAsia"/>
                <w:highlight w:val="none"/>
                <w:lang w:val="en-US" w:eastAsia="zh-CN"/>
              </w:rPr>
            </w:pPr>
            <w:r>
              <w:rPr>
                <w:rFonts w:hint="eastAsia"/>
                <w:highlight w:val="none"/>
                <w:lang w:val="en-US" w:eastAsia="zh-CN"/>
              </w:rPr>
              <w:t>协助项目总工开展现场技术管理工作</w:t>
            </w:r>
          </w:p>
        </w:tc>
      </w:tr>
      <w:tr w14:paraId="7DB54E3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ED408BA">
            <w:pPr>
              <w:pStyle w:val="105"/>
              <w:bidi w:val="0"/>
              <w:rPr>
                <w:rFonts w:hint="eastAsia"/>
                <w:highlight w:val="none"/>
                <w:lang w:val="en-US" w:eastAsia="zh-CN"/>
              </w:rPr>
            </w:pPr>
            <w:r>
              <w:rPr>
                <w:rFonts w:hint="eastAsia"/>
                <w:highlight w:val="none"/>
              </w:rPr>
              <w:t>5</w:t>
            </w:r>
          </w:p>
        </w:tc>
        <w:tc>
          <w:tcPr>
            <w:tcW w:w="1365" w:type="dxa"/>
            <w:tcBorders>
              <w:tl2br w:val="nil"/>
              <w:tr2bl w:val="nil"/>
            </w:tcBorders>
            <w:vAlign w:val="center"/>
          </w:tcPr>
          <w:p w14:paraId="5744812F">
            <w:pPr>
              <w:pStyle w:val="105"/>
              <w:bidi w:val="0"/>
              <w:rPr>
                <w:rFonts w:hint="eastAsia"/>
                <w:highlight w:val="none"/>
              </w:rPr>
            </w:pPr>
            <w:r>
              <w:rPr>
                <w:rFonts w:hint="eastAsia"/>
                <w:highlight w:val="none"/>
              </w:rPr>
              <w:t>技术员</w:t>
            </w:r>
          </w:p>
        </w:tc>
        <w:tc>
          <w:tcPr>
            <w:tcW w:w="2268" w:type="dxa"/>
            <w:tcBorders>
              <w:tl2br w:val="nil"/>
              <w:tr2bl w:val="nil"/>
            </w:tcBorders>
            <w:vAlign w:val="center"/>
          </w:tcPr>
          <w:p w14:paraId="034DCE41">
            <w:pPr>
              <w:pStyle w:val="105"/>
              <w:bidi w:val="0"/>
              <w:rPr>
                <w:rFonts w:hint="default"/>
                <w:highlight w:val="none"/>
                <w:lang w:val="en-US" w:eastAsia="zh-CN"/>
              </w:rPr>
            </w:pPr>
            <w:r>
              <w:rPr>
                <w:rFonts w:hint="eastAsia"/>
                <w:highlight w:val="none"/>
                <w:lang w:val="en-US" w:eastAsia="zh-CN"/>
              </w:rPr>
              <w:t>每工点至少1人</w:t>
            </w:r>
          </w:p>
        </w:tc>
        <w:tc>
          <w:tcPr>
            <w:tcW w:w="3912" w:type="dxa"/>
            <w:tcBorders>
              <w:tl2br w:val="nil"/>
              <w:tr2bl w:val="nil"/>
            </w:tcBorders>
            <w:vAlign w:val="center"/>
          </w:tcPr>
          <w:p w14:paraId="6C783031">
            <w:pPr>
              <w:pStyle w:val="105"/>
              <w:bidi w:val="0"/>
              <w:rPr>
                <w:rFonts w:hint="eastAsia"/>
                <w:highlight w:val="none"/>
              </w:rPr>
            </w:pPr>
            <w:r>
              <w:rPr>
                <w:rFonts w:hint="eastAsia"/>
                <w:highlight w:val="none"/>
              </w:rPr>
              <w:t>负责各工点现场</w:t>
            </w:r>
            <w:r>
              <w:rPr>
                <w:rFonts w:hint="eastAsia"/>
                <w:highlight w:val="none"/>
                <w:lang w:val="en-US" w:eastAsia="zh-CN"/>
              </w:rPr>
              <w:t>进度、</w:t>
            </w:r>
            <w:r>
              <w:rPr>
                <w:rFonts w:hint="eastAsia"/>
                <w:highlight w:val="none"/>
              </w:rPr>
              <w:t>技术管理</w:t>
            </w:r>
          </w:p>
        </w:tc>
      </w:tr>
      <w:tr w14:paraId="7D78C8E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BDF7B74">
            <w:pPr>
              <w:pStyle w:val="105"/>
              <w:bidi w:val="0"/>
              <w:rPr>
                <w:rFonts w:hint="eastAsia"/>
                <w:highlight w:val="none"/>
                <w:lang w:val="en-US" w:eastAsia="zh-CN"/>
              </w:rPr>
            </w:pPr>
            <w:r>
              <w:rPr>
                <w:rFonts w:hint="eastAsia"/>
                <w:highlight w:val="none"/>
                <w:lang w:val="en-US" w:eastAsia="zh-CN"/>
              </w:rPr>
              <w:t>6</w:t>
            </w:r>
          </w:p>
        </w:tc>
        <w:tc>
          <w:tcPr>
            <w:tcW w:w="1365" w:type="dxa"/>
            <w:tcBorders>
              <w:tl2br w:val="nil"/>
              <w:tr2bl w:val="nil"/>
            </w:tcBorders>
            <w:vAlign w:val="center"/>
          </w:tcPr>
          <w:p w14:paraId="126AF122">
            <w:pPr>
              <w:pStyle w:val="105"/>
              <w:bidi w:val="0"/>
              <w:rPr>
                <w:rFonts w:hint="default"/>
                <w:highlight w:val="none"/>
                <w:lang w:val="en-US" w:eastAsia="zh-CN"/>
              </w:rPr>
            </w:pPr>
            <w:r>
              <w:rPr>
                <w:rFonts w:hint="eastAsia"/>
                <w:highlight w:val="none"/>
                <w:lang w:val="en-US" w:eastAsia="zh-CN"/>
              </w:rPr>
              <w:t>质检员</w:t>
            </w:r>
          </w:p>
        </w:tc>
        <w:tc>
          <w:tcPr>
            <w:tcW w:w="2268" w:type="dxa"/>
            <w:tcBorders>
              <w:tl2br w:val="nil"/>
              <w:tr2bl w:val="nil"/>
            </w:tcBorders>
            <w:vAlign w:val="center"/>
          </w:tcPr>
          <w:p w14:paraId="22A25A99">
            <w:pPr>
              <w:pStyle w:val="105"/>
              <w:bidi w:val="0"/>
              <w:rPr>
                <w:rFonts w:hint="default"/>
                <w:highlight w:val="none"/>
                <w:lang w:val="en-US" w:eastAsia="zh-CN"/>
              </w:rPr>
            </w:pPr>
            <w:r>
              <w:rPr>
                <w:rFonts w:hint="eastAsia"/>
                <w:highlight w:val="none"/>
                <w:lang w:val="en-US" w:eastAsia="zh-CN"/>
              </w:rPr>
              <w:t>1人</w:t>
            </w:r>
          </w:p>
        </w:tc>
        <w:tc>
          <w:tcPr>
            <w:tcW w:w="3912" w:type="dxa"/>
            <w:tcBorders>
              <w:tl2br w:val="nil"/>
              <w:tr2bl w:val="nil"/>
            </w:tcBorders>
            <w:vAlign w:val="center"/>
          </w:tcPr>
          <w:p w14:paraId="61809738">
            <w:pPr>
              <w:pStyle w:val="105"/>
              <w:bidi w:val="0"/>
              <w:rPr>
                <w:rFonts w:hint="default"/>
                <w:highlight w:val="none"/>
                <w:lang w:val="en-US" w:eastAsia="zh-CN"/>
              </w:rPr>
            </w:pPr>
            <w:r>
              <w:rPr>
                <w:rFonts w:hint="eastAsia"/>
                <w:highlight w:val="none"/>
                <w:lang w:val="en-US" w:eastAsia="zh-CN"/>
              </w:rPr>
              <w:t>负责现场质量专检</w:t>
            </w:r>
          </w:p>
        </w:tc>
      </w:tr>
      <w:tr w14:paraId="54F93D3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4194B574">
            <w:pPr>
              <w:pStyle w:val="105"/>
              <w:bidi w:val="0"/>
              <w:rPr>
                <w:rFonts w:hint="eastAsia"/>
                <w:highlight w:val="none"/>
                <w:lang w:val="en-US" w:eastAsia="zh-CN"/>
              </w:rPr>
            </w:pPr>
            <w:r>
              <w:rPr>
                <w:rFonts w:hint="eastAsia"/>
                <w:highlight w:val="none"/>
                <w:lang w:val="en-US" w:eastAsia="zh-CN"/>
              </w:rPr>
              <w:t>7</w:t>
            </w:r>
          </w:p>
        </w:tc>
        <w:tc>
          <w:tcPr>
            <w:tcW w:w="1365" w:type="dxa"/>
            <w:tcBorders>
              <w:tl2br w:val="nil"/>
              <w:tr2bl w:val="nil"/>
            </w:tcBorders>
            <w:vAlign w:val="center"/>
          </w:tcPr>
          <w:p w14:paraId="5B12EFB1">
            <w:pPr>
              <w:pStyle w:val="105"/>
              <w:bidi w:val="0"/>
              <w:rPr>
                <w:rFonts w:hint="default"/>
                <w:highlight w:val="none"/>
                <w:lang w:val="en-US" w:eastAsia="zh-CN"/>
              </w:rPr>
            </w:pPr>
            <w:r>
              <w:rPr>
                <w:rFonts w:hint="eastAsia"/>
                <w:highlight w:val="none"/>
                <w:lang w:val="en-US" w:eastAsia="zh-CN"/>
              </w:rPr>
              <w:t>测量员</w:t>
            </w:r>
          </w:p>
        </w:tc>
        <w:tc>
          <w:tcPr>
            <w:tcW w:w="2268" w:type="dxa"/>
            <w:tcBorders>
              <w:tl2br w:val="nil"/>
              <w:tr2bl w:val="nil"/>
            </w:tcBorders>
            <w:vAlign w:val="center"/>
          </w:tcPr>
          <w:p w14:paraId="0D892B6A">
            <w:pPr>
              <w:pStyle w:val="105"/>
              <w:bidi w:val="0"/>
              <w:rPr>
                <w:rFonts w:hint="default"/>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329EB224">
            <w:pPr>
              <w:pStyle w:val="105"/>
              <w:bidi w:val="0"/>
              <w:rPr>
                <w:rFonts w:hint="eastAsia"/>
                <w:highlight w:val="none"/>
                <w:lang w:val="en-US" w:eastAsia="zh-CN"/>
              </w:rPr>
            </w:pPr>
            <w:r>
              <w:rPr>
                <w:rFonts w:hint="eastAsia"/>
                <w:highlight w:val="none"/>
                <w:lang w:val="en-US" w:eastAsia="zh-CN"/>
              </w:rPr>
              <w:t>负责现场测量复核</w:t>
            </w:r>
          </w:p>
        </w:tc>
      </w:tr>
      <w:tr w14:paraId="378B980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D7C67E6">
            <w:pPr>
              <w:pStyle w:val="105"/>
              <w:bidi w:val="0"/>
              <w:rPr>
                <w:rFonts w:hint="eastAsia"/>
                <w:highlight w:val="none"/>
                <w:lang w:val="en-US" w:eastAsia="zh-CN"/>
              </w:rPr>
            </w:pPr>
            <w:r>
              <w:rPr>
                <w:rFonts w:hint="eastAsia"/>
                <w:highlight w:val="none"/>
                <w:lang w:val="en-US" w:eastAsia="zh-CN"/>
              </w:rPr>
              <w:t>8</w:t>
            </w:r>
          </w:p>
        </w:tc>
        <w:tc>
          <w:tcPr>
            <w:tcW w:w="1365" w:type="dxa"/>
            <w:tcBorders>
              <w:tl2br w:val="nil"/>
              <w:tr2bl w:val="nil"/>
            </w:tcBorders>
            <w:vAlign w:val="center"/>
          </w:tcPr>
          <w:p w14:paraId="65453AE3">
            <w:pPr>
              <w:pStyle w:val="105"/>
              <w:bidi w:val="0"/>
              <w:rPr>
                <w:rFonts w:hint="eastAsia"/>
                <w:highlight w:val="none"/>
                <w:lang w:val="en-US" w:eastAsia="zh-CN"/>
              </w:rPr>
            </w:pPr>
            <w:r>
              <w:rPr>
                <w:rFonts w:hint="eastAsia"/>
                <w:highlight w:val="none"/>
                <w:lang w:val="en-US" w:eastAsia="zh-CN"/>
              </w:rPr>
              <w:t>试验员</w:t>
            </w:r>
          </w:p>
        </w:tc>
        <w:tc>
          <w:tcPr>
            <w:tcW w:w="2268" w:type="dxa"/>
            <w:tcBorders>
              <w:tl2br w:val="nil"/>
              <w:tr2bl w:val="nil"/>
            </w:tcBorders>
            <w:vAlign w:val="center"/>
          </w:tcPr>
          <w:p w14:paraId="4D74DBB0">
            <w:pPr>
              <w:pStyle w:val="105"/>
              <w:bidi w:val="0"/>
              <w:rPr>
                <w:rFonts w:hint="default"/>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0655F0C3">
            <w:pPr>
              <w:pStyle w:val="105"/>
              <w:bidi w:val="0"/>
              <w:rPr>
                <w:rFonts w:hint="eastAsia"/>
                <w:highlight w:val="none"/>
                <w:lang w:val="en-US" w:eastAsia="zh-CN"/>
              </w:rPr>
            </w:pPr>
            <w:r>
              <w:rPr>
                <w:rFonts w:hint="eastAsia"/>
                <w:highlight w:val="none"/>
                <w:lang w:val="en-US" w:eastAsia="zh-CN"/>
              </w:rPr>
              <w:t>负责现场试验检测工作</w:t>
            </w:r>
          </w:p>
        </w:tc>
      </w:tr>
      <w:tr w14:paraId="2D5E7E2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29DCF65">
            <w:pPr>
              <w:pStyle w:val="105"/>
              <w:bidi w:val="0"/>
              <w:rPr>
                <w:rFonts w:hint="eastAsia"/>
                <w:highlight w:val="none"/>
                <w:lang w:val="en-US" w:eastAsia="zh-CN"/>
              </w:rPr>
            </w:pPr>
            <w:r>
              <w:rPr>
                <w:rFonts w:hint="eastAsia"/>
                <w:highlight w:val="none"/>
                <w:lang w:val="en-US" w:eastAsia="zh-CN"/>
              </w:rPr>
              <w:t>9</w:t>
            </w:r>
          </w:p>
        </w:tc>
        <w:tc>
          <w:tcPr>
            <w:tcW w:w="1365" w:type="dxa"/>
            <w:tcBorders>
              <w:tl2br w:val="nil"/>
              <w:tr2bl w:val="nil"/>
            </w:tcBorders>
            <w:vAlign w:val="center"/>
          </w:tcPr>
          <w:p w14:paraId="778B77EA">
            <w:pPr>
              <w:pStyle w:val="105"/>
              <w:bidi w:val="0"/>
              <w:rPr>
                <w:rFonts w:hint="eastAsia"/>
                <w:highlight w:val="none"/>
                <w:lang w:val="en-US" w:eastAsia="zh-CN"/>
              </w:rPr>
            </w:pPr>
            <w:r>
              <w:rPr>
                <w:rFonts w:hint="eastAsia"/>
                <w:highlight w:val="none"/>
                <w:lang w:val="en-US" w:eastAsia="zh-CN"/>
              </w:rPr>
              <w:t>安全员</w:t>
            </w:r>
          </w:p>
        </w:tc>
        <w:tc>
          <w:tcPr>
            <w:tcW w:w="2268" w:type="dxa"/>
            <w:tcBorders>
              <w:tl2br w:val="nil"/>
              <w:tr2bl w:val="nil"/>
            </w:tcBorders>
            <w:vAlign w:val="center"/>
          </w:tcPr>
          <w:p w14:paraId="2E3ECA09">
            <w:pPr>
              <w:pStyle w:val="105"/>
              <w:bidi w:val="0"/>
              <w:rPr>
                <w:rFonts w:hint="default"/>
                <w:highlight w:val="none"/>
                <w:lang w:val="en-US" w:eastAsia="zh-CN"/>
              </w:rPr>
            </w:pPr>
            <w:r>
              <w:rPr>
                <w:rFonts w:hint="eastAsia"/>
                <w:highlight w:val="none"/>
                <w:lang w:val="en-US" w:eastAsia="zh-CN"/>
              </w:rPr>
              <w:t>1人</w:t>
            </w:r>
          </w:p>
        </w:tc>
        <w:tc>
          <w:tcPr>
            <w:tcW w:w="3912" w:type="dxa"/>
            <w:tcBorders>
              <w:tl2br w:val="nil"/>
              <w:tr2bl w:val="nil"/>
            </w:tcBorders>
            <w:vAlign w:val="center"/>
          </w:tcPr>
          <w:p w14:paraId="7CA47759">
            <w:pPr>
              <w:pStyle w:val="105"/>
              <w:bidi w:val="0"/>
              <w:rPr>
                <w:rFonts w:hint="eastAsia"/>
                <w:highlight w:val="none"/>
                <w:lang w:val="en-US" w:eastAsia="zh-CN"/>
              </w:rPr>
            </w:pPr>
            <w:r>
              <w:rPr>
                <w:rFonts w:hint="eastAsia"/>
                <w:highlight w:val="none"/>
                <w:lang w:val="en-US" w:eastAsia="zh-CN"/>
              </w:rPr>
              <w:t>负责现场安全管理</w:t>
            </w:r>
          </w:p>
        </w:tc>
      </w:tr>
      <w:tr w14:paraId="663826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25FF774">
            <w:pPr>
              <w:pStyle w:val="105"/>
              <w:bidi w:val="0"/>
              <w:rPr>
                <w:rFonts w:hint="default"/>
                <w:highlight w:val="none"/>
                <w:lang w:val="en-US" w:eastAsia="zh-CN"/>
              </w:rPr>
            </w:pPr>
            <w:r>
              <w:rPr>
                <w:rFonts w:hint="eastAsia"/>
                <w:highlight w:val="none"/>
                <w:lang w:val="en-US" w:eastAsia="zh-CN"/>
              </w:rPr>
              <w:t>10</w:t>
            </w:r>
          </w:p>
        </w:tc>
        <w:tc>
          <w:tcPr>
            <w:tcW w:w="1365" w:type="dxa"/>
            <w:tcBorders>
              <w:tl2br w:val="nil"/>
              <w:tr2bl w:val="nil"/>
            </w:tcBorders>
            <w:vAlign w:val="center"/>
          </w:tcPr>
          <w:p w14:paraId="650BD53B">
            <w:pPr>
              <w:pStyle w:val="105"/>
              <w:bidi w:val="0"/>
              <w:rPr>
                <w:rFonts w:hint="eastAsia"/>
                <w:highlight w:val="none"/>
                <w:lang w:val="en-US" w:eastAsia="zh-CN"/>
              </w:rPr>
            </w:pPr>
            <w:r>
              <w:rPr>
                <w:rFonts w:hint="eastAsia"/>
                <w:highlight w:val="none"/>
                <w:lang w:val="en-US" w:eastAsia="zh-CN"/>
              </w:rPr>
              <w:t>分包单位现场负责人</w:t>
            </w:r>
          </w:p>
        </w:tc>
        <w:tc>
          <w:tcPr>
            <w:tcW w:w="2268" w:type="dxa"/>
            <w:tcBorders>
              <w:tl2br w:val="nil"/>
              <w:tr2bl w:val="nil"/>
            </w:tcBorders>
            <w:vAlign w:val="center"/>
          </w:tcPr>
          <w:p w14:paraId="589D8F53">
            <w:pPr>
              <w:pStyle w:val="105"/>
              <w:bidi w:val="0"/>
              <w:rPr>
                <w:rFonts w:hint="eastAsia"/>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2B067AA4">
            <w:pPr>
              <w:pStyle w:val="105"/>
              <w:bidi w:val="0"/>
              <w:rPr>
                <w:rFonts w:hint="eastAsia"/>
                <w:highlight w:val="none"/>
                <w:lang w:val="en-US" w:eastAsia="zh-CN"/>
              </w:rPr>
            </w:pPr>
            <w:r>
              <w:rPr>
                <w:rFonts w:hint="eastAsia"/>
                <w:highlight w:val="none"/>
                <w:lang w:val="en-US" w:eastAsia="zh-CN"/>
              </w:rPr>
              <w:t>负责现场施工调配管理</w:t>
            </w:r>
          </w:p>
        </w:tc>
      </w:tr>
    </w:tbl>
    <w:p w14:paraId="3C2E5F35">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highlight w:val="none"/>
        </w:rPr>
      </w:pPr>
      <w:r>
        <w:rPr>
          <w:rFonts w:hint="eastAsia" w:ascii="宋体" w:hAnsi="宋体" w:cs="宋体"/>
          <w:b/>
          <w:bCs/>
          <w:kern w:val="2"/>
          <w:sz w:val="24"/>
          <w:szCs w:val="24"/>
          <w:highlight w:val="none"/>
          <w:lang w:val="en-US" w:eastAsia="zh-CN" w:bidi="ar"/>
        </w:rPr>
        <w:t>2</w:t>
      </w:r>
      <w:r>
        <w:rPr>
          <w:rFonts w:hint="eastAsia"/>
          <w:highlight w:val="none"/>
          <w:lang w:val="en-US" w:eastAsia="zh-CN"/>
        </w:rPr>
        <w:t>、</w:t>
      </w:r>
      <w:r>
        <w:rPr>
          <w:rFonts w:hint="eastAsia" w:cs="宋体"/>
          <w:b/>
          <w:bCs/>
          <w:kern w:val="2"/>
          <w:sz w:val="24"/>
          <w:szCs w:val="24"/>
          <w:highlight w:val="none"/>
          <w:lang w:val="en-US" w:eastAsia="zh-CN" w:bidi="ar"/>
        </w:rPr>
        <w:t>塔机</w:t>
      </w:r>
      <w:r>
        <w:rPr>
          <w:rFonts w:hint="eastAsia" w:ascii="宋体" w:hAnsi="宋体" w:cs="宋体"/>
          <w:b/>
          <w:bCs/>
          <w:kern w:val="2"/>
          <w:sz w:val="24"/>
          <w:szCs w:val="24"/>
          <w:highlight w:val="none"/>
          <w:lang w:val="en-US" w:eastAsia="zh-CN" w:bidi="ar"/>
        </w:rPr>
        <w:t>安拆</w:t>
      </w:r>
      <w:r>
        <w:rPr>
          <w:rFonts w:hint="eastAsia" w:ascii="宋体" w:hAnsi="宋体" w:eastAsia="宋体" w:cs="宋体"/>
          <w:b/>
          <w:bCs/>
          <w:kern w:val="2"/>
          <w:sz w:val="24"/>
          <w:szCs w:val="24"/>
          <w:highlight w:val="none"/>
          <w:lang w:val="en-US" w:eastAsia="zh-CN" w:bidi="ar"/>
        </w:rPr>
        <w:t>施工专职安全生产管理人员配置</w:t>
      </w:r>
    </w:p>
    <w:p w14:paraId="145DD02C">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）安全总监</w:t>
      </w:r>
      <w:r>
        <w:rPr>
          <w:rFonts w:hint="default"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名。建立健全安全生产保障提体系，组织成立安全生产组织机构，保证安全生产管理体系的有效运转，监督现场各岗位人员安全主体责任的落实。</w:t>
      </w:r>
    </w:p>
    <w:p w14:paraId="36002FE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2</w:t>
      </w:r>
      <w:r>
        <w:rPr>
          <w:rFonts w:hint="eastAsia" w:ascii="宋体" w:hAnsi="宋体" w:eastAsia="宋体" w:cs="宋体"/>
          <w:kern w:val="2"/>
          <w:sz w:val="24"/>
          <w:szCs w:val="24"/>
          <w:highlight w:val="none"/>
          <w:lang w:val="en-US" w:eastAsia="zh-CN" w:bidi="ar"/>
        </w:rPr>
        <w:t>）专职安全员</w:t>
      </w:r>
      <w:r>
        <w:rPr>
          <w:rFonts w:hint="eastAsia"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名。负责现场日常各项安全检查工作，排查各项安全隐患，监督现场技术员及班组落实整改要求，有权制止各种不安全行为。</w:t>
      </w:r>
    </w:p>
    <w:p w14:paraId="080C3C7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3</w:t>
      </w:r>
      <w:r>
        <w:rPr>
          <w:rFonts w:hint="eastAsia" w:ascii="宋体" w:hAnsi="宋体" w:eastAsia="宋体" w:cs="宋体"/>
          <w:kern w:val="2"/>
          <w:sz w:val="24"/>
          <w:szCs w:val="24"/>
          <w:highlight w:val="none"/>
          <w:lang w:val="en-US" w:eastAsia="zh-CN" w:bidi="ar"/>
        </w:rPr>
        <w:t>）此外，</w:t>
      </w:r>
      <w:r>
        <w:rPr>
          <w:rFonts w:hint="eastAsia" w:cs="宋体"/>
          <w:kern w:val="2"/>
          <w:sz w:val="24"/>
          <w:szCs w:val="24"/>
          <w:highlight w:val="none"/>
          <w:lang w:val="en-US" w:eastAsia="zh-CN" w:bidi="ar"/>
        </w:rPr>
        <w:t>塔机</w:t>
      </w:r>
      <w:r>
        <w:rPr>
          <w:rFonts w:hint="eastAsia" w:ascii="宋体" w:hAnsi="宋体" w:cs="宋体"/>
          <w:kern w:val="2"/>
          <w:sz w:val="24"/>
          <w:szCs w:val="24"/>
          <w:highlight w:val="none"/>
          <w:lang w:val="en-US" w:eastAsia="zh-CN" w:bidi="ar"/>
        </w:rPr>
        <w:t>安拆专业承包单位专职安全员1名，</w:t>
      </w:r>
      <w:r>
        <w:rPr>
          <w:rFonts w:hint="eastAsia" w:ascii="宋体" w:hAnsi="宋体" w:eastAsia="宋体" w:cs="宋体"/>
          <w:kern w:val="2"/>
          <w:sz w:val="24"/>
          <w:szCs w:val="24"/>
          <w:highlight w:val="none"/>
          <w:lang w:val="en-US" w:eastAsia="zh-CN" w:bidi="ar"/>
        </w:rPr>
        <w:t>负责现场日常各项安全检查工作，排查各项安全隐患。</w:t>
      </w:r>
    </w:p>
    <w:p w14:paraId="6DCDD61F">
      <w:pPr>
        <w:bidi w:val="0"/>
        <w:rPr>
          <w:highlight w:val="none"/>
        </w:rPr>
      </w:pPr>
      <w:r>
        <w:rPr>
          <w:rFonts w:hint="eastAsia" w:ascii="宋体" w:hAnsi="宋体" w:cs="宋体"/>
          <w:b/>
          <w:bCs/>
          <w:kern w:val="2"/>
          <w:sz w:val="24"/>
          <w:szCs w:val="24"/>
          <w:highlight w:val="none"/>
          <w:lang w:val="en-US" w:eastAsia="zh-CN" w:bidi="ar"/>
        </w:rPr>
        <w:t>3</w:t>
      </w:r>
      <w:r>
        <w:rPr>
          <w:rFonts w:hint="eastAsia"/>
          <w:highlight w:val="none"/>
          <w:lang w:val="en-US" w:eastAsia="zh-CN"/>
        </w:rPr>
        <w:t>、</w:t>
      </w:r>
      <w:bookmarkStart w:id="318" w:name="_Toc12625"/>
      <w:bookmarkStart w:id="319" w:name="_Toc31491"/>
      <w:bookmarkStart w:id="320" w:name="_Toc29362"/>
      <w:r>
        <w:rPr>
          <w:rFonts w:hint="eastAsia" w:cs="宋体"/>
          <w:b w:val="0"/>
          <w:bCs w:val="0"/>
          <w:kern w:val="2"/>
          <w:sz w:val="24"/>
          <w:szCs w:val="24"/>
          <w:highlight w:val="none"/>
          <w:lang w:val="en-US" w:eastAsia="zh-CN" w:bidi="ar"/>
        </w:rPr>
        <w:t>塔机</w:t>
      </w:r>
      <w:r>
        <w:rPr>
          <w:rFonts w:hint="eastAsia" w:ascii="宋体" w:hAnsi="宋体" w:cs="宋体"/>
          <w:b w:val="0"/>
          <w:bCs w:val="0"/>
          <w:kern w:val="2"/>
          <w:sz w:val="24"/>
          <w:szCs w:val="24"/>
          <w:highlight w:val="none"/>
          <w:lang w:val="en-US" w:eastAsia="zh-CN" w:bidi="ar"/>
        </w:rPr>
        <w:t>安拆</w:t>
      </w:r>
      <w:r>
        <w:rPr>
          <w:rFonts w:hint="eastAsia" w:ascii="宋体" w:hAnsi="宋体" w:eastAsia="宋体" w:cs="宋体"/>
          <w:b w:val="0"/>
          <w:bCs w:val="0"/>
          <w:kern w:val="2"/>
          <w:sz w:val="24"/>
          <w:szCs w:val="24"/>
          <w:highlight w:val="none"/>
          <w:lang w:val="en-US" w:eastAsia="zh-CN" w:bidi="ar"/>
        </w:rPr>
        <w:t>施工</w:t>
      </w:r>
      <w:r>
        <w:rPr>
          <w:rFonts w:hint="eastAsia"/>
          <w:b w:val="0"/>
          <w:bCs w:val="0"/>
          <w:highlight w:val="none"/>
          <w:lang w:val="en-US" w:eastAsia="zh-CN"/>
        </w:rPr>
        <w:t>特种作业人员</w:t>
      </w:r>
      <w:bookmarkEnd w:id="318"/>
      <w:bookmarkEnd w:id="319"/>
      <w:bookmarkEnd w:id="320"/>
      <w:r>
        <w:rPr>
          <w:rFonts w:hint="eastAsia" w:ascii="宋体" w:hAnsi="宋体" w:eastAsia="宋体" w:cs="宋体"/>
          <w:b w:val="0"/>
          <w:bCs w:val="0"/>
          <w:kern w:val="2"/>
          <w:sz w:val="24"/>
          <w:szCs w:val="24"/>
          <w:highlight w:val="none"/>
          <w:lang w:val="en-US" w:eastAsia="zh-CN" w:bidi="ar"/>
        </w:rPr>
        <w:t>配置</w:t>
      </w:r>
    </w:p>
    <w:p w14:paraId="78F83F76">
      <w:pPr>
        <w:pStyle w:val="15"/>
        <w:bidi w:val="0"/>
        <w:rPr>
          <w:rFonts w:hint="eastAsia"/>
          <w:highlight w:val="none"/>
          <w:lang w:val="en-US" w:eastAsia="zh-CN"/>
        </w:rPr>
      </w:pPr>
      <w:r>
        <w:rPr>
          <w:rFonts w:hint="eastAsia"/>
          <w:highlight w:val="none"/>
          <w:lang w:val="en-US" w:eastAsia="zh-CN"/>
        </w:rPr>
        <w:t>表7-2每班组特种作业人员配置计划表</w:t>
      </w:r>
    </w:p>
    <w:tbl>
      <w:tblPr>
        <w:tblStyle w:val="30"/>
        <w:tblW w:w="8209"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009"/>
        <w:gridCol w:w="2115"/>
        <w:gridCol w:w="1221"/>
        <w:gridCol w:w="3864"/>
      </w:tblGrid>
      <w:tr w14:paraId="7902FE7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tblHeader/>
          <w:jc w:val="center"/>
        </w:trPr>
        <w:tc>
          <w:tcPr>
            <w:tcW w:w="1009" w:type="dxa"/>
            <w:tcBorders>
              <w:tl2br w:val="nil"/>
              <w:tr2bl w:val="nil"/>
            </w:tcBorders>
            <w:shd w:val="clear" w:color="auto" w:fill="DAE3F3" w:themeFill="accent5" w:themeFillTint="32"/>
            <w:vAlign w:val="center"/>
          </w:tcPr>
          <w:p w14:paraId="4E095D8E">
            <w:pPr>
              <w:pStyle w:val="105"/>
              <w:bidi w:val="0"/>
              <w:rPr>
                <w:rFonts w:hint="eastAsia"/>
                <w:highlight w:val="none"/>
              </w:rPr>
            </w:pPr>
            <w:r>
              <w:rPr>
                <w:rFonts w:hint="eastAsia"/>
                <w:highlight w:val="none"/>
              </w:rPr>
              <w:t>序号</w:t>
            </w:r>
          </w:p>
        </w:tc>
        <w:tc>
          <w:tcPr>
            <w:tcW w:w="2115" w:type="dxa"/>
            <w:tcBorders>
              <w:tl2br w:val="nil"/>
              <w:tr2bl w:val="nil"/>
            </w:tcBorders>
            <w:shd w:val="clear" w:color="auto" w:fill="DAE3F3" w:themeFill="accent5" w:themeFillTint="32"/>
            <w:vAlign w:val="center"/>
          </w:tcPr>
          <w:p w14:paraId="7FDB7854">
            <w:pPr>
              <w:pStyle w:val="105"/>
              <w:bidi w:val="0"/>
              <w:rPr>
                <w:rFonts w:hint="default"/>
                <w:highlight w:val="none"/>
                <w:lang w:val="en-US" w:eastAsia="zh-CN"/>
              </w:rPr>
            </w:pPr>
            <w:r>
              <w:rPr>
                <w:rFonts w:hint="eastAsia"/>
                <w:highlight w:val="none"/>
                <w:lang w:val="en-US" w:eastAsia="zh-CN"/>
              </w:rPr>
              <w:t>特种作业工名称</w:t>
            </w:r>
          </w:p>
        </w:tc>
        <w:tc>
          <w:tcPr>
            <w:tcW w:w="1221" w:type="dxa"/>
            <w:tcBorders>
              <w:tl2br w:val="nil"/>
              <w:tr2bl w:val="nil"/>
            </w:tcBorders>
            <w:shd w:val="clear" w:color="auto" w:fill="DAE3F3" w:themeFill="accent5" w:themeFillTint="32"/>
            <w:vAlign w:val="center"/>
          </w:tcPr>
          <w:p w14:paraId="1F4A05D6">
            <w:pPr>
              <w:pStyle w:val="105"/>
              <w:bidi w:val="0"/>
              <w:rPr>
                <w:rFonts w:hint="eastAsia"/>
                <w:highlight w:val="none"/>
                <w:lang w:eastAsia="zh-CN"/>
              </w:rPr>
            </w:pPr>
            <w:r>
              <w:rPr>
                <w:rFonts w:hint="eastAsia"/>
                <w:highlight w:val="none"/>
              </w:rPr>
              <w:t>数量</w:t>
            </w:r>
            <w:r>
              <w:rPr>
                <w:rFonts w:hint="eastAsia"/>
                <w:highlight w:val="none"/>
                <w:lang w:eastAsia="zh-CN"/>
              </w:rPr>
              <w:t>（</w:t>
            </w:r>
            <w:r>
              <w:rPr>
                <w:rFonts w:hint="eastAsia"/>
                <w:highlight w:val="none"/>
              </w:rPr>
              <w:t>人</w:t>
            </w:r>
            <w:r>
              <w:rPr>
                <w:rFonts w:hint="eastAsia"/>
                <w:highlight w:val="none"/>
                <w:lang w:eastAsia="zh-CN"/>
              </w:rPr>
              <w:t>）</w:t>
            </w:r>
          </w:p>
        </w:tc>
        <w:tc>
          <w:tcPr>
            <w:tcW w:w="3864" w:type="dxa"/>
            <w:tcBorders>
              <w:tl2br w:val="nil"/>
              <w:tr2bl w:val="nil"/>
            </w:tcBorders>
            <w:shd w:val="clear" w:color="auto" w:fill="DAE3F3" w:themeFill="accent5" w:themeFillTint="32"/>
            <w:vAlign w:val="center"/>
          </w:tcPr>
          <w:p w14:paraId="25B16DCA">
            <w:pPr>
              <w:pStyle w:val="105"/>
              <w:bidi w:val="0"/>
              <w:rPr>
                <w:rFonts w:hint="eastAsia"/>
                <w:highlight w:val="none"/>
              </w:rPr>
            </w:pPr>
            <w:r>
              <w:rPr>
                <w:rFonts w:hint="eastAsia"/>
                <w:highlight w:val="none"/>
              </w:rPr>
              <w:t>职责</w:t>
            </w:r>
          </w:p>
        </w:tc>
      </w:tr>
      <w:tr w14:paraId="6631F26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77FCE8C2">
            <w:pPr>
              <w:pStyle w:val="105"/>
              <w:bidi w:val="0"/>
              <w:rPr>
                <w:rFonts w:hint="eastAsia"/>
                <w:highlight w:val="none"/>
              </w:rPr>
            </w:pPr>
            <w:r>
              <w:rPr>
                <w:rFonts w:hint="eastAsia"/>
                <w:highlight w:val="none"/>
              </w:rPr>
              <w:t>1</w:t>
            </w:r>
          </w:p>
        </w:tc>
        <w:tc>
          <w:tcPr>
            <w:tcW w:w="2115" w:type="dxa"/>
            <w:tcBorders>
              <w:tl2br w:val="nil"/>
              <w:tr2bl w:val="nil"/>
            </w:tcBorders>
            <w:vAlign w:val="center"/>
          </w:tcPr>
          <w:p w14:paraId="357268D3">
            <w:pPr>
              <w:pStyle w:val="105"/>
              <w:bidi w:val="0"/>
              <w:rPr>
                <w:rFonts w:hint="eastAsia"/>
                <w:highlight w:val="none"/>
                <w:lang w:val="en-US" w:eastAsia="zh-CN"/>
              </w:rPr>
            </w:pPr>
            <w:r>
              <w:rPr>
                <w:rFonts w:hint="eastAsia"/>
                <w:highlight w:val="none"/>
                <w:lang w:val="en-US" w:eastAsia="zh-CN"/>
              </w:rPr>
              <w:t>电工</w:t>
            </w:r>
          </w:p>
        </w:tc>
        <w:tc>
          <w:tcPr>
            <w:tcW w:w="1221" w:type="dxa"/>
            <w:tcBorders>
              <w:tl2br w:val="nil"/>
              <w:tr2bl w:val="nil"/>
            </w:tcBorders>
            <w:vAlign w:val="center"/>
          </w:tcPr>
          <w:p w14:paraId="142BFEE1">
            <w:pPr>
              <w:pStyle w:val="105"/>
              <w:bidi w:val="0"/>
              <w:rPr>
                <w:rFonts w:hint="eastAsia"/>
                <w:highlight w:val="none"/>
              </w:rPr>
            </w:pPr>
            <w:r>
              <w:rPr>
                <w:rFonts w:hint="eastAsia"/>
                <w:highlight w:val="none"/>
              </w:rPr>
              <w:t>1</w:t>
            </w:r>
          </w:p>
        </w:tc>
        <w:tc>
          <w:tcPr>
            <w:tcW w:w="3864" w:type="dxa"/>
            <w:tcBorders>
              <w:tl2br w:val="nil"/>
              <w:tr2bl w:val="nil"/>
            </w:tcBorders>
            <w:vAlign w:val="center"/>
          </w:tcPr>
          <w:p w14:paraId="39660865">
            <w:pPr>
              <w:pStyle w:val="105"/>
              <w:bidi w:val="0"/>
              <w:rPr>
                <w:rFonts w:hint="default"/>
                <w:highlight w:val="none"/>
                <w:lang w:val="en-US" w:eastAsia="zh-CN"/>
              </w:rPr>
            </w:pPr>
            <w:r>
              <w:rPr>
                <w:rFonts w:hint="eastAsia"/>
                <w:highlight w:val="none"/>
              </w:rPr>
              <w:t>负责现场</w:t>
            </w:r>
            <w:r>
              <w:rPr>
                <w:rFonts w:hint="eastAsia"/>
                <w:highlight w:val="none"/>
                <w:lang w:val="en-US" w:eastAsia="zh-CN"/>
              </w:rPr>
              <w:t>临时用电安装、检查、维修</w:t>
            </w:r>
          </w:p>
        </w:tc>
      </w:tr>
      <w:tr w14:paraId="3DDB5BD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1BE50826">
            <w:pPr>
              <w:pStyle w:val="105"/>
              <w:bidi w:val="0"/>
              <w:rPr>
                <w:rFonts w:hint="eastAsia" w:eastAsia="宋体"/>
                <w:highlight w:val="none"/>
                <w:lang w:val="en-US" w:eastAsia="zh-CN"/>
              </w:rPr>
            </w:pPr>
            <w:r>
              <w:rPr>
                <w:rFonts w:hint="eastAsia"/>
                <w:highlight w:val="none"/>
                <w:lang w:val="en-US" w:eastAsia="zh-CN"/>
              </w:rPr>
              <w:t>2</w:t>
            </w:r>
          </w:p>
        </w:tc>
        <w:tc>
          <w:tcPr>
            <w:tcW w:w="2115" w:type="dxa"/>
            <w:tcBorders>
              <w:tl2br w:val="nil"/>
              <w:tr2bl w:val="nil"/>
            </w:tcBorders>
            <w:vAlign w:val="center"/>
          </w:tcPr>
          <w:p w14:paraId="2091EB26">
            <w:pPr>
              <w:pStyle w:val="105"/>
              <w:bidi w:val="0"/>
              <w:rPr>
                <w:rFonts w:hint="eastAsia"/>
                <w:highlight w:val="none"/>
                <w:lang w:val="en-US" w:eastAsia="zh-CN"/>
              </w:rPr>
            </w:pPr>
            <w:r>
              <w:rPr>
                <w:rFonts w:hint="eastAsia"/>
                <w:highlight w:val="none"/>
                <w:lang w:val="en-US" w:eastAsia="zh-CN"/>
              </w:rPr>
              <w:t>安拆维保人员</w:t>
            </w:r>
          </w:p>
        </w:tc>
        <w:tc>
          <w:tcPr>
            <w:tcW w:w="1221" w:type="dxa"/>
            <w:tcBorders>
              <w:tl2br w:val="nil"/>
              <w:tr2bl w:val="nil"/>
            </w:tcBorders>
            <w:vAlign w:val="center"/>
          </w:tcPr>
          <w:p w14:paraId="6190185A">
            <w:pPr>
              <w:pStyle w:val="105"/>
              <w:bidi w:val="0"/>
              <w:rPr>
                <w:rFonts w:hint="eastAsia"/>
                <w:highlight w:val="none"/>
                <w:lang w:val="en-US" w:eastAsia="zh-CN"/>
              </w:rPr>
            </w:pPr>
            <w:r>
              <w:rPr>
                <w:rFonts w:hint="eastAsia"/>
                <w:highlight w:val="none"/>
                <w:lang w:val="en-US" w:eastAsia="zh-CN"/>
              </w:rPr>
              <w:t>4</w:t>
            </w:r>
          </w:p>
        </w:tc>
        <w:tc>
          <w:tcPr>
            <w:tcW w:w="3864" w:type="dxa"/>
            <w:tcBorders>
              <w:tl2br w:val="nil"/>
              <w:tr2bl w:val="nil"/>
            </w:tcBorders>
            <w:vAlign w:val="center"/>
          </w:tcPr>
          <w:p w14:paraId="1D10A0C7">
            <w:pPr>
              <w:pStyle w:val="105"/>
              <w:bidi w:val="0"/>
              <w:rPr>
                <w:rFonts w:hint="eastAsia"/>
                <w:highlight w:val="none"/>
                <w:lang w:val="en-US" w:eastAsia="zh-CN"/>
              </w:rPr>
            </w:pPr>
            <w:r>
              <w:rPr>
                <w:rFonts w:hint="eastAsia"/>
                <w:highlight w:val="none"/>
                <w:lang w:val="en-US" w:eastAsia="zh-CN"/>
              </w:rPr>
              <w:t>按规章安拆维保起重机械</w:t>
            </w:r>
          </w:p>
        </w:tc>
      </w:tr>
      <w:tr w14:paraId="14EB082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01B676B1">
            <w:pPr>
              <w:pStyle w:val="105"/>
              <w:bidi w:val="0"/>
              <w:rPr>
                <w:rFonts w:hint="eastAsia"/>
                <w:highlight w:val="none"/>
                <w:lang w:val="en-US" w:eastAsia="zh-CN"/>
              </w:rPr>
            </w:pPr>
            <w:r>
              <w:rPr>
                <w:rFonts w:hint="eastAsia"/>
                <w:highlight w:val="none"/>
              </w:rPr>
              <w:t>3</w:t>
            </w:r>
          </w:p>
        </w:tc>
        <w:tc>
          <w:tcPr>
            <w:tcW w:w="2115" w:type="dxa"/>
            <w:tcBorders>
              <w:tl2br w:val="nil"/>
              <w:tr2bl w:val="nil"/>
            </w:tcBorders>
            <w:vAlign w:val="center"/>
          </w:tcPr>
          <w:p w14:paraId="677FC220">
            <w:pPr>
              <w:pStyle w:val="105"/>
              <w:bidi w:val="0"/>
              <w:rPr>
                <w:rFonts w:hint="default"/>
                <w:highlight w:val="none"/>
                <w:lang w:val="en-US" w:eastAsia="zh-CN"/>
              </w:rPr>
            </w:pPr>
            <w:r>
              <w:rPr>
                <w:rFonts w:hint="eastAsia"/>
                <w:highlight w:val="none"/>
                <w:lang w:val="en-US" w:eastAsia="zh-CN"/>
              </w:rPr>
              <w:t>起重机械司机</w:t>
            </w:r>
          </w:p>
        </w:tc>
        <w:tc>
          <w:tcPr>
            <w:tcW w:w="1221" w:type="dxa"/>
            <w:tcBorders>
              <w:tl2br w:val="nil"/>
              <w:tr2bl w:val="nil"/>
            </w:tcBorders>
            <w:vAlign w:val="center"/>
          </w:tcPr>
          <w:p w14:paraId="66AE5981">
            <w:pPr>
              <w:pStyle w:val="105"/>
              <w:bidi w:val="0"/>
              <w:rPr>
                <w:rFonts w:hint="default"/>
                <w:highlight w:val="none"/>
                <w:lang w:val="en-US" w:eastAsia="zh-CN"/>
              </w:rPr>
            </w:pPr>
            <w:r>
              <w:rPr>
                <w:rFonts w:hint="eastAsia"/>
                <w:highlight w:val="none"/>
                <w:lang w:val="en-US" w:eastAsia="zh-CN"/>
              </w:rPr>
              <w:t>1</w:t>
            </w:r>
          </w:p>
        </w:tc>
        <w:tc>
          <w:tcPr>
            <w:tcW w:w="3864" w:type="dxa"/>
            <w:tcBorders>
              <w:tl2br w:val="nil"/>
              <w:tr2bl w:val="nil"/>
            </w:tcBorders>
            <w:vAlign w:val="center"/>
          </w:tcPr>
          <w:p w14:paraId="376A555D">
            <w:pPr>
              <w:pStyle w:val="105"/>
              <w:bidi w:val="0"/>
              <w:rPr>
                <w:rFonts w:hint="default"/>
                <w:highlight w:val="none"/>
                <w:lang w:val="en-US" w:eastAsia="zh-CN"/>
              </w:rPr>
            </w:pPr>
            <w:r>
              <w:rPr>
                <w:rFonts w:hint="eastAsia"/>
                <w:highlight w:val="none"/>
                <w:lang w:val="en-US" w:eastAsia="zh-CN"/>
              </w:rPr>
              <w:t>按规章、规程要求进行起重吊装作业，检查、维护起重机械（租赁）</w:t>
            </w:r>
          </w:p>
        </w:tc>
      </w:tr>
      <w:tr w14:paraId="042CF35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2FC4C9FF">
            <w:pPr>
              <w:pStyle w:val="105"/>
              <w:bidi w:val="0"/>
              <w:rPr>
                <w:rFonts w:hint="default"/>
                <w:highlight w:val="none"/>
                <w:lang w:val="en-US" w:eastAsia="zh-CN"/>
              </w:rPr>
            </w:pPr>
            <w:r>
              <w:rPr>
                <w:rFonts w:hint="eastAsia"/>
                <w:highlight w:val="none"/>
              </w:rPr>
              <w:t>4</w:t>
            </w:r>
          </w:p>
        </w:tc>
        <w:tc>
          <w:tcPr>
            <w:tcW w:w="2115" w:type="dxa"/>
            <w:tcBorders>
              <w:tl2br w:val="nil"/>
              <w:tr2bl w:val="nil"/>
            </w:tcBorders>
            <w:vAlign w:val="center"/>
          </w:tcPr>
          <w:p w14:paraId="0171A2C7">
            <w:pPr>
              <w:pStyle w:val="105"/>
              <w:bidi w:val="0"/>
              <w:rPr>
                <w:rFonts w:hint="default"/>
                <w:highlight w:val="none"/>
                <w:lang w:val="en-US" w:eastAsia="zh-CN"/>
              </w:rPr>
            </w:pPr>
            <w:r>
              <w:rPr>
                <w:rFonts w:hint="eastAsia"/>
                <w:highlight w:val="none"/>
                <w:lang w:val="en-US" w:eastAsia="zh-CN"/>
              </w:rPr>
              <w:t>司索工</w:t>
            </w:r>
          </w:p>
        </w:tc>
        <w:tc>
          <w:tcPr>
            <w:tcW w:w="1221" w:type="dxa"/>
            <w:tcBorders>
              <w:tl2br w:val="nil"/>
              <w:tr2bl w:val="nil"/>
            </w:tcBorders>
            <w:vAlign w:val="center"/>
          </w:tcPr>
          <w:p w14:paraId="6BB865F0">
            <w:pPr>
              <w:pStyle w:val="105"/>
              <w:bidi w:val="0"/>
              <w:rPr>
                <w:rFonts w:hint="default"/>
                <w:highlight w:val="none"/>
                <w:lang w:val="en-US" w:eastAsia="zh-CN"/>
              </w:rPr>
            </w:pPr>
            <w:r>
              <w:rPr>
                <w:rFonts w:hint="eastAsia"/>
                <w:highlight w:val="none"/>
                <w:lang w:val="en-US" w:eastAsia="zh-CN"/>
              </w:rPr>
              <w:t>1</w:t>
            </w:r>
          </w:p>
        </w:tc>
        <w:tc>
          <w:tcPr>
            <w:tcW w:w="3864" w:type="dxa"/>
            <w:tcBorders>
              <w:tl2br w:val="nil"/>
              <w:tr2bl w:val="nil"/>
            </w:tcBorders>
            <w:vAlign w:val="center"/>
          </w:tcPr>
          <w:p w14:paraId="7B83973B">
            <w:pPr>
              <w:pStyle w:val="105"/>
              <w:bidi w:val="0"/>
              <w:rPr>
                <w:rFonts w:hint="default"/>
                <w:highlight w:val="none"/>
                <w:lang w:val="en-US" w:eastAsia="zh-CN"/>
              </w:rPr>
            </w:pPr>
            <w:r>
              <w:rPr>
                <w:rFonts w:hint="eastAsia"/>
                <w:highlight w:val="none"/>
                <w:lang w:val="en-US" w:eastAsia="zh-CN"/>
              </w:rPr>
              <w:t>规范指挥起重吊装作业（租赁）</w:t>
            </w:r>
          </w:p>
        </w:tc>
      </w:tr>
      <w:tr w14:paraId="71C29C5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01B2B05A">
            <w:pPr>
              <w:pStyle w:val="105"/>
              <w:bidi w:val="0"/>
              <w:rPr>
                <w:rFonts w:hint="default"/>
                <w:highlight w:val="none"/>
                <w:lang w:val="en-US" w:eastAsia="zh-CN"/>
              </w:rPr>
            </w:pPr>
            <w:r>
              <w:rPr>
                <w:rFonts w:hint="eastAsia"/>
                <w:highlight w:val="none"/>
                <w:lang w:val="en-US" w:eastAsia="zh-CN"/>
              </w:rPr>
              <w:t>5</w:t>
            </w:r>
          </w:p>
        </w:tc>
        <w:tc>
          <w:tcPr>
            <w:tcW w:w="2115" w:type="dxa"/>
            <w:tcBorders>
              <w:tl2br w:val="nil"/>
              <w:tr2bl w:val="nil"/>
            </w:tcBorders>
            <w:vAlign w:val="center"/>
          </w:tcPr>
          <w:p w14:paraId="2FBC2CD8">
            <w:pPr>
              <w:pStyle w:val="105"/>
              <w:bidi w:val="0"/>
              <w:rPr>
                <w:rFonts w:hint="default"/>
                <w:highlight w:val="none"/>
                <w:lang w:val="en-US" w:eastAsia="zh-CN"/>
              </w:rPr>
            </w:pPr>
            <w:r>
              <w:rPr>
                <w:rFonts w:hint="eastAsia"/>
                <w:highlight w:val="none"/>
                <w:lang w:val="en-US" w:eastAsia="zh-CN"/>
              </w:rPr>
              <w:t>合计</w:t>
            </w:r>
          </w:p>
        </w:tc>
        <w:tc>
          <w:tcPr>
            <w:tcW w:w="1221" w:type="dxa"/>
            <w:tcBorders>
              <w:tl2br w:val="nil"/>
              <w:tr2bl w:val="nil"/>
            </w:tcBorders>
            <w:vAlign w:val="center"/>
          </w:tcPr>
          <w:p w14:paraId="580D63A1">
            <w:pPr>
              <w:pStyle w:val="105"/>
              <w:bidi w:val="0"/>
              <w:rPr>
                <w:rFonts w:hint="default"/>
                <w:highlight w:val="none"/>
                <w:lang w:val="en-US" w:eastAsia="zh-CN"/>
              </w:rPr>
            </w:pPr>
            <w:r>
              <w:rPr>
                <w:rFonts w:hint="eastAsia"/>
                <w:highlight w:val="none"/>
                <w:lang w:val="en-US" w:eastAsia="zh-CN"/>
              </w:rPr>
              <w:t>7</w:t>
            </w:r>
          </w:p>
        </w:tc>
        <w:tc>
          <w:tcPr>
            <w:tcW w:w="3864" w:type="dxa"/>
            <w:tcBorders>
              <w:tl2br w:val="nil"/>
              <w:tr2bl w:val="nil"/>
            </w:tcBorders>
            <w:vAlign w:val="center"/>
          </w:tcPr>
          <w:p w14:paraId="5341ADB4">
            <w:pPr>
              <w:pStyle w:val="105"/>
              <w:bidi w:val="0"/>
              <w:rPr>
                <w:rFonts w:hint="default"/>
                <w:highlight w:val="none"/>
                <w:lang w:val="en-US" w:eastAsia="zh-CN"/>
              </w:rPr>
            </w:pPr>
          </w:p>
        </w:tc>
      </w:tr>
    </w:tbl>
    <w:p w14:paraId="74A5D7DA">
      <w:pPr>
        <w:bidi w:val="0"/>
        <w:ind w:firstLine="480" w:firstLineChars="200"/>
        <w:rPr>
          <w:rFonts w:hint="eastAsia"/>
          <w:highlight w:val="none"/>
          <w:lang w:val="en-US" w:eastAsia="zh-CN"/>
        </w:rPr>
      </w:pPr>
      <w:r>
        <w:rPr>
          <w:rFonts w:hint="eastAsia"/>
          <w:highlight w:val="none"/>
          <w:lang w:val="en-US" w:eastAsia="zh-CN"/>
        </w:rPr>
        <w:t>特种作业人员必须接受与本工种相适应的、专门的安全技术培训、经安全技术理论考核和实际操作技能考核合格，取得特种作业操作证后，方可上岗作业；未经培训或培训考核不合格者，不得上岗作业。特种作业人员必须持证上岗。</w:t>
      </w:r>
    </w:p>
    <w:p w14:paraId="61FDDBA3">
      <w:pPr>
        <w:bidi w:val="0"/>
        <w:rPr>
          <w:rFonts w:hint="eastAsia"/>
          <w:highlight w:val="none"/>
          <w:lang w:val="en-US" w:eastAsia="zh-CN"/>
        </w:rPr>
      </w:pPr>
      <w:r>
        <w:rPr>
          <w:rFonts w:hint="eastAsia"/>
          <w:highlight w:val="none"/>
          <w:lang w:val="en-US" w:eastAsia="zh-CN"/>
        </w:rPr>
        <w:t>4、</w:t>
      </w:r>
      <w:bookmarkStart w:id="321" w:name="_Toc6570"/>
      <w:bookmarkStart w:id="322" w:name="_Toc26620"/>
      <w:r>
        <w:rPr>
          <w:rFonts w:hint="default"/>
          <w:highlight w:val="none"/>
          <w:lang w:val="en-US" w:eastAsia="zh-CN"/>
        </w:rPr>
        <w:t>安拆专业分包单位管理人员及安拆人员名单</w:t>
      </w:r>
      <w:bookmarkEnd w:id="321"/>
      <w:bookmarkEnd w:id="322"/>
    </w:p>
    <w:p w14:paraId="51EFBE97">
      <w:pPr>
        <w:jc w:val="center"/>
        <w:rPr>
          <w:rFonts w:hint="eastAsia"/>
          <w:highlight w:val="none"/>
          <w:lang w:val="en-US" w:eastAsia="zh-CN"/>
        </w:rPr>
      </w:pPr>
      <w:r>
        <w:rPr>
          <w:rFonts w:hint="eastAsia"/>
          <w:highlight w:val="none"/>
          <w:lang w:val="en-US" w:eastAsia="zh-CN"/>
        </w:rPr>
        <w:t>表7-3安拆专业分包单位管理人员及安拆人员名单汇总表</w:t>
      </w:r>
      <w:bookmarkStart w:id="323" w:name="_Toc2662"/>
    </w:p>
    <w:tbl>
      <w:tblPr>
        <w:tblStyle w:val="30"/>
        <w:tblW w:w="5000"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Layout w:type="autofit"/>
        <w:tblCellMar>
          <w:top w:w="0" w:type="dxa"/>
          <w:left w:w="108" w:type="dxa"/>
          <w:bottom w:w="0" w:type="dxa"/>
          <w:right w:w="108" w:type="dxa"/>
        </w:tblCellMar>
      </w:tblPr>
      <w:tblGrid>
        <w:gridCol w:w="1115"/>
        <w:gridCol w:w="1631"/>
        <w:gridCol w:w="2106"/>
        <w:gridCol w:w="2107"/>
        <w:gridCol w:w="1563"/>
      </w:tblGrid>
      <w:tr w14:paraId="793A27B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tblHeader/>
          <w:jc w:val="center"/>
        </w:trPr>
        <w:tc>
          <w:tcPr>
            <w:tcW w:w="5000" w:type="pct"/>
            <w:gridSpan w:val="5"/>
            <w:tcBorders>
              <w:tl2br w:val="nil"/>
              <w:tr2bl w:val="nil"/>
            </w:tcBorders>
            <w:shd w:val="clear" w:color="auto" w:fill="DAE3F3"/>
            <w:vAlign w:val="center"/>
          </w:tcPr>
          <w:p w14:paraId="22EB20E3">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拟投入安全管理人员及技术人员名单</w:t>
            </w:r>
          </w:p>
        </w:tc>
      </w:tr>
      <w:tr w14:paraId="02CDA33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655" w:type="pct"/>
            <w:tcBorders>
              <w:tl2br w:val="nil"/>
              <w:tr2bl w:val="nil"/>
            </w:tcBorders>
            <w:shd w:val="clear" w:color="auto" w:fill="DAE3F3"/>
            <w:vAlign w:val="center"/>
          </w:tcPr>
          <w:p w14:paraId="1F4257F9">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姓名</w:t>
            </w:r>
          </w:p>
        </w:tc>
        <w:tc>
          <w:tcPr>
            <w:tcW w:w="957" w:type="pct"/>
            <w:tcBorders>
              <w:tl2br w:val="nil"/>
              <w:tr2bl w:val="nil"/>
            </w:tcBorders>
            <w:shd w:val="clear" w:color="auto" w:fill="DAE3F3"/>
            <w:vAlign w:val="center"/>
          </w:tcPr>
          <w:p w14:paraId="7E39B86C">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职务/工种</w:t>
            </w:r>
          </w:p>
        </w:tc>
        <w:tc>
          <w:tcPr>
            <w:tcW w:w="1235" w:type="pct"/>
            <w:tcBorders>
              <w:tl2br w:val="nil"/>
              <w:tr2bl w:val="nil"/>
            </w:tcBorders>
            <w:shd w:val="clear" w:color="auto" w:fill="DAE3F3"/>
            <w:vAlign w:val="center"/>
          </w:tcPr>
          <w:p w14:paraId="5BF0883B">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身份证号码</w:t>
            </w:r>
          </w:p>
        </w:tc>
        <w:tc>
          <w:tcPr>
            <w:tcW w:w="1236" w:type="pct"/>
            <w:tcBorders>
              <w:tl2br w:val="nil"/>
              <w:tr2bl w:val="nil"/>
            </w:tcBorders>
            <w:shd w:val="clear" w:color="auto" w:fill="DAE3F3"/>
            <w:vAlign w:val="center"/>
          </w:tcPr>
          <w:p w14:paraId="69675A3D">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作业证号</w:t>
            </w:r>
          </w:p>
        </w:tc>
        <w:tc>
          <w:tcPr>
            <w:tcW w:w="915" w:type="pct"/>
            <w:tcBorders>
              <w:tl2br w:val="nil"/>
              <w:tr2bl w:val="nil"/>
            </w:tcBorders>
            <w:shd w:val="clear" w:color="auto" w:fill="DAE3F3"/>
            <w:vAlign w:val="center"/>
          </w:tcPr>
          <w:p w14:paraId="7F584855">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工作内容</w:t>
            </w:r>
          </w:p>
        </w:tc>
      </w:tr>
      <w:tr w14:paraId="01A028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07826AB1">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彭善忠</w:t>
            </w:r>
          </w:p>
        </w:tc>
        <w:tc>
          <w:tcPr>
            <w:tcW w:w="957" w:type="pct"/>
            <w:tcBorders>
              <w:tl2br w:val="nil"/>
              <w:tr2bl w:val="nil"/>
            </w:tcBorders>
            <w:shd w:val="clear" w:color="auto" w:fill="auto"/>
            <w:vAlign w:val="center"/>
          </w:tcPr>
          <w:p w14:paraId="09C7B0E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项目负责人</w:t>
            </w:r>
          </w:p>
        </w:tc>
        <w:tc>
          <w:tcPr>
            <w:tcW w:w="2106" w:type="dxa"/>
            <w:tcBorders>
              <w:tl2br w:val="nil"/>
              <w:tr2bl w:val="nil"/>
            </w:tcBorders>
            <w:shd w:val="clear" w:color="auto" w:fill="auto"/>
            <w:vAlign w:val="center"/>
          </w:tcPr>
          <w:p w14:paraId="3A205C2E">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512223197508214798</w:t>
            </w:r>
          </w:p>
        </w:tc>
        <w:tc>
          <w:tcPr>
            <w:tcW w:w="2107" w:type="dxa"/>
            <w:tcBorders>
              <w:tl2br w:val="nil"/>
              <w:tr2bl w:val="nil"/>
            </w:tcBorders>
            <w:shd w:val="clear" w:color="auto" w:fill="auto"/>
            <w:vAlign w:val="center"/>
          </w:tcPr>
          <w:p w14:paraId="7329BDB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鲁230001133100304</w:t>
            </w:r>
          </w:p>
        </w:tc>
        <w:tc>
          <w:tcPr>
            <w:tcW w:w="915" w:type="pct"/>
            <w:tcBorders>
              <w:tl2br w:val="nil"/>
              <w:tr2bl w:val="nil"/>
            </w:tcBorders>
            <w:shd w:val="clear" w:color="auto" w:fill="auto"/>
            <w:vAlign w:val="center"/>
          </w:tcPr>
          <w:p w14:paraId="028076A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主持现场工作</w:t>
            </w:r>
          </w:p>
        </w:tc>
      </w:tr>
      <w:tr w14:paraId="4783C23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1266EF0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温涛</w:t>
            </w:r>
          </w:p>
        </w:tc>
        <w:tc>
          <w:tcPr>
            <w:tcW w:w="957" w:type="pct"/>
            <w:tcBorders>
              <w:tl2br w:val="nil"/>
              <w:tr2bl w:val="nil"/>
            </w:tcBorders>
            <w:shd w:val="clear" w:color="auto" w:fill="auto"/>
            <w:vAlign w:val="center"/>
          </w:tcPr>
          <w:p w14:paraId="064071C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技术负责人</w:t>
            </w:r>
          </w:p>
        </w:tc>
        <w:tc>
          <w:tcPr>
            <w:tcW w:w="1235" w:type="pct"/>
            <w:tcBorders>
              <w:tl2br w:val="nil"/>
              <w:tr2bl w:val="nil"/>
            </w:tcBorders>
            <w:shd w:val="clear" w:color="auto" w:fill="auto"/>
            <w:vAlign w:val="center"/>
          </w:tcPr>
          <w:p w14:paraId="552C69F6">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412801198705060316</w:t>
            </w:r>
          </w:p>
        </w:tc>
        <w:tc>
          <w:tcPr>
            <w:tcW w:w="1236" w:type="pct"/>
            <w:tcBorders>
              <w:tl2br w:val="nil"/>
              <w:tr2bl w:val="nil"/>
            </w:tcBorders>
            <w:shd w:val="clear" w:color="auto" w:fill="auto"/>
            <w:vAlign w:val="center"/>
          </w:tcPr>
          <w:p w14:paraId="51E2EA57">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鲁200100033201097</w:t>
            </w:r>
          </w:p>
        </w:tc>
        <w:tc>
          <w:tcPr>
            <w:tcW w:w="915" w:type="pct"/>
            <w:tcBorders>
              <w:tl2br w:val="nil"/>
              <w:tr2bl w:val="nil"/>
            </w:tcBorders>
            <w:shd w:val="clear" w:color="auto" w:fill="auto"/>
            <w:vAlign w:val="center"/>
          </w:tcPr>
          <w:p w14:paraId="60C4904F">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公司技术负责人</w:t>
            </w:r>
          </w:p>
        </w:tc>
      </w:tr>
      <w:tr w14:paraId="125AE15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61F187E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白美富</w:t>
            </w:r>
          </w:p>
        </w:tc>
        <w:tc>
          <w:tcPr>
            <w:tcW w:w="957" w:type="pct"/>
            <w:tcBorders>
              <w:tl2br w:val="nil"/>
              <w:tr2bl w:val="nil"/>
            </w:tcBorders>
            <w:shd w:val="clear" w:color="auto" w:fill="auto"/>
            <w:vAlign w:val="center"/>
          </w:tcPr>
          <w:p w14:paraId="7343CD6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专职安全管理人员</w:t>
            </w:r>
          </w:p>
        </w:tc>
        <w:tc>
          <w:tcPr>
            <w:tcW w:w="2106" w:type="dxa"/>
            <w:tcBorders>
              <w:tl2br w:val="nil"/>
              <w:tr2bl w:val="nil"/>
            </w:tcBorders>
            <w:shd w:val="clear" w:color="auto" w:fill="auto"/>
            <w:vAlign w:val="center"/>
          </w:tcPr>
          <w:p w14:paraId="1F1A6748">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510113198801248019</w:t>
            </w:r>
          </w:p>
        </w:tc>
        <w:tc>
          <w:tcPr>
            <w:tcW w:w="2107" w:type="dxa"/>
            <w:tcBorders>
              <w:tl2br w:val="nil"/>
              <w:tr2bl w:val="nil"/>
            </w:tcBorders>
            <w:shd w:val="clear" w:color="auto" w:fill="auto"/>
            <w:vAlign w:val="center"/>
          </w:tcPr>
          <w:p w14:paraId="65E9C7A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川建安C3(2023)0080797</w:t>
            </w:r>
          </w:p>
        </w:tc>
        <w:tc>
          <w:tcPr>
            <w:tcW w:w="915" w:type="pct"/>
            <w:tcBorders>
              <w:tl2br w:val="nil"/>
              <w:tr2bl w:val="nil"/>
            </w:tcBorders>
            <w:shd w:val="clear" w:color="auto" w:fill="auto"/>
            <w:vAlign w:val="center"/>
          </w:tcPr>
          <w:p w14:paraId="65E79861">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负责现场安拆指导及安全管理</w:t>
            </w:r>
          </w:p>
        </w:tc>
      </w:tr>
      <w:tr w14:paraId="2E2EC01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5000" w:type="pct"/>
            <w:gridSpan w:val="5"/>
            <w:tcBorders>
              <w:tl2br w:val="nil"/>
              <w:tr2bl w:val="nil"/>
            </w:tcBorders>
            <w:shd w:val="clear" w:color="auto" w:fill="DAE3F3"/>
            <w:vAlign w:val="center"/>
          </w:tcPr>
          <w:p w14:paraId="0123C2C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安拆施工特种设备作业人员</w:t>
            </w:r>
          </w:p>
        </w:tc>
      </w:tr>
      <w:tr w14:paraId="30FFBB0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72C1573B">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黄科</w:t>
            </w:r>
          </w:p>
        </w:tc>
        <w:tc>
          <w:tcPr>
            <w:tcW w:w="957" w:type="pct"/>
            <w:tcBorders>
              <w:tl2br w:val="nil"/>
              <w:tr2bl w:val="nil"/>
            </w:tcBorders>
            <w:shd w:val="clear" w:color="auto" w:fill="auto"/>
            <w:vAlign w:val="center"/>
          </w:tcPr>
          <w:p w14:paraId="2F2B2096">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00BB5093">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510113198609247470</w:t>
            </w:r>
          </w:p>
        </w:tc>
        <w:tc>
          <w:tcPr>
            <w:tcW w:w="2107" w:type="dxa"/>
            <w:tcBorders>
              <w:tl2br w:val="nil"/>
              <w:tr2bl w:val="nil"/>
            </w:tcBorders>
            <w:shd w:val="clear" w:color="auto" w:fill="auto"/>
            <w:vAlign w:val="center"/>
          </w:tcPr>
          <w:p w14:paraId="42861C4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A082023006932</w:t>
            </w:r>
          </w:p>
        </w:tc>
        <w:tc>
          <w:tcPr>
            <w:tcW w:w="915" w:type="pct"/>
            <w:tcBorders>
              <w:tl2br w:val="nil"/>
              <w:tr2bl w:val="nil"/>
            </w:tcBorders>
            <w:shd w:val="clear" w:color="auto" w:fill="auto"/>
            <w:vAlign w:val="center"/>
          </w:tcPr>
          <w:p w14:paraId="16F1DFBE">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3969B62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0CC62D3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徐刚</w:t>
            </w:r>
          </w:p>
        </w:tc>
        <w:tc>
          <w:tcPr>
            <w:tcW w:w="957" w:type="pct"/>
            <w:tcBorders>
              <w:tl2br w:val="nil"/>
              <w:tr2bl w:val="nil"/>
            </w:tcBorders>
            <w:shd w:val="clear" w:color="auto" w:fill="auto"/>
            <w:vAlign w:val="center"/>
          </w:tcPr>
          <w:p w14:paraId="7D1591D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654483E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500226198809275711</w:t>
            </w:r>
          </w:p>
        </w:tc>
        <w:tc>
          <w:tcPr>
            <w:tcW w:w="2107" w:type="dxa"/>
            <w:tcBorders>
              <w:tl2br w:val="nil"/>
              <w:tr2bl w:val="nil"/>
            </w:tcBorders>
            <w:shd w:val="clear" w:color="auto" w:fill="auto"/>
            <w:vAlign w:val="center"/>
          </w:tcPr>
          <w:p w14:paraId="2B45CCCE">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 082023007219</w:t>
            </w:r>
          </w:p>
        </w:tc>
        <w:tc>
          <w:tcPr>
            <w:tcW w:w="915" w:type="pct"/>
            <w:tcBorders>
              <w:tl2br w:val="nil"/>
              <w:tr2bl w:val="nil"/>
            </w:tcBorders>
            <w:shd w:val="clear" w:color="auto" w:fill="auto"/>
            <w:vAlign w:val="center"/>
          </w:tcPr>
          <w:p w14:paraId="7E8D8B7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58AC3B7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3DAB0133">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陈刚</w:t>
            </w:r>
          </w:p>
        </w:tc>
        <w:tc>
          <w:tcPr>
            <w:tcW w:w="957" w:type="pct"/>
            <w:tcBorders>
              <w:tl2br w:val="nil"/>
              <w:tr2bl w:val="nil"/>
            </w:tcBorders>
            <w:shd w:val="clear" w:color="auto" w:fill="auto"/>
            <w:vAlign w:val="center"/>
          </w:tcPr>
          <w:p w14:paraId="4675A80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6DC906FD">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510922198601193519</w:t>
            </w:r>
          </w:p>
        </w:tc>
        <w:tc>
          <w:tcPr>
            <w:tcW w:w="2107" w:type="dxa"/>
            <w:tcBorders>
              <w:tl2br w:val="nil"/>
              <w:tr2bl w:val="nil"/>
            </w:tcBorders>
            <w:shd w:val="clear" w:color="auto" w:fill="auto"/>
            <w:vAlign w:val="center"/>
          </w:tcPr>
          <w:p w14:paraId="7F8D227B">
            <w:pPr>
              <w:spacing w:line="240" w:lineRule="auto"/>
              <w:ind w:firstLine="0" w:firstLineChars="0"/>
              <w:jc w:val="center"/>
              <w:rPr>
                <w:rFonts w:hint="default" w:ascii="仿宋" w:hAnsi="仿宋" w:eastAsia="仿宋" w:cs="仿宋"/>
                <w:sz w:val="21"/>
                <w:szCs w:val="21"/>
                <w:highlight w:val="none"/>
                <w:lang w:val="en-US" w:eastAsia="zh-CN"/>
              </w:rPr>
            </w:pPr>
            <w:r>
              <w:rPr>
                <w:rFonts w:hint="default" w:ascii="仿宋" w:hAnsi="仿宋" w:eastAsia="仿宋" w:cs="仿宋"/>
                <w:sz w:val="21"/>
                <w:szCs w:val="21"/>
                <w:highlight w:val="none"/>
                <w:lang w:val="en-US" w:eastAsia="zh-CN"/>
              </w:rPr>
              <w:t>川A082023006907</w:t>
            </w:r>
          </w:p>
        </w:tc>
        <w:tc>
          <w:tcPr>
            <w:tcW w:w="915" w:type="pct"/>
            <w:tcBorders>
              <w:tl2br w:val="nil"/>
              <w:tr2bl w:val="nil"/>
            </w:tcBorders>
            <w:shd w:val="clear" w:color="auto" w:fill="auto"/>
            <w:vAlign w:val="center"/>
          </w:tcPr>
          <w:p w14:paraId="7B75887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4301204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394C148C">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黄仁训</w:t>
            </w:r>
          </w:p>
        </w:tc>
        <w:tc>
          <w:tcPr>
            <w:tcW w:w="957" w:type="pct"/>
            <w:tcBorders>
              <w:tl2br w:val="nil"/>
              <w:tr2bl w:val="nil"/>
            </w:tcBorders>
            <w:shd w:val="clear" w:color="auto" w:fill="auto"/>
            <w:vAlign w:val="center"/>
          </w:tcPr>
          <w:p w14:paraId="178F32E6">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65033807">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510113198608137413</w:t>
            </w:r>
          </w:p>
        </w:tc>
        <w:tc>
          <w:tcPr>
            <w:tcW w:w="2107" w:type="dxa"/>
            <w:tcBorders>
              <w:tl2br w:val="nil"/>
              <w:tr2bl w:val="nil"/>
            </w:tcBorders>
            <w:shd w:val="clear" w:color="auto" w:fill="auto"/>
            <w:vAlign w:val="center"/>
          </w:tcPr>
          <w:p w14:paraId="55651E2D">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K 082019700001</w:t>
            </w:r>
          </w:p>
        </w:tc>
        <w:tc>
          <w:tcPr>
            <w:tcW w:w="915" w:type="pct"/>
            <w:tcBorders>
              <w:tl2br w:val="nil"/>
              <w:tr2bl w:val="nil"/>
            </w:tcBorders>
            <w:shd w:val="clear" w:color="auto" w:fill="auto"/>
            <w:vAlign w:val="center"/>
          </w:tcPr>
          <w:p w14:paraId="2AD5400B">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0751C91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25F0082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明兴富</w:t>
            </w:r>
          </w:p>
        </w:tc>
        <w:tc>
          <w:tcPr>
            <w:tcW w:w="957" w:type="pct"/>
            <w:tcBorders>
              <w:tl2br w:val="nil"/>
              <w:tr2bl w:val="nil"/>
            </w:tcBorders>
            <w:shd w:val="clear" w:color="auto" w:fill="auto"/>
            <w:vAlign w:val="center"/>
          </w:tcPr>
          <w:p w14:paraId="0B78BCEC">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建筑电工（维保人员）</w:t>
            </w:r>
          </w:p>
        </w:tc>
        <w:tc>
          <w:tcPr>
            <w:tcW w:w="2106" w:type="dxa"/>
            <w:tcBorders>
              <w:tl2br w:val="nil"/>
              <w:tr2bl w:val="nil"/>
            </w:tcBorders>
            <w:shd w:val="clear" w:color="auto" w:fill="auto"/>
            <w:vAlign w:val="center"/>
          </w:tcPr>
          <w:p w14:paraId="35FF2316">
            <w:pPr>
              <w:spacing w:line="240" w:lineRule="auto"/>
              <w:ind w:firstLine="0" w:firstLineChars="0"/>
              <w:jc w:val="center"/>
              <w:rPr>
                <w:rFonts w:hint="default" w:ascii="仿宋" w:hAnsi="仿宋" w:eastAsia="仿宋" w:cs="仿宋"/>
                <w:sz w:val="21"/>
                <w:szCs w:val="21"/>
                <w:highlight w:val="none"/>
                <w:lang w:val="en-US" w:eastAsia="zh-CN"/>
              </w:rPr>
            </w:pPr>
            <w:r>
              <w:rPr>
                <w:rFonts w:hint="default" w:ascii="仿宋" w:hAnsi="仿宋" w:eastAsia="仿宋" w:cs="仿宋"/>
                <w:sz w:val="21"/>
                <w:szCs w:val="21"/>
                <w:highlight w:val="none"/>
                <w:lang w:val="en-US" w:eastAsia="zh-CN"/>
              </w:rPr>
              <w:t>510322197807274712</w:t>
            </w:r>
          </w:p>
        </w:tc>
        <w:tc>
          <w:tcPr>
            <w:tcW w:w="2107" w:type="dxa"/>
            <w:tcBorders>
              <w:tl2br w:val="nil"/>
              <w:tr2bl w:val="nil"/>
            </w:tcBorders>
            <w:shd w:val="clear" w:color="auto" w:fill="auto"/>
            <w:vAlign w:val="center"/>
          </w:tcPr>
          <w:p w14:paraId="50AD7D95">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川A012023012238</w:t>
            </w:r>
          </w:p>
        </w:tc>
        <w:tc>
          <w:tcPr>
            <w:tcW w:w="915" w:type="pct"/>
            <w:tcBorders>
              <w:tl2br w:val="nil"/>
              <w:tr2bl w:val="nil"/>
            </w:tcBorders>
            <w:shd w:val="clear" w:color="auto" w:fill="auto"/>
            <w:vAlign w:val="center"/>
          </w:tcPr>
          <w:p w14:paraId="4B7E6A48">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负责设备安拆电气调试及维保</w:t>
            </w:r>
          </w:p>
        </w:tc>
      </w:tr>
    </w:tbl>
    <w:p w14:paraId="4EAC002B">
      <w:pPr>
        <w:rPr>
          <w:highlight w:val="none"/>
        </w:rPr>
      </w:pPr>
      <w:r>
        <w:rPr>
          <w:rFonts w:hint="eastAsia"/>
          <w:highlight w:val="none"/>
          <w:lang w:val="en-US" w:eastAsia="zh-CN"/>
        </w:rPr>
        <w:br w:type="page"/>
      </w:r>
    </w:p>
    <w:p w14:paraId="77E8928B">
      <w:pPr>
        <w:pStyle w:val="2"/>
        <w:bidi w:val="0"/>
        <w:ind w:left="432" w:leftChars="0" w:hanging="432" w:firstLineChars="0"/>
      </w:pPr>
      <w:bookmarkStart w:id="324" w:name="_Toc23331"/>
      <w:bookmarkStart w:id="325" w:name="_Toc18200"/>
      <w:r>
        <w:rPr>
          <w:rFonts w:hint="eastAsia"/>
          <w:lang w:val="en-US" w:eastAsia="zh-CN"/>
        </w:rPr>
        <w:t>验收要求</w:t>
      </w:r>
      <w:bookmarkEnd w:id="323"/>
      <w:bookmarkEnd w:id="324"/>
      <w:bookmarkEnd w:id="325"/>
    </w:p>
    <w:p w14:paraId="4977938E">
      <w:pPr>
        <w:pStyle w:val="3"/>
        <w:bidi w:val="0"/>
        <w:ind w:left="575" w:leftChars="0" w:hanging="575" w:firstLineChars="0"/>
        <w:rPr>
          <w:rFonts w:hint="eastAsia"/>
          <w:highlight w:val="none"/>
          <w:lang w:val="en-US" w:eastAsia="zh-CN"/>
        </w:rPr>
      </w:pPr>
      <w:bookmarkStart w:id="326" w:name="_Toc42642040"/>
      <w:bookmarkEnd w:id="326"/>
      <w:bookmarkStart w:id="327" w:name="_Toc5971"/>
      <w:bookmarkEnd w:id="327"/>
      <w:bookmarkStart w:id="328" w:name="_Toc31446"/>
      <w:bookmarkEnd w:id="328"/>
      <w:bookmarkStart w:id="329" w:name="_Toc42641097"/>
      <w:bookmarkEnd w:id="329"/>
      <w:bookmarkStart w:id="330" w:name="_Toc42641787"/>
      <w:bookmarkEnd w:id="330"/>
      <w:bookmarkStart w:id="331" w:name="_Toc4699"/>
      <w:bookmarkEnd w:id="331"/>
      <w:bookmarkStart w:id="332" w:name="_Toc42641868"/>
      <w:bookmarkEnd w:id="332"/>
      <w:bookmarkStart w:id="333" w:name="_Toc16436"/>
      <w:bookmarkEnd w:id="333"/>
      <w:bookmarkStart w:id="334" w:name="_Toc42642327"/>
      <w:bookmarkEnd w:id="334"/>
      <w:bookmarkStart w:id="335" w:name="_Toc19045"/>
      <w:bookmarkStart w:id="336" w:name="_Toc18426"/>
      <w:bookmarkStart w:id="337" w:name="_Toc10409829"/>
      <w:bookmarkStart w:id="338" w:name="_Toc3752"/>
      <w:bookmarkStart w:id="339" w:name="_Toc1659"/>
      <w:bookmarkStart w:id="340" w:name="_Toc13670"/>
      <w:bookmarkStart w:id="341" w:name="_Toc42642337"/>
      <w:bookmarkStart w:id="342" w:name="_Toc27701"/>
      <w:bookmarkStart w:id="343" w:name="_Toc533345518"/>
      <w:r>
        <w:rPr>
          <w:rFonts w:hint="eastAsia"/>
          <w:highlight w:val="none"/>
          <w:lang w:val="en-US" w:eastAsia="zh-CN"/>
        </w:rPr>
        <w:t xml:space="preserve"> </w:t>
      </w:r>
      <w:bookmarkStart w:id="344" w:name="_Toc22807"/>
      <w:r>
        <w:rPr>
          <w:rFonts w:hint="eastAsia"/>
          <w:highlight w:val="none"/>
          <w:lang w:val="en-US" w:eastAsia="zh-CN"/>
        </w:rPr>
        <w:t>验收标准</w:t>
      </w:r>
      <w:bookmarkEnd w:id="335"/>
      <w:bookmarkEnd w:id="336"/>
      <w:bookmarkEnd w:id="344"/>
    </w:p>
    <w:p w14:paraId="577D33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《特种设备安全监察条例》（国务院令第549号）</w:t>
      </w:r>
    </w:p>
    <w:p w14:paraId="1D57DD8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《起重机械安全监察规定》（质监总局令第92号）</w:t>
      </w:r>
    </w:p>
    <w:p w14:paraId="3903CA8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《特种设备作业人员监督管理办法》（质监总局令第140号）</w:t>
      </w:r>
    </w:p>
    <w:p w14:paraId="449604F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《塔式起重机安全规程》（GB 5144-2012）</w:t>
      </w:r>
    </w:p>
    <w:p w14:paraId="38053E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《起重设备安装工程施工及验收规范》（GB 50278-2010）</w:t>
      </w:r>
    </w:p>
    <w:p w14:paraId="113ECA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《起重机 安全使用 第3部分：塔式起重机》（GB/T 2372-2010）</w:t>
      </w:r>
    </w:p>
    <w:p w14:paraId="1EDFD96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《塔式起重机》（GB/T 5031-2008）</w:t>
      </w:r>
    </w:p>
    <w:p w14:paraId="296FE9F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《塔式起重机安装与拆卸规则》（GB/T 26471-2011）</w:t>
      </w:r>
    </w:p>
    <w:p w14:paraId="6F6137A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rPr>
      </w:pPr>
      <w:r>
        <w:rPr>
          <w:rFonts w:hint="eastAsia"/>
          <w:highlight w:val="none"/>
        </w:rPr>
        <w:t>《危险性较大的分部分项工程安全管理规定》住房城乡建设部令第37号</w:t>
      </w:r>
    </w:p>
    <w:p w14:paraId="72A2E334">
      <w:pPr>
        <w:pStyle w:val="4"/>
        <w:bidi w:val="0"/>
        <w:ind w:left="720" w:leftChars="0" w:hanging="720" w:firstLineChars="0"/>
        <w:rPr>
          <w:rFonts w:hint="eastAsia"/>
          <w:lang w:val="en-US" w:eastAsia="zh-CN"/>
        </w:rPr>
      </w:pPr>
      <w:r>
        <w:rPr>
          <w:rFonts w:hint="eastAsia"/>
          <w:lang w:val="en-US" w:eastAsia="zh-CN"/>
        </w:rPr>
        <w:t xml:space="preserve"> 塔</w:t>
      </w:r>
      <w:r>
        <w:rPr>
          <w:rFonts w:hint="eastAsia"/>
        </w:rPr>
        <w:t>式起重机结构</w:t>
      </w:r>
      <w:r>
        <w:rPr>
          <w:rFonts w:hint="eastAsia"/>
          <w:lang w:eastAsia="zh-CN"/>
        </w:rPr>
        <w:t>安全</w:t>
      </w:r>
      <w:bookmarkEnd w:id="337"/>
      <w:bookmarkEnd w:id="338"/>
      <w:bookmarkEnd w:id="339"/>
    </w:p>
    <w:p w14:paraId="584E84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highlight w:val="none"/>
          <w:lang w:eastAsia="zh-CN"/>
        </w:rPr>
        <w:t>塔机</w:t>
      </w:r>
      <w:r>
        <w:rPr>
          <w:rFonts w:hint="eastAsia" w:ascii="宋体" w:hAnsi="宋体" w:eastAsia="宋体"/>
          <w:highlight w:val="none"/>
        </w:rPr>
        <w:t>垂直度允许偏差范围</w:t>
      </w:r>
    </w:p>
    <w:p w14:paraId="4C94A3D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JGJ196-2010《建筑施工塔式起重机安装、使用、拆卸安全技术规程》第 30 页对</w:t>
      </w:r>
      <w:r>
        <w:rPr>
          <w:rFonts w:hint="eastAsia"/>
          <w:highlight w:val="none"/>
          <w:lang w:eastAsia="zh-CN"/>
        </w:rPr>
        <w:t>塔机</w:t>
      </w:r>
      <w:r>
        <w:rPr>
          <w:rFonts w:hint="eastAsia" w:ascii="宋体" w:hAnsi="宋体" w:eastAsia="宋体"/>
          <w:highlight w:val="none"/>
        </w:rPr>
        <w:t>垂直度要求规定如下：独立状态或</w:t>
      </w:r>
      <w:r>
        <w:rPr>
          <w:rFonts w:hint="eastAsia" w:ascii="宋体" w:hAnsi="宋体" w:eastAsia="宋体"/>
          <w:highlight w:val="none"/>
          <w:lang w:eastAsia="zh-CN"/>
        </w:rPr>
        <w:t>附墙</w:t>
      </w:r>
      <w:r>
        <w:rPr>
          <w:rFonts w:hint="eastAsia" w:ascii="宋体" w:hAnsi="宋体" w:eastAsia="宋体"/>
          <w:highlight w:val="none"/>
        </w:rPr>
        <w:t>状态下最高</w:t>
      </w:r>
      <w:r>
        <w:rPr>
          <w:rFonts w:hint="eastAsia" w:ascii="宋体" w:hAnsi="宋体" w:eastAsia="宋体"/>
          <w:highlight w:val="none"/>
          <w:lang w:eastAsia="zh-CN"/>
        </w:rPr>
        <w:t>附墙</w:t>
      </w:r>
      <w:r>
        <w:rPr>
          <w:rFonts w:hint="eastAsia" w:ascii="宋体" w:hAnsi="宋体" w:eastAsia="宋体"/>
          <w:highlight w:val="none"/>
        </w:rPr>
        <w:t>点以上塔身轴线对支承面垂直度不得大于4/1000，最高</w:t>
      </w:r>
      <w:r>
        <w:rPr>
          <w:rFonts w:hint="eastAsia" w:ascii="宋体" w:hAnsi="宋体" w:eastAsia="宋体"/>
          <w:highlight w:val="none"/>
          <w:lang w:eastAsia="zh-CN"/>
        </w:rPr>
        <w:t>附墙</w:t>
      </w:r>
      <w:r>
        <w:rPr>
          <w:rFonts w:hint="eastAsia" w:ascii="宋体" w:hAnsi="宋体" w:eastAsia="宋体"/>
          <w:highlight w:val="none"/>
        </w:rPr>
        <w:t>点下塔身轴线对支承面垂直度不得大于相应高度的2/1000。</w:t>
      </w:r>
    </w:p>
    <w:p w14:paraId="3F26F53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highlight w:val="none"/>
          <w:lang w:eastAsia="zh-CN"/>
        </w:rPr>
        <w:t>塔机</w:t>
      </w:r>
      <w:r>
        <w:rPr>
          <w:rFonts w:hint="eastAsia" w:ascii="宋体" w:hAnsi="宋体" w:eastAsia="宋体"/>
          <w:highlight w:val="none"/>
        </w:rPr>
        <w:t>垂直度计算</w:t>
      </w:r>
    </w:p>
    <w:p w14:paraId="7A6D91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highlight w:val="none"/>
          <w:lang w:eastAsia="zh-CN"/>
        </w:rPr>
        <w:t>塔机</w:t>
      </w:r>
      <w:r>
        <w:rPr>
          <w:rFonts w:hint="eastAsia" w:ascii="宋体" w:hAnsi="宋体" w:eastAsia="宋体"/>
          <w:highlight w:val="none"/>
        </w:rPr>
        <w:t>垂直度&lt;4/1000，安装</w:t>
      </w:r>
      <w:r>
        <w:rPr>
          <w:rFonts w:hint="eastAsia" w:ascii="宋体" w:hAnsi="宋体" w:eastAsia="宋体"/>
          <w:highlight w:val="none"/>
          <w:lang w:eastAsia="zh-CN"/>
        </w:rPr>
        <w:t>附墙</w:t>
      </w:r>
      <w:r>
        <w:rPr>
          <w:rFonts w:hint="eastAsia" w:ascii="宋体" w:hAnsi="宋体" w:eastAsia="宋体"/>
          <w:highlight w:val="none"/>
        </w:rPr>
        <w:t>装置后，</w:t>
      </w:r>
      <w:r>
        <w:rPr>
          <w:rFonts w:hint="eastAsia" w:ascii="宋体" w:hAnsi="宋体" w:eastAsia="宋体"/>
          <w:highlight w:val="none"/>
          <w:lang w:eastAsia="zh-CN"/>
        </w:rPr>
        <w:t>附墙</w:t>
      </w:r>
      <w:r>
        <w:rPr>
          <w:rFonts w:hint="eastAsia" w:ascii="宋体" w:hAnsi="宋体" w:eastAsia="宋体"/>
          <w:highlight w:val="none"/>
        </w:rPr>
        <w:t>以下&lt;2/1000，</w:t>
      </w:r>
      <w:r>
        <w:rPr>
          <w:rFonts w:hint="eastAsia" w:ascii="宋体" w:hAnsi="宋体" w:eastAsia="宋体"/>
          <w:highlight w:val="none"/>
          <w:lang w:eastAsia="zh-CN"/>
        </w:rPr>
        <w:t>附墙</w:t>
      </w:r>
      <w:r>
        <w:rPr>
          <w:rFonts w:hint="eastAsia" w:ascii="宋体" w:hAnsi="宋体" w:eastAsia="宋体"/>
          <w:highlight w:val="none"/>
        </w:rPr>
        <w:t>以上&lt;4/1000。</w:t>
      </w:r>
    </w:p>
    <w:p w14:paraId="1C792B2C">
      <w:pPr>
        <w:pStyle w:val="4"/>
        <w:bidi w:val="0"/>
        <w:ind w:left="720" w:leftChars="0" w:hanging="720" w:firstLineChars="0"/>
        <w:rPr>
          <w:rFonts w:hint="eastAsia"/>
        </w:rPr>
      </w:pPr>
      <w:bookmarkStart w:id="345" w:name="_Toc18388"/>
      <w:bookmarkStart w:id="346" w:name="_Toc10409830"/>
      <w:bookmarkStart w:id="347" w:name="_Toc3430"/>
      <w:r>
        <w:rPr>
          <w:rFonts w:hint="eastAsia"/>
          <w:lang w:val="en-US" w:eastAsia="zh-CN"/>
        </w:rPr>
        <w:t xml:space="preserve"> </w:t>
      </w:r>
      <w:r>
        <w:rPr>
          <w:rFonts w:hint="eastAsia"/>
        </w:rPr>
        <w:t>电气要求</w:t>
      </w:r>
      <w:bookmarkEnd w:id="345"/>
      <w:bookmarkEnd w:id="346"/>
      <w:bookmarkEnd w:id="347"/>
    </w:p>
    <w:p w14:paraId="4FC937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电气部分</w:t>
      </w:r>
    </w:p>
    <w:p w14:paraId="506DC1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77332BD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供电</w:t>
      </w:r>
    </w:p>
    <w:p w14:paraId="235AA4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起重机供电电源为三相交流电源,电压380V±10%,频率50HZ。</w:t>
      </w:r>
    </w:p>
    <w:p w14:paraId="19C609E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）电气保护</w:t>
      </w:r>
    </w:p>
    <w:p w14:paraId="3F4F48E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短路及过载保护:</w:t>
      </w:r>
    </w:p>
    <w:p w14:paraId="378081C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起重机总受电屏、控制屏进出电源设置断路器、控制回路设置小容量断路器，使各机构在短路，过载等事故状态下，迅速与电源脱离,以达到保护设备及人机安全的目的。</w:t>
      </w:r>
    </w:p>
    <w:p w14:paraId="0128369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失压保护:</w:t>
      </w:r>
    </w:p>
    <w:p w14:paraId="36EDF0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在总受电屏及机构控制屏中，用线路接触器作为失压保护装置，当供电电源中断时,能够自动断开电源。</w:t>
      </w:r>
    </w:p>
    <w:p w14:paraId="4178BB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零位保护:</w:t>
      </w:r>
    </w:p>
    <w:p w14:paraId="6BAD086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司机室的联动台凸轮控制器手柄上设有零位连锁，达到零位的目的。即当起重机开始运转前和失压恢复供电时，必须将控制器的手柄置于零位，各机构的电动机才能启动工作。</w:t>
      </w:r>
    </w:p>
    <w:p w14:paraId="4628A0E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紧急断电保护:</w:t>
      </w:r>
    </w:p>
    <w:p w14:paraId="6E63AF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司机室内设有紧急断电按钮，当起重机发生紧急情况时，随时方便地切</w:t>
      </w:r>
    </w:p>
    <w:p w14:paraId="7217D9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断控制回路电源，从而使主回路断电，确保起重机的安全运行。</w:t>
      </w:r>
    </w:p>
    <w:p w14:paraId="0845A63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5</w:t>
      </w:r>
      <w:r>
        <w:rPr>
          <w:rFonts w:hint="eastAsia" w:ascii="宋体" w:hAnsi="宋体" w:eastAsia="宋体"/>
          <w:highlight w:val="none"/>
          <w:lang w:eastAsia="zh-CN"/>
        </w:rPr>
        <w:t>）</w:t>
      </w:r>
      <w:r>
        <w:rPr>
          <w:rFonts w:hint="eastAsia" w:ascii="宋体" w:hAnsi="宋体" w:eastAsia="宋体"/>
          <w:highlight w:val="none"/>
        </w:rPr>
        <w:t>上升高度</w:t>
      </w:r>
      <w:r>
        <w:rPr>
          <w:rFonts w:hint="eastAsia" w:ascii="宋体" w:hAnsi="宋体" w:eastAsia="宋体"/>
          <w:highlight w:val="none"/>
          <w:lang w:val="en-US" w:eastAsia="zh-CN"/>
        </w:rPr>
        <w:t>及下降深度</w:t>
      </w:r>
      <w:r>
        <w:rPr>
          <w:rFonts w:hint="eastAsia" w:ascii="宋体" w:hAnsi="宋体" w:eastAsia="宋体"/>
          <w:highlight w:val="none"/>
        </w:rPr>
        <w:t>限位</w:t>
      </w:r>
      <w:r>
        <w:rPr>
          <w:rFonts w:hint="eastAsia" w:ascii="宋体" w:hAnsi="宋体" w:eastAsia="宋体"/>
          <w:highlight w:val="none"/>
          <w:lang w:val="en-US" w:eastAsia="zh-CN"/>
        </w:rPr>
        <w:t>保护</w:t>
      </w:r>
      <w:r>
        <w:rPr>
          <w:rFonts w:hint="eastAsia" w:ascii="宋体" w:hAnsi="宋体" w:eastAsia="宋体"/>
          <w:highlight w:val="none"/>
        </w:rPr>
        <w:t>:</w:t>
      </w:r>
    </w:p>
    <w:p w14:paraId="1B1233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起升启动加软启动，起升机构设有双限位开关，可保证吊钩上升到极限位置时切断电源，从而达到减速和停车的目的，确保起重机的安全运行。</w:t>
      </w:r>
    </w:p>
    <w:p w14:paraId="6E5DC0E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6</w:t>
      </w:r>
      <w:r>
        <w:rPr>
          <w:rFonts w:hint="eastAsia" w:ascii="宋体" w:hAnsi="宋体" w:eastAsia="宋体"/>
          <w:highlight w:val="none"/>
          <w:lang w:eastAsia="zh-CN"/>
        </w:rPr>
        <w:t>）</w:t>
      </w:r>
      <w:r>
        <w:rPr>
          <w:rFonts w:hint="eastAsia" w:ascii="宋体" w:hAnsi="宋体" w:eastAsia="宋体"/>
          <w:highlight w:val="none"/>
          <w:lang w:val="en-US" w:eastAsia="zh-CN"/>
        </w:rPr>
        <w:t>运行形成限位保护</w:t>
      </w:r>
    </w:p>
    <w:p w14:paraId="30F3A8C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起重臂</w:t>
      </w:r>
      <w:r>
        <w:rPr>
          <w:rFonts w:hint="eastAsia" w:ascii="宋体" w:hAnsi="宋体" w:eastAsia="宋体"/>
          <w:highlight w:val="none"/>
        </w:rPr>
        <w:t>设有</w:t>
      </w:r>
      <w:r>
        <w:rPr>
          <w:rFonts w:hint="eastAsia" w:ascii="宋体" w:hAnsi="宋体" w:eastAsia="宋体"/>
          <w:highlight w:val="none"/>
          <w:lang w:val="en-US" w:eastAsia="zh-CN"/>
        </w:rPr>
        <w:t>小车形成限位器</w:t>
      </w:r>
      <w:r>
        <w:rPr>
          <w:rFonts w:hint="eastAsia" w:ascii="宋体" w:hAnsi="宋体" w:eastAsia="宋体"/>
          <w:highlight w:val="none"/>
        </w:rPr>
        <w:t>，可保证</w:t>
      </w:r>
      <w:r>
        <w:rPr>
          <w:rFonts w:hint="eastAsia" w:ascii="宋体" w:hAnsi="宋体" w:eastAsia="宋体"/>
          <w:highlight w:val="none"/>
          <w:lang w:val="en-US" w:eastAsia="zh-CN"/>
        </w:rPr>
        <w:t>小车行走到</w:t>
      </w:r>
      <w:r>
        <w:rPr>
          <w:rFonts w:hint="eastAsia" w:ascii="宋体" w:hAnsi="宋体" w:eastAsia="宋体"/>
          <w:highlight w:val="none"/>
        </w:rPr>
        <w:t>到极限位置时切断电源，使主回路断电，从而达到减速和停车的目的，确保起重机的安全运行。</w:t>
      </w:r>
    </w:p>
    <w:p w14:paraId="136A4E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val="en-US" w:eastAsia="zh-CN"/>
        </w:rPr>
      </w:pPr>
      <w:r>
        <w:rPr>
          <w:rFonts w:hint="eastAsia" w:ascii="宋体" w:hAnsi="宋体" w:eastAsia="宋体"/>
          <w:highlight w:val="none"/>
          <w:lang w:val="en-US" w:eastAsia="zh-CN"/>
        </w:rPr>
        <w:t>7</w:t>
      </w:r>
      <w:r>
        <w:rPr>
          <w:rFonts w:hint="eastAsia" w:ascii="宋体" w:hAnsi="宋体" w:eastAsia="宋体"/>
          <w:highlight w:val="none"/>
          <w:lang w:eastAsia="zh-CN"/>
        </w:rPr>
        <w:t>）</w:t>
      </w:r>
      <w:r>
        <w:rPr>
          <w:rFonts w:hint="eastAsia" w:ascii="宋体" w:hAnsi="宋体" w:eastAsia="宋体"/>
          <w:highlight w:val="none"/>
          <w:lang w:val="en-US" w:eastAsia="zh-CN"/>
        </w:rPr>
        <w:t>起重力矩限制保护</w:t>
      </w:r>
    </w:p>
    <w:p w14:paraId="391EA5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起升机构配置起重力矩限制器，具有报警功能，当载荷达到额定起重</w:t>
      </w:r>
      <w:r>
        <w:rPr>
          <w:rFonts w:hint="eastAsia" w:ascii="宋体" w:hAnsi="宋体" w:eastAsia="宋体"/>
          <w:highlight w:val="none"/>
          <w:lang w:val="en-US" w:eastAsia="zh-CN"/>
        </w:rPr>
        <w:t>力矩</w:t>
      </w:r>
      <w:r>
        <w:rPr>
          <w:rFonts w:hint="eastAsia" w:ascii="宋体" w:hAnsi="宋体" w:eastAsia="宋体"/>
          <w:highlight w:val="none"/>
        </w:rPr>
        <w:t>的90％时，能发出提示性报警信号，当起重量超过额定起重</w:t>
      </w:r>
      <w:r>
        <w:rPr>
          <w:rFonts w:hint="eastAsia" w:ascii="宋体" w:hAnsi="宋体" w:eastAsia="宋体"/>
          <w:highlight w:val="none"/>
          <w:lang w:val="en-US" w:eastAsia="zh-CN"/>
        </w:rPr>
        <w:t>力矩</w:t>
      </w:r>
      <w:r>
        <w:rPr>
          <w:rFonts w:hint="eastAsia" w:ascii="宋体" w:hAnsi="宋体" w:eastAsia="宋体"/>
          <w:highlight w:val="none"/>
        </w:rPr>
        <w:t>时，能自动切断起升动力源，并发出禁止性报警信号。</w:t>
      </w:r>
    </w:p>
    <w:p w14:paraId="46827F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8</w:t>
      </w:r>
      <w:r>
        <w:rPr>
          <w:rFonts w:hint="eastAsia" w:ascii="宋体" w:hAnsi="宋体" w:eastAsia="宋体"/>
          <w:highlight w:val="none"/>
          <w:lang w:eastAsia="zh-CN"/>
        </w:rPr>
        <w:t>）</w:t>
      </w:r>
      <w:r>
        <w:rPr>
          <w:rFonts w:hint="eastAsia" w:ascii="宋体" w:hAnsi="宋体" w:eastAsia="宋体"/>
          <w:highlight w:val="none"/>
          <w:lang w:val="en-US" w:eastAsia="zh-CN"/>
        </w:rPr>
        <w:t>回转限位保护</w:t>
      </w:r>
    </w:p>
    <w:p w14:paraId="2134CB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回转齿轮处设有回转限位保护器，当回转机构旋转到极限角度时</w:t>
      </w:r>
      <w:r>
        <w:rPr>
          <w:rFonts w:hint="eastAsia" w:ascii="宋体" w:hAnsi="宋体" w:eastAsia="宋体"/>
          <w:highlight w:val="none"/>
        </w:rPr>
        <w:t>切断电源，使主回路断电，从而达到减速和停车的目的，确保起重机的安全运行。</w:t>
      </w:r>
    </w:p>
    <w:p w14:paraId="125079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9</w:t>
      </w:r>
      <w:r>
        <w:rPr>
          <w:rFonts w:hint="eastAsia" w:ascii="宋体" w:hAnsi="宋体" w:eastAsia="宋体"/>
          <w:highlight w:val="none"/>
          <w:lang w:eastAsia="zh-CN"/>
        </w:rPr>
        <w:t>）</w:t>
      </w:r>
      <w:r>
        <w:rPr>
          <w:rFonts w:hint="eastAsia" w:ascii="宋体" w:hAnsi="宋体" w:eastAsia="宋体"/>
          <w:highlight w:val="none"/>
        </w:rPr>
        <w:t>门开关保护:</w:t>
      </w:r>
    </w:p>
    <w:p w14:paraId="40031F4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进入起重机的门和桥架斜梯门上均设有安全开关。当其中任意一个安全开关断开时，总接触器即自动断开，可避免误入大车走台造成事故。大车上车门设联系按钮。</w:t>
      </w:r>
    </w:p>
    <w:p w14:paraId="652937B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10</w:t>
      </w:r>
      <w:r>
        <w:rPr>
          <w:rFonts w:hint="eastAsia" w:ascii="宋体" w:hAnsi="宋体" w:eastAsia="宋体"/>
          <w:highlight w:val="none"/>
          <w:lang w:eastAsia="zh-CN"/>
        </w:rPr>
        <w:t>）</w:t>
      </w:r>
      <w:r>
        <w:rPr>
          <w:rFonts w:hint="eastAsia" w:ascii="宋体" w:hAnsi="宋体" w:eastAsia="宋体"/>
          <w:highlight w:val="none"/>
        </w:rPr>
        <w:t>控制柜,端子箱防护等级IP55，端子箱采用下部或侧部进线上部做防雨，</w:t>
      </w:r>
    </w:p>
    <w:p w14:paraId="534867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槽盖加防脱落装置。</w:t>
      </w:r>
    </w:p>
    <w:p w14:paraId="75B9CC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）操纵方式:</w:t>
      </w:r>
    </w:p>
    <w:p w14:paraId="2D862BF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司机室设有总电源和控制电源开关状态信号指示灯。</w:t>
      </w:r>
    </w:p>
    <w:p w14:paraId="5B868EA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司机室设置交流220V电源插座及三相380V电源，备接其它电气设备。</w:t>
      </w:r>
    </w:p>
    <w:p w14:paraId="34B919D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司机室设有36V插座，以便于检修作业。</w:t>
      </w:r>
    </w:p>
    <w:p w14:paraId="71FDD0E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司机室用交流220V/40W荧光灯具照明，以满足照度不低于200LX的要求。</w:t>
      </w:r>
    </w:p>
    <w:p w14:paraId="2565DC5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4</w:t>
      </w:r>
      <w:r>
        <w:rPr>
          <w:rFonts w:hint="eastAsia" w:ascii="宋体" w:hAnsi="宋体" w:eastAsia="宋体"/>
          <w:highlight w:val="none"/>
          <w:lang w:eastAsia="zh-CN"/>
        </w:rPr>
        <w:t>）照明信号:</w:t>
      </w:r>
    </w:p>
    <w:p w14:paraId="5462CBB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照明及信号部分设有专用的隔离变压器。原边进线电压为交流380V，副</w:t>
      </w:r>
    </w:p>
    <w:p w14:paraId="5B1229A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边出线电压为交流220V，交流36V。交流220V为起重机照明电源；交流36V为起重机安全信号和检修电源。照明变压器从主接触器上端引线，以保证主接触器断电时，照明回路不断电。</w:t>
      </w:r>
    </w:p>
    <w:p w14:paraId="7E37290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设有报警装置,开车时起提示作用，在司机室通过脚踏开关控制。</w:t>
      </w:r>
    </w:p>
    <w:p w14:paraId="6308422E">
      <w:pPr>
        <w:pStyle w:val="4"/>
        <w:bidi w:val="0"/>
        <w:ind w:left="720" w:leftChars="0" w:hanging="720" w:firstLineChars="0"/>
        <w:rPr>
          <w:rFonts w:hint="eastAsia"/>
          <w:lang w:val="en-US" w:eastAsia="zh-CN"/>
        </w:rPr>
      </w:pPr>
      <w:bookmarkStart w:id="348" w:name="_Toc18301"/>
      <w:bookmarkStart w:id="349" w:name="_Toc14483"/>
      <w:bookmarkStart w:id="350" w:name="_Toc10409831"/>
      <w:r>
        <w:rPr>
          <w:rFonts w:hint="eastAsia"/>
          <w:lang w:val="en-US" w:eastAsia="zh-CN"/>
        </w:rPr>
        <w:t xml:space="preserve"> 焊接要求</w:t>
      </w:r>
      <w:bookmarkEnd w:id="348"/>
      <w:bookmarkEnd w:id="349"/>
      <w:bookmarkEnd w:id="350"/>
    </w:p>
    <w:p w14:paraId="51DE11F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焊缝外部检查不得有目测可见的裂纹、气孔、固体夹杂、未熔合、未焊透等明显缺陷。</w:t>
      </w:r>
    </w:p>
    <w:p w14:paraId="5CF4DBB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制造过程中焊接质量要求：焊缝表面质量应达到《钢的弧焊接头 缺陷质量分析指南》（GB/T19418-2003）中的“B”级，焊缝内部质量应进行无损探伤，射线探伤时应不低于《金属融化焊接接头射线照相》（GB3323-2005）中规定的Ⅱ级，超声波探伤时应不低于《钢结构超声波探伤及质量分级法》（JG/T203-2007）中规定的I级。</w:t>
      </w:r>
    </w:p>
    <w:p w14:paraId="69033E5D">
      <w:pPr>
        <w:pStyle w:val="4"/>
        <w:bidi w:val="0"/>
        <w:ind w:left="720" w:leftChars="0" w:hanging="720" w:firstLineChars="0"/>
        <w:rPr>
          <w:rFonts w:hint="eastAsia"/>
          <w:lang w:val="en-US" w:eastAsia="zh-CN"/>
        </w:rPr>
      </w:pPr>
      <w:bookmarkStart w:id="351" w:name="_Toc10409832"/>
      <w:bookmarkStart w:id="352" w:name="_Toc2556"/>
      <w:bookmarkStart w:id="353" w:name="_Toc2591"/>
      <w:r>
        <w:rPr>
          <w:rFonts w:hint="eastAsia"/>
          <w:lang w:val="en-US" w:eastAsia="zh-CN"/>
        </w:rPr>
        <w:t xml:space="preserve"> 螺栓连接要求</w:t>
      </w:r>
      <w:bookmarkEnd w:id="351"/>
      <w:bookmarkEnd w:id="352"/>
      <w:bookmarkEnd w:id="353"/>
    </w:p>
    <w:p w14:paraId="3C77A7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钢结构采用高强度螺栓完成构件的连接时，其连接接头应符合JGJ82的规定。</w:t>
      </w:r>
    </w:p>
    <w:p w14:paraId="32DB6F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大六角头高强度螺栓接头所用螺栓、螺母、垫圈及其技术要求应分别符合GB/T1228-2006、GB/T1229-2006、GB/T1230-2006、GB/T1231-2006的规定。</w:t>
      </w:r>
    </w:p>
    <w:p w14:paraId="4BB87C60">
      <w:pPr>
        <w:pStyle w:val="4"/>
        <w:bidi w:val="0"/>
        <w:ind w:left="720" w:leftChars="0" w:hanging="720" w:firstLineChars="0"/>
        <w:rPr>
          <w:rFonts w:hint="eastAsia"/>
          <w:lang w:val="en-US" w:eastAsia="zh-CN"/>
        </w:rPr>
      </w:pPr>
      <w:bookmarkStart w:id="354" w:name="_Toc5943"/>
      <w:bookmarkStart w:id="355" w:name="_Toc10409833"/>
      <w:bookmarkStart w:id="356" w:name="_Toc384"/>
      <w:r>
        <w:rPr>
          <w:rFonts w:hint="eastAsia"/>
          <w:lang w:val="en-US" w:eastAsia="zh-CN"/>
        </w:rPr>
        <w:t xml:space="preserve"> 防雷接地要求</w:t>
      </w:r>
      <w:bookmarkEnd w:id="354"/>
      <w:bookmarkEnd w:id="355"/>
      <w:bookmarkEnd w:id="356"/>
    </w:p>
    <w:p w14:paraId="327C73C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）起重机的接地：</w:t>
      </w:r>
    </w:p>
    <w:p w14:paraId="45EBAD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起重机的金属结构及所有电气设备的金属外壳，电缆金属外皮和变压器</w:t>
      </w:r>
    </w:p>
    <w:p w14:paraId="6D4AFF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的低压侧均有可靠的接地。</w:t>
      </w:r>
    </w:p>
    <w:p w14:paraId="1BC5862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接地线连接用不小于150mm2扁钢或10 mm2的铜线，用焊接法连接。</w:t>
      </w:r>
    </w:p>
    <w:p w14:paraId="705F08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）接地方式</w:t>
      </w:r>
    </w:p>
    <w:p w14:paraId="1A59888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采用长米截面积为150mm2的钢管埋入地下米处，再用50×5mm2镀锌扁钢充分焊接引出地表作接地母线，最后采用10mm2多股铜导线连接</w:t>
      </w:r>
      <w:r>
        <w:rPr>
          <w:rFonts w:hint="eastAsia" w:ascii="宋体" w:hAnsi="宋体" w:eastAsia="宋体"/>
          <w:highlight w:val="none"/>
          <w:lang w:val="en-US" w:eastAsia="zh-CN"/>
        </w:rPr>
        <w:t>加强标准节底部</w:t>
      </w:r>
      <w:r>
        <w:rPr>
          <w:rFonts w:hint="eastAsia" w:ascii="宋体" w:hAnsi="宋体" w:eastAsia="宋体"/>
          <w:highlight w:val="none"/>
        </w:rPr>
        <w:t>与接地母线。</w:t>
      </w:r>
    </w:p>
    <w:p w14:paraId="3BA4BEA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）防雷接地具体内容：</w:t>
      </w:r>
    </w:p>
    <w:p w14:paraId="61C2E09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防雷接地装置由接闪器、引下线、接地装置组成。</w:t>
      </w:r>
    </w:p>
    <w:p w14:paraId="01BA659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建筑物内的设备、管道构架等主要金属物和防侧击雷的门窗、栏杆以及</w:t>
      </w:r>
    </w:p>
    <w:p w14:paraId="0A6F1A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屋面的金属物体必须接地焊接。</w:t>
      </w:r>
    </w:p>
    <w:p w14:paraId="43F60E5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防雷接地体应采取焊接方法：</w:t>
      </w:r>
    </w:p>
    <w:p w14:paraId="4BD8FD4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使用金属管作接地体时应在其串接部位焊接角形金属跨接线；</w:t>
      </w:r>
    </w:p>
    <w:p w14:paraId="4B2724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5</w:t>
      </w:r>
      <w:r>
        <w:rPr>
          <w:rFonts w:hint="eastAsia" w:ascii="宋体" w:hAnsi="宋体" w:eastAsia="宋体"/>
          <w:highlight w:val="none"/>
          <w:lang w:eastAsia="zh-CN"/>
        </w:rPr>
        <w:t>）</w:t>
      </w:r>
      <w:r>
        <w:rPr>
          <w:rFonts w:hint="eastAsia" w:ascii="宋体" w:hAnsi="宋体" w:eastAsia="宋体"/>
          <w:highlight w:val="none"/>
        </w:rPr>
        <w:t>钢筋与钢筋交叉要用一条短圆钢进行跨接焊接，焊接长度不小于圆钢直</w:t>
      </w:r>
    </w:p>
    <w:p w14:paraId="63FD43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径的6倍，圆钢同扁钢的焊接必须进行三面焊接；</w:t>
      </w:r>
    </w:p>
    <w:p w14:paraId="48FB12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6</w:t>
      </w:r>
      <w:r>
        <w:rPr>
          <w:rFonts w:hint="eastAsia" w:ascii="宋体" w:hAnsi="宋体" w:eastAsia="宋体"/>
          <w:highlight w:val="none"/>
          <w:lang w:eastAsia="zh-CN"/>
        </w:rPr>
        <w:t>）</w:t>
      </w:r>
      <w:r>
        <w:rPr>
          <w:rFonts w:hint="eastAsia" w:ascii="宋体" w:hAnsi="宋体" w:eastAsia="宋体"/>
          <w:highlight w:val="none"/>
        </w:rPr>
        <w:t>焊接处焊缝应饱满，要有足够的机械强度，不得有灰渣，咬肉裂纹虚焊</w:t>
      </w:r>
    </w:p>
    <w:p w14:paraId="31AFFD2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气孔等缺陷，焊接处的药皮应敲净。 接地体采取搭焊接时。其搭接长度必须符合以下要求：①扁钢为其宽的2倍以上；（三个棱边焊接）②圆钢为其直径的6倍以上；（双面焊接）③圆钢和扁钢连接，其长度为圆钢直径的6倍。（三面焊接）。</w:t>
      </w:r>
    </w:p>
    <w:p w14:paraId="626E6C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7</w:t>
      </w:r>
      <w:r>
        <w:rPr>
          <w:rFonts w:hint="eastAsia" w:ascii="宋体" w:hAnsi="宋体" w:eastAsia="宋体"/>
          <w:highlight w:val="none"/>
          <w:lang w:eastAsia="zh-CN"/>
        </w:rPr>
        <w:t>）</w:t>
      </w:r>
      <w:r>
        <w:rPr>
          <w:rFonts w:hint="eastAsia" w:ascii="宋体" w:hAnsi="宋体" w:eastAsia="宋体"/>
          <w:highlight w:val="none"/>
        </w:rPr>
        <w:t>人工接地体应采用圆钢、扁钢、角钢、钢管等金属材料，必须符合以下</w:t>
      </w:r>
    </w:p>
    <w:p w14:paraId="0EDB80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要求：①圆钢直径不小于10mm；②扁钢截面不小于100平方毫米，厚度不小于4毫米；③角钢厚度不小于4毫米；④钢管壁厚不小于毫米。</w:t>
      </w:r>
    </w:p>
    <w:p w14:paraId="3EDD91C0">
      <w:pPr>
        <w:pStyle w:val="3"/>
        <w:bidi w:val="0"/>
        <w:ind w:left="575" w:leftChars="0" w:hanging="575" w:firstLineChars="0"/>
        <w:rPr>
          <w:rFonts w:hint="default"/>
          <w:lang w:val="en-US" w:eastAsia="zh-CN"/>
        </w:rPr>
      </w:pPr>
      <w:bookmarkStart w:id="357" w:name="_Toc26449"/>
      <w:bookmarkStart w:id="358" w:name="_Toc10753"/>
      <w:r>
        <w:rPr>
          <w:rFonts w:hint="eastAsia"/>
          <w:lang w:val="en-US" w:eastAsia="zh-CN"/>
        </w:rPr>
        <w:t xml:space="preserve"> </w:t>
      </w:r>
      <w:bookmarkEnd w:id="340"/>
      <w:bookmarkEnd w:id="341"/>
      <w:bookmarkEnd w:id="342"/>
      <w:bookmarkEnd w:id="343"/>
      <w:bookmarkStart w:id="359" w:name="_Toc20146"/>
      <w:r>
        <w:rPr>
          <w:rFonts w:hint="eastAsia"/>
          <w:lang w:val="en-US" w:eastAsia="zh-CN"/>
        </w:rPr>
        <w:t>验收程序和验收人员</w:t>
      </w:r>
      <w:bookmarkEnd w:id="357"/>
      <w:bookmarkEnd w:id="358"/>
      <w:bookmarkEnd w:id="359"/>
    </w:p>
    <w:p w14:paraId="37F5B003">
      <w:pPr>
        <w:pStyle w:val="4"/>
        <w:bidi w:val="0"/>
        <w:ind w:left="720" w:leftChars="0" w:hanging="720" w:firstLineChars="0"/>
        <w:rPr>
          <w:rFonts w:hint="eastAsia"/>
          <w:lang w:val="en-US" w:eastAsia="zh-CN"/>
        </w:rPr>
      </w:pPr>
      <w:bookmarkStart w:id="360" w:name="_Toc7558"/>
      <w:bookmarkStart w:id="361" w:name="_Toc1331"/>
      <w:r>
        <w:rPr>
          <w:rFonts w:hint="eastAsia"/>
          <w:lang w:val="en-US" w:eastAsia="zh-CN"/>
        </w:rPr>
        <w:t>材料、机械设备进场验收</w:t>
      </w:r>
      <w:bookmarkEnd w:id="360"/>
      <w:bookmarkEnd w:id="361"/>
    </w:p>
    <w:p w14:paraId="39A93149">
      <w:pPr>
        <w:ind w:firstLine="480" w:firstLineChars="200"/>
        <w:rPr>
          <w:rFonts w:hint="default"/>
          <w:highlight w:val="none"/>
          <w:lang w:val="en-US" w:eastAsia="zh-CN"/>
        </w:rPr>
      </w:pPr>
      <w:r>
        <w:rPr>
          <w:rFonts w:hint="eastAsia"/>
          <w:highlight w:val="none"/>
          <w:lang w:val="en-US" w:eastAsia="zh-CN"/>
        </w:rPr>
        <w:t>（1）</w:t>
      </w:r>
      <w:r>
        <w:rPr>
          <w:rFonts w:hint="default"/>
          <w:highlight w:val="none"/>
          <w:lang w:val="en-US" w:eastAsia="zh-CN"/>
        </w:rPr>
        <w:t>材料进场后，由</w:t>
      </w:r>
      <w:r>
        <w:rPr>
          <w:rFonts w:hint="eastAsia"/>
          <w:highlight w:val="none"/>
          <w:lang w:val="en-US" w:eastAsia="zh-CN"/>
        </w:rPr>
        <w:t>项目经理部试验室</w:t>
      </w:r>
      <w:r>
        <w:rPr>
          <w:rFonts w:hint="default"/>
          <w:highlight w:val="none"/>
          <w:lang w:val="en-US" w:eastAsia="zh-CN"/>
        </w:rPr>
        <w:t>通知</w:t>
      </w:r>
      <w:r>
        <w:rPr>
          <w:rFonts w:hint="eastAsia"/>
          <w:highlight w:val="none"/>
          <w:lang w:val="en-US" w:eastAsia="zh-CN"/>
        </w:rPr>
        <w:t>总监办</w:t>
      </w:r>
      <w:r>
        <w:rPr>
          <w:rFonts w:hint="default"/>
          <w:highlight w:val="none"/>
          <w:lang w:val="en-US" w:eastAsia="zh-CN"/>
        </w:rPr>
        <w:t>现场见证取样，联合送检至有资质的检测单位，检测合格后方可使用。</w:t>
      </w:r>
    </w:p>
    <w:p w14:paraId="7279CE9B">
      <w:pPr>
        <w:ind w:firstLine="480" w:firstLineChars="200"/>
        <w:rPr>
          <w:rFonts w:hint="eastAsia"/>
          <w:highlight w:val="none"/>
          <w:lang w:val="en-US" w:eastAsia="zh-CN"/>
        </w:rPr>
      </w:pPr>
      <w:r>
        <w:rPr>
          <w:rFonts w:hint="eastAsia"/>
          <w:highlight w:val="none"/>
          <w:lang w:val="en-US" w:eastAsia="zh-CN"/>
        </w:rPr>
        <w:t>（2）机械设备进场后，由项目经理部物设部通知总监办进行现场验收，根据施工合同及方案要求，结合以往施工经验与现场实际情况，对设备型号、产品合格证、新旧程度、出厂合格证等进行查验，验收合格后方可使用。</w:t>
      </w:r>
    </w:p>
    <w:p w14:paraId="19FA3CA9">
      <w:pPr>
        <w:pStyle w:val="4"/>
        <w:bidi w:val="0"/>
        <w:ind w:left="720" w:leftChars="0" w:hanging="720" w:firstLineChars="0"/>
        <w:rPr>
          <w:rFonts w:hint="eastAsia"/>
          <w:lang w:val="en-US" w:eastAsia="zh-CN"/>
        </w:rPr>
      </w:pPr>
      <w:bookmarkStart w:id="362" w:name="_Toc13463"/>
      <w:bookmarkStart w:id="363" w:name="_Toc27574"/>
      <w:r>
        <w:rPr>
          <w:rFonts w:hint="eastAsia"/>
          <w:lang w:val="en-US" w:eastAsia="zh-CN"/>
        </w:rPr>
        <w:t>施工过程验收程序</w:t>
      </w:r>
      <w:bookmarkEnd w:id="362"/>
      <w:bookmarkEnd w:id="363"/>
    </w:p>
    <w:p w14:paraId="1458D760">
      <w:pPr>
        <w:ind w:left="0" w:leftChars="0" w:firstLine="0" w:firstLineChars="0"/>
        <w:jc w:val="center"/>
        <w:rPr>
          <w:highlight w:val="none"/>
        </w:rPr>
      </w:pPr>
      <w:r>
        <w:rPr>
          <w:highlight w:val="none"/>
        </w:rPr>
        <w:drawing>
          <wp:inline distT="0" distB="0" distL="114300" distR="114300">
            <wp:extent cx="3460115" cy="2945765"/>
            <wp:effectExtent l="0" t="0" r="6985" b="635"/>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65"/>
                    <a:stretch>
                      <a:fillRect/>
                    </a:stretch>
                  </pic:blipFill>
                  <pic:spPr>
                    <a:xfrm>
                      <a:off x="0" y="0"/>
                      <a:ext cx="3460115" cy="2945765"/>
                    </a:xfrm>
                    <a:prstGeom prst="rect">
                      <a:avLst/>
                    </a:prstGeom>
                    <a:noFill/>
                    <a:ln>
                      <a:noFill/>
                    </a:ln>
                  </pic:spPr>
                </pic:pic>
              </a:graphicData>
            </a:graphic>
          </wp:inline>
        </w:drawing>
      </w:r>
    </w:p>
    <w:p w14:paraId="58F3B5E8">
      <w:pPr>
        <w:pStyle w:val="15"/>
        <w:bidi w:val="0"/>
        <w:rPr>
          <w:rFonts w:hint="default"/>
          <w:highlight w:val="none"/>
          <w:lang w:val="en-US" w:eastAsia="zh-CN"/>
        </w:rPr>
      </w:pPr>
      <w:r>
        <w:rPr>
          <w:rFonts w:hint="eastAsia"/>
          <w:highlight w:val="none"/>
          <w:lang w:val="en-US" w:eastAsia="zh-CN"/>
        </w:rPr>
        <w:t>图8-</w:t>
      </w:r>
      <w:r>
        <w:rPr>
          <w:rFonts w:hint="eastAsia"/>
          <w:highlight w:val="none"/>
          <w:lang w:val="en-US" w:eastAsia="zh-CN"/>
        </w:rPr>
        <w:fldChar w:fldCharType="begin"/>
      </w:r>
      <w:r>
        <w:rPr>
          <w:rFonts w:hint="eastAsia"/>
          <w:highlight w:val="none"/>
          <w:lang w:val="en-US" w:eastAsia="zh-CN"/>
        </w:rPr>
        <w:instrText xml:space="preserve"> SEQ 图10- \* ARABIC </w:instrText>
      </w:r>
      <w:r>
        <w:rPr>
          <w:rFonts w:hint="eastAsia"/>
          <w:highlight w:val="none"/>
          <w:lang w:val="en-US" w:eastAsia="zh-CN"/>
        </w:rPr>
        <w:fldChar w:fldCharType="separate"/>
      </w:r>
      <w:r>
        <w:rPr>
          <w:rFonts w:hint="eastAsia"/>
          <w:highlight w:val="none"/>
          <w:lang w:val="en-US" w:eastAsia="zh-CN"/>
        </w:rPr>
        <w:t>1</w:t>
      </w:r>
      <w:r>
        <w:rPr>
          <w:rFonts w:hint="eastAsia"/>
          <w:highlight w:val="none"/>
          <w:lang w:val="en-US" w:eastAsia="zh-CN"/>
        </w:rPr>
        <w:fldChar w:fldCharType="end"/>
      </w:r>
      <w:r>
        <w:rPr>
          <w:rFonts w:hint="eastAsia"/>
          <w:highlight w:val="none"/>
          <w:lang w:val="en-US" w:eastAsia="zh-CN"/>
        </w:rPr>
        <w:t>施工过程验收程序</w:t>
      </w:r>
    </w:p>
    <w:p w14:paraId="42BEA5BC">
      <w:pPr>
        <w:pStyle w:val="4"/>
        <w:bidi w:val="0"/>
        <w:ind w:left="720" w:leftChars="0" w:hanging="720" w:firstLineChars="0"/>
        <w:rPr>
          <w:rFonts w:hint="default"/>
          <w:lang w:val="en-US" w:eastAsia="zh-CN"/>
        </w:rPr>
      </w:pPr>
      <w:bookmarkStart w:id="364" w:name="_Toc8373"/>
      <w:bookmarkStart w:id="365" w:name="_Toc20006"/>
      <w:r>
        <w:rPr>
          <w:rFonts w:hint="default"/>
          <w:lang w:val="en-US" w:eastAsia="zh-CN"/>
        </w:rPr>
        <w:t>作业中起吊、运行、安装的设备与被吊物前期验收</w:t>
      </w:r>
      <w:bookmarkEnd w:id="364"/>
      <w:bookmarkEnd w:id="365"/>
    </w:p>
    <w:p w14:paraId="1DFEE12C">
      <w:pPr>
        <w:pStyle w:val="41"/>
        <w:bidi w:val="0"/>
        <w:rPr>
          <w:rFonts w:hint="default"/>
          <w:highlight w:val="none"/>
          <w:lang w:val="en-US" w:eastAsia="zh-CN"/>
        </w:rPr>
      </w:pPr>
      <w:r>
        <w:rPr>
          <w:highlight w:val="none"/>
        </w:rPr>
        <w:t>表</w:t>
      </w:r>
      <w:r>
        <w:rPr>
          <w:rFonts w:hint="eastAsia"/>
          <w:highlight w:val="none"/>
          <w:lang w:val="en-US" w:eastAsia="zh-CN"/>
        </w:rPr>
        <w:t>8-1</w:t>
      </w:r>
      <w:r>
        <w:rPr>
          <w:rFonts w:hint="eastAsia"/>
          <w:highlight w:val="none"/>
        </w:rPr>
        <w:t>作业中起吊、运行、安装的设备与被吊物前期验收</w:t>
      </w:r>
    </w:p>
    <w:tbl>
      <w:tblPr>
        <w:tblStyle w:val="30"/>
        <w:tblW w:w="5067"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79"/>
        <w:gridCol w:w="1792"/>
        <w:gridCol w:w="6165"/>
      </w:tblGrid>
      <w:tr w14:paraId="2FBA466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393" w:type="pct"/>
            <w:tcBorders>
              <w:tl2br w:val="nil"/>
              <w:tr2bl w:val="nil"/>
            </w:tcBorders>
            <w:shd w:val="clear" w:color="auto" w:fill="DAE3F3" w:themeFill="accent5" w:themeFillTint="32"/>
            <w:noWrap w:val="0"/>
            <w:vAlign w:val="center"/>
          </w:tcPr>
          <w:p w14:paraId="6419488B">
            <w:pPr>
              <w:pStyle w:val="107"/>
              <w:bidi w:val="0"/>
              <w:spacing w:line="240" w:lineRule="auto"/>
              <w:jc w:val="center"/>
              <w:rPr>
                <w:rFonts w:hint="eastAsia"/>
                <w:highlight w:val="none"/>
                <w:lang w:val="en-US" w:eastAsia="zh-CN"/>
              </w:rPr>
            </w:pPr>
            <w:r>
              <w:rPr>
                <w:rFonts w:hint="eastAsia"/>
                <w:highlight w:val="none"/>
                <w:lang w:val="en-US" w:eastAsia="zh-CN"/>
              </w:rPr>
              <w:t>序号</w:t>
            </w:r>
          </w:p>
        </w:tc>
        <w:tc>
          <w:tcPr>
            <w:tcW w:w="1037" w:type="pct"/>
            <w:tcBorders>
              <w:tl2br w:val="nil"/>
              <w:tr2bl w:val="nil"/>
            </w:tcBorders>
            <w:shd w:val="clear" w:color="auto" w:fill="DAE3F3" w:themeFill="accent5" w:themeFillTint="32"/>
            <w:noWrap w:val="0"/>
            <w:vAlign w:val="center"/>
          </w:tcPr>
          <w:p w14:paraId="3FC48D53">
            <w:pPr>
              <w:pStyle w:val="107"/>
              <w:bidi w:val="0"/>
              <w:spacing w:line="240" w:lineRule="auto"/>
              <w:jc w:val="center"/>
              <w:rPr>
                <w:rFonts w:hint="eastAsia"/>
                <w:highlight w:val="none"/>
                <w:lang w:val="en-US" w:eastAsia="zh-CN"/>
              </w:rPr>
            </w:pPr>
            <w:r>
              <w:rPr>
                <w:rFonts w:hint="eastAsia"/>
                <w:highlight w:val="none"/>
                <w:lang w:val="en-US" w:eastAsia="zh-CN"/>
              </w:rPr>
              <w:t>验收项目</w:t>
            </w:r>
          </w:p>
        </w:tc>
        <w:tc>
          <w:tcPr>
            <w:tcW w:w="3568" w:type="pct"/>
            <w:tcBorders>
              <w:tl2br w:val="nil"/>
              <w:tr2bl w:val="nil"/>
            </w:tcBorders>
            <w:shd w:val="clear" w:color="auto" w:fill="DAE3F3" w:themeFill="accent5" w:themeFillTint="32"/>
            <w:noWrap w:val="0"/>
            <w:vAlign w:val="center"/>
          </w:tcPr>
          <w:p w14:paraId="3E60FC26">
            <w:pPr>
              <w:pStyle w:val="107"/>
              <w:bidi w:val="0"/>
              <w:spacing w:line="240" w:lineRule="auto"/>
              <w:jc w:val="center"/>
              <w:rPr>
                <w:rFonts w:hint="eastAsia"/>
                <w:highlight w:val="none"/>
                <w:lang w:val="en-US" w:eastAsia="zh-CN"/>
              </w:rPr>
            </w:pPr>
            <w:r>
              <w:rPr>
                <w:rFonts w:hint="eastAsia"/>
                <w:highlight w:val="none"/>
                <w:lang w:val="en-US" w:eastAsia="zh-CN"/>
              </w:rPr>
              <w:t>技   术   要   求</w:t>
            </w:r>
          </w:p>
        </w:tc>
      </w:tr>
      <w:tr w14:paraId="5C7C8AF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8E3329A">
            <w:pPr>
              <w:pStyle w:val="107"/>
              <w:bidi w:val="0"/>
              <w:spacing w:line="240" w:lineRule="auto"/>
              <w:jc w:val="center"/>
              <w:rPr>
                <w:rFonts w:hint="eastAsia"/>
                <w:highlight w:val="none"/>
                <w:lang w:val="en-US" w:eastAsia="zh-CN"/>
              </w:rPr>
            </w:pPr>
            <w:r>
              <w:rPr>
                <w:rFonts w:hint="eastAsia"/>
                <w:highlight w:val="none"/>
                <w:lang w:val="en-US" w:eastAsia="zh-CN"/>
              </w:rPr>
              <w:t>1</w:t>
            </w:r>
          </w:p>
        </w:tc>
        <w:tc>
          <w:tcPr>
            <w:tcW w:w="1037" w:type="pct"/>
            <w:tcBorders>
              <w:tl2br w:val="nil"/>
              <w:tr2bl w:val="nil"/>
            </w:tcBorders>
            <w:noWrap w:val="0"/>
            <w:vAlign w:val="center"/>
          </w:tcPr>
          <w:p w14:paraId="2408EEFC">
            <w:pPr>
              <w:pStyle w:val="107"/>
              <w:bidi w:val="0"/>
              <w:spacing w:line="240" w:lineRule="auto"/>
              <w:jc w:val="center"/>
              <w:rPr>
                <w:rFonts w:hint="default"/>
                <w:highlight w:val="none"/>
                <w:lang w:val="en-US" w:eastAsia="zh-CN"/>
              </w:rPr>
            </w:pPr>
            <w:r>
              <w:rPr>
                <w:rFonts w:hint="eastAsia"/>
                <w:highlight w:val="none"/>
                <w:lang w:val="en-US" w:eastAsia="zh-CN"/>
              </w:rPr>
              <w:t>基础验收</w:t>
            </w:r>
          </w:p>
        </w:tc>
        <w:tc>
          <w:tcPr>
            <w:tcW w:w="3568" w:type="pct"/>
            <w:tcBorders>
              <w:tl2br w:val="nil"/>
              <w:tr2bl w:val="nil"/>
            </w:tcBorders>
            <w:noWrap w:val="0"/>
            <w:vAlign w:val="center"/>
          </w:tcPr>
          <w:p w14:paraId="123A6EF3">
            <w:pPr>
              <w:pStyle w:val="107"/>
              <w:bidi w:val="0"/>
              <w:spacing w:line="240" w:lineRule="auto"/>
              <w:jc w:val="center"/>
              <w:rPr>
                <w:rFonts w:hint="default"/>
                <w:highlight w:val="none"/>
                <w:lang w:val="en-US" w:eastAsia="zh-CN"/>
              </w:rPr>
            </w:pPr>
            <w:r>
              <w:rPr>
                <w:rFonts w:hint="eastAsia"/>
                <w:highlight w:val="none"/>
                <w:lang w:val="en-US" w:eastAsia="zh-CN"/>
              </w:rPr>
              <w:t>基础验收根据基础验收表执行</w:t>
            </w:r>
          </w:p>
        </w:tc>
      </w:tr>
      <w:tr w14:paraId="199AD1C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2800209C">
            <w:pPr>
              <w:pStyle w:val="107"/>
              <w:bidi w:val="0"/>
              <w:spacing w:line="240" w:lineRule="auto"/>
              <w:jc w:val="center"/>
              <w:rPr>
                <w:rFonts w:hint="eastAsia"/>
                <w:highlight w:val="none"/>
                <w:lang w:val="en-US" w:eastAsia="zh-CN"/>
              </w:rPr>
            </w:pPr>
            <w:r>
              <w:rPr>
                <w:rFonts w:hint="eastAsia"/>
                <w:highlight w:val="none"/>
                <w:lang w:val="en-US" w:eastAsia="zh-CN"/>
              </w:rPr>
              <w:t>2</w:t>
            </w:r>
          </w:p>
        </w:tc>
        <w:tc>
          <w:tcPr>
            <w:tcW w:w="1037" w:type="pct"/>
            <w:tcBorders>
              <w:tl2br w:val="nil"/>
              <w:tr2bl w:val="nil"/>
            </w:tcBorders>
            <w:noWrap w:val="0"/>
            <w:vAlign w:val="center"/>
          </w:tcPr>
          <w:p w14:paraId="4955E367">
            <w:pPr>
              <w:pStyle w:val="107"/>
              <w:bidi w:val="0"/>
              <w:spacing w:line="240" w:lineRule="auto"/>
              <w:jc w:val="center"/>
              <w:rPr>
                <w:rFonts w:hint="eastAsia"/>
                <w:highlight w:val="none"/>
                <w:lang w:val="en-US" w:eastAsia="zh-CN"/>
              </w:rPr>
            </w:pPr>
            <w:r>
              <w:rPr>
                <w:rFonts w:hint="eastAsia"/>
                <w:highlight w:val="none"/>
                <w:lang w:val="en-US" w:eastAsia="zh-CN"/>
              </w:rPr>
              <w:t>起重机械</w:t>
            </w:r>
          </w:p>
        </w:tc>
        <w:tc>
          <w:tcPr>
            <w:tcW w:w="3568" w:type="pct"/>
            <w:tcBorders>
              <w:tl2br w:val="nil"/>
              <w:tr2bl w:val="nil"/>
            </w:tcBorders>
            <w:noWrap w:val="0"/>
            <w:vAlign w:val="center"/>
          </w:tcPr>
          <w:p w14:paraId="216FCB5B">
            <w:pPr>
              <w:pStyle w:val="107"/>
              <w:bidi w:val="0"/>
              <w:spacing w:line="240" w:lineRule="auto"/>
              <w:jc w:val="center"/>
              <w:rPr>
                <w:rFonts w:hint="eastAsia"/>
                <w:highlight w:val="none"/>
                <w:lang w:val="en-US" w:eastAsia="zh-CN"/>
              </w:rPr>
            </w:pPr>
            <w:r>
              <w:rPr>
                <w:rFonts w:hint="eastAsia"/>
                <w:highlight w:val="none"/>
                <w:lang w:val="en-US" w:eastAsia="zh-CN"/>
              </w:rPr>
              <w:t>起重机有可靠有效的超高限位器和力矩限制器，吊钩有保险装置，起重机和起重扒杆作业前应进行试吊。</w:t>
            </w:r>
          </w:p>
        </w:tc>
      </w:tr>
      <w:tr w14:paraId="6FF583F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3F12080">
            <w:pPr>
              <w:pStyle w:val="107"/>
              <w:bidi w:val="0"/>
              <w:spacing w:line="240" w:lineRule="auto"/>
              <w:jc w:val="center"/>
              <w:rPr>
                <w:rFonts w:hint="eastAsia"/>
                <w:highlight w:val="none"/>
                <w:lang w:val="en-US" w:eastAsia="zh-CN"/>
              </w:rPr>
            </w:pPr>
            <w:r>
              <w:rPr>
                <w:rFonts w:hint="eastAsia"/>
                <w:highlight w:val="none"/>
                <w:lang w:val="en-US" w:eastAsia="zh-CN"/>
              </w:rPr>
              <w:t>3</w:t>
            </w:r>
          </w:p>
        </w:tc>
        <w:tc>
          <w:tcPr>
            <w:tcW w:w="1037" w:type="pct"/>
            <w:tcBorders>
              <w:tl2br w:val="nil"/>
              <w:tr2bl w:val="nil"/>
            </w:tcBorders>
            <w:noWrap w:val="0"/>
            <w:vAlign w:val="center"/>
          </w:tcPr>
          <w:p w14:paraId="00A201D3">
            <w:pPr>
              <w:pStyle w:val="107"/>
              <w:bidi w:val="0"/>
              <w:spacing w:line="240" w:lineRule="auto"/>
              <w:jc w:val="center"/>
              <w:rPr>
                <w:rFonts w:hint="eastAsia"/>
                <w:highlight w:val="none"/>
                <w:lang w:val="en-US" w:eastAsia="zh-CN"/>
              </w:rPr>
            </w:pPr>
            <w:r>
              <w:rPr>
                <w:rFonts w:hint="eastAsia"/>
                <w:highlight w:val="none"/>
                <w:lang w:val="en-US" w:eastAsia="zh-CN"/>
              </w:rPr>
              <w:t>钢丝器与地锚</w:t>
            </w:r>
          </w:p>
        </w:tc>
        <w:tc>
          <w:tcPr>
            <w:tcW w:w="3568" w:type="pct"/>
            <w:tcBorders>
              <w:tl2br w:val="nil"/>
              <w:tr2bl w:val="nil"/>
            </w:tcBorders>
            <w:noWrap w:val="0"/>
            <w:vAlign w:val="center"/>
          </w:tcPr>
          <w:p w14:paraId="2D8CEB9A">
            <w:pPr>
              <w:pStyle w:val="107"/>
              <w:bidi w:val="0"/>
              <w:spacing w:line="240" w:lineRule="auto"/>
              <w:jc w:val="center"/>
              <w:rPr>
                <w:rFonts w:hint="eastAsia"/>
                <w:highlight w:val="none"/>
                <w:lang w:val="en-US" w:eastAsia="zh-CN"/>
              </w:rPr>
            </w:pPr>
            <w:r>
              <w:rPr>
                <w:rFonts w:hint="eastAsia"/>
                <w:highlight w:val="none"/>
                <w:lang w:val="en-US" w:eastAsia="zh-CN"/>
              </w:rPr>
              <w:t>钢丝绳必须符合有关要求，磨损、断线不得超标。缆风绳安全系数必须大于，滑轮、地锚的设置符合方案要求。</w:t>
            </w:r>
          </w:p>
        </w:tc>
      </w:tr>
      <w:tr w14:paraId="5BAA25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98934B9">
            <w:pPr>
              <w:pStyle w:val="107"/>
              <w:bidi w:val="0"/>
              <w:spacing w:line="240" w:lineRule="auto"/>
              <w:jc w:val="center"/>
              <w:rPr>
                <w:rFonts w:hint="eastAsia"/>
                <w:highlight w:val="none"/>
                <w:lang w:val="en-US" w:eastAsia="zh-CN"/>
              </w:rPr>
            </w:pPr>
            <w:r>
              <w:rPr>
                <w:rFonts w:hint="eastAsia"/>
                <w:highlight w:val="none"/>
                <w:lang w:val="en-US" w:eastAsia="zh-CN"/>
              </w:rPr>
              <w:t>4</w:t>
            </w:r>
          </w:p>
        </w:tc>
        <w:tc>
          <w:tcPr>
            <w:tcW w:w="1037" w:type="pct"/>
            <w:tcBorders>
              <w:tl2br w:val="nil"/>
              <w:tr2bl w:val="nil"/>
            </w:tcBorders>
            <w:noWrap w:val="0"/>
            <w:vAlign w:val="center"/>
          </w:tcPr>
          <w:p w14:paraId="1F57FF8A">
            <w:pPr>
              <w:pStyle w:val="107"/>
              <w:bidi w:val="0"/>
              <w:spacing w:line="240" w:lineRule="auto"/>
              <w:jc w:val="center"/>
              <w:rPr>
                <w:rFonts w:hint="eastAsia"/>
                <w:highlight w:val="none"/>
                <w:lang w:val="en-US" w:eastAsia="zh-CN"/>
              </w:rPr>
            </w:pPr>
            <w:r>
              <w:rPr>
                <w:rFonts w:hint="eastAsia"/>
                <w:highlight w:val="none"/>
                <w:lang w:val="en-US" w:eastAsia="zh-CN"/>
              </w:rPr>
              <w:t>吊   装</w:t>
            </w:r>
          </w:p>
        </w:tc>
        <w:tc>
          <w:tcPr>
            <w:tcW w:w="3568" w:type="pct"/>
            <w:tcBorders>
              <w:tl2br w:val="nil"/>
              <w:tr2bl w:val="nil"/>
            </w:tcBorders>
            <w:noWrap w:val="0"/>
            <w:vAlign w:val="center"/>
          </w:tcPr>
          <w:p w14:paraId="34E46870">
            <w:pPr>
              <w:pStyle w:val="107"/>
              <w:bidi w:val="0"/>
              <w:spacing w:line="240" w:lineRule="auto"/>
              <w:jc w:val="center"/>
              <w:rPr>
                <w:rFonts w:hint="eastAsia"/>
                <w:highlight w:val="none"/>
                <w:lang w:val="en-US" w:eastAsia="zh-CN"/>
              </w:rPr>
            </w:pPr>
            <w:r>
              <w:rPr>
                <w:rFonts w:hint="eastAsia"/>
                <w:highlight w:val="none"/>
                <w:lang w:val="en-US" w:eastAsia="zh-CN"/>
              </w:rPr>
              <w:t>起重吊点符合设计规定，所用的索具、钢丝绳规格、型号、绳径倍数须符合规范要求。</w:t>
            </w:r>
          </w:p>
        </w:tc>
      </w:tr>
      <w:tr w14:paraId="6164675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36AE53D4">
            <w:pPr>
              <w:pStyle w:val="107"/>
              <w:bidi w:val="0"/>
              <w:spacing w:line="240" w:lineRule="auto"/>
              <w:jc w:val="center"/>
              <w:rPr>
                <w:rFonts w:hint="eastAsia"/>
                <w:highlight w:val="none"/>
                <w:lang w:val="en-US" w:eastAsia="zh-CN"/>
              </w:rPr>
            </w:pPr>
            <w:r>
              <w:rPr>
                <w:rFonts w:hint="eastAsia"/>
                <w:highlight w:val="none"/>
                <w:lang w:val="en-US" w:eastAsia="zh-CN"/>
              </w:rPr>
              <w:t>5</w:t>
            </w:r>
          </w:p>
        </w:tc>
        <w:tc>
          <w:tcPr>
            <w:tcW w:w="1037" w:type="pct"/>
            <w:tcBorders>
              <w:tl2br w:val="nil"/>
              <w:tr2bl w:val="nil"/>
            </w:tcBorders>
            <w:noWrap w:val="0"/>
            <w:vAlign w:val="center"/>
          </w:tcPr>
          <w:p w14:paraId="46015AF0">
            <w:pPr>
              <w:pStyle w:val="107"/>
              <w:bidi w:val="0"/>
              <w:spacing w:line="240" w:lineRule="auto"/>
              <w:jc w:val="center"/>
              <w:rPr>
                <w:rFonts w:hint="eastAsia"/>
                <w:highlight w:val="none"/>
                <w:lang w:val="en-US" w:eastAsia="zh-CN"/>
              </w:rPr>
            </w:pPr>
            <w:r>
              <w:rPr>
                <w:rFonts w:hint="eastAsia"/>
                <w:highlight w:val="none"/>
                <w:lang w:val="en-US" w:eastAsia="zh-CN"/>
              </w:rPr>
              <w:t>吊装指挥</w:t>
            </w:r>
          </w:p>
        </w:tc>
        <w:tc>
          <w:tcPr>
            <w:tcW w:w="3568" w:type="pct"/>
            <w:tcBorders>
              <w:tl2br w:val="nil"/>
              <w:tr2bl w:val="nil"/>
            </w:tcBorders>
            <w:noWrap w:val="0"/>
            <w:vAlign w:val="center"/>
          </w:tcPr>
          <w:p w14:paraId="330D1F05">
            <w:pPr>
              <w:pStyle w:val="107"/>
              <w:bidi w:val="0"/>
              <w:spacing w:line="240" w:lineRule="auto"/>
              <w:jc w:val="center"/>
              <w:rPr>
                <w:rFonts w:hint="eastAsia"/>
                <w:highlight w:val="none"/>
                <w:lang w:val="en-US" w:eastAsia="zh-CN"/>
              </w:rPr>
            </w:pPr>
            <w:r>
              <w:rPr>
                <w:rFonts w:hint="eastAsia"/>
                <w:highlight w:val="none"/>
                <w:lang w:val="en-US" w:eastAsia="zh-CN"/>
              </w:rPr>
              <w:t>高处作业应有可靠的信号传递。</w:t>
            </w:r>
          </w:p>
        </w:tc>
      </w:tr>
      <w:tr w14:paraId="420D768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DBCAC87">
            <w:pPr>
              <w:pStyle w:val="107"/>
              <w:bidi w:val="0"/>
              <w:spacing w:line="240" w:lineRule="auto"/>
              <w:jc w:val="center"/>
              <w:rPr>
                <w:rFonts w:hint="eastAsia"/>
                <w:highlight w:val="none"/>
                <w:lang w:val="en-US" w:eastAsia="zh-CN"/>
              </w:rPr>
            </w:pPr>
            <w:r>
              <w:rPr>
                <w:rFonts w:hint="eastAsia"/>
                <w:highlight w:val="none"/>
                <w:lang w:val="en-US" w:eastAsia="zh-CN"/>
              </w:rPr>
              <w:t>6</w:t>
            </w:r>
          </w:p>
        </w:tc>
        <w:tc>
          <w:tcPr>
            <w:tcW w:w="1037" w:type="pct"/>
            <w:tcBorders>
              <w:tl2br w:val="nil"/>
              <w:tr2bl w:val="nil"/>
            </w:tcBorders>
            <w:noWrap w:val="0"/>
            <w:vAlign w:val="center"/>
          </w:tcPr>
          <w:p w14:paraId="1866F552">
            <w:pPr>
              <w:pStyle w:val="107"/>
              <w:bidi w:val="0"/>
              <w:spacing w:line="240" w:lineRule="auto"/>
              <w:jc w:val="center"/>
              <w:rPr>
                <w:rFonts w:hint="eastAsia"/>
                <w:highlight w:val="none"/>
                <w:lang w:val="en-US" w:eastAsia="zh-CN"/>
              </w:rPr>
            </w:pPr>
            <w:r>
              <w:rPr>
                <w:rFonts w:hint="eastAsia"/>
                <w:highlight w:val="none"/>
                <w:lang w:val="en-US" w:eastAsia="zh-CN"/>
              </w:rPr>
              <w:t>地耐力</w:t>
            </w:r>
          </w:p>
        </w:tc>
        <w:tc>
          <w:tcPr>
            <w:tcW w:w="3568" w:type="pct"/>
            <w:tcBorders>
              <w:tl2br w:val="nil"/>
              <w:tr2bl w:val="nil"/>
            </w:tcBorders>
            <w:noWrap w:val="0"/>
            <w:vAlign w:val="center"/>
          </w:tcPr>
          <w:p w14:paraId="5266EE26">
            <w:pPr>
              <w:pStyle w:val="107"/>
              <w:bidi w:val="0"/>
              <w:spacing w:line="240" w:lineRule="auto"/>
              <w:jc w:val="center"/>
              <w:rPr>
                <w:rFonts w:hint="eastAsia"/>
                <w:highlight w:val="none"/>
                <w:lang w:val="en-US" w:eastAsia="zh-CN"/>
              </w:rPr>
            </w:pPr>
            <w:r>
              <w:rPr>
                <w:rFonts w:hint="eastAsia"/>
                <w:highlight w:val="none"/>
                <w:lang w:val="en-US" w:eastAsia="zh-CN"/>
              </w:rPr>
              <w:t>起重机作业路面的地耐力必须符合说明书要求，如达不到要求应采取相应的铺垫加强措施。</w:t>
            </w:r>
          </w:p>
        </w:tc>
      </w:tr>
      <w:tr w14:paraId="1539979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6866AF58">
            <w:pPr>
              <w:pStyle w:val="107"/>
              <w:bidi w:val="0"/>
              <w:spacing w:line="240" w:lineRule="auto"/>
              <w:jc w:val="center"/>
              <w:rPr>
                <w:rFonts w:hint="eastAsia"/>
                <w:highlight w:val="none"/>
                <w:lang w:val="en-US" w:eastAsia="zh-CN"/>
              </w:rPr>
            </w:pPr>
            <w:r>
              <w:rPr>
                <w:rFonts w:hint="eastAsia"/>
                <w:highlight w:val="none"/>
                <w:lang w:val="en-US" w:eastAsia="zh-CN"/>
              </w:rPr>
              <w:t>7</w:t>
            </w:r>
          </w:p>
        </w:tc>
        <w:tc>
          <w:tcPr>
            <w:tcW w:w="1037" w:type="pct"/>
            <w:tcBorders>
              <w:tl2br w:val="nil"/>
              <w:tr2bl w:val="nil"/>
            </w:tcBorders>
            <w:noWrap w:val="0"/>
            <w:vAlign w:val="center"/>
          </w:tcPr>
          <w:p w14:paraId="63D8F144">
            <w:pPr>
              <w:pStyle w:val="107"/>
              <w:bidi w:val="0"/>
              <w:spacing w:line="240" w:lineRule="auto"/>
              <w:jc w:val="center"/>
              <w:rPr>
                <w:rFonts w:hint="eastAsia"/>
                <w:highlight w:val="none"/>
                <w:lang w:val="en-US" w:eastAsia="zh-CN"/>
              </w:rPr>
            </w:pPr>
            <w:r>
              <w:rPr>
                <w:rFonts w:hint="eastAsia"/>
                <w:highlight w:val="none"/>
                <w:lang w:val="en-US" w:eastAsia="zh-CN"/>
              </w:rPr>
              <w:t>起重作业</w:t>
            </w:r>
          </w:p>
        </w:tc>
        <w:tc>
          <w:tcPr>
            <w:tcW w:w="3568" w:type="pct"/>
            <w:tcBorders>
              <w:tl2br w:val="nil"/>
              <w:tr2bl w:val="nil"/>
            </w:tcBorders>
            <w:noWrap w:val="0"/>
            <w:vAlign w:val="center"/>
          </w:tcPr>
          <w:p w14:paraId="53A2EB7E">
            <w:pPr>
              <w:pStyle w:val="107"/>
              <w:bidi w:val="0"/>
              <w:spacing w:line="240" w:lineRule="auto"/>
              <w:jc w:val="center"/>
              <w:rPr>
                <w:rFonts w:hint="eastAsia"/>
                <w:highlight w:val="none"/>
                <w:lang w:val="en-US" w:eastAsia="zh-CN"/>
              </w:rPr>
            </w:pPr>
            <w:r>
              <w:rPr>
                <w:rFonts w:hint="eastAsia"/>
                <w:highlight w:val="none"/>
                <w:lang w:val="en-US" w:eastAsia="zh-CN"/>
              </w:rPr>
              <w:t>被吊物件应明确重量，不得不明吊重或超载作业。</w:t>
            </w:r>
          </w:p>
        </w:tc>
      </w:tr>
      <w:tr w14:paraId="1F03611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27F13E7E">
            <w:pPr>
              <w:pStyle w:val="107"/>
              <w:bidi w:val="0"/>
              <w:spacing w:line="240" w:lineRule="auto"/>
              <w:jc w:val="center"/>
              <w:rPr>
                <w:rFonts w:hint="eastAsia"/>
                <w:highlight w:val="none"/>
                <w:lang w:val="en-US" w:eastAsia="zh-CN"/>
              </w:rPr>
            </w:pPr>
            <w:r>
              <w:rPr>
                <w:rFonts w:hint="eastAsia"/>
                <w:highlight w:val="none"/>
                <w:lang w:val="en-US" w:eastAsia="zh-CN"/>
              </w:rPr>
              <w:t>8</w:t>
            </w:r>
          </w:p>
        </w:tc>
        <w:tc>
          <w:tcPr>
            <w:tcW w:w="1037" w:type="pct"/>
            <w:tcBorders>
              <w:tl2br w:val="nil"/>
              <w:tr2bl w:val="nil"/>
            </w:tcBorders>
            <w:noWrap w:val="0"/>
            <w:vAlign w:val="center"/>
          </w:tcPr>
          <w:p w14:paraId="75F8C9ED">
            <w:pPr>
              <w:pStyle w:val="107"/>
              <w:bidi w:val="0"/>
              <w:spacing w:line="240" w:lineRule="auto"/>
              <w:jc w:val="center"/>
              <w:rPr>
                <w:rFonts w:hint="eastAsia"/>
                <w:highlight w:val="none"/>
                <w:lang w:val="en-US" w:eastAsia="zh-CN"/>
              </w:rPr>
            </w:pPr>
            <w:r>
              <w:rPr>
                <w:rFonts w:hint="eastAsia"/>
                <w:highlight w:val="none"/>
                <w:lang w:val="en-US" w:eastAsia="zh-CN"/>
              </w:rPr>
              <w:t>高处作业</w:t>
            </w:r>
          </w:p>
        </w:tc>
        <w:tc>
          <w:tcPr>
            <w:tcW w:w="3568" w:type="pct"/>
            <w:tcBorders>
              <w:tl2br w:val="nil"/>
              <w:tr2bl w:val="nil"/>
            </w:tcBorders>
            <w:noWrap w:val="0"/>
            <w:vAlign w:val="center"/>
          </w:tcPr>
          <w:p w14:paraId="74372FB4">
            <w:pPr>
              <w:pStyle w:val="107"/>
              <w:bidi w:val="0"/>
              <w:spacing w:line="240" w:lineRule="auto"/>
              <w:jc w:val="center"/>
              <w:rPr>
                <w:rFonts w:hint="eastAsia"/>
                <w:highlight w:val="none"/>
                <w:lang w:val="en-US" w:eastAsia="zh-CN"/>
              </w:rPr>
            </w:pPr>
            <w:r>
              <w:rPr>
                <w:rFonts w:hint="eastAsia"/>
                <w:highlight w:val="none"/>
                <w:lang w:val="en-US" w:eastAsia="zh-CN"/>
              </w:rPr>
              <w:t>吊装作业必须设置防坠落措施，作业人员应系安全事实工悬挂牢固、可靠，人员上下应设置人员专用爬梯、斜道。</w:t>
            </w:r>
          </w:p>
        </w:tc>
      </w:tr>
      <w:tr w14:paraId="41105C4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58698020">
            <w:pPr>
              <w:pStyle w:val="107"/>
              <w:bidi w:val="0"/>
              <w:spacing w:line="240" w:lineRule="auto"/>
              <w:jc w:val="center"/>
              <w:rPr>
                <w:rFonts w:hint="eastAsia"/>
                <w:highlight w:val="none"/>
                <w:lang w:val="en-US" w:eastAsia="zh-CN"/>
              </w:rPr>
            </w:pPr>
            <w:r>
              <w:rPr>
                <w:rFonts w:hint="eastAsia"/>
                <w:highlight w:val="none"/>
                <w:lang w:val="en-US" w:eastAsia="zh-CN"/>
              </w:rPr>
              <w:t>9</w:t>
            </w:r>
          </w:p>
        </w:tc>
        <w:tc>
          <w:tcPr>
            <w:tcW w:w="1037" w:type="pct"/>
            <w:tcBorders>
              <w:tl2br w:val="nil"/>
              <w:tr2bl w:val="nil"/>
            </w:tcBorders>
            <w:noWrap w:val="0"/>
            <w:vAlign w:val="center"/>
          </w:tcPr>
          <w:p w14:paraId="19B0F54D">
            <w:pPr>
              <w:pStyle w:val="107"/>
              <w:bidi w:val="0"/>
              <w:spacing w:line="240" w:lineRule="auto"/>
              <w:jc w:val="center"/>
              <w:rPr>
                <w:rFonts w:hint="eastAsia"/>
                <w:highlight w:val="none"/>
                <w:lang w:val="en-US" w:eastAsia="zh-CN"/>
              </w:rPr>
            </w:pPr>
            <w:r>
              <w:rPr>
                <w:rFonts w:hint="eastAsia"/>
                <w:highlight w:val="none"/>
                <w:lang w:val="en-US" w:eastAsia="zh-CN"/>
              </w:rPr>
              <w:t>作业平台</w:t>
            </w:r>
          </w:p>
        </w:tc>
        <w:tc>
          <w:tcPr>
            <w:tcW w:w="3568" w:type="pct"/>
            <w:tcBorders>
              <w:tl2br w:val="nil"/>
              <w:tr2bl w:val="nil"/>
            </w:tcBorders>
            <w:noWrap w:val="0"/>
            <w:vAlign w:val="center"/>
          </w:tcPr>
          <w:p w14:paraId="05D488D4">
            <w:pPr>
              <w:pStyle w:val="107"/>
              <w:bidi w:val="0"/>
              <w:spacing w:line="240" w:lineRule="auto"/>
              <w:jc w:val="center"/>
              <w:rPr>
                <w:rFonts w:hint="eastAsia"/>
                <w:highlight w:val="none"/>
                <w:lang w:val="en-US" w:eastAsia="zh-CN"/>
              </w:rPr>
            </w:pPr>
            <w:r>
              <w:rPr>
                <w:rFonts w:hint="eastAsia"/>
                <w:highlight w:val="none"/>
                <w:lang w:val="en-US" w:eastAsia="zh-CN"/>
              </w:rPr>
              <w:t>起重吊装作业人员须有可行的立足点，作业平台应坚实，牢固、单独支撑，底板应用4厘米厚以上木板或防滑钢板铺设，临边防护应符合要求。</w:t>
            </w:r>
          </w:p>
        </w:tc>
      </w:tr>
      <w:tr w14:paraId="2EA9288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3BE6513">
            <w:pPr>
              <w:pStyle w:val="107"/>
              <w:bidi w:val="0"/>
              <w:spacing w:line="240" w:lineRule="auto"/>
              <w:jc w:val="center"/>
              <w:rPr>
                <w:rFonts w:hint="eastAsia"/>
                <w:highlight w:val="none"/>
                <w:lang w:val="en-US" w:eastAsia="zh-CN"/>
              </w:rPr>
            </w:pPr>
            <w:r>
              <w:rPr>
                <w:rFonts w:hint="eastAsia"/>
                <w:highlight w:val="none"/>
                <w:lang w:val="en-US" w:eastAsia="zh-CN"/>
              </w:rPr>
              <w:t>10</w:t>
            </w:r>
          </w:p>
        </w:tc>
        <w:tc>
          <w:tcPr>
            <w:tcW w:w="1037" w:type="pct"/>
            <w:tcBorders>
              <w:tl2br w:val="nil"/>
              <w:tr2bl w:val="nil"/>
            </w:tcBorders>
            <w:noWrap w:val="0"/>
            <w:vAlign w:val="center"/>
          </w:tcPr>
          <w:p w14:paraId="2A5D0418">
            <w:pPr>
              <w:pStyle w:val="107"/>
              <w:bidi w:val="0"/>
              <w:spacing w:line="240" w:lineRule="auto"/>
              <w:jc w:val="center"/>
              <w:rPr>
                <w:rFonts w:hint="eastAsia"/>
                <w:highlight w:val="none"/>
                <w:lang w:val="en-US" w:eastAsia="zh-CN"/>
              </w:rPr>
            </w:pPr>
            <w:r>
              <w:rPr>
                <w:rFonts w:hint="eastAsia"/>
                <w:highlight w:val="none"/>
                <w:lang w:val="en-US" w:eastAsia="zh-CN"/>
              </w:rPr>
              <w:t>构件堆放</w:t>
            </w:r>
          </w:p>
        </w:tc>
        <w:tc>
          <w:tcPr>
            <w:tcW w:w="3568" w:type="pct"/>
            <w:tcBorders>
              <w:tl2br w:val="nil"/>
              <w:tr2bl w:val="nil"/>
            </w:tcBorders>
            <w:noWrap w:val="0"/>
            <w:vAlign w:val="center"/>
          </w:tcPr>
          <w:p w14:paraId="3F5E5F71">
            <w:pPr>
              <w:pStyle w:val="107"/>
              <w:bidi w:val="0"/>
              <w:spacing w:line="240" w:lineRule="auto"/>
              <w:jc w:val="center"/>
              <w:rPr>
                <w:rFonts w:hint="eastAsia"/>
                <w:highlight w:val="none"/>
                <w:lang w:val="en-US" w:eastAsia="zh-CN"/>
              </w:rPr>
            </w:pPr>
            <w:r>
              <w:rPr>
                <w:rFonts w:hint="eastAsia"/>
                <w:highlight w:val="none"/>
                <w:lang w:val="en-US" w:eastAsia="zh-CN"/>
              </w:rPr>
              <w:t>构件堆放应整齐，楼板堆放不得超过米，其它构件堆放不得超过有关规定，大型构件堆放应有稳固措施。</w:t>
            </w:r>
          </w:p>
        </w:tc>
      </w:tr>
      <w:tr w14:paraId="0032E3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EA13F65">
            <w:pPr>
              <w:pStyle w:val="107"/>
              <w:bidi w:val="0"/>
              <w:spacing w:line="240" w:lineRule="auto"/>
              <w:jc w:val="center"/>
              <w:rPr>
                <w:rFonts w:hint="eastAsia"/>
                <w:highlight w:val="none"/>
                <w:lang w:val="en-US" w:eastAsia="zh-CN"/>
              </w:rPr>
            </w:pPr>
            <w:r>
              <w:rPr>
                <w:rFonts w:hint="eastAsia"/>
                <w:highlight w:val="none"/>
                <w:lang w:val="en-US" w:eastAsia="zh-CN"/>
              </w:rPr>
              <w:t>11</w:t>
            </w:r>
          </w:p>
        </w:tc>
        <w:tc>
          <w:tcPr>
            <w:tcW w:w="1037" w:type="pct"/>
            <w:tcBorders>
              <w:tl2br w:val="nil"/>
              <w:tr2bl w:val="nil"/>
            </w:tcBorders>
            <w:noWrap w:val="0"/>
            <w:vAlign w:val="center"/>
          </w:tcPr>
          <w:p w14:paraId="08587E13">
            <w:pPr>
              <w:pStyle w:val="107"/>
              <w:bidi w:val="0"/>
              <w:spacing w:line="240" w:lineRule="auto"/>
              <w:jc w:val="center"/>
              <w:rPr>
                <w:rFonts w:hint="eastAsia"/>
                <w:highlight w:val="none"/>
                <w:lang w:val="en-US" w:eastAsia="zh-CN"/>
              </w:rPr>
            </w:pPr>
            <w:r>
              <w:rPr>
                <w:rFonts w:hint="eastAsia"/>
                <w:highlight w:val="none"/>
                <w:lang w:val="en-US" w:eastAsia="zh-CN"/>
              </w:rPr>
              <w:t>警   戒</w:t>
            </w:r>
          </w:p>
        </w:tc>
        <w:tc>
          <w:tcPr>
            <w:tcW w:w="3568" w:type="pct"/>
            <w:tcBorders>
              <w:tl2br w:val="nil"/>
              <w:tr2bl w:val="nil"/>
            </w:tcBorders>
            <w:noWrap w:val="0"/>
            <w:vAlign w:val="center"/>
          </w:tcPr>
          <w:p w14:paraId="4443EFF5">
            <w:pPr>
              <w:pStyle w:val="107"/>
              <w:bidi w:val="0"/>
              <w:spacing w:line="240" w:lineRule="auto"/>
              <w:jc w:val="center"/>
              <w:rPr>
                <w:rFonts w:hint="eastAsia"/>
                <w:highlight w:val="none"/>
                <w:lang w:val="en-US" w:eastAsia="zh-CN"/>
              </w:rPr>
            </w:pPr>
            <w:r>
              <w:rPr>
                <w:rFonts w:hint="eastAsia"/>
                <w:highlight w:val="none"/>
                <w:lang w:val="en-US" w:eastAsia="zh-CN"/>
              </w:rPr>
              <w:t>吊装作业场所。</w:t>
            </w:r>
          </w:p>
        </w:tc>
      </w:tr>
    </w:tbl>
    <w:p w14:paraId="298F35C4">
      <w:pPr>
        <w:pStyle w:val="4"/>
        <w:bidi w:val="0"/>
        <w:ind w:left="720" w:leftChars="0" w:hanging="720" w:firstLineChars="0"/>
        <w:rPr>
          <w:rFonts w:hint="eastAsia"/>
          <w:lang w:val="en-US" w:eastAsia="zh-CN"/>
        </w:rPr>
      </w:pPr>
      <w:bookmarkStart w:id="366" w:name="_Toc11656"/>
      <w:bookmarkStart w:id="367" w:name="_Toc10160"/>
      <w:r>
        <w:rPr>
          <w:rFonts w:hint="eastAsia"/>
          <w:lang w:val="en-US" w:eastAsia="zh-CN"/>
        </w:rPr>
        <w:t>塔机安装完毕验收</w:t>
      </w:r>
      <w:bookmarkEnd w:id="366"/>
      <w:bookmarkEnd w:id="367"/>
    </w:p>
    <w:p w14:paraId="6D4DA1BF">
      <w:pPr>
        <w:ind w:firstLine="480" w:firstLineChars="200"/>
        <w:rPr>
          <w:rFonts w:hint="eastAsia"/>
          <w:highlight w:val="none"/>
          <w:lang w:val="en-US" w:eastAsia="zh-CN"/>
        </w:rPr>
      </w:pPr>
      <w:r>
        <w:rPr>
          <w:rFonts w:hint="eastAsia"/>
          <w:highlight w:val="none"/>
          <w:lang w:val="en-US" w:eastAsia="zh-CN"/>
        </w:rPr>
        <w:t>塔机安装完成后应先由安装单位自检，自检合格后，报请有资质的检测单位检测，检测合格后再由使用单位组织租赁单位、安装单位和监理单位共同对塔机进行最后验收。</w:t>
      </w:r>
    </w:p>
    <w:p w14:paraId="3D5799B9">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1、安装单位自检。</w:t>
      </w:r>
      <w:r>
        <w:rPr>
          <w:rFonts w:hint="eastAsia"/>
          <w:highlight w:val="none"/>
          <w:lang w:val="en-US" w:eastAsia="zh-CN"/>
        </w:rPr>
        <w:t>塔机</w:t>
      </w:r>
      <w:r>
        <w:rPr>
          <w:rFonts w:hint="default" w:ascii="宋体" w:hAnsi="宋体" w:eastAsia="宋体"/>
          <w:highlight w:val="none"/>
          <w:lang w:val="en-US" w:eastAsia="zh-CN"/>
        </w:rPr>
        <w:t>安装完成之后，安装单位应及时组织单位技术人员、安全人员、安装人员对</w:t>
      </w:r>
      <w:r>
        <w:rPr>
          <w:rFonts w:hint="eastAsia"/>
          <w:highlight w:val="none"/>
          <w:lang w:val="en-US" w:eastAsia="zh-CN"/>
        </w:rPr>
        <w:t>塔机</w:t>
      </w:r>
      <w:r>
        <w:rPr>
          <w:rFonts w:hint="default" w:ascii="宋体" w:hAnsi="宋体" w:eastAsia="宋体"/>
          <w:highlight w:val="none"/>
          <w:lang w:val="en-US" w:eastAsia="zh-CN"/>
        </w:rPr>
        <w:t>进行验收。</w:t>
      </w:r>
    </w:p>
    <w:p w14:paraId="72331B23">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2、委托第三方检验机构进行检验。检测单位检测完成之后，出具的检测报告是整机合格，可能存在部分一般项目不合格；设备供应方应对不合格项目进行整改，并出具整改报告。</w:t>
      </w:r>
    </w:p>
    <w:p w14:paraId="246510D4">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3、资料审核。</w:t>
      </w:r>
      <w:r>
        <w:rPr>
          <w:rFonts w:hint="eastAsia" w:ascii="宋体" w:hAnsi="宋体" w:eastAsia="宋体"/>
          <w:highlight w:val="none"/>
          <w:lang w:val="en-US" w:eastAsia="zh-CN"/>
        </w:rPr>
        <w:t>项目部</w:t>
      </w:r>
      <w:r>
        <w:rPr>
          <w:rFonts w:hint="default" w:ascii="宋体" w:hAnsi="宋体" w:eastAsia="宋体"/>
          <w:highlight w:val="none"/>
          <w:lang w:val="en-US" w:eastAsia="zh-CN"/>
        </w:rPr>
        <w:t>对</w:t>
      </w:r>
      <w:r>
        <w:rPr>
          <w:rFonts w:hint="eastAsia"/>
          <w:highlight w:val="none"/>
          <w:lang w:val="en-US" w:eastAsia="zh-CN"/>
        </w:rPr>
        <w:t>塔机</w:t>
      </w:r>
      <w:r>
        <w:rPr>
          <w:rFonts w:hint="default" w:ascii="宋体" w:hAnsi="宋体" w:eastAsia="宋体"/>
          <w:highlight w:val="none"/>
          <w:lang w:val="en-US" w:eastAsia="zh-CN"/>
        </w:rPr>
        <w:t>安装相关资料原件进行审核，审核通过后，留存加盖单位公章的复印件，并报监理单位审核。监理单位审核完成后，</w:t>
      </w:r>
      <w:r>
        <w:rPr>
          <w:rFonts w:hint="eastAsia" w:ascii="宋体" w:hAnsi="宋体" w:eastAsia="宋体"/>
          <w:highlight w:val="none"/>
          <w:lang w:val="en-US" w:eastAsia="zh-CN"/>
        </w:rPr>
        <w:t>项目部</w:t>
      </w:r>
      <w:r>
        <w:rPr>
          <w:rFonts w:hint="default" w:ascii="宋体" w:hAnsi="宋体" w:eastAsia="宋体"/>
          <w:highlight w:val="none"/>
          <w:lang w:val="en-US" w:eastAsia="zh-CN"/>
        </w:rPr>
        <w:t>组织</w:t>
      </w:r>
      <w:r>
        <w:rPr>
          <w:rFonts w:hint="eastAsia" w:ascii="宋体" w:hAnsi="宋体" w:eastAsia="宋体"/>
          <w:highlight w:val="none"/>
          <w:lang w:val="en-US" w:eastAsia="zh-CN"/>
        </w:rPr>
        <w:t>联合</w:t>
      </w:r>
      <w:r>
        <w:rPr>
          <w:rFonts w:hint="default" w:ascii="宋体" w:hAnsi="宋体" w:eastAsia="宋体"/>
          <w:highlight w:val="none"/>
          <w:lang w:val="en-US" w:eastAsia="zh-CN"/>
        </w:rPr>
        <w:t>验收。</w:t>
      </w:r>
    </w:p>
    <w:p w14:paraId="3850B958">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4、</w:t>
      </w:r>
      <w:r>
        <w:rPr>
          <w:rFonts w:hint="eastAsia" w:ascii="宋体" w:hAnsi="宋体" w:eastAsia="宋体"/>
          <w:highlight w:val="none"/>
          <w:lang w:val="en-US" w:eastAsia="zh-CN"/>
        </w:rPr>
        <w:t>联合</w:t>
      </w:r>
      <w:r>
        <w:rPr>
          <w:rFonts w:hint="default" w:ascii="宋体" w:hAnsi="宋体" w:eastAsia="宋体"/>
          <w:highlight w:val="none"/>
          <w:lang w:val="en-US" w:eastAsia="zh-CN"/>
        </w:rPr>
        <w:t>验收。</w:t>
      </w:r>
      <w:r>
        <w:rPr>
          <w:rFonts w:hint="eastAsia" w:ascii="宋体" w:hAnsi="宋体" w:eastAsia="宋体"/>
          <w:highlight w:val="none"/>
          <w:lang w:val="en-US" w:eastAsia="zh-CN"/>
        </w:rPr>
        <w:t>项目部</w:t>
      </w:r>
      <w:r>
        <w:rPr>
          <w:rFonts w:hint="default" w:ascii="宋体" w:hAnsi="宋体" w:eastAsia="宋体"/>
          <w:highlight w:val="none"/>
          <w:lang w:val="en-US" w:eastAsia="zh-CN"/>
        </w:rPr>
        <w:t>组织设备供应方、安装单位、使用单位、监理单位对</w:t>
      </w:r>
      <w:r>
        <w:rPr>
          <w:rFonts w:hint="eastAsia"/>
          <w:highlight w:val="none"/>
          <w:lang w:val="en-US" w:eastAsia="zh-CN"/>
        </w:rPr>
        <w:t>塔机</w:t>
      </w:r>
      <w:r>
        <w:rPr>
          <w:rFonts w:hint="default" w:ascii="宋体" w:hAnsi="宋体" w:eastAsia="宋体"/>
          <w:highlight w:val="none"/>
          <w:lang w:val="en-US" w:eastAsia="zh-CN"/>
        </w:rPr>
        <w:t>安装进行联合验收。</w:t>
      </w:r>
    </w:p>
    <w:p w14:paraId="17457514">
      <w:pPr>
        <w:pStyle w:val="4"/>
        <w:bidi w:val="0"/>
        <w:ind w:left="720" w:leftChars="0" w:hanging="720" w:firstLineChars="0"/>
        <w:rPr>
          <w:rFonts w:hint="eastAsia"/>
          <w:lang w:val="en-US" w:eastAsia="zh-CN"/>
        </w:rPr>
      </w:pPr>
      <w:r>
        <w:rPr>
          <w:rFonts w:hint="eastAsia"/>
          <w:lang w:val="en-US" w:eastAsia="zh-CN"/>
        </w:rPr>
        <w:t>验收人员</w:t>
      </w:r>
    </w:p>
    <w:p w14:paraId="3663CB50">
      <w:pPr>
        <w:ind w:firstLine="480" w:firstLineChars="200"/>
        <w:rPr>
          <w:rFonts w:hint="default"/>
          <w:highlight w:val="none"/>
          <w:lang w:val="en-US" w:eastAsia="zh-CN"/>
        </w:rPr>
      </w:pPr>
      <w:r>
        <w:rPr>
          <w:rFonts w:hint="eastAsia"/>
          <w:highlight w:val="none"/>
          <w:lang w:val="en-US" w:eastAsia="zh-CN"/>
        </w:rPr>
        <w:t>检验部位（</w:t>
      </w:r>
      <w:r>
        <w:rPr>
          <w:rFonts w:hint="default"/>
          <w:highlight w:val="none"/>
          <w:lang w:val="en-US" w:eastAsia="zh-CN"/>
        </w:rPr>
        <w:t>检验批</w:t>
      </w:r>
      <w:r>
        <w:rPr>
          <w:rFonts w:hint="eastAsia"/>
          <w:highlight w:val="none"/>
          <w:lang w:val="en-US" w:eastAsia="zh-CN"/>
        </w:rPr>
        <w:t>）</w:t>
      </w:r>
      <w:r>
        <w:rPr>
          <w:rFonts w:hint="default"/>
          <w:highlight w:val="none"/>
          <w:lang w:val="en-US" w:eastAsia="zh-CN"/>
        </w:rPr>
        <w:t>由施工单位自检合格后，报监理单位（建设单位项目技术负责人</w:t>
      </w:r>
      <w:r>
        <w:rPr>
          <w:rFonts w:hint="eastAsia"/>
          <w:highlight w:val="none"/>
          <w:lang w:val="en-US" w:eastAsia="zh-CN"/>
        </w:rPr>
        <w:t>）</w:t>
      </w:r>
      <w:r>
        <w:rPr>
          <w:rFonts w:hint="default"/>
          <w:highlight w:val="none"/>
          <w:lang w:val="en-US" w:eastAsia="zh-CN"/>
        </w:rPr>
        <w:t>，由监理工程师组织施工单位专职质量检查员等进行验收。监理单位应对全部主控项目进行检查，对一般项目的检查内容和数量可根据具体情况确定。</w:t>
      </w:r>
    </w:p>
    <w:p w14:paraId="196D4F7C">
      <w:pPr>
        <w:ind w:firstLine="480" w:firstLineChars="200"/>
        <w:rPr>
          <w:rFonts w:hint="default"/>
          <w:highlight w:val="none"/>
          <w:lang w:val="en-US" w:eastAsia="zh-CN"/>
        </w:rPr>
      </w:pPr>
      <w:r>
        <w:rPr>
          <w:rFonts w:hint="default"/>
          <w:highlight w:val="none"/>
          <w:lang w:val="en-US" w:eastAsia="zh-CN"/>
        </w:rPr>
        <w:t>分项工程由监理工程师（建设单位项目技术负责人）组织施工单位项目专业技术负责人等进行验收。</w:t>
      </w:r>
    </w:p>
    <w:p w14:paraId="346DB45E">
      <w:pPr>
        <w:ind w:firstLine="480" w:firstLineChars="200"/>
        <w:rPr>
          <w:rFonts w:hint="default"/>
          <w:highlight w:val="none"/>
          <w:lang w:val="en-US" w:eastAsia="zh-CN"/>
        </w:rPr>
      </w:pPr>
      <w:r>
        <w:rPr>
          <w:rFonts w:hint="default"/>
          <w:highlight w:val="none"/>
          <w:lang w:val="en-US" w:eastAsia="zh-CN"/>
        </w:rPr>
        <w:t>分部工程由总监理工程师（建设单位项目负责人）组织施工单位项目负责人和技术、质量负责人等进行验收</w:t>
      </w:r>
      <w:r>
        <w:rPr>
          <w:rFonts w:hint="eastAsia"/>
          <w:highlight w:val="none"/>
          <w:lang w:val="en-US" w:eastAsia="zh-CN"/>
        </w:rPr>
        <w:t>；</w:t>
      </w:r>
      <w:r>
        <w:rPr>
          <w:rFonts w:hint="default"/>
          <w:highlight w:val="none"/>
          <w:lang w:val="en-US" w:eastAsia="zh-CN"/>
        </w:rPr>
        <w:t>地基与基础、主体结构分部工程进行验收时，勘察、设计单位项目负责人也应参加。</w:t>
      </w:r>
    </w:p>
    <w:p w14:paraId="763FE683">
      <w:pPr>
        <w:pStyle w:val="3"/>
        <w:bidi w:val="0"/>
        <w:ind w:left="575" w:leftChars="0" w:hanging="575" w:firstLineChars="0"/>
        <w:rPr>
          <w:rFonts w:hint="eastAsia" w:cs="Times New Roman"/>
          <w:highlight w:val="none"/>
          <w:lang w:val="en-US" w:eastAsia="zh-CN"/>
        </w:rPr>
      </w:pPr>
      <w:bookmarkStart w:id="368" w:name="_Toc24559"/>
      <w:bookmarkStart w:id="369" w:name="_Toc11653"/>
      <w:bookmarkStart w:id="370" w:name="_Toc21699"/>
      <w:r>
        <w:rPr>
          <w:rFonts w:hint="eastAsia" w:ascii="Arial" w:hAnsi="Arial" w:cs="Times New Roman"/>
          <w:highlight w:val="none"/>
          <w:lang w:val="en-US" w:eastAsia="zh-CN"/>
        </w:rPr>
        <w:t>验收</w:t>
      </w:r>
      <w:r>
        <w:rPr>
          <w:rFonts w:hint="eastAsia" w:cs="Times New Roman"/>
          <w:highlight w:val="none"/>
          <w:lang w:val="en-US" w:eastAsia="zh-CN"/>
        </w:rPr>
        <w:t>内容</w:t>
      </w:r>
      <w:bookmarkEnd w:id="368"/>
      <w:bookmarkEnd w:id="369"/>
      <w:bookmarkEnd w:id="370"/>
    </w:p>
    <w:p w14:paraId="2A610C4B">
      <w:pPr>
        <w:pStyle w:val="15"/>
        <w:bidi w:val="0"/>
        <w:rPr>
          <w:rFonts w:hint="default"/>
          <w:highlight w:val="none"/>
          <w:lang w:val="en-US" w:eastAsia="zh-CN"/>
        </w:rPr>
      </w:pPr>
      <w:r>
        <w:rPr>
          <w:rFonts w:hint="eastAsia"/>
          <w:highlight w:val="none"/>
          <w:lang w:val="en-US" w:eastAsia="zh-CN"/>
        </w:rPr>
        <w:t>表8.3-1塔机安拆验收内容</w:t>
      </w:r>
    </w:p>
    <w:tbl>
      <w:tblPr>
        <w:tblStyle w:val="31"/>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83"/>
        <w:gridCol w:w="7821"/>
      </w:tblGrid>
      <w:tr w14:paraId="08E0E34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683" w:type="dxa"/>
            <w:tcBorders>
              <w:tl2br w:val="nil"/>
              <w:tr2bl w:val="nil"/>
            </w:tcBorders>
            <w:shd w:val="clear" w:color="auto" w:fill="DAE3F3" w:themeFill="accent5" w:themeFillTint="32"/>
            <w:noWrap w:val="0"/>
            <w:vAlign w:val="center"/>
          </w:tcPr>
          <w:p w14:paraId="0719A6C2">
            <w:pPr>
              <w:pStyle w:val="105"/>
              <w:bidi w:val="0"/>
              <w:rPr>
                <w:rFonts w:hint="default"/>
                <w:highlight w:val="none"/>
                <w:lang w:val="en-US" w:eastAsia="zh-CN"/>
              </w:rPr>
            </w:pPr>
            <w:r>
              <w:rPr>
                <w:rFonts w:hint="eastAsia"/>
                <w:highlight w:val="none"/>
                <w:lang w:val="en-US" w:eastAsia="zh-CN"/>
              </w:rPr>
              <w:t>序号</w:t>
            </w:r>
          </w:p>
        </w:tc>
        <w:tc>
          <w:tcPr>
            <w:tcW w:w="7821" w:type="dxa"/>
            <w:tcBorders>
              <w:tl2br w:val="nil"/>
              <w:tr2bl w:val="nil"/>
            </w:tcBorders>
            <w:shd w:val="clear" w:color="auto" w:fill="DAE3F3" w:themeFill="accent5" w:themeFillTint="32"/>
            <w:noWrap w:val="0"/>
            <w:vAlign w:val="center"/>
          </w:tcPr>
          <w:p w14:paraId="435D78FD">
            <w:pPr>
              <w:pStyle w:val="105"/>
              <w:bidi w:val="0"/>
              <w:rPr>
                <w:rFonts w:hint="default"/>
                <w:highlight w:val="none"/>
                <w:lang w:val="en-US" w:eastAsia="zh-CN"/>
              </w:rPr>
            </w:pPr>
            <w:r>
              <w:rPr>
                <w:rFonts w:hint="eastAsia"/>
                <w:highlight w:val="none"/>
                <w:lang w:val="en-US" w:eastAsia="zh-CN"/>
              </w:rPr>
              <w:t>内 容</w:t>
            </w:r>
          </w:p>
        </w:tc>
      </w:tr>
      <w:tr w14:paraId="4C00DD5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784BE103">
            <w:pPr>
              <w:pStyle w:val="105"/>
              <w:bidi w:val="0"/>
              <w:rPr>
                <w:rFonts w:hint="default"/>
                <w:highlight w:val="none"/>
                <w:lang w:val="en-US" w:eastAsia="zh-CN"/>
              </w:rPr>
            </w:pPr>
            <w:r>
              <w:rPr>
                <w:rFonts w:hint="eastAsia"/>
                <w:highlight w:val="none"/>
                <w:lang w:val="en-US" w:eastAsia="zh-CN"/>
              </w:rPr>
              <w:t>1</w:t>
            </w:r>
          </w:p>
        </w:tc>
        <w:tc>
          <w:tcPr>
            <w:tcW w:w="7821" w:type="dxa"/>
            <w:tcBorders>
              <w:tl2br w:val="nil"/>
              <w:tr2bl w:val="nil"/>
            </w:tcBorders>
            <w:noWrap w:val="0"/>
            <w:vAlign w:val="center"/>
          </w:tcPr>
          <w:p w14:paraId="75B04B2F">
            <w:pPr>
              <w:pStyle w:val="105"/>
              <w:bidi w:val="0"/>
              <w:rPr>
                <w:rFonts w:hint="default"/>
                <w:highlight w:val="none"/>
                <w:lang w:val="en-US" w:eastAsia="zh-CN"/>
              </w:rPr>
            </w:pPr>
            <w:r>
              <w:rPr>
                <w:rFonts w:hint="eastAsia"/>
                <w:highlight w:val="none"/>
                <w:lang w:val="en-US" w:eastAsia="zh-CN"/>
              </w:rPr>
              <w:t>施工现场塔机的技术资料和安全资料必须齐全。</w:t>
            </w:r>
          </w:p>
        </w:tc>
      </w:tr>
      <w:tr w14:paraId="7F06044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058EC579">
            <w:pPr>
              <w:pStyle w:val="105"/>
              <w:bidi w:val="0"/>
              <w:rPr>
                <w:rFonts w:hint="default"/>
                <w:highlight w:val="none"/>
                <w:lang w:val="en-US" w:eastAsia="zh-CN"/>
              </w:rPr>
            </w:pPr>
            <w:r>
              <w:rPr>
                <w:rFonts w:hint="eastAsia"/>
                <w:highlight w:val="none"/>
                <w:lang w:val="en-US" w:eastAsia="zh-CN"/>
              </w:rPr>
              <w:t>2</w:t>
            </w:r>
          </w:p>
        </w:tc>
        <w:tc>
          <w:tcPr>
            <w:tcW w:w="7821" w:type="dxa"/>
            <w:tcBorders>
              <w:tl2br w:val="nil"/>
              <w:tr2bl w:val="nil"/>
            </w:tcBorders>
            <w:noWrap w:val="0"/>
            <w:vAlign w:val="center"/>
          </w:tcPr>
          <w:p w14:paraId="63FB3894">
            <w:pPr>
              <w:pStyle w:val="105"/>
              <w:bidi w:val="0"/>
              <w:rPr>
                <w:rFonts w:hint="default"/>
                <w:highlight w:val="none"/>
                <w:lang w:val="en-US" w:eastAsia="zh-CN"/>
              </w:rPr>
            </w:pPr>
            <w:r>
              <w:rPr>
                <w:rFonts w:hint="eastAsia"/>
                <w:highlight w:val="none"/>
                <w:lang w:val="en-US" w:eastAsia="zh-CN"/>
              </w:rPr>
              <w:t>塔机生产许可证、出厂合格证、使用说明书、设备 档案、运转及维修保养记录、安装方案、验收证书、检测检验报告。</w:t>
            </w:r>
          </w:p>
        </w:tc>
      </w:tr>
      <w:tr w14:paraId="0FFBB6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48175CB0">
            <w:pPr>
              <w:pStyle w:val="105"/>
              <w:bidi w:val="0"/>
              <w:rPr>
                <w:rFonts w:hint="default"/>
                <w:highlight w:val="none"/>
                <w:lang w:val="en-US" w:eastAsia="zh-CN"/>
              </w:rPr>
            </w:pPr>
            <w:r>
              <w:rPr>
                <w:rFonts w:hint="eastAsia"/>
                <w:highlight w:val="none"/>
                <w:lang w:val="en-US" w:eastAsia="zh-CN"/>
              </w:rPr>
              <w:t>3</w:t>
            </w:r>
          </w:p>
        </w:tc>
        <w:tc>
          <w:tcPr>
            <w:tcW w:w="7821" w:type="dxa"/>
            <w:tcBorders>
              <w:tl2br w:val="nil"/>
              <w:tr2bl w:val="nil"/>
            </w:tcBorders>
            <w:noWrap w:val="0"/>
            <w:vAlign w:val="center"/>
          </w:tcPr>
          <w:p w14:paraId="2AD4858C">
            <w:pPr>
              <w:pStyle w:val="105"/>
              <w:bidi w:val="0"/>
              <w:rPr>
                <w:rFonts w:hint="default"/>
                <w:highlight w:val="none"/>
                <w:lang w:val="en-US" w:eastAsia="zh-CN"/>
              </w:rPr>
            </w:pPr>
            <w:r>
              <w:rPr>
                <w:rFonts w:hint="eastAsia"/>
                <w:highlight w:val="none"/>
                <w:lang w:val="en-US" w:eastAsia="zh-CN"/>
              </w:rPr>
              <w:t>安装队伍资质证书、设备安拆人员、指挥人员、操作人员及其他特种作业人员的操作证和安全上岗证。</w:t>
            </w:r>
          </w:p>
        </w:tc>
      </w:tr>
      <w:tr w14:paraId="6B75BE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6E072DFC">
            <w:pPr>
              <w:pStyle w:val="105"/>
              <w:bidi w:val="0"/>
              <w:rPr>
                <w:rFonts w:hint="default"/>
                <w:highlight w:val="none"/>
                <w:lang w:val="en-US" w:eastAsia="zh-CN"/>
              </w:rPr>
            </w:pPr>
            <w:r>
              <w:rPr>
                <w:rFonts w:hint="eastAsia"/>
                <w:highlight w:val="none"/>
                <w:lang w:val="en-US" w:eastAsia="zh-CN"/>
              </w:rPr>
              <w:t>4</w:t>
            </w:r>
          </w:p>
        </w:tc>
        <w:tc>
          <w:tcPr>
            <w:tcW w:w="7821" w:type="dxa"/>
            <w:tcBorders>
              <w:tl2br w:val="nil"/>
              <w:tr2bl w:val="nil"/>
            </w:tcBorders>
            <w:noWrap w:val="0"/>
            <w:vAlign w:val="center"/>
          </w:tcPr>
          <w:p w14:paraId="1E456B82">
            <w:pPr>
              <w:pStyle w:val="105"/>
              <w:bidi w:val="0"/>
              <w:rPr>
                <w:rFonts w:hint="default"/>
                <w:highlight w:val="none"/>
                <w:lang w:val="en-US" w:eastAsia="zh-CN"/>
              </w:rPr>
            </w:pPr>
            <w:r>
              <w:rPr>
                <w:rFonts w:hint="eastAsia"/>
                <w:highlight w:val="none"/>
                <w:lang w:val="en-US" w:eastAsia="zh-CN"/>
              </w:rPr>
              <w:t>塔机处悬挂限载标志牌、安全警示牌、操作规程牌、验收合格牌、定人定机牌。</w:t>
            </w:r>
          </w:p>
        </w:tc>
      </w:tr>
      <w:tr w14:paraId="10332A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095D2F60">
            <w:pPr>
              <w:pStyle w:val="105"/>
              <w:bidi w:val="0"/>
              <w:rPr>
                <w:rFonts w:hint="eastAsia"/>
                <w:highlight w:val="none"/>
                <w:lang w:val="en-US" w:eastAsia="zh-CN"/>
              </w:rPr>
            </w:pPr>
            <w:r>
              <w:rPr>
                <w:rFonts w:hint="eastAsia"/>
                <w:highlight w:val="none"/>
                <w:lang w:val="en-US" w:eastAsia="zh-CN"/>
              </w:rPr>
              <w:t>5</w:t>
            </w:r>
          </w:p>
        </w:tc>
        <w:tc>
          <w:tcPr>
            <w:tcW w:w="7821" w:type="dxa"/>
            <w:tcBorders>
              <w:tl2br w:val="nil"/>
              <w:tr2bl w:val="nil"/>
            </w:tcBorders>
            <w:noWrap w:val="0"/>
            <w:vAlign w:val="center"/>
          </w:tcPr>
          <w:p w14:paraId="1593D1B0">
            <w:pPr>
              <w:pStyle w:val="105"/>
              <w:bidi w:val="0"/>
              <w:rPr>
                <w:rFonts w:hint="eastAsia"/>
                <w:highlight w:val="none"/>
                <w:lang w:val="en-US" w:eastAsia="zh-CN"/>
              </w:rPr>
            </w:pPr>
            <w:r>
              <w:rPr>
                <w:rFonts w:hint="eastAsia"/>
                <w:highlight w:val="none"/>
                <w:lang w:val="en-US" w:eastAsia="zh-CN"/>
              </w:rPr>
              <w:t>起重吊装及起重机械设备、设施安装，过程中各工序、节点的验收标准和验收条件</w:t>
            </w:r>
          </w:p>
        </w:tc>
      </w:tr>
      <w:tr w14:paraId="392B51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2256405B">
            <w:pPr>
              <w:pStyle w:val="105"/>
              <w:bidi w:val="0"/>
              <w:rPr>
                <w:rFonts w:hint="default"/>
                <w:highlight w:val="none"/>
                <w:lang w:val="en-US" w:eastAsia="zh-CN"/>
              </w:rPr>
            </w:pPr>
            <w:r>
              <w:rPr>
                <w:rFonts w:hint="eastAsia"/>
                <w:highlight w:val="none"/>
                <w:lang w:val="en-US" w:eastAsia="zh-CN"/>
              </w:rPr>
              <w:t>6</w:t>
            </w:r>
          </w:p>
        </w:tc>
        <w:tc>
          <w:tcPr>
            <w:tcW w:w="7821" w:type="dxa"/>
            <w:tcBorders>
              <w:tl2br w:val="nil"/>
              <w:tr2bl w:val="nil"/>
            </w:tcBorders>
            <w:noWrap w:val="0"/>
            <w:vAlign w:val="center"/>
          </w:tcPr>
          <w:p w14:paraId="3E77B42C">
            <w:pPr>
              <w:pStyle w:val="105"/>
              <w:bidi w:val="0"/>
              <w:rPr>
                <w:rFonts w:hint="eastAsia"/>
                <w:highlight w:val="none"/>
                <w:lang w:val="en-US" w:eastAsia="zh-CN"/>
              </w:rPr>
            </w:pPr>
            <w:r>
              <w:rPr>
                <w:rFonts w:hint="eastAsia"/>
                <w:highlight w:val="none"/>
                <w:lang w:val="en-US" w:eastAsia="zh-CN"/>
              </w:rPr>
              <w:t>进场材料、机械设备、设施验收标准及验收表</w:t>
            </w:r>
          </w:p>
        </w:tc>
      </w:tr>
      <w:tr w14:paraId="0E7DE83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3C025A0E">
            <w:pPr>
              <w:pStyle w:val="105"/>
              <w:bidi w:val="0"/>
              <w:rPr>
                <w:rFonts w:hint="default"/>
                <w:highlight w:val="none"/>
                <w:lang w:val="en-US" w:eastAsia="zh-CN"/>
              </w:rPr>
            </w:pPr>
            <w:r>
              <w:rPr>
                <w:rFonts w:hint="eastAsia"/>
                <w:highlight w:val="none"/>
                <w:lang w:val="en-US" w:eastAsia="zh-CN"/>
              </w:rPr>
              <w:t>7</w:t>
            </w:r>
          </w:p>
        </w:tc>
        <w:tc>
          <w:tcPr>
            <w:tcW w:w="7821" w:type="dxa"/>
            <w:tcBorders>
              <w:tl2br w:val="nil"/>
              <w:tr2bl w:val="nil"/>
            </w:tcBorders>
            <w:noWrap w:val="0"/>
            <w:vAlign w:val="center"/>
          </w:tcPr>
          <w:p w14:paraId="2BF185DC">
            <w:pPr>
              <w:pStyle w:val="105"/>
              <w:bidi w:val="0"/>
              <w:rPr>
                <w:rFonts w:hint="default"/>
                <w:highlight w:val="none"/>
                <w:lang w:val="en-US" w:eastAsia="zh-CN"/>
              </w:rPr>
            </w:pPr>
            <w:r>
              <w:rPr>
                <w:rFonts w:hint="eastAsia"/>
                <w:highlight w:val="none"/>
                <w:lang w:val="en-US" w:eastAsia="zh-CN"/>
              </w:rPr>
              <w:t>吊装与拆卸作业全过程安全技术控制的关键环节验收</w:t>
            </w:r>
          </w:p>
        </w:tc>
      </w:tr>
      <w:tr w14:paraId="6A61068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5620E6ED">
            <w:pPr>
              <w:pStyle w:val="105"/>
              <w:bidi w:val="0"/>
              <w:rPr>
                <w:rFonts w:hint="default"/>
                <w:highlight w:val="none"/>
                <w:lang w:val="en-US" w:eastAsia="zh-CN"/>
              </w:rPr>
            </w:pPr>
            <w:r>
              <w:rPr>
                <w:rFonts w:hint="eastAsia"/>
                <w:highlight w:val="none"/>
                <w:lang w:val="en-US" w:eastAsia="zh-CN"/>
              </w:rPr>
              <w:t>8</w:t>
            </w:r>
          </w:p>
        </w:tc>
        <w:tc>
          <w:tcPr>
            <w:tcW w:w="7821" w:type="dxa"/>
            <w:tcBorders>
              <w:tl2br w:val="nil"/>
              <w:tr2bl w:val="nil"/>
            </w:tcBorders>
            <w:noWrap w:val="0"/>
            <w:vAlign w:val="center"/>
          </w:tcPr>
          <w:p w14:paraId="7B1B5CEC">
            <w:pPr>
              <w:pStyle w:val="105"/>
              <w:bidi w:val="0"/>
              <w:rPr>
                <w:rFonts w:hint="default"/>
                <w:highlight w:val="none"/>
                <w:lang w:val="en-US" w:eastAsia="zh-CN"/>
              </w:rPr>
            </w:pPr>
            <w:r>
              <w:rPr>
                <w:rFonts w:hint="eastAsia"/>
                <w:highlight w:val="none"/>
                <w:lang w:val="en-US" w:eastAsia="zh-CN"/>
              </w:rPr>
              <w:t>汽车吊摆放位置基础承载力满足要求</w:t>
            </w:r>
          </w:p>
        </w:tc>
      </w:tr>
      <w:tr w14:paraId="55C49C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1F80A89D">
            <w:pPr>
              <w:pStyle w:val="105"/>
              <w:bidi w:val="0"/>
              <w:rPr>
                <w:rFonts w:hint="default"/>
                <w:highlight w:val="none"/>
                <w:lang w:val="en-US" w:eastAsia="zh-CN"/>
              </w:rPr>
            </w:pPr>
            <w:r>
              <w:rPr>
                <w:rFonts w:hint="eastAsia"/>
                <w:highlight w:val="none"/>
                <w:lang w:val="en-US" w:eastAsia="zh-CN"/>
              </w:rPr>
              <w:t>9</w:t>
            </w:r>
          </w:p>
        </w:tc>
        <w:tc>
          <w:tcPr>
            <w:tcW w:w="7821" w:type="dxa"/>
            <w:tcBorders>
              <w:tl2br w:val="nil"/>
              <w:tr2bl w:val="nil"/>
            </w:tcBorders>
            <w:noWrap w:val="0"/>
            <w:vAlign w:val="center"/>
          </w:tcPr>
          <w:p w14:paraId="2D660F46">
            <w:pPr>
              <w:pStyle w:val="105"/>
              <w:bidi w:val="0"/>
              <w:rPr>
                <w:rFonts w:hint="default"/>
                <w:highlight w:val="none"/>
                <w:lang w:val="en-US" w:eastAsia="zh-CN"/>
              </w:rPr>
            </w:pPr>
            <w:r>
              <w:rPr>
                <w:rFonts w:hint="eastAsia"/>
                <w:highlight w:val="none"/>
                <w:lang w:val="en-US" w:eastAsia="zh-CN"/>
              </w:rPr>
              <w:t>汽车吊起重性能满足要求</w:t>
            </w:r>
          </w:p>
        </w:tc>
      </w:tr>
      <w:tr w14:paraId="341DA39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2659F308">
            <w:pPr>
              <w:pStyle w:val="105"/>
              <w:bidi w:val="0"/>
              <w:rPr>
                <w:rFonts w:hint="default"/>
                <w:highlight w:val="none"/>
                <w:lang w:val="en-US" w:eastAsia="zh-CN"/>
              </w:rPr>
            </w:pPr>
            <w:r>
              <w:rPr>
                <w:rFonts w:hint="eastAsia"/>
                <w:highlight w:val="none"/>
                <w:lang w:val="en-US" w:eastAsia="zh-CN"/>
              </w:rPr>
              <w:t>10</w:t>
            </w:r>
          </w:p>
        </w:tc>
        <w:tc>
          <w:tcPr>
            <w:tcW w:w="7821" w:type="dxa"/>
            <w:tcBorders>
              <w:tl2br w:val="nil"/>
              <w:tr2bl w:val="nil"/>
            </w:tcBorders>
            <w:noWrap w:val="0"/>
            <w:vAlign w:val="center"/>
          </w:tcPr>
          <w:p w14:paraId="7E19B736">
            <w:pPr>
              <w:pStyle w:val="105"/>
              <w:bidi w:val="0"/>
              <w:rPr>
                <w:rFonts w:hint="default"/>
                <w:highlight w:val="none"/>
                <w:lang w:val="en-US" w:eastAsia="zh-CN"/>
              </w:rPr>
            </w:pPr>
            <w:r>
              <w:rPr>
                <w:rFonts w:hint="eastAsia"/>
                <w:highlight w:val="none"/>
                <w:lang w:val="en-US" w:eastAsia="zh-CN"/>
              </w:rPr>
              <w:t>吊、索、卡、具完好，被吊物重心已确认</w:t>
            </w:r>
          </w:p>
        </w:tc>
      </w:tr>
      <w:tr w14:paraId="7D8DE6A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56F2F29E">
            <w:pPr>
              <w:pStyle w:val="105"/>
              <w:bidi w:val="0"/>
              <w:rPr>
                <w:rFonts w:hint="default"/>
                <w:highlight w:val="none"/>
                <w:lang w:val="en-US" w:eastAsia="zh-CN"/>
              </w:rPr>
            </w:pPr>
            <w:r>
              <w:rPr>
                <w:rFonts w:hint="eastAsia"/>
                <w:highlight w:val="none"/>
                <w:lang w:val="en-US" w:eastAsia="zh-CN"/>
              </w:rPr>
              <w:t>11</w:t>
            </w:r>
          </w:p>
        </w:tc>
        <w:tc>
          <w:tcPr>
            <w:tcW w:w="7821" w:type="dxa"/>
            <w:tcBorders>
              <w:tl2br w:val="nil"/>
              <w:tr2bl w:val="nil"/>
            </w:tcBorders>
            <w:noWrap w:val="0"/>
            <w:vAlign w:val="center"/>
          </w:tcPr>
          <w:p w14:paraId="356304BD">
            <w:pPr>
              <w:pStyle w:val="105"/>
              <w:bidi w:val="0"/>
              <w:rPr>
                <w:rFonts w:hint="eastAsia"/>
                <w:highlight w:val="none"/>
                <w:lang w:val="en-US" w:eastAsia="zh-CN"/>
              </w:rPr>
            </w:pPr>
            <w:r>
              <w:rPr>
                <w:rFonts w:hint="eastAsia"/>
                <w:highlight w:val="none"/>
                <w:lang w:val="en-US" w:eastAsia="zh-CN"/>
              </w:rPr>
              <w:t>各结构件焊缝强度满足设计要求</w:t>
            </w:r>
          </w:p>
        </w:tc>
      </w:tr>
      <w:tr w14:paraId="00333C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36D083E7">
            <w:pPr>
              <w:pStyle w:val="105"/>
              <w:bidi w:val="0"/>
              <w:rPr>
                <w:rFonts w:hint="default"/>
                <w:highlight w:val="none"/>
                <w:lang w:val="en-US" w:eastAsia="zh-CN"/>
              </w:rPr>
            </w:pPr>
            <w:r>
              <w:rPr>
                <w:rFonts w:hint="eastAsia"/>
                <w:highlight w:val="none"/>
                <w:lang w:val="en-US" w:eastAsia="zh-CN"/>
              </w:rPr>
              <w:t>12</w:t>
            </w:r>
          </w:p>
        </w:tc>
        <w:tc>
          <w:tcPr>
            <w:tcW w:w="7821" w:type="dxa"/>
            <w:tcBorders>
              <w:tl2br w:val="nil"/>
              <w:tr2bl w:val="nil"/>
            </w:tcBorders>
            <w:noWrap w:val="0"/>
            <w:vAlign w:val="center"/>
          </w:tcPr>
          <w:p w14:paraId="6C2FFA0E">
            <w:pPr>
              <w:pStyle w:val="105"/>
              <w:bidi w:val="0"/>
              <w:rPr>
                <w:rFonts w:hint="eastAsia"/>
                <w:highlight w:val="none"/>
                <w:lang w:val="en-US" w:eastAsia="zh-CN"/>
              </w:rPr>
            </w:pPr>
            <w:r>
              <w:rPr>
                <w:rFonts w:hint="eastAsia"/>
                <w:highlight w:val="none"/>
                <w:lang w:val="en-US" w:eastAsia="zh-CN"/>
              </w:rPr>
              <w:t>吊运轨迹正确，信号指挥方式确定</w:t>
            </w:r>
          </w:p>
        </w:tc>
      </w:tr>
    </w:tbl>
    <w:p w14:paraId="220C6F80">
      <w:pPr>
        <w:pStyle w:val="15"/>
        <w:bidi w:val="0"/>
        <w:rPr>
          <w:rFonts w:hint="default"/>
          <w:highlight w:val="none"/>
          <w:lang w:val="en-US" w:eastAsia="zh-CN"/>
        </w:rPr>
      </w:pPr>
      <w:r>
        <w:rPr>
          <w:rFonts w:hint="eastAsia"/>
          <w:highlight w:val="none"/>
          <w:lang w:val="en-US" w:eastAsia="zh-CN"/>
        </w:rPr>
        <w:t>表8.3-2</w:t>
      </w:r>
      <w:r>
        <w:rPr>
          <w:rFonts w:hint="default"/>
          <w:highlight w:val="none"/>
          <w:lang w:val="en-US" w:eastAsia="zh-CN"/>
        </w:rPr>
        <w:t>塔式起重机基础整体验收表</w:t>
      </w:r>
    </w:p>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97"/>
        <w:gridCol w:w="6160"/>
        <w:gridCol w:w="1647"/>
      </w:tblGrid>
      <w:tr w14:paraId="1AFCF88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shd w:val="clear" w:color="auto" w:fill="DAE3F3" w:themeFill="accent5" w:themeFillTint="32"/>
            <w:noWrap w:val="0"/>
            <w:vAlign w:val="center"/>
          </w:tcPr>
          <w:p w14:paraId="6B954C1A">
            <w:pPr>
              <w:pStyle w:val="105"/>
              <w:bidi w:val="0"/>
              <w:rPr>
                <w:rFonts w:hint="default"/>
                <w:highlight w:val="none"/>
                <w:lang w:val="en-US" w:eastAsia="zh-CN"/>
              </w:rPr>
            </w:pPr>
            <w:r>
              <w:rPr>
                <w:rFonts w:hint="default"/>
                <w:highlight w:val="none"/>
                <w:lang w:val="en-US" w:eastAsia="zh-CN"/>
              </w:rPr>
              <w:t>序号</w:t>
            </w:r>
          </w:p>
        </w:tc>
        <w:tc>
          <w:tcPr>
            <w:tcW w:w="6160" w:type="dxa"/>
            <w:tcBorders>
              <w:tl2br w:val="nil"/>
              <w:tr2bl w:val="nil"/>
            </w:tcBorders>
            <w:shd w:val="clear" w:color="auto" w:fill="DAE3F3" w:themeFill="accent5" w:themeFillTint="32"/>
            <w:noWrap w:val="0"/>
            <w:vAlign w:val="center"/>
          </w:tcPr>
          <w:p w14:paraId="202DB14C">
            <w:pPr>
              <w:pStyle w:val="105"/>
              <w:bidi w:val="0"/>
              <w:rPr>
                <w:rFonts w:hint="default"/>
                <w:highlight w:val="none"/>
                <w:lang w:val="en-US" w:eastAsia="zh-CN"/>
              </w:rPr>
            </w:pPr>
            <w:r>
              <w:rPr>
                <w:rFonts w:hint="default"/>
                <w:highlight w:val="none"/>
                <w:lang w:val="en-US" w:eastAsia="zh-CN"/>
              </w:rPr>
              <w:t>安全技术要求</w:t>
            </w:r>
          </w:p>
        </w:tc>
        <w:tc>
          <w:tcPr>
            <w:tcW w:w="1647" w:type="dxa"/>
            <w:tcBorders>
              <w:tl2br w:val="nil"/>
              <w:tr2bl w:val="nil"/>
            </w:tcBorders>
            <w:shd w:val="clear" w:color="auto" w:fill="DAE3F3" w:themeFill="accent5" w:themeFillTint="32"/>
            <w:noWrap w:val="0"/>
            <w:vAlign w:val="center"/>
          </w:tcPr>
          <w:p w14:paraId="247CC425">
            <w:pPr>
              <w:pStyle w:val="105"/>
              <w:bidi w:val="0"/>
              <w:rPr>
                <w:rFonts w:hint="default"/>
                <w:highlight w:val="none"/>
                <w:lang w:val="en-US" w:eastAsia="zh-CN"/>
              </w:rPr>
            </w:pPr>
            <w:r>
              <w:rPr>
                <w:rFonts w:hint="default"/>
                <w:highlight w:val="none"/>
                <w:lang w:val="en-US" w:eastAsia="zh-CN"/>
              </w:rPr>
              <w:t>验收结果</w:t>
            </w:r>
          </w:p>
        </w:tc>
      </w:tr>
      <w:tr w14:paraId="458B593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607E5043">
            <w:pPr>
              <w:pStyle w:val="105"/>
              <w:bidi w:val="0"/>
              <w:rPr>
                <w:rFonts w:hint="default"/>
                <w:highlight w:val="none"/>
                <w:lang w:val="en-US" w:eastAsia="zh-CN"/>
              </w:rPr>
            </w:pPr>
            <w:r>
              <w:rPr>
                <w:rFonts w:hint="default"/>
                <w:highlight w:val="none"/>
                <w:lang w:val="en-US" w:eastAsia="zh-CN"/>
              </w:rPr>
              <w:t>1</w:t>
            </w:r>
          </w:p>
        </w:tc>
        <w:tc>
          <w:tcPr>
            <w:tcW w:w="6160" w:type="dxa"/>
            <w:tcBorders>
              <w:tl2br w:val="nil"/>
              <w:tr2bl w:val="nil"/>
            </w:tcBorders>
            <w:noWrap w:val="0"/>
            <w:vAlign w:val="center"/>
          </w:tcPr>
          <w:p w14:paraId="7D5713DA">
            <w:pPr>
              <w:pStyle w:val="105"/>
              <w:bidi w:val="0"/>
              <w:rPr>
                <w:rFonts w:hint="default"/>
                <w:highlight w:val="none"/>
                <w:lang w:val="en-US" w:eastAsia="zh-CN"/>
              </w:rPr>
            </w:pPr>
            <w:r>
              <w:rPr>
                <w:rFonts w:hint="default"/>
                <w:highlight w:val="none"/>
                <w:lang w:val="en-US" w:eastAsia="zh-CN"/>
              </w:rPr>
              <w:t>地基承载力应满足说明书要求，基础原材料符合相关标准要求，并做材料性能检验及隐蔽工程验收。</w:t>
            </w:r>
          </w:p>
        </w:tc>
        <w:tc>
          <w:tcPr>
            <w:tcW w:w="1647" w:type="dxa"/>
            <w:tcBorders>
              <w:tl2br w:val="nil"/>
              <w:tr2bl w:val="nil"/>
            </w:tcBorders>
            <w:noWrap w:val="0"/>
            <w:vAlign w:val="center"/>
          </w:tcPr>
          <w:p w14:paraId="1DDA75C0">
            <w:pPr>
              <w:pStyle w:val="105"/>
              <w:bidi w:val="0"/>
              <w:rPr>
                <w:rFonts w:hint="default"/>
                <w:highlight w:val="none"/>
                <w:lang w:val="en-US" w:eastAsia="zh-CN"/>
              </w:rPr>
            </w:pPr>
          </w:p>
        </w:tc>
      </w:tr>
      <w:tr w14:paraId="5AAC008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28EB1F61">
            <w:pPr>
              <w:pStyle w:val="105"/>
              <w:bidi w:val="0"/>
              <w:rPr>
                <w:rFonts w:hint="default"/>
                <w:highlight w:val="none"/>
                <w:lang w:val="en-US" w:eastAsia="zh-CN"/>
              </w:rPr>
            </w:pPr>
            <w:r>
              <w:rPr>
                <w:rFonts w:hint="default"/>
                <w:highlight w:val="none"/>
                <w:lang w:val="en-US" w:eastAsia="zh-CN"/>
              </w:rPr>
              <w:t>2</w:t>
            </w:r>
          </w:p>
        </w:tc>
        <w:tc>
          <w:tcPr>
            <w:tcW w:w="6160" w:type="dxa"/>
            <w:tcBorders>
              <w:tl2br w:val="nil"/>
              <w:tr2bl w:val="nil"/>
            </w:tcBorders>
            <w:noWrap w:val="0"/>
            <w:vAlign w:val="center"/>
          </w:tcPr>
          <w:p w14:paraId="6257C024">
            <w:pPr>
              <w:pStyle w:val="105"/>
              <w:bidi w:val="0"/>
              <w:rPr>
                <w:rFonts w:hint="default"/>
                <w:highlight w:val="none"/>
                <w:lang w:val="en-US" w:eastAsia="zh-CN"/>
              </w:rPr>
            </w:pPr>
            <w:r>
              <w:rPr>
                <w:rFonts w:hint="default"/>
                <w:highlight w:val="none"/>
                <w:lang w:val="en-US" w:eastAsia="zh-CN"/>
              </w:rPr>
              <w:t>基础尺寸偏差（长度、宽度、高度）≤±20mm。</w:t>
            </w:r>
          </w:p>
        </w:tc>
        <w:tc>
          <w:tcPr>
            <w:tcW w:w="1647" w:type="dxa"/>
            <w:tcBorders>
              <w:tl2br w:val="nil"/>
              <w:tr2bl w:val="nil"/>
            </w:tcBorders>
            <w:noWrap w:val="0"/>
            <w:vAlign w:val="center"/>
          </w:tcPr>
          <w:p w14:paraId="33C30881">
            <w:pPr>
              <w:pStyle w:val="105"/>
              <w:bidi w:val="0"/>
              <w:rPr>
                <w:rFonts w:hint="default"/>
                <w:highlight w:val="none"/>
                <w:lang w:val="en-US" w:eastAsia="zh-CN"/>
              </w:rPr>
            </w:pPr>
          </w:p>
        </w:tc>
      </w:tr>
      <w:tr w14:paraId="2F1A40E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12172440">
            <w:pPr>
              <w:pStyle w:val="105"/>
              <w:bidi w:val="0"/>
              <w:rPr>
                <w:rFonts w:hint="default"/>
                <w:highlight w:val="none"/>
                <w:lang w:val="en-US" w:eastAsia="zh-CN"/>
              </w:rPr>
            </w:pPr>
            <w:r>
              <w:rPr>
                <w:rFonts w:hint="default"/>
                <w:highlight w:val="none"/>
                <w:lang w:val="en-US" w:eastAsia="zh-CN"/>
              </w:rPr>
              <w:t>3</w:t>
            </w:r>
          </w:p>
        </w:tc>
        <w:tc>
          <w:tcPr>
            <w:tcW w:w="6160" w:type="dxa"/>
            <w:tcBorders>
              <w:tl2br w:val="nil"/>
              <w:tr2bl w:val="nil"/>
            </w:tcBorders>
            <w:noWrap w:val="0"/>
            <w:vAlign w:val="center"/>
          </w:tcPr>
          <w:p w14:paraId="338F2AFA">
            <w:pPr>
              <w:pStyle w:val="105"/>
              <w:bidi w:val="0"/>
              <w:rPr>
                <w:rFonts w:hint="default"/>
                <w:highlight w:val="none"/>
                <w:lang w:val="en-US" w:eastAsia="zh-CN"/>
              </w:rPr>
            </w:pPr>
            <w:r>
              <w:rPr>
                <w:rFonts w:hint="default"/>
                <w:highlight w:val="none"/>
                <w:lang w:val="en-US" w:eastAsia="zh-CN"/>
              </w:rPr>
              <w:t>混凝土强度达到设计强度80%以上时方可安装、达到设计强度100%以上时方可使用塔式起重机（查验基础混凝土同期强度报告确定）</w:t>
            </w:r>
          </w:p>
        </w:tc>
        <w:tc>
          <w:tcPr>
            <w:tcW w:w="1647" w:type="dxa"/>
            <w:tcBorders>
              <w:tl2br w:val="nil"/>
              <w:tr2bl w:val="nil"/>
            </w:tcBorders>
            <w:noWrap w:val="0"/>
            <w:vAlign w:val="center"/>
          </w:tcPr>
          <w:p w14:paraId="2AAA70F1">
            <w:pPr>
              <w:pStyle w:val="105"/>
              <w:bidi w:val="0"/>
              <w:rPr>
                <w:rFonts w:hint="default"/>
                <w:highlight w:val="none"/>
                <w:lang w:val="en-US" w:eastAsia="zh-CN"/>
              </w:rPr>
            </w:pPr>
          </w:p>
        </w:tc>
      </w:tr>
      <w:tr w14:paraId="154CCBF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76A3E127">
            <w:pPr>
              <w:pStyle w:val="105"/>
              <w:bidi w:val="0"/>
              <w:rPr>
                <w:rFonts w:hint="default"/>
                <w:highlight w:val="none"/>
                <w:lang w:val="en-US" w:eastAsia="zh-CN"/>
              </w:rPr>
            </w:pPr>
            <w:r>
              <w:rPr>
                <w:rFonts w:hint="default"/>
                <w:highlight w:val="none"/>
                <w:lang w:val="en-US" w:eastAsia="zh-CN"/>
              </w:rPr>
              <w:t>4</w:t>
            </w:r>
          </w:p>
        </w:tc>
        <w:tc>
          <w:tcPr>
            <w:tcW w:w="6160" w:type="dxa"/>
            <w:tcBorders>
              <w:tl2br w:val="nil"/>
              <w:tr2bl w:val="nil"/>
            </w:tcBorders>
            <w:noWrap w:val="0"/>
            <w:vAlign w:val="center"/>
          </w:tcPr>
          <w:p w14:paraId="69548AE6">
            <w:pPr>
              <w:pStyle w:val="105"/>
              <w:bidi w:val="0"/>
              <w:rPr>
                <w:rFonts w:hint="default"/>
                <w:highlight w:val="none"/>
                <w:lang w:val="en-US" w:eastAsia="zh-CN"/>
              </w:rPr>
            </w:pPr>
            <w:r>
              <w:rPr>
                <w:rFonts w:hint="default"/>
                <w:highlight w:val="none"/>
                <w:lang w:val="en-US" w:eastAsia="zh-CN"/>
              </w:rPr>
              <w:t>基础表面平整度允许偏差≤L/1000mm，且≤10mm（L为矩形或十字形基础的长边）。</w:t>
            </w:r>
          </w:p>
        </w:tc>
        <w:tc>
          <w:tcPr>
            <w:tcW w:w="1647" w:type="dxa"/>
            <w:tcBorders>
              <w:tl2br w:val="nil"/>
              <w:tr2bl w:val="nil"/>
            </w:tcBorders>
            <w:noWrap w:val="0"/>
            <w:vAlign w:val="center"/>
          </w:tcPr>
          <w:p w14:paraId="30450DB5">
            <w:pPr>
              <w:pStyle w:val="105"/>
              <w:bidi w:val="0"/>
              <w:rPr>
                <w:rFonts w:hint="default"/>
                <w:highlight w:val="none"/>
                <w:lang w:val="en-US" w:eastAsia="zh-CN"/>
              </w:rPr>
            </w:pPr>
          </w:p>
        </w:tc>
      </w:tr>
      <w:tr w14:paraId="24F3805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245A554B">
            <w:pPr>
              <w:pStyle w:val="105"/>
              <w:bidi w:val="0"/>
              <w:rPr>
                <w:rFonts w:hint="default"/>
                <w:highlight w:val="none"/>
                <w:lang w:val="en-US" w:eastAsia="zh-CN"/>
              </w:rPr>
            </w:pPr>
            <w:r>
              <w:rPr>
                <w:rFonts w:hint="default"/>
                <w:highlight w:val="none"/>
                <w:lang w:val="en-US" w:eastAsia="zh-CN"/>
              </w:rPr>
              <w:t>5</w:t>
            </w:r>
          </w:p>
        </w:tc>
        <w:tc>
          <w:tcPr>
            <w:tcW w:w="6160" w:type="dxa"/>
            <w:tcBorders>
              <w:tl2br w:val="nil"/>
              <w:tr2bl w:val="nil"/>
            </w:tcBorders>
            <w:noWrap w:val="0"/>
            <w:vAlign w:val="center"/>
          </w:tcPr>
          <w:p w14:paraId="3111C412">
            <w:pPr>
              <w:pStyle w:val="105"/>
              <w:bidi w:val="0"/>
              <w:rPr>
                <w:rFonts w:hint="default"/>
                <w:highlight w:val="none"/>
                <w:lang w:val="en-US" w:eastAsia="zh-CN"/>
              </w:rPr>
            </w:pPr>
            <w:r>
              <w:rPr>
                <w:rFonts w:hint="default"/>
                <w:highlight w:val="none"/>
                <w:lang w:val="en-US" w:eastAsia="zh-CN"/>
              </w:rPr>
              <w:t>基础顶面标高偏差≤±20mm。</w:t>
            </w:r>
          </w:p>
        </w:tc>
        <w:tc>
          <w:tcPr>
            <w:tcW w:w="1647" w:type="dxa"/>
            <w:tcBorders>
              <w:tl2br w:val="nil"/>
              <w:tr2bl w:val="nil"/>
            </w:tcBorders>
            <w:noWrap w:val="0"/>
            <w:vAlign w:val="center"/>
          </w:tcPr>
          <w:p w14:paraId="10E264DA">
            <w:pPr>
              <w:pStyle w:val="105"/>
              <w:bidi w:val="0"/>
              <w:rPr>
                <w:rFonts w:hint="default"/>
                <w:highlight w:val="none"/>
                <w:lang w:val="en-US" w:eastAsia="zh-CN"/>
              </w:rPr>
            </w:pPr>
          </w:p>
        </w:tc>
      </w:tr>
      <w:tr w14:paraId="78C186E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0E2D525E">
            <w:pPr>
              <w:pStyle w:val="105"/>
              <w:bidi w:val="0"/>
              <w:rPr>
                <w:rFonts w:hint="default"/>
                <w:highlight w:val="none"/>
                <w:lang w:val="en-US" w:eastAsia="zh-CN"/>
              </w:rPr>
            </w:pPr>
            <w:r>
              <w:rPr>
                <w:rFonts w:hint="default"/>
                <w:highlight w:val="none"/>
                <w:lang w:val="en-US" w:eastAsia="zh-CN"/>
              </w:rPr>
              <w:t>6</w:t>
            </w:r>
          </w:p>
        </w:tc>
        <w:tc>
          <w:tcPr>
            <w:tcW w:w="6160" w:type="dxa"/>
            <w:tcBorders>
              <w:tl2br w:val="nil"/>
              <w:tr2bl w:val="nil"/>
            </w:tcBorders>
            <w:noWrap w:val="0"/>
            <w:vAlign w:val="center"/>
          </w:tcPr>
          <w:p w14:paraId="2A5EA75B">
            <w:pPr>
              <w:pStyle w:val="105"/>
              <w:bidi w:val="0"/>
              <w:rPr>
                <w:rFonts w:hint="default"/>
                <w:highlight w:val="none"/>
                <w:lang w:val="en-US" w:eastAsia="zh-CN"/>
              </w:rPr>
            </w:pPr>
            <w:r>
              <w:rPr>
                <w:rFonts w:hint="default"/>
                <w:highlight w:val="none"/>
                <w:lang w:val="en-US" w:eastAsia="zh-CN"/>
              </w:rPr>
              <w:t>预埋螺栓、预埋件顶部标高偏差≤±20mm。</w:t>
            </w:r>
          </w:p>
        </w:tc>
        <w:tc>
          <w:tcPr>
            <w:tcW w:w="1647" w:type="dxa"/>
            <w:tcBorders>
              <w:tl2br w:val="nil"/>
              <w:tr2bl w:val="nil"/>
            </w:tcBorders>
            <w:noWrap w:val="0"/>
            <w:vAlign w:val="center"/>
          </w:tcPr>
          <w:p w14:paraId="091B3B1E">
            <w:pPr>
              <w:pStyle w:val="105"/>
              <w:bidi w:val="0"/>
              <w:rPr>
                <w:rFonts w:hint="default"/>
                <w:highlight w:val="none"/>
                <w:lang w:val="en-US" w:eastAsia="zh-CN"/>
              </w:rPr>
            </w:pPr>
          </w:p>
        </w:tc>
      </w:tr>
      <w:tr w14:paraId="2F7332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07C4BC33">
            <w:pPr>
              <w:pStyle w:val="105"/>
              <w:bidi w:val="0"/>
              <w:rPr>
                <w:rFonts w:hint="default"/>
                <w:highlight w:val="none"/>
                <w:lang w:val="en-US" w:eastAsia="zh-CN"/>
              </w:rPr>
            </w:pPr>
            <w:r>
              <w:rPr>
                <w:rFonts w:hint="default"/>
                <w:highlight w:val="none"/>
                <w:lang w:val="en-US" w:eastAsia="zh-CN"/>
              </w:rPr>
              <w:t>7</w:t>
            </w:r>
          </w:p>
        </w:tc>
        <w:tc>
          <w:tcPr>
            <w:tcW w:w="6160" w:type="dxa"/>
            <w:tcBorders>
              <w:tl2br w:val="nil"/>
              <w:tr2bl w:val="nil"/>
            </w:tcBorders>
            <w:noWrap w:val="0"/>
            <w:vAlign w:val="center"/>
          </w:tcPr>
          <w:p w14:paraId="6E8C71D7">
            <w:pPr>
              <w:pStyle w:val="105"/>
              <w:bidi w:val="0"/>
              <w:rPr>
                <w:rFonts w:hint="default"/>
                <w:highlight w:val="none"/>
                <w:lang w:val="en-US" w:eastAsia="zh-CN"/>
              </w:rPr>
            </w:pPr>
            <w:r>
              <w:rPr>
                <w:rFonts w:hint="default"/>
                <w:highlight w:val="none"/>
                <w:lang w:val="en-US" w:eastAsia="zh-CN"/>
              </w:rPr>
              <w:t>预埋螺栓、预埋件中心距偏差≤±2mm。</w:t>
            </w:r>
          </w:p>
        </w:tc>
        <w:tc>
          <w:tcPr>
            <w:tcW w:w="1647" w:type="dxa"/>
            <w:tcBorders>
              <w:tl2br w:val="nil"/>
              <w:tr2bl w:val="nil"/>
            </w:tcBorders>
            <w:noWrap w:val="0"/>
            <w:vAlign w:val="center"/>
          </w:tcPr>
          <w:p w14:paraId="73FB11A6">
            <w:pPr>
              <w:pStyle w:val="105"/>
              <w:bidi w:val="0"/>
              <w:rPr>
                <w:rFonts w:hint="default"/>
                <w:highlight w:val="none"/>
                <w:lang w:val="en-US" w:eastAsia="zh-CN"/>
              </w:rPr>
            </w:pPr>
          </w:p>
        </w:tc>
      </w:tr>
      <w:tr w14:paraId="0F5331A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7D07DA31">
            <w:pPr>
              <w:pStyle w:val="105"/>
              <w:bidi w:val="0"/>
              <w:rPr>
                <w:rFonts w:hint="default"/>
                <w:highlight w:val="none"/>
                <w:lang w:val="en-US" w:eastAsia="zh-CN"/>
              </w:rPr>
            </w:pPr>
            <w:r>
              <w:rPr>
                <w:rFonts w:hint="default"/>
                <w:highlight w:val="none"/>
                <w:lang w:val="en-US" w:eastAsia="zh-CN"/>
              </w:rPr>
              <w:t>8</w:t>
            </w:r>
          </w:p>
        </w:tc>
        <w:tc>
          <w:tcPr>
            <w:tcW w:w="6160" w:type="dxa"/>
            <w:tcBorders>
              <w:tl2br w:val="nil"/>
              <w:tr2bl w:val="nil"/>
            </w:tcBorders>
            <w:noWrap w:val="0"/>
            <w:vAlign w:val="center"/>
          </w:tcPr>
          <w:p w14:paraId="2AADA52A">
            <w:pPr>
              <w:pStyle w:val="105"/>
              <w:bidi w:val="0"/>
              <w:rPr>
                <w:rFonts w:hint="default"/>
                <w:highlight w:val="none"/>
                <w:lang w:val="en-US" w:eastAsia="zh-CN"/>
              </w:rPr>
            </w:pPr>
            <w:r>
              <w:rPr>
                <w:rFonts w:hint="default"/>
                <w:highlight w:val="none"/>
                <w:lang w:val="en-US" w:eastAsia="zh-CN"/>
              </w:rPr>
              <w:t>基础周边有排水措施。</w:t>
            </w:r>
          </w:p>
        </w:tc>
        <w:tc>
          <w:tcPr>
            <w:tcW w:w="1647" w:type="dxa"/>
            <w:tcBorders>
              <w:tl2br w:val="nil"/>
              <w:tr2bl w:val="nil"/>
            </w:tcBorders>
            <w:noWrap w:val="0"/>
            <w:vAlign w:val="center"/>
          </w:tcPr>
          <w:p w14:paraId="039994BD">
            <w:pPr>
              <w:pStyle w:val="105"/>
              <w:bidi w:val="0"/>
              <w:rPr>
                <w:rFonts w:hint="default"/>
                <w:highlight w:val="none"/>
                <w:lang w:val="en-US" w:eastAsia="zh-CN"/>
              </w:rPr>
            </w:pPr>
          </w:p>
        </w:tc>
      </w:tr>
      <w:tr w14:paraId="7B1DBAA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6870C35C">
            <w:pPr>
              <w:pStyle w:val="105"/>
              <w:bidi w:val="0"/>
              <w:rPr>
                <w:rFonts w:hint="default"/>
                <w:highlight w:val="none"/>
                <w:lang w:val="en-US" w:eastAsia="zh-CN"/>
              </w:rPr>
            </w:pPr>
            <w:r>
              <w:rPr>
                <w:rFonts w:hint="default"/>
                <w:highlight w:val="none"/>
                <w:lang w:val="en-US" w:eastAsia="zh-CN"/>
              </w:rPr>
              <w:t>9</w:t>
            </w:r>
          </w:p>
        </w:tc>
        <w:tc>
          <w:tcPr>
            <w:tcW w:w="6160" w:type="dxa"/>
            <w:tcBorders>
              <w:tl2br w:val="nil"/>
              <w:tr2bl w:val="nil"/>
            </w:tcBorders>
            <w:noWrap w:val="0"/>
            <w:vAlign w:val="center"/>
          </w:tcPr>
          <w:p w14:paraId="380EA78C">
            <w:pPr>
              <w:pStyle w:val="105"/>
              <w:bidi w:val="0"/>
              <w:rPr>
                <w:rFonts w:hint="default"/>
                <w:highlight w:val="none"/>
                <w:lang w:val="en-US" w:eastAsia="zh-CN"/>
              </w:rPr>
            </w:pPr>
            <w:r>
              <w:rPr>
                <w:rFonts w:hint="default"/>
                <w:highlight w:val="none"/>
                <w:lang w:val="en-US" w:eastAsia="zh-CN"/>
              </w:rPr>
              <w:t>基础周边与外电线路安全距离符合JGJ46—2005规定。</w:t>
            </w:r>
          </w:p>
        </w:tc>
        <w:tc>
          <w:tcPr>
            <w:tcW w:w="1647" w:type="dxa"/>
            <w:tcBorders>
              <w:tl2br w:val="nil"/>
              <w:tr2bl w:val="nil"/>
            </w:tcBorders>
            <w:noWrap w:val="0"/>
            <w:vAlign w:val="center"/>
          </w:tcPr>
          <w:p w14:paraId="18DE7705">
            <w:pPr>
              <w:pStyle w:val="105"/>
              <w:bidi w:val="0"/>
              <w:rPr>
                <w:rFonts w:hint="default"/>
                <w:highlight w:val="none"/>
                <w:lang w:val="en-US" w:eastAsia="zh-CN"/>
              </w:rPr>
            </w:pPr>
          </w:p>
        </w:tc>
      </w:tr>
    </w:tbl>
    <w:p w14:paraId="17A14562">
      <w:pPr>
        <w:pStyle w:val="41"/>
        <w:bidi w:val="0"/>
        <w:rPr>
          <w:rFonts w:hint="default"/>
          <w:highlight w:val="none"/>
          <w:lang w:val="en-US" w:eastAsia="zh-CN"/>
        </w:rPr>
      </w:pPr>
      <w:bookmarkStart w:id="371" w:name="_Toc360722866"/>
      <w:r>
        <w:rPr>
          <w:highlight w:val="none"/>
        </w:rPr>
        <w:t>表</w:t>
      </w:r>
      <w:r>
        <w:rPr>
          <w:rFonts w:hint="eastAsia"/>
          <w:highlight w:val="none"/>
          <w:lang w:val="en-US" w:eastAsia="zh-CN"/>
        </w:rPr>
        <w:t>8.3-3</w:t>
      </w:r>
      <w:r>
        <w:rPr>
          <w:rFonts w:hint="default"/>
          <w:highlight w:val="none"/>
          <w:lang w:val="en-US" w:eastAsia="zh-CN"/>
        </w:rPr>
        <w:t>塔式起重机安装整体验收表</w:t>
      </w:r>
    </w:p>
    <w:bookmarkEnd w:id="371"/>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721"/>
        <w:gridCol w:w="513"/>
        <w:gridCol w:w="6041"/>
        <w:gridCol w:w="1229"/>
      </w:tblGrid>
      <w:tr w14:paraId="1B91D51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721" w:type="dxa"/>
            <w:tcBorders>
              <w:tl2br w:val="nil"/>
              <w:tr2bl w:val="nil"/>
            </w:tcBorders>
            <w:shd w:val="clear" w:color="auto" w:fill="DAE3F3" w:themeFill="accent5" w:themeFillTint="32"/>
            <w:noWrap w:val="0"/>
            <w:vAlign w:val="center"/>
          </w:tcPr>
          <w:p w14:paraId="002F6276">
            <w:pPr>
              <w:pStyle w:val="105"/>
              <w:bidi w:val="0"/>
              <w:rPr>
                <w:rFonts w:hint="default"/>
                <w:highlight w:val="none"/>
                <w:lang w:val="en-US" w:eastAsia="zh-CN"/>
              </w:rPr>
            </w:pPr>
            <w:r>
              <w:rPr>
                <w:rFonts w:hint="default"/>
                <w:highlight w:val="none"/>
                <w:lang w:val="en-US" w:eastAsia="zh-CN"/>
              </w:rPr>
              <w:t>验收项目</w:t>
            </w:r>
          </w:p>
        </w:tc>
        <w:tc>
          <w:tcPr>
            <w:tcW w:w="513" w:type="dxa"/>
            <w:tcBorders>
              <w:tl2br w:val="nil"/>
              <w:tr2bl w:val="nil"/>
            </w:tcBorders>
            <w:shd w:val="clear" w:color="auto" w:fill="DAE3F3" w:themeFill="accent5" w:themeFillTint="32"/>
            <w:noWrap w:val="0"/>
            <w:vAlign w:val="center"/>
          </w:tcPr>
          <w:p w14:paraId="63E3650F">
            <w:pPr>
              <w:pStyle w:val="105"/>
              <w:bidi w:val="0"/>
              <w:rPr>
                <w:rFonts w:hint="default"/>
                <w:highlight w:val="none"/>
                <w:lang w:val="en-US" w:eastAsia="zh-CN"/>
              </w:rPr>
            </w:pPr>
            <w:r>
              <w:rPr>
                <w:rFonts w:hint="default"/>
                <w:highlight w:val="none"/>
                <w:lang w:val="en-US" w:eastAsia="zh-CN"/>
              </w:rPr>
              <w:t>序号</w:t>
            </w:r>
          </w:p>
        </w:tc>
        <w:tc>
          <w:tcPr>
            <w:tcW w:w="6041" w:type="dxa"/>
            <w:tcBorders>
              <w:tl2br w:val="nil"/>
              <w:tr2bl w:val="nil"/>
            </w:tcBorders>
            <w:shd w:val="clear" w:color="auto" w:fill="DAE3F3" w:themeFill="accent5" w:themeFillTint="32"/>
            <w:noWrap w:val="0"/>
            <w:vAlign w:val="center"/>
          </w:tcPr>
          <w:p w14:paraId="11A66EB1">
            <w:pPr>
              <w:pStyle w:val="105"/>
              <w:bidi w:val="0"/>
              <w:rPr>
                <w:rFonts w:hint="default"/>
                <w:highlight w:val="none"/>
                <w:lang w:val="en-US" w:eastAsia="zh-CN"/>
              </w:rPr>
            </w:pPr>
            <w:r>
              <w:rPr>
                <w:rFonts w:hint="default"/>
                <w:highlight w:val="none"/>
                <w:lang w:val="en-US" w:eastAsia="zh-CN"/>
              </w:rPr>
              <w:t>安全技术要求</w:t>
            </w:r>
          </w:p>
        </w:tc>
        <w:tc>
          <w:tcPr>
            <w:tcW w:w="1229" w:type="dxa"/>
            <w:tcBorders>
              <w:tl2br w:val="nil"/>
              <w:tr2bl w:val="nil"/>
            </w:tcBorders>
            <w:shd w:val="clear" w:color="auto" w:fill="DAE3F3" w:themeFill="accent5" w:themeFillTint="32"/>
            <w:noWrap w:val="0"/>
            <w:vAlign w:val="center"/>
          </w:tcPr>
          <w:p w14:paraId="29F6822B">
            <w:pPr>
              <w:pStyle w:val="105"/>
              <w:bidi w:val="0"/>
              <w:rPr>
                <w:rFonts w:hint="default"/>
                <w:highlight w:val="none"/>
                <w:lang w:val="en-US" w:eastAsia="zh-CN"/>
              </w:rPr>
            </w:pPr>
            <w:r>
              <w:rPr>
                <w:rFonts w:hint="default"/>
                <w:highlight w:val="none"/>
                <w:lang w:val="en-US" w:eastAsia="zh-CN"/>
              </w:rPr>
              <w:t>验收结果</w:t>
            </w:r>
          </w:p>
        </w:tc>
      </w:tr>
      <w:tr w14:paraId="4A25BA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279AD772">
            <w:pPr>
              <w:pStyle w:val="105"/>
              <w:bidi w:val="0"/>
              <w:rPr>
                <w:rFonts w:hint="default"/>
                <w:highlight w:val="none"/>
                <w:lang w:val="en-US" w:eastAsia="zh-CN"/>
              </w:rPr>
            </w:pPr>
            <w:r>
              <w:rPr>
                <w:rFonts w:hint="default"/>
                <w:highlight w:val="none"/>
                <w:lang w:val="en-US" w:eastAsia="zh-CN"/>
              </w:rPr>
              <w:t>资料检查</w:t>
            </w:r>
          </w:p>
        </w:tc>
        <w:tc>
          <w:tcPr>
            <w:tcW w:w="513" w:type="dxa"/>
            <w:tcBorders>
              <w:tl2br w:val="nil"/>
              <w:tr2bl w:val="nil"/>
            </w:tcBorders>
            <w:noWrap w:val="0"/>
            <w:vAlign w:val="center"/>
          </w:tcPr>
          <w:p w14:paraId="5EB9A2A2">
            <w:pPr>
              <w:pStyle w:val="105"/>
              <w:bidi w:val="0"/>
              <w:rPr>
                <w:rFonts w:hint="default"/>
                <w:highlight w:val="none"/>
                <w:lang w:val="en-US" w:eastAsia="zh-CN"/>
              </w:rPr>
            </w:pPr>
            <w:r>
              <w:rPr>
                <w:rFonts w:hint="default"/>
                <w:highlight w:val="none"/>
                <w:lang w:val="en-US" w:eastAsia="zh-CN"/>
              </w:rPr>
              <w:t>1</w:t>
            </w:r>
          </w:p>
        </w:tc>
        <w:tc>
          <w:tcPr>
            <w:tcW w:w="6041" w:type="dxa"/>
            <w:tcBorders>
              <w:tl2br w:val="nil"/>
              <w:tr2bl w:val="nil"/>
            </w:tcBorders>
            <w:noWrap w:val="0"/>
            <w:vAlign w:val="center"/>
          </w:tcPr>
          <w:p w14:paraId="01CF1171">
            <w:pPr>
              <w:pStyle w:val="105"/>
              <w:bidi w:val="0"/>
              <w:rPr>
                <w:rFonts w:hint="default"/>
                <w:highlight w:val="none"/>
                <w:lang w:val="en-US" w:eastAsia="zh-CN"/>
              </w:rPr>
            </w:pPr>
            <w:r>
              <w:rPr>
                <w:rFonts w:hint="default"/>
                <w:highlight w:val="none"/>
                <w:lang w:val="en-US" w:eastAsia="zh-CN"/>
              </w:rPr>
              <w:t>基础验收表和隐蔽工程验收单应齐全</w:t>
            </w:r>
          </w:p>
        </w:tc>
        <w:tc>
          <w:tcPr>
            <w:tcW w:w="1229" w:type="dxa"/>
            <w:tcBorders>
              <w:tl2br w:val="nil"/>
              <w:tr2bl w:val="nil"/>
            </w:tcBorders>
            <w:noWrap w:val="0"/>
            <w:vAlign w:val="center"/>
          </w:tcPr>
          <w:p w14:paraId="286916CA">
            <w:pPr>
              <w:pStyle w:val="105"/>
              <w:bidi w:val="0"/>
              <w:rPr>
                <w:rFonts w:hint="default"/>
                <w:highlight w:val="none"/>
                <w:lang w:val="en-US" w:eastAsia="zh-CN"/>
              </w:rPr>
            </w:pPr>
          </w:p>
        </w:tc>
      </w:tr>
      <w:tr w14:paraId="4639A98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84F3D2E">
            <w:pPr>
              <w:pStyle w:val="105"/>
              <w:bidi w:val="0"/>
              <w:rPr>
                <w:rFonts w:hint="default"/>
                <w:highlight w:val="none"/>
                <w:lang w:val="en-US" w:eastAsia="zh-CN"/>
              </w:rPr>
            </w:pPr>
          </w:p>
        </w:tc>
        <w:tc>
          <w:tcPr>
            <w:tcW w:w="513" w:type="dxa"/>
            <w:tcBorders>
              <w:tl2br w:val="nil"/>
              <w:tr2bl w:val="nil"/>
            </w:tcBorders>
            <w:noWrap w:val="0"/>
            <w:vAlign w:val="center"/>
          </w:tcPr>
          <w:p w14:paraId="0FEE8742">
            <w:pPr>
              <w:pStyle w:val="105"/>
              <w:bidi w:val="0"/>
              <w:rPr>
                <w:rFonts w:hint="default"/>
                <w:highlight w:val="none"/>
                <w:lang w:val="en-US" w:eastAsia="zh-CN"/>
              </w:rPr>
            </w:pPr>
            <w:r>
              <w:rPr>
                <w:rFonts w:hint="default"/>
                <w:highlight w:val="none"/>
                <w:lang w:val="en-US" w:eastAsia="zh-CN"/>
              </w:rPr>
              <w:t>2</w:t>
            </w:r>
          </w:p>
        </w:tc>
        <w:tc>
          <w:tcPr>
            <w:tcW w:w="6041" w:type="dxa"/>
            <w:tcBorders>
              <w:tl2br w:val="nil"/>
              <w:tr2bl w:val="nil"/>
            </w:tcBorders>
            <w:noWrap w:val="0"/>
            <w:vAlign w:val="center"/>
          </w:tcPr>
          <w:p w14:paraId="37E8E7BC">
            <w:pPr>
              <w:pStyle w:val="105"/>
              <w:bidi w:val="0"/>
              <w:rPr>
                <w:rFonts w:hint="default"/>
                <w:highlight w:val="none"/>
                <w:lang w:val="en-US" w:eastAsia="zh-CN"/>
              </w:rPr>
            </w:pPr>
            <w:r>
              <w:rPr>
                <w:rFonts w:hint="default"/>
                <w:highlight w:val="none"/>
                <w:lang w:val="en-US" w:eastAsia="zh-CN"/>
              </w:rPr>
              <w:t xml:space="preserve">安装方案、安全交底记录应齐全 </w:t>
            </w:r>
          </w:p>
        </w:tc>
        <w:tc>
          <w:tcPr>
            <w:tcW w:w="1229" w:type="dxa"/>
            <w:tcBorders>
              <w:tl2br w:val="nil"/>
              <w:tr2bl w:val="nil"/>
            </w:tcBorders>
            <w:noWrap w:val="0"/>
            <w:vAlign w:val="center"/>
          </w:tcPr>
          <w:p w14:paraId="0C838808">
            <w:pPr>
              <w:pStyle w:val="105"/>
              <w:bidi w:val="0"/>
              <w:rPr>
                <w:rFonts w:hint="default"/>
                <w:highlight w:val="none"/>
                <w:lang w:val="en-US" w:eastAsia="zh-CN"/>
              </w:rPr>
            </w:pPr>
          </w:p>
        </w:tc>
      </w:tr>
      <w:tr w14:paraId="7101CCC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05041A0">
            <w:pPr>
              <w:pStyle w:val="105"/>
              <w:bidi w:val="0"/>
              <w:rPr>
                <w:rFonts w:hint="default"/>
                <w:highlight w:val="none"/>
                <w:lang w:val="en-US" w:eastAsia="zh-CN"/>
              </w:rPr>
            </w:pPr>
          </w:p>
        </w:tc>
        <w:tc>
          <w:tcPr>
            <w:tcW w:w="513" w:type="dxa"/>
            <w:tcBorders>
              <w:tl2br w:val="nil"/>
              <w:tr2bl w:val="nil"/>
            </w:tcBorders>
            <w:noWrap w:val="0"/>
            <w:vAlign w:val="center"/>
          </w:tcPr>
          <w:p w14:paraId="63A87DF0">
            <w:pPr>
              <w:pStyle w:val="105"/>
              <w:bidi w:val="0"/>
              <w:rPr>
                <w:rFonts w:hint="default"/>
                <w:highlight w:val="none"/>
                <w:lang w:val="en-US" w:eastAsia="zh-CN"/>
              </w:rPr>
            </w:pPr>
            <w:r>
              <w:rPr>
                <w:rFonts w:hint="default"/>
                <w:highlight w:val="none"/>
                <w:lang w:val="en-US" w:eastAsia="zh-CN"/>
              </w:rPr>
              <w:t>3</w:t>
            </w:r>
          </w:p>
        </w:tc>
        <w:tc>
          <w:tcPr>
            <w:tcW w:w="6041" w:type="dxa"/>
            <w:tcBorders>
              <w:tl2br w:val="nil"/>
              <w:tr2bl w:val="nil"/>
            </w:tcBorders>
            <w:noWrap w:val="0"/>
            <w:vAlign w:val="center"/>
          </w:tcPr>
          <w:p w14:paraId="11A27281">
            <w:pPr>
              <w:pStyle w:val="105"/>
              <w:bidi w:val="0"/>
              <w:rPr>
                <w:rFonts w:hint="default"/>
                <w:highlight w:val="none"/>
                <w:lang w:val="en-US" w:eastAsia="zh-CN"/>
              </w:rPr>
            </w:pPr>
            <w:r>
              <w:rPr>
                <w:rFonts w:hint="default"/>
                <w:highlight w:val="none"/>
                <w:lang w:val="en-US" w:eastAsia="zh-CN"/>
              </w:rPr>
              <w:t>转场保养作业单及进场验收记录应齐全</w:t>
            </w:r>
          </w:p>
        </w:tc>
        <w:tc>
          <w:tcPr>
            <w:tcW w:w="1229" w:type="dxa"/>
            <w:tcBorders>
              <w:tl2br w:val="nil"/>
              <w:tr2bl w:val="nil"/>
            </w:tcBorders>
            <w:noWrap w:val="0"/>
            <w:vAlign w:val="center"/>
          </w:tcPr>
          <w:p w14:paraId="4E3A69B9">
            <w:pPr>
              <w:pStyle w:val="105"/>
              <w:bidi w:val="0"/>
              <w:rPr>
                <w:rFonts w:hint="default"/>
                <w:highlight w:val="none"/>
                <w:lang w:val="en-US" w:eastAsia="zh-CN"/>
              </w:rPr>
            </w:pPr>
          </w:p>
        </w:tc>
      </w:tr>
      <w:tr w14:paraId="7AE5456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CCC5C5F">
            <w:pPr>
              <w:pStyle w:val="105"/>
              <w:bidi w:val="0"/>
              <w:rPr>
                <w:rFonts w:hint="default"/>
                <w:highlight w:val="none"/>
                <w:lang w:val="en-US" w:eastAsia="zh-CN"/>
              </w:rPr>
            </w:pPr>
          </w:p>
        </w:tc>
        <w:tc>
          <w:tcPr>
            <w:tcW w:w="513" w:type="dxa"/>
            <w:tcBorders>
              <w:tl2br w:val="nil"/>
              <w:tr2bl w:val="nil"/>
            </w:tcBorders>
            <w:noWrap w:val="0"/>
            <w:vAlign w:val="center"/>
          </w:tcPr>
          <w:p w14:paraId="2C907115">
            <w:pPr>
              <w:pStyle w:val="105"/>
              <w:bidi w:val="0"/>
              <w:rPr>
                <w:rFonts w:hint="default"/>
                <w:highlight w:val="none"/>
                <w:lang w:val="en-US" w:eastAsia="zh-CN"/>
              </w:rPr>
            </w:pPr>
            <w:r>
              <w:rPr>
                <w:rFonts w:hint="default"/>
                <w:highlight w:val="none"/>
                <w:lang w:val="en-US" w:eastAsia="zh-CN"/>
              </w:rPr>
              <w:t>4</w:t>
            </w:r>
          </w:p>
        </w:tc>
        <w:tc>
          <w:tcPr>
            <w:tcW w:w="6041" w:type="dxa"/>
            <w:tcBorders>
              <w:tl2br w:val="nil"/>
              <w:tr2bl w:val="nil"/>
            </w:tcBorders>
            <w:noWrap w:val="0"/>
            <w:vAlign w:val="center"/>
          </w:tcPr>
          <w:p w14:paraId="131761AD">
            <w:pPr>
              <w:pStyle w:val="105"/>
              <w:bidi w:val="0"/>
              <w:rPr>
                <w:rFonts w:hint="default"/>
                <w:highlight w:val="none"/>
                <w:lang w:val="en-US" w:eastAsia="zh-CN"/>
              </w:rPr>
            </w:pPr>
            <w:r>
              <w:rPr>
                <w:rFonts w:hint="default"/>
                <w:highlight w:val="none"/>
                <w:lang w:val="en-US" w:eastAsia="zh-CN"/>
              </w:rPr>
              <w:t>群塔作业应编制专项防碰撞措施方案</w:t>
            </w:r>
          </w:p>
        </w:tc>
        <w:tc>
          <w:tcPr>
            <w:tcW w:w="1229" w:type="dxa"/>
            <w:tcBorders>
              <w:tl2br w:val="nil"/>
              <w:tr2bl w:val="nil"/>
            </w:tcBorders>
            <w:noWrap w:val="0"/>
            <w:vAlign w:val="center"/>
          </w:tcPr>
          <w:p w14:paraId="5B070B1B">
            <w:pPr>
              <w:pStyle w:val="105"/>
              <w:bidi w:val="0"/>
              <w:rPr>
                <w:rFonts w:hint="default"/>
                <w:highlight w:val="none"/>
                <w:lang w:val="en-US" w:eastAsia="zh-CN"/>
              </w:rPr>
            </w:pPr>
          </w:p>
        </w:tc>
      </w:tr>
      <w:tr w14:paraId="589A3AD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2E47FD9">
            <w:pPr>
              <w:pStyle w:val="105"/>
              <w:bidi w:val="0"/>
              <w:rPr>
                <w:rFonts w:hint="default"/>
                <w:highlight w:val="none"/>
                <w:lang w:val="en-US" w:eastAsia="zh-CN"/>
              </w:rPr>
            </w:pPr>
            <w:r>
              <w:rPr>
                <w:rFonts w:hint="default"/>
                <w:highlight w:val="none"/>
                <w:lang w:val="en-US" w:eastAsia="zh-CN"/>
              </w:rPr>
              <w:t>标识</w:t>
            </w:r>
          </w:p>
          <w:p w14:paraId="6862B8DA">
            <w:pPr>
              <w:pStyle w:val="105"/>
              <w:bidi w:val="0"/>
              <w:rPr>
                <w:rFonts w:hint="default"/>
                <w:highlight w:val="none"/>
                <w:lang w:val="en-US" w:eastAsia="zh-CN"/>
              </w:rPr>
            </w:pPr>
            <w:r>
              <w:rPr>
                <w:rFonts w:hint="default"/>
                <w:highlight w:val="none"/>
                <w:lang w:val="en-US" w:eastAsia="zh-CN"/>
              </w:rPr>
              <w:t>与环境</w:t>
            </w:r>
          </w:p>
        </w:tc>
        <w:tc>
          <w:tcPr>
            <w:tcW w:w="513" w:type="dxa"/>
            <w:tcBorders>
              <w:tl2br w:val="nil"/>
              <w:tr2bl w:val="nil"/>
            </w:tcBorders>
            <w:noWrap w:val="0"/>
            <w:vAlign w:val="center"/>
          </w:tcPr>
          <w:p w14:paraId="4DF9995B">
            <w:pPr>
              <w:pStyle w:val="105"/>
              <w:bidi w:val="0"/>
              <w:rPr>
                <w:rFonts w:hint="default"/>
                <w:highlight w:val="none"/>
                <w:lang w:val="en-US" w:eastAsia="zh-CN"/>
              </w:rPr>
            </w:pPr>
            <w:r>
              <w:rPr>
                <w:rFonts w:hint="default"/>
                <w:highlight w:val="none"/>
                <w:lang w:val="en-US" w:eastAsia="zh-CN"/>
              </w:rPr>
              <w:t>5</w:t>
            </w:r>
          </w:p>
        </w:tc>
        <w:tc>
          <w:tcPr>
            <w:tcW w:w="6041" w:type="dxa"/>
            <w:tcBorders>
              <w:tl2br w:val="nil"/>
              <w:tr2bl w:val="nil"/>
            </w:tcBorders>
            <w:noWrap w:val="0"/>
            <w:vAlign w:val="center"/>
          </w:tcPr>
          <w:p w14:paraId="68A134BC">
            <w:pPr>
              <w:pStyle w:val="105"/>
              <w:bidi w:val="0"/>
              <w:rPr>
                <w:rFonts w:hint="default"/>
                <w:highlight w:val="none"/>
                <w:lang w:val="en-US" w:eastAsia="zh-CN"/>
              </w:rPr>
            </w:pPr>
            <w:r>
              <w:rPr>
                <w:rFonts w:hint="default"/>
                <w:highlight w:val="none"/>
                <w:lang w:val="en-US" w:eastAsia="zh-CN"/>
              </w:rPr>
              <w:t>使用登记牌、安全操作规程牌和产品标牌齐全，悬挂醒目</w:t>
            </w:r>
          </w:p>
        </w:tc>
        <w:tc>
          <w:tcPr>
            <w:tcW w:w="1229" w:type="dxa"/>
            <w:tcBorders>
              <w:tl2br w:val="nil"/>
              <w:tr2bl w:val="nil"/>
            </w:tcBorders>
            <w:noWrap w:val="0"/>
            <w:vAlign w:val="center"/>
          </w:tcPr>
          <w:p w14:paraId="1672B425">
            <w:pPr>
              <w:pStyle w:val="105"/>
              <w:bidi w:val="0"/>
              <w:rPr>
                <w:rFonts w:hint="default"/>
                <w:highlight w:val="none"/>
                <w:lang w:val="en-US" w:eastAsia="zh-CN"/>
              </w:rPr>
            </w:pPr>
          </w:p>
        </w:tc>
      </w:tr>
      <w:tr w14:paraId="3745EF1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1D6F1BC6">
            <w:pPr>
              <w:pStyle w:val="105"/>
              <w:bidi w:val="0"/>
              <w:rPr>
                <w:rFonts w:hint="default"/>
                <w:highlight w:val="none"/>
                <w:lang w:val="en-US" w:eastAsia="zh-CN"/>
              </w:rPr>
            </w:pPr>
          </w:p>
        </w:tc>
        <w:tc>
          <w:tcPr>
            <w:tcW w:w="513" w:type="dxa"/>
            <w:tcBorders>
              <w:tl2br w:val="nil"/>
              <w:tr2bl w:val="nil"/>
            </w:tcBorders>
            <w:noWrap w:val="0"/>
            <w:vAlign w:val="center"/>
          </w:tcPr>
          <w:p w14:paraId="6CEE9E99">
            <w:pPr>
              <w:pStyle w:val="105"/>
              <w:bidi w:val="0"/>
              <w:rPr>
                <w:rFonts w:hint="default"/>
                <w:highlight w:val="none"/>
                <w:lang w:val="en-US" w:eastAsia="zh-CN"/>
              </w:rPr>
            </w:pPr>
            <w:r>
              <w:rPr>
                <w:rFonts w:hint="default"/>
                <w:highlight w:val="none"/>
                <w:lang w:val="en-US" w:eastAsia="zh-CN"/>
              </w:rPr>
              <w:t>6</w:t>
            </w:r>
          </w:p>
        </w:tc>
        <w:tc>
          <w:tcPr>
            <w:tcW w:w="6041" w:type="dxa"/>
            <w:tcBorders>
              <w:tl2br w:val="nil"/>
              <w:tr2bl w:val="nil"/>
            </w:tcBorders>
            <w:noWrap w:val="0"/>
            <w:vAlign w:val="center"/>
          </w:tcPr>
          <w:p w14:paraId="55839299">
            <w:pPr>
              <w:pStyle w:val="105"/>
              <w:bidi w:val="0"/>
              <w:rPr>
                <w:rFonts w:hint="default"/>
                <w:highlight w:val="none"/>
                <w:lang w:val="en-US" w:eastAsia="zh-CN"/>
              </w:rPr>
            </w:pPr>
            <w:r>
              <w:rPr>
                <w:rFonts w:hint="default"/>
                <w:highlight w:val="none"/>
                <w:lang w:val="en-US" w:eastAsia="zh-CN"/>
              </w:rPr>
              <w:t>塔式起重机尾部与建（构）筑物及施工设施之间的距离≥m</w:t>
            </w:r>
          </w:p>
        </w:tc>
        <w:tc>
          <w:tcPr>
            <w:tcW w:w="1229" w:type="dxa"/>
            <w:tcBorders>
              <w:tl2br w:val="nil"/>
              <w:tr2bl w:val="nil"/>
            </w:tcBorders>
            <w:noWrap w:val="0"/>
            <w:vAlign w:val="center"/>
          </w:tcPr>
          <w:p w14:paraId="67061EDA">
            <w:pPr>
              <w:pStyle w:val="105"/>
              <w:bidi w:val="0"/>
              <w:rPr>
                <w:rFonts w:hint="default"/>
                <w:highlight w:val="none"/>
                <w:lang w:val="en-US" w:eastAsia="zh-CN"/>
              </w:rPr>
            </w:pPr>
          </w:p>
        </w:tc>
      </w:tr>
      <w:tr w14:paraId="7FFA70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1BE9867">
            <w:pPr>
              <w:pStyle w:val="105"/>
              <w:bidi w:val="0"/>
              <w:rPr>
                <w:rFonts w:hint="default"/>
                <w:highlight w:val="none"/>
                <w:lang w:val="en-US" w:eastAsia="zh-CN"/>
              </w:rPr>
            </w:pPr>
          </w:p>
        </w:tc>
        <w:tc>
          <w:tcPr>
            <w:tcW w:w="513" w:type="dxa"/>
            <w:tcBorders>
              <w:tl2br w:val="nil"/>
              <w:tr2bl w:val="nil"/>
            </w:tcBorders>
            <w:noWrap w:val="0"/>
            <w:vAlign w:val="center"/>
          </w:tcPr>
          <w:p w14:paraId="1C414DB0">
            <w:pPr>
              <w:pStyle w:val="105"/>
              <w:bidi w:val="0"/>
              <w:rPr>
                <w:rFonts w:hint="default"/>
                <w:highlight w:val="none"/>
                <w:lang w:val="en-US" w:eastAsia="zh-CN"/>
              </w:rPr>
            </w:pPr>
            <w:r>
              <w:rPr>
                <w:rFonts w:hint="default"/>
                <w:highlight w:val="none"/>
                <w:lang w:val="en-US" w:eastAsia="zh-CN"/>
              </w:rPr>
              <w:t>7</w:t>
            </w:r>
          </w:p>
        </w:tc>
        <w:tc>
          <w:tcPr>
            <w:tcW w:w="6041" w:type="dxa"/>
            <w:tcBorders>
              <w:tl2br w:val="nil"/>
              <w:tr2bl w:val="nil"/>
            </w:tcBorders>
            <w:noWrap w:val="0"/>
            <w:vAlign w:val="center"/>
          </w:tcPr>
          <w:p w14:paraId="24A8EA71">
            <w:pPr>
              <w:pStyle w:val="105"/>
              <w:bidi w:val="0"/>
              <w:rPr>
                <w:rFonts w:hint="default"/>
                <w:highlight w:val="none"/>
                <w:lang w:val="en-US" w:eastAsia="zh-CN"/>
              </w:rPr>
            </w:pPr>
            <w:r>
              <w:rPr>
                <w:rFonts w:hint="default"/>
                <w:highlight w:val="none"/>
                <w:lang w:val="en-US" w:eastAsia="zh-CN"/>
              </w:rPr>
              <w:t>多塔作业时，低位塔起重臂端部与高位塔塔身之间的水平距离≥2m；高位塔的最低位置部件与低位塔最高位置部件之间的垂直距离≥2m</w:t>
            </w:r>
          </w:p>
        </w:tc>
        <w:tc>
          <w:tcPr>
            <w:tcW w:w="1229" w:type="dxa"/>
            <w:tcBorders>
              <w:tl2br w:val="nil"/>
              <w:tr2bl w:val="nil"/>
            </w:tcBorders>
            <w:noWrap w:val="0"/>
            <w:vAlign w:val="center"/>
          </w:tcPr>
          <w:p w14:paraId="5977EC8B">
            <w:pPr>
              <w:pStyle w:val="105"/>
              <w:bidi w:val="0"/>
              <w:rPr>
                <w:rFonts w:hint="default"/>
                <w:highlight w:val="none"/>
                <w:lang w:val="en-US" w:eastAsia="zh-CN"/>
              </w:rPr>
            </w:pPr>
          </w:p>
        </w:tc>
      </w:tr>
      <w:tr w14:paraId="07E4B46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A9E2C68">
            <w:pPr>
              <w:pStyle w:val="105"/>
              <w:bidi w:val="0"/>
              <w:rPr>
                <w:rFonts w:hint="default"/>
                <w:highlight w:val="none"/>
                <w:lang w:val="en-US" w:eastAsia="zh-CN"/>
              </w:rPr>
            </w:pPr>
          </w:p>
        </w:tc>
        <w:tc>
          <w:tcPr>
            <w:tcW w:w="513" w:type="dxa"/>
            <w:tcBorders>
              <w:tl2br w:val="nil"/>
              <w:tr2bl w:val="nil"/>
            </w:tcBorders>
            <w:noWrap w:val="0"/>
            <w:vAlign w:val="center"/>
          </w:tcPr>
          <w:p w14:paraId="632A050B">
            <w:pPr>
              <w:pStyle w:val="105"/>
              <w:bidi w:val="0"/>
              <w:rPr>
                <w:rFonts w:hint="default"/>
                <w:highlight w:val="none"/>
                <w:lang w:val="en-US" w:eastAsia="zh-CN"/>
              </w:rPr>
            </w:pPr>
            <w:r>
              <w:rPr>
                <w:rFonts w:hint="default"/>
                <w:highlight w:val="none"/>
                <w:lang w:val="en-US" w:eastAsia="zh-CN"/>
              </w:rPr>
              <w:t>8</w:t>
            </w:r>
          </w:p>
        </w:tc>
        <w:tc>
          <w:tcPr>
            <w:tcW w:w="6041" w:type="dxa"/>
            <w:tcBorders>
              <w:tl2br w:val="nil"/>
              <w:tr2bl w:val="nil"/>
            </w:tcBorders>
            <w:noWrap w:val="0"/>
            <w:vAlign w:val="center"/>
          </w:tcPr>
          <w:p w14:paraId="3D51F5C4">
            <w:pPr>
              <w:pStyle w:val="105"/>
              <w:bidi w:val="0"/>
              <w:rPr>
                <w:rFonts w:hint="default"/>
                <w:highlight w:val="none"/>
                <w:lang w:val="en-US" w:eastAsia="zh-CN"/>
              </w:rPr>
            </w:pPr>
            <w:r>
              <w:rPr>
                <w:rFonts w:hint="default"/>
                <w:highlight w:val="none"/>
                <w:lang w:val="en-US" w:eastAsia="zh-CN"/>
              </w:rPr>
              <w:t>塔式起重机与外电线路的距离应符合JGJ46—2005的规定</w:t>
            </w:r>
          </w:p>
        </w:tc>
        <w:tc>
          <w:tcPr>
            <w:tcW w:w="1229" w:type="dxa"/>
            <w:tcBorders>
              <w:tl2br w:val="nil"/>
              <w:tr2bl w:val="nil"/>
            </w:tcBorders>
            <w:noWrap w:val="0"/>
            <w:vAlign w:val="center"/>
          </w:tcPr>
          <w:p w14:paraId="6D5EEB75">
            <w:pPr>
              <w:pStyle w:val="105"/>
              <w:bidi w:val="0"/>
              <w:rPr>
                <w:rFonts w:hint="default"/>
                <w:highlight w:val="none"/>
                <w:lang w:val="en-US" w:eastAsia="zh-CN"/>
              </w:rPr>
            </w:pPr>
          </w:p>
        </w:tc>
      </w:tr>
      <w:tr w14:paraId="593E60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30DCB7A6">
            <w:pPr>
              <w:pStyle w:val="105"/>
              <w:bidi w:val="0"/>
              <w:rPr>
                <w:rFonts w:hint="default"/>
                <w:highlight w:val="none"/>
                <w:lang w:val="en-US" w:eastAsia="zh-CN"/>
              </w:rPr>
            </w:pPr>
            <w:r>
              <w:rPr>
                <w:rFonts w:hint="default"/>
                <w:highlight w:val="none"/>
                <w:lang w:val="en-US" w:eastAsia="zh-CN"/>
              </w:rPr>
              <w:t>塔式起重机结构</w:t>
            </w:r>
          </w:p>
        </w:tc>
        <w:tc>
          <w:tcPr>
            <w:tcW w:w="513" w:type="dxa"/>
            <w:tcBorders>
              <w:tl2br w:val="nil"/>
              <w:tr2bl w:val="nil"/>
            </w:tcBorders>
            <w:noWrap w:val="0"/>
            <w:vAlign w:val="center"/>
          </w:tcPr>
          <w:p w14:paraId="6E3FAD16">
            <w:pPr>
              <w:pStyle w:val="105"/>
              <w:bidi w:val="0"/>
              <w:rPr>
                <w:rFonts w:hint="default"/>
                <w:highlight w:val="none"/>
                <w:lang w:val="en-US" w:eastAsia="zh-CN"/>
              </w:rPr>
            </w:pPr>
            <w:r>
              <w:rPr>
                <w:rFonts w:hint="default"/>
                <w:highlight w:val="none"/>
                <w:lang w:val="en-US" w:eastAsia="zh-CN"/>
              </w:rPr>
              <w:t>9</w:t>
            </w:r>
          </w:p>
        </w:tc>
        <w:tc>
          <w:tcPr>
            <w:tcW w:w="6041" w:type="dxa"/>
            <w:tcBorders>
              <w:tl2br w:val="nil"/>
              <w:tr2bl w:val="nil"/>
            </w:tcBorders>
            <w:noWrap w:val="0"/>
            <w:vAlign w:val="center"/>
          </w:tcPr>
          <w:p w14:paraId="4DC98110">
            <w:pPr>
              <w:pStyle w:val="105"/>
              <w:bidi w:val="0"/>
              <w:rPr>
                <w:rFonts w:hint="default"/>
                <w:highlight w:val="none"/>
                <w:lang w:val="en-US" w:eastAsia="zh-CN"/>
              </w:rPr>
            </w:pPr>
            <w:r>
              <w:rPr>
                <w:rFonts w:hint="default"/>
                <w:highlight w:val="none"/>
                <w:lang w:val="en-US" w:eastAsia="zh-CN"/>
              </w:rPr>
              <w:t>金属结构无可见裂纹和明显变形</w:t>
            </w:r>
          </w:p>
        </w:tc>
        <w:tc>
          <w:tcPr>
            <w:tcW w:w="1229" w:type="dxa"/>
            <w:tcBorders>
              <w:tl2br w:val="nil"/>
              <w:tr2bl w:val="nil"/>
            </w:tcBorders>
            <w:noWrap w:val="0"/>
            <w:vAlign w:val="center"/>
          </w:tcPr>
          <w:p w14:paraId="6CFA8459">
            <w:pPr>
              <w:pStyle w:val="105"/>
              <w:bidi w:val="0"/>
              <w:rPr>
                <w:rFonts w:hint="default"/>
                <w:highlight w:val="none"/>
                <w:lang w:val="en-US" w:eastAsia="zh-CN"/>
              </w:rPr>
            </w:pPr>
          </w:p>
        </w:tc>
      </w:tr>
      <w:tr w14:paraId="633C884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0919881">
            <w:pPr>
              <w:pStyle w:val="105"/>
              <w:bidi w:val="0"/>
              <w:rPr>
                <w:rFonts w:hint="default"/>
                <w:highlight w:val="none"/>
                <w:lang w:val="en-US" w:eastAsia="zh-CN"/>
              </w:rPr>
            </w:pPr>
          </w:p>
        </w:tc>
        <w:tc>
          <w:tcPr>
            <w:tcW w:w="513" w:type="dxa"/>
            <w:tcBorders>
              <w:tl2br w:val="nil"/>
              <w:tr2bl w:val="nil"/>
            </w:tcBorders>
            <w:noWrap w:val="0"/>
            <w:vAlign w:val="center"/>
          </w:tcPr>
          <w:p w14:paraId="637BF7B6">
            <w:pPr>
              <w:pStyle w:val="105"/>
              <w:bidi w:val="0"/>
              <w:rPr>
                <w:rFonts w:hint="default"/>
                <w:highlight w:val="none"/>
                <w:lang w:val="en-US" w:eastAsia="zh-CN"/>
              </w:rPr>
            </w:pPr>
            <w:r>
              <w:rPr>
                <w:rFonts w:hint="default"/>
                <w:highlight w:val="none"/>
                <w:lang w:val="en-US" w:eastAsia="zh-CN"/>
              </w:rPr>
              <w:t>10</w:t>
            </w:r>
          </w:p>
        </w:tc>
        <w:tc>
          <w:tcPr>
            <w:tcW w:w="6041" w:type="dxa"/>
            <w:tcBorders>
              <w:tl2br w:val="nil"/>
              <w:tr2bl w:val="nil"/>
            </w:tcBorders>
            <w:noWrap w:val="0"/>
            <w:vAlign w:val="center"/>
          </w:tcPr>
          <w:p w14:paraId="40D5A2A8">
            <w:pPr>
              <w:pStyle w:val="105"/>
              <w:bidi w:val="0"/>
              <w:rPr>
                <w:rFonts w:hint="default"/>
                <w:highlight w:val="none"/>
                <w:lang w:val="en-US" w:eastAsia="zh-CN"/>
              </w:rPr>
            </w:pPr>
            <w:r>
              <w:rPr>
                <w:rFonts w:hint="default"/>
                <w:highlight w:val="none"/>
                <w:lang w:val="en-US" w:eastAsia="zh-CN"/>
              </w:rPr>
              <w:t>连接螺栓齐全，规格和预紧力达到使用说明书要求</w:t>
            </w:r>
          </w:p>
        </w:tc>
        <w:tc>
          <w:tcPr>
            <w:tcW w:w="1229" w:type="dxa"/>
            <w:tcBorders>
              <w:tl2br w:val="nil"/>
              <w:tr2bl w:val="nil"/>
            </w:tcBorders>
            <w:noWrap w:val="0"/>
            <w:vAlign w:val="center"/>
          </w:tcPr>
          <w:p w14:paraId="434013BF">
            <w:pPr>
              <w:pStyle w:val="105"/>
              <w:bidi w:val="0"/>
              <w:rPr>
                <w:rFonts w:hint="default"/>
                <w:highlight w:val="none"/>
                <w:lang w:val="en-US" w:eastAsia="zh-CN"/>
              </w:rPr>
            </w:pPr>
          </w:p>
        </w:tc>
      </w:tr>
      <w:tr w14:paraId="5A1BAF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D453E75">
            <w:pPr>
              <w:pStyle w:val="105"/>
              <w:bidi w:val="0"/>
              <w:rPr>
                <w:rFonts w:hint="default"/>
                <w:highlight w:val="none"/>
                <w:lang w:val="en-US" w:eastAsia="zh-CN"/>
              </w:rPr>
            </w:pPr>
          </w:p>
        </w:tc>
        <w:tc>
          <w:tcPr>
            <w:tcW w:w="513" w:type="dxa"/>
            <w:tcBorders>
              <w:tl2br w:val="nil"/>
              <w:tr2bl w:val="nil"/>
            </w:tcBorders>
            <w:noWrap w:val="0"/>
            <w:vAlign w:val="center"/>
          </w:tcPr>
          <w:p w14:paraId="53268A53">
            <w:pPr>
              <w:pStyle w:val="105"/>
              <w:bidi w:val="0"/>
              <w:rPr>
                <w:rFonts w:hint="default"/>
                <w:highlight w:val="none"/>
                <w:lang w:val="en-US" w:eastAsia="zh-CN"/>
              </w:rPr>
            </w:pPr>
            <w:r>
              <w:rPr>
                <w:rFonts w:hint="default"/>
                <w:highlight w:val="none"/>
                <w:lang w:val="en-US" w:eastAsia="zh-CN"/>
              </w:rPr>
              <w:t>11</w:t>
            </w:r>
          </w:p>
        </w:tc>
        <w:tc>
          <w:tcPr>
            <w:tcW w:w="6041" w:type="dxa"/>
            <w:tcBorders>
              <w:tl2br w:val="nil"/>
              <w:tr2bl w:val="nil"/>
            </w:tcBorders>
            <w:noWrap w:val="0"/>
            <w:vAlign w:val="center"/>
          </w:tcPr>
          <w:p w14:paraId="0CE43711">
            <w:pPr>
              <w:pStyle w:val="105"/>
              <w:bidi w:val="0"/>
              <w:rPr>
                <w:rFonts w:hint="default"/>
                <w:highlight w:val="none"/>
                <w:lang w:val="en-US" w:eastAsia="zh-CN"/>
              </w:rPr>
            </w:pPr>
            <w:r>
              <w:rPr>
                <w:rFonts w:hint="default"/>
                <w:highlight w:val="none"/>
                <w:lang w:val="en-US" w:eastAsia="zh-CN"/>
              </w:rPr>
              <w:t xml:space="preserve">销轴连接可靠，符合出厂要求 </w:t>
            </w:r>
          </w:p>
        </w:tc>
        <w:tc>
          <w:tcPr>
            <w:tcW w:w="1229" w:type="dxa"/>
            <w:tcBorders>
              <w:tl2br w:val="nil"/>
              <w:tr2bl w:val="nil"/>
            </w:tcBorders>
            <w:noWrap w:val="0"/>
            <w:vAlign w:val="center"/>
          </w:tcPr>
          <w:p w14:paraId="58989B8D">
            <w:pPr>
              <w:pStyle w:val="105"/>
              <w:bidi w:val="0"/>
              <w:rPr>
                <w:rFonts w:hint="default"/>
                <w:highlight w:val="none"/>
                <w:lang w:val="en-US" w:eastAsia="zh-CN"/>
              </w:rPr>
            </w:pPr>
          </w:p>
        </w:tc>
      </w:tr>
      <w:tr w14:paraId="65958FD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23E19C5E">
            <w:pPr>
              <w:pStyle w:val="105"/>
              <w:bidi w:val="0"/>
              <w:rPr>
                <w:rFonts w:hint="default"/>
                <w:highlight w:val="none"/>
                <w:lang w:val="en-US" w:eastAsia="zh-CN"/>
              </w:rPr>
            </w:pPr>
          </w:p>
        </w:tc>
        <w:tc>
          <w:tcPr>
            <w:tcW w:w="513" w:type="dxa"/>
            <w:tcBorders>
              <w:tl2br w:val="nil"/>
              <w:tr2bl w:val="nil"/>
            </w:tcBorders>
            <w:noWrap w:val="0"/>
            <w:vAlign w:val="center"/>
          </w:tcPr>
          <w:p w14:paraId="43B0882B">
            <w:pPr>
              <w:pStyle w:val="105"/>
              <w:bidi w:val="0"/>
              <w:rPr>
                <w:rFonts w:hint="default"/>
                <w:highlight w:val="none"/>
                <w:lang w:val="en-US" w:eastAsia="zh-CN"/>
              </w:rPr>
            </w:pPr>
            <w:r>
              <w:rPr>
                <w:rFonts w:hint="default"/>
                <w:highlight w:val="none"/>
                <w:lang w:val="en-US" w:eastAsia="zh-CN"/>
              </w:rPr>
              <w:t>12</w:t>
            </w:r>
          </w:p>
        </w:tc>
        <w:tc>
          <w:tcPr>
            <w:tcW w:w="6041" w:type="dxa"/>
            <w:tcBorders>
              <w:tl2br w:val="nil"/>
              <w:tr2bl w:val="nil"/>
            </w:tcBorders>
            <w:noWrap w:val="0"/>
            <w:vAlign w:val="center"/>
          </w:tcPr>
          <w:p w14:paraId="22B90383">
            <w:pPr>
              <w:pStyle w:val="105"/>
              <w:bidi w:val="0"/>
              <w:rPr>
                <w:rFonts w:hint="default"/>
                <w:highlight w:val="none"/>
                <w:lang w:val="en-US" w:eastAsia="zh-CN"/>
              </w:rPr>
            </w:pPr>
            <w:r>
              <w:rPr>
                <w:rFonts w:hint="default"/>
                <w:highlight w:val="none"/>
                <w:lang w:val="en-US" w:eastAsia="zh-CN"/>
              </w:rPr>
              <w:t>过道、平台、栏杆、踏板符合GB5144—2006规定，连接牢靠</w:t>
            </w:r>
          </w:p>
        </w:tc>
        <w:tc>
          <w:tcPr>
            <w:tcW w:w="1229" w:type="dxa"/>
            <w:tcBorders>
              <w:tl2br w:val="nil"/>
              <w:tr2bl w:val="nil"/>
            </w:tcBorders>
            <w:noWrap w:val="0"/>
            <w:vAlign w:val="center"/>
          </w:tcPr>
          <w:p w14:paraId="2F887603">
            <w:pPr>
              <w:pStyle w:val="105"/>
              <w:bidi w:val="0"/>
              <w:rPr>
                <w:rFonts w:hint="default"/>
                <w:highlight w:val="none"/>
                <w:lang w:val="en-US" w:eastAsia="zh-CN"/>
              </w:rPr>
            </w:pPr>
          </w:p>
        </w:tc>
      </w:tr>
      <w:tr w14:paraId="60C292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A5464DD">
            <w:pPr>
              <w:pStyle w:val="105"/>
              <w:bidi w:val="0"/>
              <w:rPr>
                <w:rFonts w:hint="default"/>
                <w:highlight w:val="none"/>
                <w:lang w:val="en-US" w:eastAsia="zh-CN"/>
              </w:rPr>
            </w:pPr>
          </w:p>
        </w:tc>
        <w:tc>
          <w:tcPr>
            <w:tcW w:w="513" w:type="dxa"/>
            <w:tcBorders>
              <w:tl2br w:val="nil"/>
              <w:tr2bl w:val="nil"/>
            </w:tcBorders>
            <w:noWrap w:val="0"/>
            <w:vAlign w:val="center"/>
          </w:tcPr>
          <w:p w14:paraId="251DCE2D">
            <w:pPr>
              <w:pStyle w:val="105"/>
              <w:bidi w:val="0"/>
              <w:rPr>
                <w:rFonts w:hint="default"/>
                <w:highlight w:val="none"/>
                <w:lang w:val="en-US" w:eastAsia="zh-CN"/>
              </w:rPr>
            </w:pPr>
            <w:r>
              <w:rPr>
                <w:rFonts w:hint="default"/>
                <w:highlight w:val="none"/>
                <w:lang w:val="en-US" w:eastAsia="zh-CN"/>
              </w:rPr>
              <w:t>13</w:t>
            </w:r>
          </w:p>
        </w:tc>
        <w:tc>
          <w:tcPr>
            <w:tcW w:w="6041" w:type="dxa"/>
            <w:tcBorders>
              <w:tl2br w:val="nil"/>
              <w:tr2bl w:val="nil"/>
            </w:tcBorders>
            <w:noWrap w:val="0"/>
            <w:vAlign w:val="center"/>
          </w:tcPr>
          <w:p w14:paraId="01F903FF">
            <w:pPr>
              <w:pStyle w:val="105"/>
              <w:bidi w:val="0"/>
              <w:rPr>
                <w:rFonts w:hint="default"/>
                <w:highlight w:val="none"/>
                <w:lang w:val="en-US" w:eastAsia="zh-CN"/>
              </w:rPr>
            </w:pPr>
            <w:r>
              <w:rPr>
                <w:rFonts w:hint="default"/>
                <w:highlight w:val="none"/>
                <w:lang w:val="en-US" w:eastAsia="zh-CN"/>
              </w:rPr>
              <w:t>梯子、护圈、休息平台符合GB5144—2006规定，连接牢靠</w:t>
            </w:r>
          </w:p>
        </w:tc>
        <w:tc>
          <w:tcPr>
            <w:tcW w:w="1229" w:type="dxa"/>
            <w:tcBorders>
              <w:tl2br w:val="nil"/>
              <w:tr2bl w:val="nil"/>
            </w:tcBorders>
            <w:noWrap w:val="0"/>
            <w:vAlign w:val="center"/>
          </w:tcPr>
          <w:p w14:paraId="632BE8CD">
            <w:pPr>
              <w:pStyle w:val="105"/>
              <w:bidi w:val="0"/>
              <w:rPr>
                <w:rFonts w:hint="default"/>
                <w:highlight w:val="none"/>
                <w:lang w:val="en-US" w:eastAsia="zh-CN"/>
              </w:rPr>
            </w:pPr>
          </w:p>
        </w:tc>
      </w:tr>
      <w:tr w14:paraId="2068D7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C1E27AF">
            <w:pPr>
              <w:pStyle w:val="105"/>
              <w:bidi w:val="0"/>
              <w:rPr>
                <w:rFonts w:hint="default"/>
                <w:highlight w:val="none"/>
                <w:lang w:val="en-US" w:eastAsia="zh-CN"/>
              </w:rPr>
            </w:pPr>
          </w:p>
        </w:tc>
        <w:tc>
          <w:tcPr>
            <w:tcW w:w="513" w:type="dxa"/>
            <w:tcBorders>
              <w:tl2br w:val="nil"/>
              <w:tr2bl w:val="nil"/>
            </w:tcBorders>
            <w:noWrap w:val="0"/>
            <w:vAlign w:val="center"/>
          </w:tcPr>
          <w:p w14:paraId="50CD42C5">
            <w:pPr>
              <w:pStyle w:val="105"/>
              <w:bidi w:val="0"/>
              <w:rPr>
                <w:rFonts w:hint="default"/>
                <w:highlight w:val="none"/>
                <w:lang w:val="en-US" w:eastAsia="zh-CN"/>
              </w:rPr>
            </w:pPr>
            <w:r>
              <w:rPr>
                <w:rFonts w:hint="default"/>
                <w:highlight w:val="none"/>
                <w:lang w:val="en-US" w:eastAsia="zh-CN"/>
              </w:rPr>
              <w:t>14</w:t>
            </w:r>
          </w:p>
        </w:tc>
        <w:tc>
          <w:tcPr>
            <w:tcW w:w="6041" w:type="dxa"/>
            <w:tcBorders>
              <w:tl2br w:val="nil"/>
              <w:tr2bl w:val="nil"/>
            </w:tcBorders>
            <w:noWrap w:val="0"/>
            <w:vAlign w:val="center"/>
          </w:tcPr>
          <w:p w14:paraId="0B398DA9">
            <w:pPr>
              <w:pStyle w:val="105"/>
              <w:bidi w:val="0"/>
              <w:rPr>
                <w:rFonts w:hint="default"/>
                <w:highlight w:val="none"/>
                <w:lang w:val="en-US" w:eastAsia="zh-CN"/>
              </w:rPr>
            </w:pPr>
            <w:r>
              <w:rPr>
                <w:rFonts w:hint="default"/>
                <w:highlight w:val="none"/>
                <w:lang w:val="en-US" w:eastAsia="zh-CN"/>
              </w:rPr>
              <w:t xml:space="preserve">平衡重安装牢固，重量与位置符合使用说明书要求， </w:t>
            </w:r>
          </w:p>
        </w:tc>
        <w:tc>
          <w:tcPr>
            <w:tcW w:w="1229" w:type="dxa"/>
            <w:tcBorders>
              <w:tl2br w:val="nil"/>
              <w:tr2bl w:val="nil"/>
            </w:tcBorders>
            <w:noWrap w:val="0"/>
            <w:vAlign w:val="center"/>
          </w:tcPr>
          <w:p w14:paraId="720EBC38">
            <w:pPr>
              <w:pStyle w:val="105"/>
              <w:bidi w:val="0"/>
              <w:rPr>
                <w:rFonts w:hint="default"/>
                <w:highlight w:val="none"/>
                <w:lang w:val="en-US" w:eastAsia="zh-CN"/>
              </w:rPr>
            </w:pPr>
          </w:p>
        </w:tc>
      </w:tr>
      <w:tr w14:paraId="1AD7B6E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594C29CC">
            <w:pPr>
              <w:pStyle w:val="105"/>
              <w:bidi w:val="0"/>
              <w:rPr>
                <w:rFonts w:hint="default"/>
                <w:highlight w:val="none"/>
                <w:lang w:val="en-US" w:eastAsia="zh-CN"/>
              </w:rPr>
            </w:pPr>
            <w:r>
              <w:rPr>
                <w:rFonts w:hint="default"/>
                <w:highlight w:val="none"/>
                <w:lang w:val="en-US" w:eastAsia="zh-CN"/>
              </w:rPr>
              <w:t>垂直度</w:t>
            </w:r>
          </w:p>
        </w:tc>
        <w:tc>
          <w:tcPr>
            <w:tcW w:w="513" w:type="dxa"/>
            <w:tcBorders>
              <w:tl2br w:val="nil"/>
              <w:tr2bl w:val="nil"/>
            </w:tcBorders>
            <w:noWrap w:val="0"/>
            <w:vAlign w:val="center"/>
          </w:tcPr>
          <w:p w14:paraId="6957DB7D">
            <w:pPr>
              <w:pStyle w:val="105"/>
              <w:bidi w:val="0"/>
              <w:rPr>
                <w:rFonts w:hint="default"/>
                <w:highlight w:val="none"/>
                <w:lang w:val="en-US" w:eastAsia="zh-CN"/>
              </w:rPr>
            </w:pPr>
            <w:r>
              <w:rPr>
                <w:rFonts w:hint="default"/>
                <w:highlight w:val="none"/>
                <w:lang w:val="en-US" w:eastAsia="zh-CN"/>
              </w:rPr>
              <w:t>15</w:t>
            </w:r>
          </w:p>
        </w:tc>
        <w:tc>
          <w:tcPr>
            <w:tcW w:w="6041" w:type="dxa"/>
            <w:tcBorders>
              <w:tl2br w:val="nil"/>
              <w:tr2bl w:val="nil"/>
            </w:tcBorders>
            <w:noWrap w:val="0"/>
            <w:vAlign w:val="center"/>
          </w:tcPr>
          <w:p w14:paraId="3AD568CE">
            <w:pPr>
              <w:pStyle w:val="105"/>
              <w:bidi w:val="0"/>
              <w:rPr>
                <w:rFonts w:hint="default"/>
                <w:highlight w:val="none"/>
                <w:lang w:val="en-US" w:eastAsia="zh-CN"/>
              </w:rPr>
            </w:pPr>
            <w:r>
              <w:rPr>
                <w:rFonts w:hint="default"/>
                <w:highlight w:val="none"/>
                <w:lang w:val="en-US" w:eastAsia="zh-CN"/>
              </w:rPr>
              <w:t>独立状态塔身轴心线对支承面的垂直度≤4‰</w:t>
            </w:r>
          </w:p>
        </w:tc>
        <w:tc>
          <w:tcPr>
            <w:tcW w:w="1229" w:type="dxa"/>
            <w:tcBorders>
              <w:tl2br w:val="nil"/>
              <w:tr2bl w:val="nil"/>
            </w:tcBorders>
            <w:noWrap w:val="0"/>
            <w:vAlign w:val="center"/>
          </w:tcPr>
          <w:p w14:paraId="62595DDD">
            <w:pPr>
              <w:pStyle w:val="105"/>
              <w:bidi w:val="0"/>
              <w:rPr>
                <w:rFonts w:hint="default"/>
                <w:highlight w:val="none"/>
                <w:lang w:val="en-US" w:eastAsia="zh-CN"/>
              </w:rPr>
            </w:pPr>
          </w:p>
        </w:tc>
      </w:tr>
      <w:tr w14:paraId="556C6EA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47AD01A6">
            <w:pPr>
              <w:pStyle w:val="105"/>
              <w:bidi w:val="0"/>
              <w:rPr>
                <w:rFonts w:hint="default"/>
                <w:highlight w:val="none"/>
                <w:lang w:val="en-US" w:eastAsia="zh-CN"/>
              </w:rPr>
            </w:pPr>
            <w:r>
              <w:rPr>
                <w:rFonts w:hint="default"/>
                <w:highlight w:val="none"/>
                <w:lang w:val="en-US" w:eastAsia="zh-CN"/>
              </w:rPr>
              <w:t>回转</w:t>
            </w:r>
          </w:p>
        </w:tc>
        <w:tc>
          <w:tcPr>
            <w:tcW w:w="513" w:type="dxa"/>
            <w:tcBorders>
              <w:tl2br w:val="nil"/>
              <w:tr2bl w:val="nil"/>
            </w:tcBorders>
            <w:noWrap w:val="0"/>
            <w:vAlign w:val="center"/>
          </w:tcPr>
          <w:p w14:paraId="4AB5557F">
            <w:pPr>
              <w:pStyle w:val="105"/>
              <w:bidi w:val="0"/>
              <w:rPr>
                <w:rFonts w:hint="default"/>
                <w:highlight w:val="none"/>
                <w:lang w:val="en-US" w:eastAsia="zh-CN"/>
              </w:rPr>
            </w:pPr>
            <w:r>
              <w:rPr>
                <w:rFonts w:hint="default"/>
                <w:highlight w:val="none"/>
                <w:lang w:val="en-US" w:eastAsia="zh-CN"/>
              </w:rPr>
              <w:t>16</w:t>
            </w:r>
          </w:p>
        </w:tc>
        <w:tc>
          <w:tcPr>
            <w:tcW w:w="6041" w:type="dxa"/>
            <w:tcBorders>
              <w:tl2br w:val="nil"/>
              <w:tr2bl w:val="nil"/>
            </w:tcBorders>
            <w:noWrap w:val="0"/>
            <w:vAlign w:val="center"/>
          </w:tcPr>
          <w:p w14:paraId="4B7BCCCA">
            <w:pPr>
              <w:pStyle w:val="105"/>
              <w:bidi w:val="0"/>
              <w:rPr>
                <w:rFonts w:hint="default"/>
                <w:highlight w:val="none"/>
                <w:lang w:val="en-US" w:eastAsia="zh-CN"/>
              </w:rPr>
            </w:pPr>
            <w:r>
              <w:rPr>
                <w:rFonts w:hint="default"/>
                <w:highlight w:val="none"/>
                <w:lang w:val="en-US" w:eastAsia="zh-CN"/>
              </w:rPr>
              <w:t>回转处不设集电器供电的塔式起重机，应设置正反两个方向回转限位开关，开关动作时臂架旋转角度应≤±540°</w:t>
            </w:r>
          </w:p>
        </w:tc>
        <w:tc>
          <w:tcPr>
            <w:tcW w:w="1229" w:type="dxa"/>
            <w:tcBorders>
              <w:tl2br w:val="nil"/>
              <w:tr2bl w:val="nil"/>
            </w:tcBorders>
            <w:noWrap w:val="0"/>
            <w:vAlign w:val="center"/>
          </w:tcPr>
          <w:p w14:paraId="5DD1B288">
            <w:pPr>
              <w:pStyle w:val="105"/>
              <w:bidi w:val="0"/>
              <w:rPr>
                <w:rFonts w:hint="default"/>
                <w:highlight w:val="none"/>
                <w:lang w:val="en-US" w:eastAsia="zh-CN"/>
              </w:rPr>
            </w:pPr>
          </w:p>
        </w:tc>
      </w:tr>
      <w:tr w14:paraId="61C9D50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B99B151">
            <w:pPr>
              <w:pStyle w:val="105"/>
              <w:bidi w:val="0"/>
              <w:rPr>
                <w:rFonts w:hint="default"/>
                <w:highlight w:val="none"/>
                <w:lang w:val="en-US" w:eastAsia="zh-CN"/>
              </w:rPr>
            </w:pPr>
            <w:r>
              <w:rPr>
                <w:rFonts w:hint="default"/>
                <w:highlight w:val="none"/>
                <w:lang w:val="en-US" w:eastAsia="zh-CN"/>
              </w:rPr>
              <w:t>起升系统</w:t>
            </w:r>
          </w:p>
        </w:tc>
        <w:tc>
          <w:tcPr>
            <w:tcW w:w="513" w:type="dxa"/>
            <w:tcBorders>
              <w:tl2br w:val="nil"/>
              <w:tr2bl w:val="nil"/>
            </w:tcBorders>
            <w:noWrap w:val="0"/>
            <w:vAlign w:val="center"/>
          </w:tcPr>
          <w:p w14:paraId="6413DFF0">
            <w:pPr>
              <w:pStyle w:val="105"/>
              <w:bidi w:val="0"/>
              <w:rPr>
                <w:rFonts w:hint="default"/>
                <w:highlight w:val="none"/>
                <w:lang w:val="en-US" w:eastAsia="zh-CN"/>
              </w:rPr>
            </w:pPr>
            <w:r>
              <w:rPr>
                <w:rFonts w:hint="default"/>
                <w:highlight w:val="none"/>
                <w:lang w:val="en-US" w:eastAsia="zh-CN"/>
              </w:rPr>
              <w:t>17</w:t>
            </w:r>
          </w:p>
        </w:tc>
        <w:tc>
          <w:tcPr>
            <w:tcW w:w="6041" w:type="dxa"/>
            <w:tcBorders>
              <w:tl2br w:val="nil"/>
              <w:tr2bl w:val="nil"/>
            </w:tcBorders>
            <w:noWrap w:val="0"/>
            <w:vAlign w:val="center"/>
          </w:tcPr>
          <w:p w14:paraId="0EF27B82">
            <w:pPr>
              <w:pStyle w:val="105"/>
              <w:bidi w:val="0"/>
              <w:rPr>
                <w:rFonts w:hint="default"/>
                <w:highlight w:val="none"/>
                <w:lang w:val="en-US" w:eastAsia="zh-CN"/>
              </w:rPr>
            </w:pPr>
            <w:r>
              <w:rPr>
                <w:rFonts w:hint="default"/>
                <w:highlight w:val="none"/>
                <w:lang w:val="en-US" w:eastAsia="zh-CN"/>
              </w:rPr>
              <w:t>起重力矩限制器灵敏可靠，限制值&lt;额定载荷110%，显示误差≤额定载荷±5%</w:t>
            </w:r>
          </w:p>
        </w:tc>
        <w:tc>
          <w:tcPr>
            <w:tcW w:w="1229" w:type="dxa"/>
            <w:tcBorders>
              <w:tl2br w:val="nil"/>
              <w:tr2bl w:val="nil"/>
            </w:tcBorders>
            <w:noWrap w:val="0"/>
            <w:vAlign w:val="center"/>
          </w:tcPr>
          <w:p w14:paraId="4279D8B6">
            <w:pPr>
              <w:pStyle w:val="105"/>
              <w:bidi w:val="0"/>
              <w:rPr>
                <w:rFonts w:hint="default"/>
                <w:highlight w:val="none"/>
                <w:lang w:val="en-US" w:eastAsia="zh-CN"/>
              </w:rPr>
            </w:pPr>
          </w:p>
        </w:tc>
      </w:tr>
      <w:tr w14:paraId="10846D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0AFC299">
            <w:pPr>
              <w:pStyle w:val="105"/>
              <w:bidi w:val="0"/>
              <w:rPr>
                <w:rFonts w:hint="default"/>
                <w:highlight w:val="none"/>
                <w:lang w:val="en-US" w:eastAsia="zh-CN"/>
              </w:rPr>
            </w:pPr>
          </w:p>
        </w:tc>
        <w:tc>
          <w:tcPr>
            <w:tcW w:w="513" w:type="dxa"/>
            <w:tcBorders>
              <w:tl2br w:val="nil"/>
              <w:tr2bl w:val="nil"/>
            </w:tcBorders>
            <w:noWrap w:val="0"/>
            <w:vAlign w:val="center"/>
          </w:tcPr>
          <w:p w14:paraId="52C433CE">
            <w:pPr>
              <w:pStyle w:val="105"/>
              <w:bidi w:val="0"/>
              <w:rPr>
                <w:rFonts w:hint="default"/>
                <w:highlight w:val="none"/>
                <w:lang w:val="en-US" w:eastAsia="zh-CN"/>
              </w:rPr>
            </w:pPr>
            <w:r>
              <w:rPr>
                <w:rFonts w:hint="default"/>
                <w:highlight w:val="none"/>
                <w:lang w:val="en-US" w:eastAsia="zh-CN"/>
              </w:rPr>
              <w:t>18</w:t>
            </w:r>
          </w:p>
        </w:tc>
        <w:tc>
          <w:tcPr>
            <w:tcW w:w="6041" w:type="dxa"/>
            <w:tcBorders>
              <w:tl2br w:val="nil"/>
              <w:tr2bl w:val="nil"/>
            </w:tcBorders>
            <w:noWrap w:val="0"/>
            <w:vAlign w:val="center"/>
          </w:tcPr>
          <w:p w14:paraId="246E9D49">
            <w:pPr>
              <w:pStyle w:val="105"/>
              <w:bidi w:val="0"/>
              <w:rPr>
                <w:rFonts w:hint="default"/>
                <w:highlight w:val="none"/>
                <w:lang w:val="en-US" w:eastAsia="zh-CN"/>
              </w:rPr>
            </w:pPr>
            <w:r>
              <w:rPr>
                <w:rFonts w:hint="default"/>
                <w:highlight w:val="none"/>
                <w:lang w:val="en-US" w:eastAsia="zh-CN"/>
              </w:rPr>
              <w:t>起升高度限位器灵敏可靠，安全越程≥800mm</w:t>
            </w:r>
          </w:p>
        </w:tc>
        <w:tc>
          <w:tcPr>
            <w:tcW w:w="1229" w:type="dxa"/>
            <w:tcBorders>
              <w:tl2br w:val="nil"/>
              <w:tr2bl w:val="nil"/>
            </w:tcBorders>
            <w:noWrap w:val="0"/>
            <w:vAlign w:val="center"/>
          </w:tcPr>
          <w:p w14:paraId="4D304025">
            <w:pPr>
              <w:pStyle w:val="105"/>
              <w:bidi w:val="0"/>
              <w:rPr>
                <w:rFonts w:hint="default"/>
                <w:highlight w:val="none"/>
                <w:lang w:val="en-US" w:eastAsia="zh-CN"/>
              </w:rPr>
            </w:pPr>
          </w:p>
        </w:tc>
      </w:tr>
      <w:tr w14:paraId="17CEBD6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71E591A">
            <w:pPr>
              <w:pStyle w:val="105"/>
              <w:bidi w:val="0"/>
              <w:rPr>
                <w:rFonts w:hint="default"/>
                <w:highlight w:val="none"/>
                <w:lang w:val="en-US" w:eastAsia="zh-CN"/>
              </w:rPr>
            </w:pPr>
          </w:p>
        </w:tc>
        <w:tc>
          <w:tcPr>
            <w:tcW w:w="513" w:type="dxa"/>
            <w:tcBorders>
              <w:tl2br w:val="nil"/>
              <w:tr2bl w:val="nil"/>
            </w:tcBorders>
            <w:noWrap w:val="0"/>
            <w:vAlign w:val="center"/>
          </w:tcPr>
          <w:p w14:paraId="161C8A87">
            <w:pPr>
              <w:pStyle w:val="105"/>
              <w:bidi w:val="0"/>
              <w:rPr>
                <w:rFonts w:hint="default"/>
                <w:highlight w:val="none"/>
                <w:lang w:val="en-US" w:eastAsia="zh-CN"/>
              </w:rPr>
            </w:pPr>
            <w:r>
              <w:rPr>
                <w:rFonts w:hint="default"/>
                <w:highlight w:val="none"/>
                <w:lang w:val="en-US" w:eastAsia="zh-CN"/>
              </w:rPr>
              <w:t>19</w:t>
            </w:r>
          </w:p>
        </w:tc>
        <w:tc>
          <w:tcPr>
            <w:tcW w:w="6041" w:type="dxa"/>
            <w:tcBorders>
              <w:tl2br w:val="nil"/>
              <w:tr2bl w:val="nil"/>
            </w:tcBorders>
            <w:noWrap w:val="0"/>
            <w:vAlign w:val="center"/>
          </w:tcPr>
          <w:p w14:paraId="245BA9C1">
            <w:pPr>
              <w:pStyle w:val="105"/>
              <w:bidi w:val="0"/>
              <w:rPr>
                <w:rFonts w:hint="default"/>
                <w:highlight w:val="none"/>
                <w:lang w:val="en-US" w:eastAsia="zh-CN"/>
              </w:rPr>
            </w:pPr>
            <w:r>
              <w:rPr>
                <w:rFonts w:hint="default"/>
                <w:highlight w:val="none"/>
                <w:lang w:val="en-US" w:eastAsia="zh-CN"/>
              </w:rPr>
              <w:t>起重量限制器灵敏可靠，限制值＜额定载荷110%，显示误差≤额定载荷±5%</w:t>
            </w:r>
          </w:p>
        </w:tc>
        <w:tc>
          <w:tcPr>
            <w:tcW w:w="1229" w:type="dxa"/>
            <w:tcBorders>
              <w:tl2br w:val="nil"/>
              <w:tr2bl w:val="nil"/>
            </w:tcBorders>
            <w:noWrap w:val="0"/>
            <w:vAlign w:val="center"/>
          </w:tcPr>
          <w:p w14:paraId="0C02C57E">
            <w:pPr>
              <w:pStyle w:val="105"/>
              <w:bidi w:val="0"/>
              <w:rPr>
                <w:rFonts w:hint="default"/>
                <w:highlight w:val="none"/>
                <w:lang w:val="en-US" w:eastAsia="zh-CN"/>
              </w:rPr>
            </w:pPr>
          </w:p>
        </w:tc>
      </w:tr>
      <w:tr w14:paraId="59E578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159052A5">
            <w:pPr>
              <w:pStyle w:val="105"/>
              <w:bidi w:val="0"/>
              <w:rPr>
                <w:rFonts w:hint="default"/>
                <w:highlight w:val="none"/>
                <w:lang w:val="en-US" w:eastAsia="zh-CN"/>
              </w:rPr>
            </w:pPr>
            <w:r>
              <w:rPr>
                <w:rFonts w:hint="default"/>
                <w:highlight w:val="none"/>
                <w:lang w:val="en-US" w:eastAsia="zh-CN"/>
              </w:rPr>
              <w:t>变幅系统</w:t>
            </w:r>
          </w:p>
        </w:tc>
        <w:tc>
          <w:tcPr>
            <w:tcW w:w="513" w:type="dxa"/>
            <w:tcBorders>
              <w:tl2br w:val="nil"/>
              <w:tr2bl w:val="nil"/>
            </w:tcBorders>
            <w:noWrap w:val="0"/>
            <w:vAlign w:val="center"/>
          </w:tcPr>
          <w:p w14:paraId="29A2DD67">
            <w:pPr>
              <w:pStyle w:val="105"/>
              <w:bidi w:val="0"/>
              <w:rPr>
                <w:rFonts w:hint="default"/>
                <w:highlight w:val="none"/>
                <w:lang w:val="en-US" w:eastAsia="zh-CN"/>
              </w:rPr>
            </w:pPr>
            <w:r>
              <w:rPr>
                <w:rFonts w:hint="default"/>
                <w:highlight w:val="none"/>
                <w:lang w:val="en-US" w:eastAsia="zh-CN"/>
              </w:rPr>
              <w:t>20</w:t>
            </w:r>
          </w:p>
        </w:tc>
        <w:tc>
          <w:tcPr>
            <w:tcW w:w="6041" w:type="dxa"/>
            <w:tcBorders>
              <w:tl2br w:val="nil"/>
              <w:tr2bl w:val="nil"/>
            </w:tcBorders>
            <w:noWrap w:val="0"/>
            <w:vAlign w:val="center"/>
          </w:tcPr>
          <w:p w14:paraId="6B3E8513">
            <w:pPr>
              <w:pStyle w:val="105"/>
              <w:bidi w:val="0"/>
              <w:rPr>
                <w:rFonts w:hint="default"/>
                <w:highlight w:val="none"/>
                <w:lang w:val="en-US" w:eastAsia="zh-CN"/>
              </w:rPr>
            </w:pPr>
            <w:r>
              <w:rPr>
                <w:rFonts w:hint="default"/>
                <w:highlight w:val="none"/>
                <w:lang w:val="en-US" w:eastAsia="zh-CN"/>
              </w:rPr>
              <w:t>应设置小车断绳、小车断轴保护装置，可靠有效</w:t>
            </w:r>
          </w:p>
        </w:tc>
        <w:tc>
          <w:tcPr>
            <w:tcW w:w="1229" w:type="dxa"/>
            <w:tcBorders>
              <w:tl2br w:val="nil"/>
              <w:tr2bl w:val="nil"/>
            </w:tcBorders>
            <w:noWrap w:val="0"/>
            <w:vAlign w:val="center"/>
          </w:tcPr>
          <w:p w14:paraId="1FBA7BC7">
            <w:pPr>
              <w:pStyle w:val="105"/>
              <w:bidi w:val="0"/>
              <w:rPr>
                <w:rFonts w:hint="default"/>
                <w:highlight w:val="none"/>
                <w:lang w:val="en-US" w:eastAsia="zh-CN"/>
              </w:rPr>
            </w:pPr>
          </w:p>
        </w:tc>
      </w:tr>
      <w:tr w14:paraId="02A26BA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77479BC5">
            <w:pPr>
              <w:pStyle w:val="105"/>
              <w:bidi w:val="0"/>
              <w:rPr>
                <w:rFonts w:hint="default"/>
                <w:highlight w:val="none"/>
                <w:lang w:val="en-US" w:eastAsia="zh-CN"/>
              </w:rPr>
            </w:pPr>
          </w:p>
        </w:tc>
        <w:tc>
          <w:tcPr>
            <w:tcW w:w="513" w:type="dxa"/>
            <w:tcBorders>
              <w:tl2br w:val="nil"/>
              <w:tr2bl w:val="nil"/>
            </w:tcBorders>
            <w:noWrap w:val="0"/>
            <w:vAlign w:val="center"/>
          </w:tcPr>
          <w:p w14:paraId="0E634CF7">
            <w:pPr>
              <w:pStyle w:val="105"/>
              <w:bidi w:val="0"/>
              <w:rPr>
                <w:rFonts w:hint="default"/>
                <w:highlight w:val="none"/>
                <w:lang w:val="en-US" w:eastAsia="zh-CN"/>
              </w:rPr>
            </w:pPr>
            <w:r>
              <w:rPr>
                <w:rFonts w:hint="default"/>
                <w:highlight w:val="none"/>
                <w:lang w:val="en-US" w:eastAsia="zh-CN"/>
              </w:rPr>
              <w:t>21</w:t>
            </w:r>
          </w:p>
        </w:tc>
        <w:tc>
          <w:tcPr>
            <w:tcW w:w="6041" w:type="dxa"/>
            <w:tcBorders>
              <w:tl2br w:val="nil"/>
              <w:tr2bl w:val="nil"/>
            </w:tcBorders>
            <w:noWrap w:val="0"/>
            <w:vAlign w:val="center"/>
          </w:tcPr>
          <w:p w14:paraId="499AE565">
            <w:pPr>
              <w:pStyle w:val="105"/>
              <w:bidi w:val="0"/>
              <w:rPr>
                <w:rFonts w:hint="default"/>
                <w:highlight w:val="none"/>
                <w:lang w:val="en-US" w:eastAsia="zh-CN"/>
              </w:rPr>
            </w:pPr>
            <w:r>
              <w:rPr>
                <w:rFonts w:hint="default"/>
                <w:highlight w:val="none"/>
                <w:lang w:val="en-US" w:eastAsia="zh-CN"/>
              </w:rPr>
              <w:t>小车变幅检修挂篮牢固可靠</w:t>
            </w:r>
          </w:p>
        </w:tc>
        <w:tc>
          <w:tcPr>
            <w:tcW w:w="1229" w:type="dxa"/>
            <w:tcBorders>
              <w:tl2br w:val="nil"/>
              <w:tr2bl w:val="nil"/>
            </w:tcBorders>
            <w:noWrap w:val="0"/>
            <w:vAlign w:val="center"/>
          </w:tcPr>
          <w:p w14:paraId="2FF3EF3B">
            <w:pPr>
              <w:pStyle w:val="105"/>
              <w:bidi w:val="0"/>
              <w:rPr>
                <w:rFonts w:hint="default"/>
                <w:highlight w:val="none"/>
                <w:lang w:val="en-US" w:eastAsia="zh-CN"/>
              </w:rPr>
            </w:pPr>
          </w:p>
        </w:tc>
      </w:tr>
      <w:tr w14:paraId="3748FFB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FDE4A71">
            <w:pPr>
              <w:pStyle w:val="105"/>
              <w:bidi w:val="0"/>
              <w:rPr>
                <w:rFonts w:hint="default"/>
                <w:highlight w:val="none"/>
                <w:lang w:val="en-US" w:eastAsia="zh-CN"/>
              </w:rPr>
            </w:pPr>
          </w:p>
        </w:tc>
        <w:tc>
          <w:tcPr>
            <w:tcW w:w="513" w:type="dxa"/>
            <w:tcBorders>
              <w:tl2br w:val="nil"/>
              <w:tr2bl w:val="nil"/>
            </w:tcBorders>
            <w:noWrap w:val="0"/>
            <w:vAlign w:val="center"/>
          </w:tcPr>
          <w:p w14:paraId="79D2AA77">
            <w:pPr>
              <w:pStyle w:val="105"/>
              <w:bidi w:val="0"/>
              <w:rPr>
                <w:rFonts w:hint="default"/>
                <w:highlight w:val="none"/>
                <w:lang w:val="en-US" w:eastAsia="zh-CN"/>
              </w:rPr>
            </w:pPr>
            <w:r>
              <w:rPr>
                <w:rFonts w:hint="default"/>
                <w:highlight w:val="none"/>
                <w:lang w:val="en-US" w:eastAsia="zh-CN"/>
              </w:rPr>
              <w:t>22</w:t>
            </w:r>
          </w:p>
        </w:tc>
        <w:tc>
          <w:tcPr>
            <w:tcW w:w="6041" w:type="dxa"/>
            <w:tcBorders>
              <w:tl2br w:val="nil"/>
              <w:tr2bl w:val="nil"/>
            </w:tcBorders>
            <w:noWrap w:val="0"/>
            <w:vAlign w:val="center"/>
          </w:tcPr>
          <w:p w14:paraId="010F6982">
            <w:pPr>
              <w:pStyle w:val="105"/>
              <w:bidi w:val="0"/>
              <w:rPr>
                <w:rFonts w:hint="default"/>
                <w:highlight w:val="none"/>
                <w:lang w:val="en-US" w:eastAsia="zh-CN"/>
              </w:rPr>
            </w:pPr>
            <w:r>
              <w:rPr>
                <w:rFonts w:hint="default"/>
                <w:highlight w:val="none"/>
                <w:lang w:val="en-US" w:eastAsia="zh-CN"/>
              </w:rPr>
              <w:t>小车行程限位开关和终端缓冲装置齐全有效。限位开关动作后应保证小车停车时其端部距缓冲装置距离≥200mm</w:t>
            </w:r>
          </w:p>
        </w:tc>
        <w:tc>
          <w:tcPr>
            <w:tcW w:w="1229" w:type="dxa"/>
            <w:tcBorders>
              <w:tl2br w:val="nil"/>
              <w:tr2bl w:val="nil"/>
            </w:tcBorders>
            <w:noWrap w:val="0"/>
            <w:vAlign w:val="center"/>
          </w:tcPr>
          <w:p w14:paraId="73F7B804">
            <w:pPr>
              <w:pStyle w:val="105"/>
              <w:bidi w:val="0"/>
              <w:rPr>
                <w:rFonts w:hint="default"/>
                <w:highlight w:val="none"/>
                <w:lang w:val="en-US" w:eastAsia="zh-CN"/>
              </w:rPr>
            </w:pPr>
          </w:p>
        </w:tc>
      </w:tr>
      <w:tr w14:paraId="7ACD435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57209F6E">
            <w:pPr>
              <w:pStyle w:val="105"/>
              <w:bidi w:val="0"/>
              <w:rPr>
                <w:rFonts w:hint="default"/>
                <w:highlight w:val="none"/>
                <w:lang w:val="en-US" w:eastAsia="zh-CN"/>
              </w:rPr>
            </w:pPr>
            <w:r>
              <w:rPr>
                <w:rFonts w:hint="default"/>
                <w:highlight w:val="none"/>
                <w:lang w:val="en-US" w:eastAsia="zh-CN"/>
              </w:rPr>
              <w:t>机构及零部件</w:t>
            </w:r>
          </w:p>
        </w:tc>
        <w:tc>
          <w:tcPr>
            <w:tcW w:w="513" w:type="dxa"/>
            <w:tcBorders>
              <w:tl2br w:val="nil"/>
              <w:tr2bl w:val="nil"/>
            </w:tcBorders>
            <w:noWrap w:val="0"/>
            <w:vAlign w:val="center"/>
          </w:tcPr>
          <w:p w14:paraId="089F1205">
            <w:pPr>
              <w:pStyle w:val="105"/>
              <w:bidi w:val="0"/>
              <w:rPr>
                <w:rFonts w:hint="default"/>
                <w:highlight w:val="none"/>
                <w:lang w:val="en-US" w:eastAsia="zh-CN"/>
              </w:rPr>
            </w:pPr>
            <w:r>
              <w:rPr>
                <w:rFonts w:hint="default"/>
                <w:highlight w:val="none"/>
                <w:lang w:val="en-US" w:eastAsia="zh-CN"/>
              </w:rPr>
              <w:t>23</w:t>
            </w:r>
          </w:p>
        </w:tc>
        <w:tc>
          <w:tcPr>
            <w:tcW w:w="6041" w:type="dxa"/>
            <w:tcBorders>
              <w:tl2br w:val="nil"/>
              <w:tr2bl w:val="nil"/>
            </w:tcBorders>
            <w:noWrap w:val="0"/>
            <w:vAlign w:val="center"/>
          </w:tcPr>
          <w:p w14:paraId="135AE44F">
            <w:pPr>
              <w:pStyle w:val="105"/>
              <w:bidi w:val="0"/>
              <w:rPr>
                <w:rFonts w:hint="default"/>
                <w:highlight w:val="none"/>
                <w:lang w:val="en-US" w:eastAsia="zh-CN"/>
              </w:rPr>
            </w:pPr>
            <w:r>
              <w:rPr>
                <w:rFonts w:hint="default"/>
                <w:highlight w:val="none"/>
                <w:lang w:val="en-US" w:eastAsia="zh-CN"/>
              </w:rPr>
              <w:t>吊钩钩体无裂纹、补焊，危险截面、钩筋无塑性变形，挂绳处截面磨损量＜原高度的10%</w:t>
            </w:r>
          </w:p>
        </w:tc>
        <w:tc>
          <w:tcPr>
            <w:tcW w:w="1229" w:type="dxa"/>
            <w:tcBorders>
              <w:tl2br w:val="nil"/>
              <w:tr2bl w:val="nil"/>
            </w:tcBorders>
            <w:noWrap w:val="0"/>
            <w:vAlign w:val="center"/>
          </w:tcPr>
          <w:p w14:paraId="0C9FFE77">
            <w:pPr>
              <w:pStyle w:val="105"/>
              <w:bidi w:val="0"/>
              <w:rPr>
                <w:rFonts w:hint="default"/>
                <w:highlight w:val="none"/>
                <w:lang w:val="en-US" w:eastAsia="zh-CN"/>
              </w:rPr>
            </w:pPr>
          </w:p>
        </w:tc>
      </w:tr>
      <w:tr w14:paraId="3CE57C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DBE3CCA">
            <w:pPr>
              <w:pStyle w:val="105"/>
              <w:bidi w:val="0"/>
              <w:rPr>
                <w:rFonts w:hint="default"/>
                <w:highlight w:val="none"/>
                <w:lang w:val="en-US" w:eastAsia="zh-CN"/>
              </w:rPr>
            </w:pPr>
          </w:p>
        </w:tc>
        <w:tc>
          <w:tcPr>
            <w:tcW w:w="513" w:type="dxa"/>
            <w:tcBorders>
              <w:tl2br w:val="nil"/>
              <w:tr2bl w:val="nil"/>
            </w:tcBorders>
            <w:noWrap w:val="0"/>
            <w:vAlign w:val="center"/>
          </w:tcPr>
          <w:p w14:paraId="03303823">
            <w:pPr>
              <w:pStyle w:val="105"/>
              <w:bidi w:val="0"/>
              <w:rPr>
                <w:rFonts w:hint="default"/>
                <w:highlight w:val="none"/>
                <w:lang w:val="en-US" w:eastAsia="zh-CN"/>
              </w:rPr>
            </w:pPr>
            <w:r>
              <w:rPr>
                <w:rFonts w:hint="default"/>
                <w:highlight w:val="none"/>
                <w:lang w:val="en-US" w:eastAsia="zh-CN"/>
              </w:rPr>
              <w:t>24</w:t>
            </w:r>
          </w:p>
        </w:tc>
        <w:tc>
          <w:tcPr>
            <w:tcW w:w="6041" w:type="dxa"/>
            <w:tcBorders>
              <w:tl2br w:val="nil"/>
              <w:tr2bl w:val="nil"/>
            </w:tcBorders>
            <w:noWrap w:val="0"/>
            <w:vAlign w:val="center"/>
          </w:tcPr>
          <w:p w14:paraId="2439E3DF">
            <w:pPr>
              <w:pStyle w:val="105"/>
              <w:bidi w:val="0"/>
              <w:rPr>
                <w:rFonts w:hint="default"/>
                <w:highlight w:val="none"/>
                <w:lang w:val="en-US" w:eastAsia="zh-CN"/>
              </w:rPr>
            </w:pPr>
            <w:r>
              <w:rPr>
                <w:rFonts w:hint="default"/>
                <w:highlight w:val="none"/>
                <w:lang w:val="en-US" w:eastAsia="zh-CN"/>
              </w:rPr>
              <w:t>滑轮转动灵活可靠，无卡塞现象；无裂纹或轮缘破损；滑轮绳槽壁厚磨损量＜原壁厚的20%；滑轮槽底的磨损量＜相应钢丝绳直径的25%</w:t>
            </w:r>
          </w:p>
        </w:tc>
        <w:tc>
          <w:tcPr>
            <w:tcW w:w="1229" w:type="dxa"/>
            <w:tcBorders>
              <w:tl2br w:val="nil"/>
              <w:tr2bl w:val="nil"/>
            </w:tcBorders>
            <w:noWrap w:val="0"/>
            <w:vAlign w:val="center"/>
          </w:tcPr>
          <w:p w14:paraId="2225AEDA">
            <w:pPr>
              <w:pStyle w:val="105"/>
              <w:bidi w:val="0"/>
              <w:rPr>
                <w:rFonts w:hint="default"/>
                <w:highlight w:val="none"/>
                <w:lang w:val="en-US" w:eastAsia="zh-CN"/>
              </w:rPr>
            </w:pPr>
          </w:p>
        </w:tc>
      </w:tr>
      <w:tr w14:paraId="2097196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30929B15">
            <w:pPr>
              <w:pStyle w:val="105"/>
              <w:bidi w:val="0"/>
              <w:rPr>
                <w:rFonts w:hint="default"/>
                <w:highlight w:val="none"/>
                <w:lang w:val="en-US" w:eastAsia="zh-CN"/>
              </w:rPr>
            </w:pPr>
          </w:p>
        </w:tc>
        <w:tc>
          <w:tcPr>
            <w:tcW w:w="513" w:type="dxa"/>
            <w:tcBorders>
              <w:tl2br w:val="nil"/>
              <w:tr2bl w:val="nil"/>
            </w:tcBorders>
            <w:noWrap w:val="0"/>
            <w:vAlign w:val="center"/>
          </w:tcPr>
          <w:p w14:paraId="1245D91E">
            <w:pPr>
              <w:pStyle w:val="105"/>
              <w:bidi w:val="0"/>
              <w:rPr>
                <w:rFonts w:hint="default"/>
                <w:highlight w:val="none"/>
                <w:lang w:val="en-US" w:eastAsia="zh-CN"/>
              </w:rPr>
            </w:pPr>
            <w:r>
              <w:rPr>
                <w:rFonts w:hint="default"/>
                <w:highlight w:val="none"/>
                <w:lang w:val="en-US" w:eastAsia="zh-CN"/>
              </w:rPr>
              <w:t>25</w:t>
            </w:r>
          </w:p>
        </w:tc>
        <w:tc>
          <w:tcPr>
            <w:tcW w:w="6041" w:type="dxa"/>
            <w:tcBorders>
              <w:tl2br w:val="nil"/>
              <w:tr2bl w:val="nil"/>
            </w:tcBorders>
            <w:noWrap w:val="0"/>
            <w:vAlign w:val="center"/>
          </w:tcPr>
          <w:p w14:paraId="15B66F70">
            <w:pPr>
              <w:pStyle w:val="105"/>
              <w:bidi w:val="0"/>
              <w:rPr>
                <w:rFonts w:hint="default"/>
                <w:highlight w:val="none"/>
                <w:lang w:val="en-US" w:eastAsia="zh-CN"/>
              </w:rPr>
            </w:pPr>
            <w:r>
              <w:rPr>
                <w:rFonts w:hint="default"/>
                <w:highlight w:val="none"/>
                <w:lang w:val="en-US" w:eastAsia="zh-CN"/>
              </w:rPr>
              <w:t>滑轮上的钢丝绳防脱装置应完整、可靠，该装置与滑轮最外缘的间隙≤钢丝绳直径的20%</w:t>
            </w:r>
          </w:p>
        </w:tc>
        <w:tc>
          <w:tcPr>
            <w:tcW w:w="1229" w:type="dxa"/>
            <w:tcBorders>
              <w:tl2br w:val="nil"/>
              <w:tr2bl w:val="nil"/>
            </w:tcBorders>
            <w:noWrap w:val="0"/>
            <w:vAlign w:val="center"/>
          </w:tcPr>
          <w:p w14:paraId="2F523861">
            <w:pPr>
              <w:pStyle w:val="105"/>
              <w:bidi w:val="0"/>
              <w:rPr>
                <w:rFonts w:hint="default"/>
                <w:highlight w:val="none"/>
                <w:lang w:val="en-US" w:eastAsia="zh-CN"/>
              </w:rPr>
            </w:pPr>
          </w:p>
        </w:tc>
      </w:tr>
      <w:tr w14:paraId="40E69DE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C200DFE">
            <w:pPr>
              <w:pStyle w:val="105"/>
              <w:bidi w:val="0"/>
              <w:rPr>
                <w:rFonts w:hint="default"/>
                <w:highlight w:val="none"/>
                <w:lang w:val="en-US" w:eastAsia="zh-CN"/>
              </w:rPr>
            </w:pPr>
          </w:p>
        </w:tc>
        <w:tc>
          <w:tcPr>
            <w:tcW w:w="513" w:type="dxa"/>
            <w:tcBorders>
              <w:tl2br w:val="nil"/>
              <w:tr2bl w:val="nil"/>
            </w:tcBorders>
            <w:noWrap w:val="0"/>
            <w:vAlign w:val="center"/>
          </w:tcPr>
          <w:p w14:paraId="06FF7460">
            <w:pPr>
              <w:pStyle w:val="105"/>
              <w:bidi w:val="0"/>
              <w:rPr>
                <w:rFonts w:hint="default"/>
                <w:highlight w:val="none"/>
                <w:lang w:val="en-US" w:eastAsia="zh-CN"/>
              </w:rPr>
            </w:pPr>
            <w:r>
              <w:rPr>
                <w:rFonts w:hint="default"/>
                <w:highlight w:val="none"/>
                <w:lang w:val="en-US" w:eastAsia="zh-CN"/>
              </w:rPr>
              <w:t>26</w:t>
            </w:r>
          </w:p>
        </w:tc>
        <w:tc>
          <w:tcPr>
            <w:tcW w:w="6041" w:type="dxa"/>
            <w:tcBorders>
              <w:tl2br w:val="nil"/>
              <w:tr2bl w:val="nil"/>
            </w:tcBorders>
            <w:noWrap w:val="0"/>
            <w:vAlign w:val="center"/>
          </w:tcPr>
          <w:p w14:paraId="14BC20AA">
            <w:pPr>
              <w:pStyle w:val="105"/>
              <w:bidi w:val="0"/>
              <w:rPr>
                <w:rFonts w:hint="default"/>
                <w:highlight w:val="none"/>
                <w:lang w:val="en-US" w:eastAsia="zh-CN"/>
              </w:rPr>
            </w:pPr>
            <w:r>
              <w:rPr>
                <w:rFonts w:hint="default"/>
                <w:highlight w:val="none"/>
                <w:lang w:val="en-US" w:eastAsia="zh-CN"/>
              </w:rPr>
              <w:t>吊钩防钢丝绳脱钩装置应完整可靠</w:t>
            </w:r>
          </w:p>
        </w:tc>
        <w:tc>
          <w:tcPr>
            <w:tcW w:w="1229" w:type="dxa"/>
            <w:tcBorders>
              <w:tl2br w:val="nil"/>
              <w:tr2bl w:val="nil"/>
            </w:tcBorders>
            <w:noWrap w:val="0"/>
            <w:vAlign w:val="center"/>
          </w:tcPr>
          <w:p w14:paraId="1525C5DF">
            <w:pPr>
              <w:pStyle w:val="105"/>
              <w:bidi w:val="0"/>
              <w:rPr>
                <w:rFonts w:hint="default"/>
                <w:highlight w:val="none"/>
                <w:lang w:val="en-US" w:eastAsia="zh-CN"/>
              </w:rPr>
            </w:pPr>
          </w:p>
        </w:tc>
      </w:tr>
      <w:tr w14:paraId="1F94697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B1B8783">
            <w:pPr>
              <w:pStyle w:val="105"/>
              <w:bidi w:val="0"/>
              <w:rPr>
                <w:rFonts w:hint="default"/>
                <w:highlight w:val="none"/>
                <w:lang w:val="en-US" w:eastAsia="zh-CN"/>
              </w:rPr>
            </w:pPr>
          </w:p>
        </w:tc>
        <w:tc>
          <w:tcPr>
            <w:tcW w:w="513" w:type="dxa"/>
            <w:tcBorders>
              <w:tl2br w:val="nil"/>
              <w:tr2bl w:val="nil"/>
            </w:tcBorders>
            <w:noWrap w:val="0"/>
            <w:vAlign w:val="center"/>
          </w:tcPr>
          <w:p w14:paraId="0BFD9CDC">
            <w:pPr>
              <w:pStyle w:val="105"/>
              <w:bidi w:val="0"/>
              <w:rPr>
                <w:rFonts w:hint="default"/>
                <w:highlight w:val="none"/>
                <w:lang w:val="en-US" w:eastAsia="zh-CN"/>
              </w:rPr>
            </w:pPr>
            <w:r>
              <w:rPr>
                <w:rFonts w:hint="default"/>
                <w:highlight w:val="none"/>
                <w:lang w:val="en-US" w:eastAsia="zh-CN"/>
              </w:rPr>
              <w:t>27</w:t>
            </w:r>
          </w:p>
        </w:tc>
        <w:tc>
          <w:tcPr>
            <w:tcW w:w="6041" w:type="dxa"/>
            <w:tcBorders>
              <w:tl2br w:val="nil"/>
              <w:tr2bl w:val="nil"/>
            </w:tcBorders>
            <w:noWrap w:val="0"/>
            <w:vAlign w:val="center"/>
          </w:tcPr>
          <w:p w14:paraId="0E24E0BB">
            <w:pPr>
              <w:pStyle w:val="105"/>
              <w:bidi w:val="0"/>
              <w:rPr>
                <w:rFonts w:hint="default"/>
                <w:highlight w:val="none"/>
                <w:lang w:val="en-US" w:eastAsia="zh-CN"/>
              </w:rPr>
            </w:pPr>
            <w:r>
              <w:rPr>
                <w:rFonts w:hint="default"/>
                <w:highlight w:val="none"/>
                <w:lang w:val="en-US" w:eastAsia="zh-CN"/>
              </w:rPr>
              <w:t>卷筒壁不应有裂纹，筒壁磨损量＜原壁厚的10%；多层缠绕的卷筒，端部应有比最外层钢丝绳高出2倍钢丝绳直径的凸缘</w:t>
            </w:r>
          </w:p>
        </w:tc>
        <w:tc>
          <w:tcPr>
            <w:tcW w:w="1229" w:type="dxa"/>
            <w:tcBorders>
              <w:tl2br w:val="nil"/>
              <w:tr2bl w:val="nil"/>
            </w:tcBorders>
            <w:noWrap w:val="0"/>
            <w:vAlign w:val="top"/>
          </w:tcPr>
          <w:p w14:paraId="02BBCB5D">
            <w:pPr>
              <w:pStyle w:val="105"/>
              <w:bidi w:val="0"/>
              <w:rPr>
                <w:rFonts w:hint="default"/>
                <w:highlight w:val="none"/>
                <w:lang w:val="en-US" w:eastAsia="zh-CN"/>
              </w:rPr>
            </w:pPr>
          </w:p>
        </w:tc>
      </w:tr>
      <w:tr w14:paraId="22E145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C326FB4">
            <w:pPr>
              <w:pStyle w:val="105"/>
              <w:bidi w:val="0"/>
              <w:rPr>
                <w:rFonts w:hint="default"/>
                <w:highlight w:val="none"/>
                <w:lang w:val="en-US" w:eastAsia="zh-CN"/>
              </w:rPr>
            </w:pPr>
          </w:p>
        </w:tc>
        <w:tc>
          <w:tcPr>
            <w:tcW w:w="513" w:type="dxa"/>
            <w:tcBorders>
              <w:tl2br w:val="nil"/>
              <w:tr2bl w:val="nil"/>
            </w:tcBorders>
            <w:noWrap w:val="0"/>
            <w:vAlign w:val="center"/>
          </w:tcPr>
          <w:p w14:paraId="1E2D66F6">
            <w:pPr>
              <w:pStyle w:val="105"/>
              <w:bidi w:val="0"/>
              <w:rPr>
                <w:rFonts w:hint="default"/>
                <w:highlight w:val="none"/>
                <w:lang w:val="en-US" w:eastAsia="zh-CN"/>
              </w:rPr>
            </w:pPr>
            <w:r>
              <w:rPr>
                <w:rFonts w:hint="default"/>
                <w:highlight w:val="none"/>
                <w:lang w:val="en-US" w:eastAsia="zh-CN"/>
              </w:rPr>
              <w:t>28</w:t>
            </w:r>
          </w:p>
        </w:tc>
        <w:tc>
          <w:tcPr>
            <w:tcW w:w="6041" w:type="dxa"/>
            <w:tcBorders>
              <w:tl2br w:val="nil"/>
              <w:tr2bl w:val="nil"/>
            </w:tcBorders>
            <w:noWrap w:val="0"/>
            <w:vAlign w:val="center"/>
          </w:tcPr>
          <w:p w14:paraId="2D46D8E3">
            <w:pPr>
              <w:pStyle w:val="105"/>
              <w:bidi w:val="0"/>
              <w:rPr>
                <w:rFonts w:hint="default"/>
                <w:highlight w:val="none"/>
                <w:lang w:val="en-US" w:eastAsia="zh-CN"/>
              </w:rPr>
            </w:pPr>
            <w:r>
              <w:rPr>
                <w:rFonts w:hint="default"/>
                <w:highlight w:val="none"/>
                <w:lang w:val="en-US" w:eastAsia="zh-CN"/>
              </w:rPr>
              <w:t>卷筒上钢丝绳应排列有序，有钢丝绳防脱槽装置。该装置与卷筒最外缘的间隙≤钢丝绳直径的20%</w:t>
            </w:r>
          </w:p>
        </w:tc>
        <w:tc>
          <w:tcPr>
            <w:tcW w:w="1229" w:type="dxa"/>
            <w:tcBorders>
              <w:tl2br w:val="nil"/>
              <w:tr2bl w:val="nil"/>
            </w:tcBorders>
            <w:noWrap w:val="0"/>
            <w:vAlign w:val="center"/>
          </w:tcPr>
          <w:p w14:paraId="639E3B0B">
            <w:pPr>
              <w:pStyle w:val="105"/>
              <w:bidi w:val="0"/>
              <w:rPr>
                <w:rFonts w:hint="default"/>
                <w:highlight w:val="none"/>
                <w:lang w:val="en-US" w:eastAsia="zh-CN"/>
              </w:rPr>
            </w:pPr>
          </w:p>
        </w:tc>
      </w:tr>
      <w:tr w14:paraId="4F72FB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876323A">
            <w:pPr>
              <w:pStyle w:val="105"/>
              <w:bidi w:val="0"/>
              <w:rPr>
                <w:rFonts w:hint="default"/>
                <w:highlight w:val="none"/>
                <w:lang w:val="en-US" w:eastAsia="zh-CN"/>
              </w:rPr>
            </w:pPr>
          </w:p>
        </w:tc>
        <w:tc>
          <w:tcPr>
            <w:tcW w:w="513" w:type="dxa"/>
            <w:tcBorders>
              <w:tl2br w:val="nil"/>
              <w:tr2bl w:val="nil"/>
            </w:tcBorders>
            <w:noWrap w:val="0"/>
            <w:vAlign w:val="center"/>
          </w:tcPr>
          <w:p w14:paraId="248AA6F7">
            <w:pPr>
              <w:pStyle w:val="105"/>
              <w:bidi w:val="0"/>
              <w:rPr>
                <w:rFonts w:hint="default"/>
                <w:highlight w:val="none"/>
                <w:lang w:val="en-US" w:eastAsia="zh-CN"/>
              </w:rPr>
            </w:pPr>
            <w:r>
              <w:rPr>
                <w:rFonts w:hint="default"/>
                <w:highlight w:val="none"/>
                <w:lang w:val="en-US" w:eastAsia="zh-CN"/>
              </w:rPr>
              <w:t>29</w:t>
            </w:r>
          </w:p>
        </w:tc>
        <w:tc>
          <w:tcPr>
            <w:tcW w:w="6041" w:type="dxa"/>
            <w:tcBorders>
              <w:tl2br w:val="nil"/>
              <w:tr2bl w:val="nil"/>
            </w:tcBorders>
            <w:noWrap w:val="0"/>
            <w:vAlign w:val="center"/>
          </w:tcPr>
          <w:p w14:paraId="44448620">
            <w:pPr>
              <w:pStyle w:val="105"/>
              <w:bidi w:val="0"/>
              <w:rPr>
                <w:rFonts w:hint="default"/>
                <w:highlight w:val="none"/>
                <w:lang w:val="en-US" w:eastAsia="zh-CN"/>
              </w:rPr>
            </w:pPr>
            <w:r>
              <w:rPr>
                <w:rFonts w:hint="default"/>
                <w:highlight w:val="none"/>
                <w:lang w:val="en-US" w:eastAsia="zh-CN"/>
              </w:rPr>
              <w:t>钢丝绳穿绕正确，无干涉；钢丝绳规格符合说明书规定，端部应固结可靠；使用应符合GB5972—2009规定</w:t>
            </w:r>
          </w:p>
        </w:tc>
        <w:tc>
          <w:tcPr>
            <w:tcW w:w="1229" w:type="dxa"/>
            <w:tcBorders>
              <w:tl2br w:val="nil"/>
              <w:tr2bl w:val="nil"/>
            </w:tcBorders>
            <w:noWrap w:val="0"/>
            <w:vAlign w:val="center"/>
          </w:tcPr>
          <w:p w14:paraId="5CA99567">
            <w:pPr>
              <w:pStyle w:val="105"/>
              <w:bidi w:val="0"/>
              <w:rPr>
                <w:rFonts w:hint="default"/>
                <w:highlight w:val="none"/>
                <w:lang w:val="en-US" w:eastAsia="zh-CN"/>
              </w:rPr>
            </w:pPr>
          </w:p>
        </w:tc>
      </w:tr>
      <w:tr w14:paraId="7826D8B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6DED901">
            <w:pPr>
              <w:pStyle w:val="105"/>
              <w:bidi w:val="0"/>
              <w:rPr>
                <w:rFonts w:hint="default"/>
                <w:highlight w:val="none"/>
                <w:lang w:val="en-US" w:eastAsia="zh-CN"/>
              </w:rPr>
            </w:pPr>
          </w:p>
        </w:tc>
        <w:tc>
          <w:tcPr>
            <w:tcW w:w="513" w:type="dxa"/>
            <w:tcBorders>
              <w:tl2br w:val="nil"/>
              <w:tr2bl w:val="nil"/>
            </w:tcBorders>
            <w:noWrap w:val="0"/>
            <w:vAlign w:val="center"/>
          </w:tcPr>
          <w:p w14:paraId="3E117A4E">
            <w:pPr>
              <w:pStyle w:val="105"/>
              <w:bidi w:val="0"/>
              <w:rPr>
                <w:rFonts w:hint="default"/>
                <w:highlight w:val="none"/>
                <w:lang w:val="en-US" w:eastAsia="zh-CN"/>
              </w:rPr>
            </w:pPr>
            <w:r>
              <w:rPr>
                <w:rFonts w:hint="default"/>
                <w:highlight w:val="none"/>
                <w:lang w:val="en-US" w:eastAsia="zh-CN"/>
              </w:rPr>
              <w:t>30</w:t>
            </w:r>
          </w:p>
        </w:tc>
        <w:tc>
          <w:tcPr>
            <w:tcW w:w="6041" w:type="dxa"/>
            <w:tcBorders>
              <w:tl2br w:val="nil"/>
              <w:tr2bl w:val="nil"/>
            </w:tcBorders>
            <w:noWrap w:val="0"/>
            <w:vAlign w:val="center"/>
          </w:tcPr>
          <w:p w14:paraId="61325168">
            <w:pPr>
              <w:pStyle w:val="105"/>
              <w:bidi w:val="0"/>
              <w:rPr>
                <w:rFonts w:hint="default"/>
                <w:highlight w:val="none"/>
                <w:lang w:val="en-US" w:eastAsia="zh-CN"/>
              </w:rPr>
            </w:pPr>
            <w:r>
              <w:rPr>
                <w:rFonts w:hint="default"/>
                <w:highlight w:val="none"/>
                <w:lang w:val="en-US" w:eastAsia="zh-CN"/>
              </w:rPr>
              <w:t>制动器不应有裂纹、过度磨损、塑性变形、缺件等缺陷，调整适宜，制动平稳可靠</w:t>
            </w:r>
          </w:p>
        </w:tc>
        <w:tc>
          <w:tcPr>
            <w:tcW w:w="1229" w:type="dxa"/>
            <w:tcBorders>
              <w:tl2br w:val="nil"/>
              <w:tr2bl w:val="nil"/>
            </w:tcBorders>
            <w:noWrap w:val="0"/>
            <w:vAlign w:val="center"/>
          </w:tcPr>
          <w:p w14:paraId="6AD20D8A">
            <w:pPr>
              <w:pStyle w:val="105"/>
              <w:bidi w:val="0"/>
              <w:rPr>
                <w:rFonts w:hint="default"/>
                <w:highlight w:val="none"/>
                <w:lang w:val="en-US" w:eastAsia="zh-CN"/>
              </w:rPr>
            </w:pPr>
          </w:p>
        </w:tc>
      </w:tr>
      <w:tr w14:paraId="258D12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9CC8291">
            <w:pPr>
              <w:pStyle w:val="105"/>
              <w:bidi w:val="0"/>
              <w:rPr>
                <w:rFonts w:hint="default"/>
                <w:highlight w:val="none"/>
                <w:lang w:val="en-US" w:eastAsia="zh-CN"/>
              </w:rPr>
            </w:pPr>
          </w:p>
        </w:tc>
        <w:tc>
          <w:tcPr>
            <w:tcW w:w="513" w:type="dxa"/>
            <w:tcBorders>
              <w:tl2br w:val="nil"/>
              <w:tr2bl w:val="nil"/>
            </w:tcBorders>
            <w:noWrap w:val="0"/>
            <w:vAlign w:val="center"/>
          </w:tcPr>
          <w:p w14:paraId="27E08230">
            <w:pPr>
              <w:pStyle w:val="105"/>
              <w:bidi w:val="0"/>
              <w:rPr>
                <w:rFonts w:hint="default"/>
                <w:highlight w:val="none"/>
                <w:lang w:val="en-US" w:eastAsia="zh-CN"/>
              </w:rPr>
            </w:pPr>
            <w:r>
              <w:rPr>
                <w:rFonts w:hint="default"/>
                <w:highlight w:val="none"/>
                <w:lang w:val="en-US" w:eastAsia="zh-CN"/>
              </w:rPr>
              <w:t>31</w:t>
            </w:r>
          </w:p>
        </w:tc>
        <w:tc>
          <w:tcPr>
            <w:tcW w:w="6041" w:type="dxa"/>
            <w:tcBorders>
              <w:tl2br w:val="nil"/>
              <w:tr2bl w:val="nil"/>
            </w:tcBorders>
            <w:noWrap w:val="0"/>
            <w:vAlign w:val="center"/>
          </w:tcPr>
          <w:p w14:paraId="633764C8">
            <w:pPr>
              <w:pStyle w:val="105"/>
              <w:bidi w:val="0"/>
              <w:rPr>
                <w:rFonts w:hint="default"/>
                <w:highlight w:val="none"/>
                <w:lang w:val="en-US" w:eastAsia="zh-CN"/>
              </w:rPr>
            </w:pPr>
            <w:r>
              <w:rPr>
                <w:rFonts w:hint="default"/>
                <w:highlight w:val="none"/>
                <w:lang w:val="en-US" w:eastAsia="zh-CN"/>
              </w:rPr>
              <w:t>传动装置固定牢固，运行平稳</w:t>
            </w:r>
          </w:p>
        </w:tc>
        <w:tc>
          <w:tcPr>
            <w:tcW w:w="1229" w:type="dxa"/>
            <w:tcBorders>
              <w:tl2br w:val="nil"/>
              <w:tr2bl w:val="nil"/>
            </w:tcBorders>
            <w:noWrap w:val="0"/>
            <w:vAlign w:val="center"/>
          </w:tcPr>
          <w:p w14:paraId="35E027C6">
            <w:pPr>
              <w:pStyle w:val="105"/>
              <w:bidi w:val="0"/>
              <w:rPr>
                <w:rFonts w:hint="default"/>
                <w:highlight w:val="none"/>
                <w:lang w:val="en-US" w:eastAsia="zh-CN"/>
              </w:rPr>
            </w:pPr>
          </w:p>
        </w:tc>
      </w:tr>
      <w:tr w14:paraId="67F2410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C449D00">
            <w:pPr>
              <w:pStyle w:val="105"/>
              <w:bidi w:val="0"/>
              <w:rPr>
                <w:rFonts w:hint="default"/>
                <w:highlight w:val="none"/>
                <w:lang w:val="en-US" w:eastAsia="zh-CN"/>
              </w:rPr>
            </w:pPr>
          </w:p>
        </w:tc>
        <w:tc>
          <w:tcPr>
            <w:tcW w:w="513" w:type="dxa"/>
            <w:tcBorders>
              <w:tl2br w:val="nil"/>
              <w:tr2bl w:val="nil"/>
            </w:tcBorders>
            <w:noWrap w:val="0"/>
            <w:vAlign w:val="center"/>
          </w:tcPr>
          <w:p w14:paraId="1CEF0AD3">
            <w:pPr>
              <w:pStyle w:val="105"/>
              <w:bidi w:val="0"/>
              <w:rPr>
                <w:rFonts w:hint="default"/>
                <w:highlight w:val="none"/>
                <w:lang w:val="en-US" w:eastAsia="zh-CN"/>
              </w:rPr>
            </w:pPr>
            <w:r>
              <w:rPr>
                <w:rFonts w:hint="default"/>
                <w:highlight w:val="none"/>
                <w:lang w:val="en-US" w:eastAsia="zh-CN"/>
              </w:rPr>
              <w:t>32</w:t>
            </w:r>
          </w:p>
        </w:tc>
        <w:tc>
          <w:tcPr>
            <w:tcW w:w="6041" w:type="dxa"/>
            <w:tcBorders>
              <w:tl2br w:val="nil"/>
              <w:tr2bl w:val="nil"/>
            </w:tcBorders>
            <w:noWrap w:val="0"/>
            <w:vAlign w:val="center"/>
          </w:tcPr>
          <w:p w14:paraId="1A59730F">
            <w:pPr>
              <w:pStyle w:val="105"/>
              <w:bidi w:val="0"/>
              <w:rPr>
                <w:rFonts w:hint="default"/>
                <w:highlight w:val="none"/>
                <w:lang w:val="en-US" w:eastAsia="zh-CN"/>
              </w:rPr>
            </w:pPr>
            <w:r>
              <w:rPr>
                <w:rFonts w:hint="default"/>
                <w:highlight w:val="none"/>
                <w:lang w:val="en-US" w:eastAsia="zh-CN"/>
              </w:rPr>
              <w:t>有可能伤人的活动零部件的防护罩齐全</w:t>
            </w:r>
          </w:p>
        </w:tc>
        <w:tc>
          <w:tcPr>
            <w:tcW w:w="1229" w:type="dxa"/>
            <w:tcBorders>
              <w:tl2br w:val="nil"/>
              <w:tr2bl w:val="nil"/>
            </w:tcBorders>
            <w:noWrap w:val="0"/>
            <w:vAlign w:val="center"/>
          </w:tcPr>
          <w:p w14:paraId="5BA0DEB5">
            <w:pPr>
              <w:pStyle w:val="105"/>
              <w:bidi w:val="0"/>
              <w:rPr>
                <w:rFonts w:hint="default"/>
                <w:highlight w:val="none"/>
                <w:lang w:val="en-US" w:eastAsia="zh-CN"/>
              </w:rPr>
            </w:pPr>
          </w:p>
        </w:tc>
      </w:tr>
      <w:tr w14:paraId="0D2390B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E1CCB2C">
            <w:pPr>
              <w:pStyle w:val="105"/>
              <w:bidi w:val="0"/>
              <w:rPr>
                <w:rFonts w:hint="default"/>
                <w:highlight w:val="none"/>
                <w:lang w:val="en-US" w:eastAsia="zh-CN"/>
              </w:rPr>
            </w:pPr>
            <w:r>
              <w:rPr>
                <w:rFonts w:hint="default"/>
                <w:highlight w:val="none"/>
                <w:lang w:val="en-US" w:eastAsia="zh-CN"/>
              </w:rPr>
              <w:t>电气系统</w:t>
            </w:r>
          </w:p>
        </w:tc>
        <w:tc>
          <w:tcPr>
            <w:tcW w:w="513" w:type="dxa"/>
            <w:tcBorders>
              <w:tl2br w:val="nil"/>
              <w:tr2bl w:val="nil"/>
            </w:tcBorders>
            <w:noWrap w:val="0"/>
            <w:vAlign w:val="center"/>
          </w:tcPr>
          <w:p w14:paraId="46B5813E">
            <w:pPr>
              <w:pStyle w:val="105"/>
              <w:bidi w:val="0"/>
              <w:rPr>
                <w:rFonts w:hint="default"/>
                <w:highlight w:val="none"/>
                <w:lang w:val="en-US" w:eastAsia="zh-CN"/>
              </w:rPr>
            </w:pPr>
            <w:r>
              <w:rPr>
                <w:rFonts w:hint="default"/>
                <w:highlight w:val="none"/>
                <w:lang w:val="en-US" w:eastAsia="zh-CN"/>
              </w:rPr>
              <w:t>33</w:t>
            </w:r>
          </w:p>
        </w:tc>
        <w:tc>
          <w:tcPr>
            <w:tcW w:w="6041" w:type="dxa"/>
            <w:tcBorders>
              <w:tl2br w:val="nil"/>
              <w:tr2bl w:val="nil"/>
            </w:tcBorders>
            <w:noWrap w:val="0"/>
            <w:vAlign w:val="center"/>
          </w:tcPr>
          <w:p w14:paraId="0C1FC08A">
            <w:pPr>
              <w:pStyle w:val="105"/>
              <w:bidi w:val="0"/>
              <w:rPr>
                <w:rFonts w:hint="default"/>
                <w:highlight w:val="none"/>
                <w:lang w:val="en-US" w:eastAsia="zh-CN"/>
              </w:rPr>
            </w:pPr>
            <w:r>
              <w:rPr>
                <w:rFonts w:hint="default"/>
                <w:highlight w:val="none"/>
                <w:lang w:val="en-US" w:eastAsia="zh-CN"/>
              </w:rPr>
              <w:t>仪表、照明、报警系统完好、可靠；控制、操纵装置动作灵活、可靠</w:t>
            </w:r>
          </w:p>
        </w:tc>
        <w:tc>
          <w:tcPr>
            <w:tcW w:w="1229" w:type="dxa"/>
            <w:tcBorders>
              <w:tl2br w:val="nil"/>
              <w:tr2bl w:val="nil"/>
            </w:tcBorders>
            <w:noWrap w:val="0"/>
            <w:vAlign w:val="center"/>
          </w:tcPr>
          <w:p w14:paraId="3467D0D1">
            <w:pPr>
              <w:pStyle w:val="105"/>
              <w:bidi w:val="0"/>
              <w:rPr>
                <w:rFonts w:hint="default"/>
                <w:highlight w:val="none"/>
                <w:lang w:val="en-US" w:eastAsia="zh-CN"/>
              </w:rPr>
            </w:pPr>
          </w:p>
        </w:tc>
      </w:tr>
      <w:tr w14:paraId="5A74244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598A970">
            <w:pPr>
              <w:pStyle w:val="105"/>
              <w:bidi w:val="0"/>
              <w:rPr>
                <w:rFonts w:hint="default"/>
                <w:highlight w:val="none"/>
                <w:lang w:val="en-US" w:eastAsia="zh-CN"/>
              </w:rPr>
            </w:pPr>
          </w:p>
        </w:tc>
        <w:tc>
          <w:tcPr>
            <w:tcW w:w="513" w:type="dxa"/>
            <w:tcBorders>
              <w:tl2br w:val="nil"/>
              <w:tr2bl w:val="nil"/>
            </w:tcBorders>
            <w:noWrap w:val="0"/>
            <w:vAlign w:val="center"/>
          </w:tcPr>
          <w:p w14:paraId="4A781143">
            <w:pPr>
              <w:pStyle w:val="105"/>
              <w:bidi w:val="0"/>
              <w:rPr>
                <w:rFonts w:hint="default"/>
                <w:highlight w:val="none"/>
                <w:lang w:val="en-US" w:eastAsia="zh-CN"/>
              </w:rPr>
            </w:pPr>
            <w:r>
              <w:rPr>
                <w:rFonts w:hint="default"/>
                <w:highlight w:val="none"/>
                <w:lang w:val="en-US" w:eastAsia="zh-CN"/>
              </w:rPr>
              <w:t>34</w:t>
            </w:r>
          </w:p>
        </w:tc>
        <w:tc>
          <w:tcPr>
            <w:tcW w:w="6041" w:type="dxa"/>
            <w:tcBorders>
              <w:tl2br w:val="nil"/>
              <w:tr2bl w:val="nil"/>
            </w:tcBorders>
            <w:noWrap w:val="0"/>
            <w:vAlign w:val="center"/>
          </w:tcPr>
          <w:p w14:paraId="06FF40CB">
            <w:pPr>
              <w:pStyle w:val="105"/>
              <w:bidi w:val="0"/>
              <w:rPr>
                <w:rFonts w:hint="default"/>
                <w:highlight w:val="none"/>
                <w:lang w:val="en-US" w:eastAsia="zh-CN"/>
              </w:rPr>
            </w:pPr>
            <w:r>
              <w:rPr>
                <w:rFonts w:hint="default"/>
                <w:highlight w:val="none"/>
                <w:lang w:val="en-US" w:eastAsia="zh-CN"/>
              </w:rPr>
              <w:t>短路、过电流、失压及零位保护灵敏可靠</w:t>
            </w:r>
          </w:p>
        </w:tc>
        <w:tc>
          <w:tcPr>
            <w:tcW w:w="1229" w:type="dxa"/>
            <w:tcBorders>
              <w:tl2br w:val="nil"/>
              <w:tr2bl w:val="nil"/>
            </w:tcBorders>
            <w:noWrap w:val="0"/>
            <w:vAlign w:val="center"/>
          </w:tcPr>
          <w:p w14:paraId="789076C3">
            <w:pPr>
              <w:pStyle w:val="105"/>
              <w:bidi w:val="0"/>
              <w:rPr>
                <w:rFonts w:hint="default"/>
                <w:highlight w:val="none"/>
                <w:lang w:val="en-US" w:eastAsia="zh-CN"/>
              </w:rPr>
            </w:pPr>
          </w:p>
        </w:tc>
      </w:tr>
      <w:tr w14:paraId="0108866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CB5D365">
            <w:pPr>
              <w:pStyle w:val="105"/>
              <w:bidi w:val="0"/>
              <w:rPr>
                <w:rFonts w:hint="default"/>
                <w:highlight w:val="none"/>
                <w:lang w:val="en-US" w:eastAsia="zh-CN"/>
              </w:rPr>
            </w:pPr>
          </w:p>
        </w:tc>
        <w:tc>
          <w:tcPr>
            <w:tcW w:w="513" w:type="dxa"/>
            <w:tcBorders>
              <w:tl2br w:val="nil"/>
              <w:tr2bl w:val="nil"/>
            </w:tcBorders>
            <w:noWrap w:val="0"/>
            <w:vAlign w:val="center"/>
          </w:tcPr>
          <w:p w14:paraId="11D63B99">
            <w:pPr>
              <w:pStyle w:val="105"/>
              <w:bidi w:val="0"/>
              <w:rPr>
                <w:rFonts w:hint="default"/>
                <w:highlight w:val="none"/>
                <w:lang w:val="en-US" w:eastAsia="zh-CN"/>
              </w:rPr>
            </w:pPr>
            <w:r>
              <w:rPr>
                <w:rFonts w:hint="default"/>
                <w:highlight w:val="none"/>
                <w:lang w:val="en-US" w:eastAsia="zh-CN"/>
              </w:rPr>
              <w:t>35</w:t>
            </w:r>
          </w:p>
        </w:tc>
        <w:tc>
          <w:tcPr>
            <w:tcW w:w="6041" w:type="dxa"/>
            <w:tcBorders>
              <w:tl2br w:val="nil"/>
              <w:tr2bl w:val="nil"/>
            </w:tcBorders>
            <w:noWrap w:val="0"/>
            <w:vAlign w:val="center"/>
          </w:tcPr>
          <w:p w14:paraId="3DC1E8B4">
            <w:pPr>
              <w:pStyle w:val="105"/>
              <w:bidi w:val="0"/>
              <w:rPr>
                <w:rFonts w:hint="default"/>
                <w:highlight w:val="none"/>
                <w:lang w:val="en-US" w:eastAsia="zh-CN"/>
              </w:rPr>
            </w:pPr>
            <w:r>
              <w:rPr>
                <w:rFonts w:hint="default"/>
                <w:highlight w:val="none"/>
                <w:lang w:val="en-US" w:eastAsia="zh-CN"/>
              </w:rPr>
              <w:t>切断总电源的急停开关应为非自动复位型，可靠有效</w:t>
            </w:r>
          </w:p>
        </w:tc>
        <w:tc>
          <w:tcPr>
            <w:tcW w:w="1229" w:type="dxa"/>
            <w:tcBorders>
              <w:tl2br w:val="nil"/>
              <w:tr2bl w:val="nil"/>
            </w:tcBorders>
            <w:noWrap w:val="0"/>
            <w:vAlign w:val="center"/>
          </w:tcPr>
          <w:p w14:paraId="7D8A6573">
            <w:pPr>
              <w:pStyle w:val="105"/>
              <w:bidi w:val="0"/>
              <w:rPr>
                <w:rFonts w:hint="default"/>
                <w:highlight w:val="none"/>
                <w:lang w:val="en-US" w:eastAsia="zh-CN"/>
              </w:rPr>
            </w:pPr>
          </w:p>
        </w:tc>
      </w:tr>
      <w:tr w14:paraId="2B80A1C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4C6689C2">
            <w:pPr>
              <w:pStyle w:val="105"/>
              <w:bidi w:val="0"/>
              <w:rPr>
                <w:rFonts w:hint="default"/>
                <w:highlight w:val="none"/>
                <w:lang w:val="en-US" w:eastAsia="zh-CN"/>
              </w:rPr>
            </w:pPr>
          </w:p>
        </w:tc>
        <w:tc>
          <w:tcPr>
            <w:tcW w:w="513" w:type="dxa"/>
            <w:tcBorders>
              <w:tl2br w:val="nil"/>
              <w:tr2bl w:val="nil"/>
            </w:tcBorders>
            <w:noWrap w:val="0"/>
            <w:vAlign w:val="center"/>
          </w:tcPr>
          <w:p w14:paraId="42A076A2">
            <w:pPr>
              <w:pStyle w:val="105"/>
              <w:bidi w:val="0"/>
              <w:rPr>
                <w:rFonts w:hint="default"/>
                <w:highlight w:val="none"/>
                <w:lang w:val="en-US" w:eastAsia="zh-CN"/>
              </w:rPr>
            </w:pPr>
            <w:r>
              <w:rPr>
                <w:rFonts w:hint="default"/>
                <w:highlight w:val="none"/>
                <w:lang w:val="en-US" w:eastAsia="zh-CN"/>
              </w:rPr>
              <w:t>36</w:t>
            </w:r>
          </w:p>
        </w:tc>
        <w:tc>
          <w:tcPr>
            <w:tcW w:w="6041" w:type="dxa"/>
            <w:tcBorders>
              <w:tl2br w:val="nil"/>
              <w:tr2bl w:val="nil"/>
            </w:tcBorders>
            <w:noWrap w:val="0"/>
            <w:vAlign w:val="center"/>
          </w:tcPr>
          <w:p w14:paraId="3910DCB7">
            <w:pPr>
              <w:pStyle w:val="105"/>
              <w:bidi w:val="0"/>
              <w:rPr>
                <w:rFonts w:hint="default"/>
                <w:highlight w:val="none"/>
                <w:lang w:val="en-US" w:eastAsia="zh-CN"/>
              </w:rPr>
            </w:pPr>
            <w:r>
              <w:rPr>
                <w:rFonts w:hint="default"/>
                <w:highlight w:val="none"/>
                <w:lang w:val="en-US" w:eastAsia="zh-CN"/>
              </w:rPr>
              <w:t>主电路和控制电路的对地绝缘电阻≥MΩ</w:t>
            </w:r>
          </w:p>
        </w:tc>
        <w:tc>
          <w:tcPr>
            <w:tcW w:w="1229" w:type="dxa"/>
            <w:tcBorders>
              <w:tl2br w:val="nil"/>
              <w:tr2bl w:val="nil"/>
            </w:tcBorders>
            <w:noWrap w:val="0"/>
            <w:vAlign w:val="center"/>
          </w:tcPr>
          <w:p w14:paraId="4488B9F1">
            <w:pPr>
              <w:pStyle w:val="105"/>
              <w:bidi w:val="0"/>
              <w:rPr>
                <w:rFonts w:hint="default"/>
                <w:highlight w:val="none"/>
                <w:lang w:val="en-US" w:eastAsia="zh-CN"/>
              </w:rPr>
            </w:pPr>
          </w:p>
        </w:tc>
      </w:tr>
      <w:tr w14:paraId="5498FFF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B3DEDB3">
            <w:pPr>
              <w:pStyle w:val="105"/>
              <w:bidi w:val="0"/>
              <w:rPr>
                <w:rFonts w:hint="default"/>
                <w:highlight w:val="none"/>
                <w:lang w:val="en-US" w:eastAsia="zh-CN"/>
              </w:rPr>
            </w:pPr>
          </w:p>
        </w:tc>
        <w:tc>
          <w:tcPr>
            <w:tcW w:w="513" w:type="dxa"/>
            <w:tcBorders>
              <w:tl2br w:val="nil"/>
              <w:tr2bl w:val="nil"/>
            </w:tcBorders>
            <w:noWrap w:val="0"/>
            <w:vAlign w:val="center"/>
          </w:tcPr>
          <w:p w14:paraId="16773DB1">
            <w:pPr>
              <w:pStyle w:val="105"/>
              <w:bidi w:val="0"/>
              <w:rPr>
                <w:rFonts w:hint="default"/>
                <w:highlight w:val="none"/>
                <w:lang w:val="en-US" w:eastAsia="zh-CN"/>
              </w:rPr>
            </w:pPr>
            <w:r>
              <w:rPr>
                <w:rFonts w:hint="default"/>
                <w:highlight w:val="none"/>
                <w:lang w:val="en-US" w:eastAsia="zh-CN"/>
              </w:rPr>
              <w:t>37</w:t>
            </w:r>
          </w:p>
        </w:tc>
        <w:tc>
          <w:tcPr>
            <w:tcW w:w="6041" w:type="dxa"/>
            <w:tcBorders>
              <w:tl2br w:val="nil"/>
              <w:tr2bl w:val="nil"/>
            </w:tcBorders>
            <w:noWrap w:val="0"/>
            <w:vAlign w:val="center"/>
          </w:tcPr>
          <w:p w14:paraId="14EA7CFB">
            <w:pPr>
              <w:pStyle w:val="105"/>
              <w:bidi w:val="0"/>
              <w:rPr>
                <w:rFonts w:hint="default"/>
                <w:highlight w:val="none"/>
                <w:lang w:val="en-US" w:eastAsia="zh-CN"/>
              </w:rPr>
            </w:pPr>
            <w:r>
              <w:rPr>
                <w:rFonts w:hint="default"/>
                <w:highlight w:val="none"/>
                <w:lang w:val="en-US" w:eastAsia="zh-CN"/>
              </w:rPr>
              <w:t>声响信号完好</w:t>
            </w:r>
          </w:p>
        </w:tc>
        <w:tc>
          <w:tcPr>
            <w:tcW w:w="1229" w:type="dxa"/>
            <w:tcBorders>
              <w:tl2br w:val="nil"/>
              <w:tr2bl w:val="nil"/>
            </w:tcBorders>
            <w:noWrap w:val="0"/>
            <w:vAlign w:val="center"/>
          </w:tcPr>
          <w:p w14:paraId="3EC1C3B1">
            <w:pPr>
              <w:pStyle w:val="105"/>
              <w:bidi w:val="0"/>
              <w:rPr>
                <w:rFonts w:hint="default"/>
                <w:highlight w:val="none"/>
                <w:lang w:val="en-US" w:eastAsia="zh-CN"/>
              </w:rPr>
            </w:pPr>
          </w:p>
        </w:tc>
      </w:tr>
      <w:tr w14:paraId="7508B4E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4A762E4C">
            <w:pPr>
              <w:pStyle w:val="105"/>
              <w:bidi w:val="0"/>
              <w:rPr>
                <w:rFonts w:hint="default"/>
                <w:highlight w:val="none"/>
                <w:lang w:val="en-US" w:eastAsia="zh-CN"/>
              </w:rPr>
            </w:pPr>
          </w:p>
        </w:tc>
        <w:tc>
          <w:tcPr>
            <w:tcW w:w="513" w:type="dxa"/>
            <w:tcBorders>
              <w:tl2br w:val="nil"/>
              <w:tr2bl w:val="nil"/>
            </w:tcBorders>
            <w:noWrap w:val="0"/>
            <w:vAlign w:val="center"/>
          </w:tcPr>
          <w:p w14:paraId="401FA66A">
            <w:pPr>
              <w:pStyle w:val="105"/>
              <w:bidi w:val="0"/>
              <w:rPr>
                <w:rFonts w:hint="default"/>
                <w:highlight w:val="none"/>
                <w:lang w:val="en-US" w:eastAsia="zh-CN"/>
              </w:rPr>
            </w:pPr>
            <w:r>
              <w:rPr>
                <w:rFonts w:hint="default"/>
                <w:highlight w:val="none"/>
                <w:lang w:val="en-US" w:eastAsia="zh-CN"/>
              </w:rPr>
              <w:t>38</w:t>
            </w:r>
          </w:p>
        </w:tc>
        <w:tc>
          <w:tcPr>
            <w:tcW w:w="6041" w:type="dxa"/>
            <w:tcBorders>
              <w:tl2br w:val="nil"/>
              <w:tr2bl w:val="nil"/>
            </w:tcBorders>
            <w:noWrap w:val="0"/>
            <w:vAlign w:val="center"/>
          </w:tcPr>
          <w:p w14:paraId="15559056">
            <w:pPr>
              <w:pStyle w:val="105"/>
              <w:bidi w:val="0"/>
              <w:rPr>
                <w:rFonts w:hint="default"/>
                <w:highlight w:val="none"/>
                <w:lang w:val="en-US" w:eastAsia="zh-CN"/>
              </w:rPr>
            </w:pPr>
            <w:r>
              <w:rPr>
                <w:rFonts w:hint="default"/>
                <w:highlight w:val="none"/>
                <w:lang w:val="en-US" w:eastAsia="zh-CN"/>
              </w:rPr>
              <w:t>专用开关箱单独设置并有警示标志</w:t>
            </w:r>
          </w:p>
        </w:tc>
        <w:tc>
          <w:tcPr>
            <w:tcW w:w="1229" w:type="dxa"/>
            <w:tcBorders>
              <w:tl2br w:val="nil"/>
              <w:tr2bl w:val="nil"/>
            </w:tcBorders>
            <w:noWrap w:val="0"/>
            <w:vAlign w:val="center"/>
          </w:tcPr>
          <w:p w14:paraId="333BCB3E">
            <w:pPr>
              <w:pStyle w:val="105"/>
              <w:bidi w:val="0"/>
              <w:rPr>
                <w:rFonts w:hint="default"/>
                <w:highlight w:val="none"/>
                <w:lang w:val="en-US" w:eastAsia="zh-CN"/>
              </w:rPr>
            </w:pPr>
          </w:p>
        </w:tc>
      </w:tr>
      <w:tr w14:paraId="725CDA9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FD243E7">
            <w:pPr>
              <w:pStyle w:val="105"/>
              <w:bidi w:val="0"/>
              <w:rPr>
                <w:rFonts w:hint="default"/>
                <w:highlight w:val="none"/>
                <w:lang w:val="en-US" w:eastAsia="zh-CN"/>
              </w:rPr>
            </w:pPr>
          </w:p>
        </w:tc>
        <w:tc>
          <w:tcPr>
            <w:tcW w:w="513" w:type="dxa"/>
            <w:tcBorders>
              <w:tl2br w:val="nil"/>
              <w:tr2bl w:val="nil"/>
            </w:tcBorders>
            <w:noWrap w:val="0"/>
            <w:vAlign w:val="center"/>
          </w:tcPr>
          <w:p w14:paraId="7085356E">
            <w:pPr>
              <w:pStyle w:val="105"/>
              <w:bidi w:val="0"/>
              <w:rPr>
                <w:rFonts w:hint="default"/>
                <w:highlight w:val="none"/>
                <w:lang w:val="en-US" w:eastAsia="zh-CN"/>
              </w:rPr>
            </w:pPr>
            <w:r>
              <w:rPr>
                <w:rFonts w:hint="default"/>
                <w:highlight w:val="none"/>
                <w:lang w:val="en-US" w:eastAsia="zh-CN"/>
              </w:rPr>
              <w:t>39</w:t>
            </w:r>
          </w:p>
        </w:tc>
        <w:tc>
          <w:tcPr>
            <w:tcW w:w="6041" w:type="dxa"/>
            <w:tcBorders>
              <w:tl2br w:val="nil"/>
              <w:tr2bl w:val="nil"/>
            </w:tcBorders>
            <w:noWrap w:val="0"/>
            <w:vAlign w:val="center"/>
          </w:tcPr>
          <w:p w14:paraId="0D870A95">
            <w:pPr>
              <w:pStyle w:val="105"/>
              <w:bidi w:val="0"/>
              <w:rPr>
                <w:rFonts w:hint="default"/>
                <w:highlight w:val="none"/>
                <w:lang w:val="en-US" w:eastAsia="zh-CN"/>
              </w:rPr>
            </w:pPr>
            <w:r>
              <w:rPr>
                <w:rFonts w:hint="default"/>
                <w:highlight w:val="none"/>
                <w:lang w:val="en-US" w:eastAsia="zh-CN"/>
              </w:rPr>
              <w:t>电缆无破损，老化，与金属接触处有绝缘材料隔离</w:t>
            </w:r>
          </w:p>
        </w:tc>
        <w:tc>
          <w:tcPr>
            <w:tcW w:w="1229" w:type="dxa"/>
            <w:tcBorders>
              <w:tl2br w:val="nil"/>
              <w:tr2bl w:val="nil"/>
            </w:tcBorders>
            <w:noWrap w:val="0"/>
            <w:vAlign w:val="center"/>
          </w:tcPr>
          <w:p w14:paraId="0DF8FF8E">
            <w:pPr>
              <w:pStyle w:val="105"/>
              <w:bidi w:val="0"/>
              <w:rPr>
                <w:rFonts w:hint="default"/>
                <w:highlight w:val="none"/>
                <w:lang w:val="en-US" w:eastAsia="zh-CN"/>
              </w:rPr>
            </w:pPr>
          </w:p>
        </w:tc>
      </w:tr>
      <w:tr w14:paraId="6FD5EA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B13A760">
            <w:pPr>
              <w:pStyle w:val="105"/>
              <w:bidi w:val="0"/>
              <w:rPr>
                <w:rFonts w:hint="default"/>
                <w:highlight w:val="none"/>
                <w:lang w:val="en-US" w:eastAsia="zh-CN"/>
              </w:rPr>
            </w:pPr>
          </w:p>
        </w:tc>
        <w:tc>
          <w:tcPr>
            <w:tcW w:w="513" w:type="dxa"/>
            <w:tcBorders>
              <w:tl2br w:val="nil"/>
              <w:tr2bl w:val="nil"/>
            </w:tcBorders>
            <w:noWrap w:val="0"/>
            <w:vAlign w:val="center"/>
          </w:tcPr>
          <w:p w14:paraId="3D5EF53D">
            <w:pPr>
              <w:pStyle w:val="105"/>
              <w:bidi w:val="0"/>
              <w:rPr>
                <w:rFonts w:hint="default"/>
                <w:highlight w:val="none"/>
                <w:lang w:val="en-US" w:eastAsia="zh-CN"/>
              </w:rPr>
            </w:pPr>
            <w:r>
              <w:rPr>
                <w:rFonts w:hint="default"/>
                <w:highlight w:val="none"/>
                <w:lang w:val="en-US" w:eastAsia="zh-CN"/>
              </w:rPr>
              <w:t>40</w:t>
            </w:r>
          </w:p>
        </w:tc>
        <w:tc>
          <w:tcPr>
            <w:tcW w:w="6041" w:type="dxa"/>
            <w:tcBorders>
              <w:tl2br w:val="nil"/>
              <w:tr2bl w:val="nil"/>
            </w:tcBorders>
            <w:noWrap w:val="0"/>
            <w:vAlign w:val="center"/>
          </w:tcPr>
          <w:p w14:paraId="2DF07955">
            <w:pPr>
              <w:pStyle w:val="105"/>
              <w:bidi w:val="0"/>
              <w:rPr>
                <w:rFonts w:hint="default"/>
                <w:highlight w:val="none"/>
                <w:lang w:val="en-US" w:eastAsia="zh-CN"/>
              </w:rPr>
            </w:pPr>
            <w:r>
              <w:rPr>
                <w:rFonts w:hint="default"/>
                <w:highlight w:val="none"/>
                <w:lang w:val="en-US" w:eastAsia="zh-CN"/>
              </w:rPr>
              <w:t>塔顶高度大于30m且高于周围建筑物时应安装障碍指示灯，供电不应受停机的影响</w:t>
            </w:r>
          </w:p>
        </w:tc>
        <w:tc>
          <w:tcPr>
            <w:tcW w:w="1229" w:type="dxa"/>
            <w:tcBorders>
              <w:tl2br w:val="nil"/>
              <w:tr2bl w:val="nil"/>
            </w:tcBorders>
            <w:noWrap w:val="0"/>
            <w:vAlign w:val="center"/>
          </w:tcPr>
          <w:p w14:paraId="53ADC7AE">
            <w:pPr>
              <w:pStyle w:val="105"/>
              <w:bidi w:val="0"/>
              <w:rPr>
                <w:rFonts w:hint="default"/>
                <w:highlight w:val="none"/>
                <w:lang w:val="en-US" w:eastAsia="zh-CN"/>
              </w:rPr>
            </w:pPr>
          </w:p>
        </w:tc>
      </w:tr>
      <w:tr w14:paraId="534B83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7D436C1A">
            <w:pPr>
              <w:pStyle w:val="105"/>
              <w:bidi w:val="0"/>
              <w:rPr>
                <w:rFonts w:hint="default"/>
                <w:highlight w:val="none"/>
                <w:lang w:val="en-US" w:eastAsia="zh-CN"/>
              </w:rPr>
            </w:pPr>
          </w:p>
        </w:tc>
        <w:tc>
          <w:tcPr>
            <w:tcW w:w="513" w:type="dxa"/>
            <w:tcBorders>
              <w:tl2br w:val="nil"/>
              <w:tr2bl w:val="nil"/>
            </w:tcBorders>
            <w:noWrap w:val="0"/>
            <w:vAlign w:val="center"/>
          </w:tcPr>
          <w:p w14:paraId="13449C87">
            <w:pPr>
              <w:pStyle w:val="105"/>
              <w:bidi w:val="0"/>
              <w:rPr>
                <w:rFonts w:hint="default"/>
                <w:highlight w:val="none"/>
                <w:lang w:val="en-US" w:eastAsia="zh-CN"/>
              </w:rPr>
            </w:pPr>
            <w:r>
              <w:rPr>
                <w:rFonts w:hint="default"/>
                <w:highlight w:val="none"/>
                <w:lang w:val="en-US" w:eastAsia="zh-CN"/>
              </w:rPr>
              <w:t>41</w:t>
            </w:r>
          </w:p>
        </w:tc>
        <w:tc>
          <w:tcPr>
            <w:tcW w:w="6041" w:type="dxa"/>
            <w:tcBorders>
              <w:tl2br w:val="nil"/>
              <w:tr2bl w:val="nil"/>
            </w:tcBorders>
            <w:noWrap w:val="0"/>
            <w:vAlign w:val="center"/>
          </w:tcPr>
          <w:p w14:paraId="13BDB6C8">
            <w:pPr>
              <w:pStyle w:val="105"/>
              <w:bidi w:val="0"/>
              <w:rPr>
                <w:rFonts w:hint="default"/>
                <w:highlight w:val="none"/>
                <w:lang w:val="en-US" w:eastAsia="zh-CN"/>
              </w:rPr>
            </w:pPr>
            <w:r>
              <w:rPr>
                <w:rFonts w:hint="default"/>
                <w:highlight w:val="none"/>
                <w:lang w:val="en-US" w:eastAsia="zh-CN"/>
              </w:rPr>
              <w:t>臂根铰点高于50m时应设置风速仪</w:t>
            </w:r>
          </w:p>
        </w:tc>
        <w:tc>
          <w:tcPr>
            <w:tcW w:w="1229" w:type="dxa"/>
            <w:tcBorders>
              <w:tl2br w:val="nil"/>
              <w:tr2bl w:val="nil"/>
            </w:tcBorders>
            <w:noWrap w:val="0"/>
            <w:vAlign w:val="center"/>
          </w:tcPr>
          <w:p w14:paraId="0AAE97BA">
            <w:pPr>
              <w:pStyle w:val="105"/>
              <w:bidi w:val="0"/>
              <w:rPr>
                <w:rFonts w:hint="default"/>
                <w:highlight w:val="none"/>
                <w:lang w:val="en-US" w:eastAsia="zh-CN"/>
              </w:rPr>
            </w:pPr>
          </w:p>
        </w:tc>
      </w:tr>
      <w:tr w14:paraId="71D7AD1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269FCD5F">
            <w:pPr>
              <w:pStyle w:val="105"/>
              <w:bidi w:val="0"/>
              <w:rPr>
                <w:rFonts w:hint="default"/>
                <w:highlight w:val="none"/>
                <w:lang w:val="en-US" w:eastAsia="zh-CN"/>
              </w:rPr>
            </w:pPr>
            <w:r>
              <w:rPr>
                <w:rFonts w:hint="default"/>
                <w:highlight w:val="none"/>
                <w:lang w:val="en-US" w:eastAsia="zh-CN"/>
              </w:rPr>
              <w:t>司机室</w:t>
            </w:r>
          </w:p>
        </w:tc>
        <w:tc>
          <w:tcPr>
            <w:tcW w:w="513" w:type="dxa"/>
            <w:tcBorders>
              <w:tl2br w:val="nil"/>
              <w:tr2bl w:val="nil"/>
            </w:tcBorders>
            <w:noWrap w:val="0"/>
            <w:vAlign w:val="center"/>
          </w:tcPr>
          <w:p w14:paraId="7F80FBB5">
            <w:pPr>
              <w:pStyle w:val="105"/>
              <w:bidi w:val="0"/>
              <w:rPr>
                <w:rFonts w:hint="default"/>
                <w:highlight w:val="none"/>
                <w:lang w:val="en-US" w:eastAsia="zh-CN"/>
              </w:rPr>
            </w:pPr>
            <w:r>
              <w:rPr>
                <w:rFonts w:hint="default"/>
                <w:highlight w:val="none"/>
                <w:lang w:val="en-US" w:eastAsia="zh-CN"/>
              </w:rPr>
              <w:t>42</w:t>
            </w:r>
          </w:p>
        </w:tc>
        <w:tc>
          <w:tcPr>
            <w:tcW w:w="6041" w:type="dxa"/>
            <w:tcBorders>
              <w:tl2br w:val="nil"/>
              <w:tr2bl w:val="nil"/>
            </w:tcBorders>
            <w:noWrap w:val="0"/>
            <w:vAlign w:val="center"/>
          </w:tcPr>
          <w:p w14:paraId="1ADE153C">
            <w:pPr>
              <w:pStyle w:val="105"/>
              <w:bidi w:val="0"/>
              <w:rPr>
                <w:rFonts w:hint="default"/>
                <w:highlight w:val="none"/>
                <w:lang w:val="en-US" w:eastAsia="zh-CN"/>
              </w:rPr>
            </w:pPr>
            <w:r>
              <w:rPr>
                <w:rFonts w:hint="default"/>
                <w:highlight w:val="none"/>
                <w:lang w:val="en-US" w:eastAsia="zh-CN"/>
              </w:rPr>
              <w:t>性能标牌（显示屏）齐全，清晰</w:t>
            </w:r>
          </w:p>
        </w:tc>
        <w:tc>
          <w:tcPr>
            <w:tcW w:w="1229" w:type="dxa"/>
            <w:tcBorders>
              <w:tl2br w:val="nil"/>
              <w:tr2bl w:val="nil"/>
            </w:tcBorders>
            <w:noWrap w:val="0"/>
            <w:vAlign w:val="center"/>
          </w:tcPr>
          <w:p w14:paraId="58593A65">
            <w:pPr>
              <w:pStyle w:val="105"/>
              <w:bidi w:val="0"/>
              <w:rPr>
                <w:rFonts w:hint="default"/>
                <w:highlight w:val="none"/>
                <w:lang w:val="en-US" w:eastAsia="zh-CN"/>
              </w:rPr>
            </w:pPr>
          </w:p>
        </w:tc>
      </w:tr>
      <w:tr w14:paraId="776EE90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6372820">
            <w:pPr>
              <w:pStyle w:val="105"/>
              <w:bidi w:val="0"/>
              <w:rPr>
                <w:rFonts w:hint="default"/>
                <w:highlight w:val="none"/>
                <w:lang w:val="en-US" w:eastAsia="zh-CN"/>
              </w:rPr>
            </w:pPr>
          </w:p>
        </w:tc>
        <w:tc>
          <w:tcPr>
            <w:tcW w:w="513" w:type="dxa"/>
            <w:tcBorders>
              <w:tl2br w:val="nil"/>
              <w:tr2bl w:val="nil"/>
            </w:tcBorders>
            <w:noWrap w:val="0"/>
            <w:vAlign w:val="center"/>
          </w:tcPr>
          <w:p w14:paraId="12F7C0A6">
            <w:pPr>
              <w:pStyle w:val="105"/>
              <w:bidi w:val="0"/>
              <w:rPr>
                <w:rFonts w:hint="default"/>
                <w:highlight w:val="none"/>
                <w:lang w:val="en-US" w:eastAsia="zh-CN"/>
              </w:rPr>
            </w:pPr>
            <w:r>
              <w:rPr>
                <w:rFonts w:hint="default"/>
                <w:highlight w:val="none"/>
                <w:lang w:val="en-US" w:eastAsia="zh-CN"/>
              </w:rPr>
              <w:t>43</w:t>
            </w:r>
          </w:p>
        </w:tc>
        <w:tc>
          <w:tcPr>
            <w:tcW w:w="6041" w:type="dxa"/>
            <w:tcBorders>
              <w:tl2br w:val="nil"/>
              <w:tr2bl w:val="nil"/>
            </w:tcBorders>
            <w:noWrap w:val="0"/>
            <w:vAlign w:val="center"/>
          </w:tcPr>
          <w:p w14:paraId="06B75388">
            <w:pPr>
              <w:pStyle w:val="105"/>
              <w:bidi w:val="0"/>
              <w:rPr>
                <w:rFonts w:hint="default"/>
                <w:highlight w:val="none"/>
                <w:lang w:val="en-US" w:eastAsia="zh-CN"/>
              </w:rPr>
            </w:pPr>
            <w:r>
              <w:rPr>
                <w:rFonts w:hint="default"/>
                <w:highlight w:val="none"/>
                <w:lang w:val="en-US" w:eastAsia="zh-CN"/>
              </w:rPr>
              <w:t>门窗、绝缘地板及灭火器等附属设施齐全，有效</w:t>
            </w:r>
          </w:p>
        </w:tc>
        <w:tc>
          <w:tcPr>
            <w:tcW w:w="1229" w:type="dxa"/>
            <w:tcBorders>
              <w:tl2br w:val="nil"/>
              <w:tr2bl w:val="nil"/>
            </w:tcBorders>
            <w:noWrap w:val="0"/>
            <w:vAlign w:val="center"/>
          </w:tcPr>
          <w:p w14:paraId="7877A75F">
            <w:pPr>
              <w:pStyle w:val="105"/>
              <w:bidi w:val="0"/>
              <w:rPr>
                <w:rFonts w:hint="default"/>
                <w:highlight w:val="none"/>
                <w:lang w:val="en-US" w:eastAsia="zh-CN"/>
              </w:rPr>
            </w:pPr>
          </w:p>
        </w:tc>
      </w:tr>
      <w:tr w14:paraId="757B0FC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454D01D1">
            <w:pPr>
              <w:pStyle w:val="105"/>
              <w:bidi w:val="0"/>
              <w:rPr>
                <w:rFonts w:hint="default"/>
                <w:highlight w:val="none"/>
                <w:lang w:val="en-US" w:eastAsia="zh-CN"/>
              </w:rPr>
            </w:pPr>
            <w:r>
              <w:rPr>
                <w:rFonts w:hint="default"/>
                <w:highlight w:val="none"/>
                <w:lang w:val="en-US" w:eastAsia="zh-CN"/>
              </w:rPr>
              <w:t>试运行</w:t>
            </w:r>
          </w:p>
        </w:tc>
        <w:tc>
          <w:tcPr>
            <w:tcW w:w="513" w:type="dxa"/>
            <w:tcBorders>
              <w:tl2br w:val="nil"/>
              <w:tr2bl w:val="nil"/>
            </w:tcBorders>
            <w:noWrap w:val="0"/>
            <w:vAlign w:val="center"/>
          </w:tcPr>
          <w:p w14:paraId="5B89863A">
            <w:pPr>
              <w:pStyle w:val="105"/>
              <w:bidi w:val="0"/>
              <w:rPr>
                <w:rFonts w:hint="default"/>
                <w:highlight w:val="none"/>
                <w:lang w:val="en-US" w:eastAsia="zh-CN"/>
              </w:rPr>
            </w:pPr>
            <w:r>
              <w:rPr>
                <w:rFonts w:hint="default"/>
                <w:highlight w:val="none"/>
                <w:lang w:val="en-US" w:eastAsia="zh-CN"/>
              </w:rPr>
              <w:t>44</w:t>
            </w:r>
          </w:p>
        </w:tc>
        <w:tc>
          <w:tcPr>
            <w:tcW w:w="6041" w:type="dxa"/>
            <w:tcBorders>
              <w:tl2br w:val="nil"/>
              <w:tr2bl w:val="nil"/>
            </w:tcBorders>
            <w:noWrap w:val="0"/>
            <w:vAlign w:val="center"/>
          </w:tcPr>
          <w:p w14:paraId="614E4CEE">
            <w:pPr>
              <w:pStyle w:val="105"/>
              <w:bidi w:val="0"/>
              <w:rPr>
                <w:rFonts w:hint="default"/>
                <w:highlight w:val="none"/>
                <w:lang w:val="en-US" w:eastAsia="zh-CN"/>
              </w:rPr>
            </w:pPr>
            <w:r>
              <w:rPr>
                <w:rFonts w:hint="default"/>
                <w:highlight w:val="none"/>
                <w:lang w:val="en-US" w:eastAsia="zh-CN"/>
              </w:rPr>
              <w:t>空载状态下，进行起升、回转、变幅各动作的操作，检查调试：操作系统、控制系统、联锁装置动作准确性和灵活性；各行程限位器动作准确性和可靠性；各机构无漏油现象，运动平稳无异常现象</w:t>
            </w:r>
          </w:p>
        </w:tc>
        <w:tc>
          <w:tcPr>
            <w:tcW w:w="1229" w:type="dxa"/>
            <w:tcBorders>
              <w:tl2br w:val="nil"/>
              <w:tr2bl w:val="nil"/>
            </w:tcBorders>
            <w:noWrap w:val="0"/>
            <w:vAlign w:val="center"/>
          </w:tcPr>
          <w:p w14:paraId="406010D7">
            <w:pPr>
              <w:pStyle w:val="105"/>
              <w:bidi w:val="0"/>
              <w:rPr>
                <w:rFonts w:hint="default"/>
                <w:highlight w:val="none"/>
                <w:lang w:val="en-US" w:eastAsia="zh-CN"/>
              </w:rPr>
            </w:pPr>
          </w:p>
        </w:tc>
      </w:tr>
    </w:tbl>
    <w:p w14:paraId="7ABCC3F3">
      <w:pPr>
        <w:spacing w:line="360" w:lineRule="auto"/>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rPr>
        <w:br w:type="page"/>
      </w:r>
    </w:p>
    <w:bookmarkEnd w:id="307"/>
    <w:p w14:paraId="4B8D1658">
      <w:pPr>
        <w:pStyle w:val="2"/>
        <w:bidi w:val="0"/>
        <w:ind w:left="432" w:leftChars="0" w:hanging="432" w:firstLineChars="0"/>
      </w:pPr>
      <w:bookmarkStart w:id="372" w:name="_Toc21688"/>
      <w:bookmarkStart w:id="373" w:name="_Toc29137"/>
      <w:bookmarkStart w:id="374" w:name="_Toc4012"/>
      <w:bookmarkStart w:id="375" w:name="_Toc25769"/>
      <w:r>
        <w:rPr>
          <w:rFonts w:hint="eastAsia"/>
        </w:rPr>
        <w:t>应急处置</w:t>
      </w:r>
      <w:r>
        <w:rPr>
          <w:rFonts w:hint="eastAsia"/>
          <w:lang w:eastAsia="zh-CN"/>
        </w:rPr>
        <w:t>措施</w:t>
      </w:r>
      <w:bookmarkEnd w:id="372"/>
      <w:bookmarkEnd w:id="373"/>
      <w:bookmarkEnd w:id="374"/>
      <w:bookmarkEnd w:id="375"/>
    </w:p>
    <w:p w14:paraId="0E2505D8">
      <w:pPr>
        <w:pStyle w:val="3"/>
        <w:bidi w:val="0"/>
        <w:ind w:left="575" w:leftChars="0" w:hanging="575" w:firstLineChars="0"/>
        <w:rPr>
          <w:rFonts w:hint="eastAsia"/>
          <w:highlight w:val="none"/>
        </w:rPr>
      </w:pPr>
      <w:bookmarkStart w:id="376" w:name="_Toc32162"/>
      <w:bookmarkStart w:id="377" w:name="_Toc9886"/>
      <w:bookmarkStart w:id="378" w:name="_Toc4766"/>
      <w:bookmarkStart w:id="379" w:name="_Toc10409838"/>
      <w:r>
        <w:rPr>
          <w:rFonts w:hint="eastAsia"/>
          <w:highlight w:val="none"/>
          <w:lang w:val="en-US" w:eastAsia="zh-CN"/>
        </w:rPr>
        <w:t xml:space="preserve"> </w:t>
      </w:r>
      <w:bookmarkStart w:id="380" w:name="_Toc16590"/>
      <w:r>
        <w:rPr>
          <w:rFonts w:hint="eastAsia"/>
          <w:highlight w:val="none"/>
        </w:rPr>
        <w:t>危险源</w:t>
      </w:r>
      <w:r>
        <w:rPr>
          <w:rFonts w:hint="eastAsia" w:ascii="宋体" w:hAnsi="宋体" w:eastAsia="宋体" w:cs="Times New Roman"/>
        </w:rPr>
        <w:t>辨识</w:t>
      </w:r>
      <w:bookmarkEnd w:id="376"/>
      <w:bookmarkEnd w:id="377"/>
      <w:bookmarkEnd w:id="378"/>
      <w:bookmarkEnd w:id="379"/>
      <w:bookmarkEnd w:id="380"/>
    </w:p>
    <w:p w14:paraId="21C6C25E">
      <w:pPr>
        <w:pStyle w:val="4"/>
        <w:bidi w:val="0"/>
        <w:ind w:left="720" w:leftChars="0" w:hanging="720" w:firstLineChars="0"/>
        <w:rPr>
          <w:rFonts w:hint="default"/>
          <w:lang w:val="en-US" w:eastAsia="zh-CN"/>
        </w:rPr>
      </w:pPr>
      <w:r>
        <w:rPr>
          <w:rFonts w:hint="eastAsia"/>
          <w:lang w:val="en-US" w:eastAsia="zh-CN"/>
        </w:rPr>
        <w:t>危险源评价方法</w:t>
      </w:r>
    </w:p>
    <w:p w14:paraId="352FA482">
      <w:pPr>
        <w:spacing w:line="360" w:lineRule="auto"/>
        <w:ind w:firstLine="480" w:firstLineChars="200"/>
        <w:rPr>
          <w:rFonts w:hint="eastAsia"/>
          <w:highlight w:val="none"/>
          <w:lang w:val="en-US" w:eastAsia="zh-CN"/>
        </w:rPr>
      </w:pPr>
      <w:r>
        <w:rPr>
          <w:rFonts w:hint="eastAsia"/>
          <w:highlight w:val="none"/>
          <w:lang w:val="en-US" w:eastAsia="zh-CN"/>
        </w:rPr>
        <w:t>1、</w:t>
      </w:r>
      <w:r>
        <w:rPr>
          <w:rFonts w:hint="eastAsia"/>
          <w:highlight w:val="none"/>
        </w:rPr>
        <w:t>危险源辨识</w:t>
      </w:r>
    </w:p>
    <w:p w14:paraId="0AFD2525">
      <w:pPr>
        <w:spacing w:line="360" w:lineRule="auto"/>
        <w:ind w:firstLine="480" w:firstLineChars="200"/>
        <w:rPr>
          <w:rFonts w:asciiTheme="minorEastAsia" w:hAnsiTheme="minorEastAsia"/>
          <w:sz w:val="24"/>
          <w:szCs w:val="24"/>
          <w:highlight w:val="none"/>
        </w:rPr>
      </w:pPr>
      <w:r>
        <w:rPr>
          <w:rFonts w:hint="eastAsia" w:asciiTheme="minorEastAsia" w:hAnsiTheme="minorEastAsia"/>
          <w:sz w:val="24"/>
          <w:szCs w:val="24"/>
          <w:highlight w:val="none"/>
        </w:rPr>
        <w:t>危险源是指一个系统中具有潜在能量和物质，释放危险的、可造成人员伤害、财产损失或环境破坏的、在一定的触发因素作用下可转化为事故的部位、区域、场所、空间、岗位、设备及其位置。</w:t>
      </w:r>
    </w:p>
    <w:p w14:paraId="48ADD7E3">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危险因素评价</w:t>
      </w:r>
    </w:p>
    <w:p w14:paraId="32A673F2">
      <w:pPr>
        <w:pStyle w:val="158"/>
        <w:ind w:firstLine="480"/>
        <w:rPr>
          <w:rFonts w:ascii="宋体" w:hAnsi="宋体"/>
          <w:highlight w:val="none"/>
        </w:rPr>
      </w:pPr>
      <w:r>
        <w:rPr>
          <w:rFonts w:ascii="宋体" w:hAnsi="宋体"/>
          <w:highlight w:val="none"/>
        </w:rPr>
        <w:t>（1）风险估测方法选择</w:t>
      </w:r>
    </w:p>
    <w:p w14:paraId="739D2572">
      <w:pPr>
        <w:pStyle w:val="158"/>
        <w:ind w:firstLine="480"/>
        <w:rPr>
          <w:rFonts w:ascii="宋体" w:hAnsi="宋体"/>
          <w:highlight w:val="none"/>
        </w:rPr>
      </w:pPr>
      <w:r>
        <w:rPr>
          <w:rFonts w:ascii="宋体" w:hAnsi="宋体"/>
          <w:highlight w:val="none"/>
        </w:rPr>
        <w:t>风险估测是采用定性或定量的方法对风险事故发生的可能性及严重程度进行数量估算。采用LEC法对该合同段工程进行风险估测。风险分值D=LEC。D值越大，说明该系统危险性大。</w:t>
      </w:r>
    </w:p>
    <w:p w14:paraId="0BD7B585">
      <w:pPr>
        <w:pStyle w:val="158"/>
        <w:ind w:firstLine="480"/>
        <w:rPr>
          <w:rFonts w:ascii="宋体" w:hAnsi="宋体"/>
          <w:highlight w:val="none"/>
        </w:rPr>
      </w:pPr>
      <w:r>
        <w:rPr>
          <w:rFonts w:ascii="宋体" w:hAnsi="宋体"/>
          <w:highlight w:val="none"/>
        </w:rPr>
        <w:t>（2）量化分值标准</w:t>
      </w:r>
    </w:p>
    <w:p w14:paraId="4BD18095">
      <w:pPr>
        <w:pStyle w:val="158"/>
        <w:ind w:firstLine="480"/>
        <w:rPr>
          <w:rFonts w:ascii="宋体" w:hAnsi="宋体"/>
          <w:highlight w:val="none"/>
        </w:rPr>
      </w:pPr>
      <w:r>
        <w:rPr>
          <w:rFonts w:ascii="宋体" w:hAnsi="宋体"/>
          <w:highlight w:val="none"/>
        </w:rPr>
        <w:t>为了简化计算，将事故发生的可能性、施工人员暴露事件、事故发生后果划分不同的等级并赋值。</w:t>
      </w:r>
    </w:p>
    <w:p w14:paraId="2F5A90AC">
      <w:pPr>
        <w:pStyle w:val="158"/>
        <w:ind w:firstLine="480"/>
        <w:rPr>
          <w:rFonts w:ascii="宋体" w:hAnsi="宋体"/>
          <w:highlight w:val="none"/>
        </w:rPr>
      </w:pPr>
      <w:r>
        <w:rPr>
          <w:rFonts w:ascii="宋体" w:hAnsi="宋体"/>
          <w:highlight w:val="none"/>
        </w:rPr>
        <w:t>其中：D一风险值；L一发生事故的可能性；E一暴露于危险环境的频繁程度；</w:t>
      </w:r>
    </w:p>
    <w:p w14:paraId="0922FA54">
      <w:pPr>
        <w:pStyle w:val="158"/>
        <w:ind w:firstLine="480"/>
        <w:rPr>
          <w:rFonts w:ascii="宋体" w:hAnsi="宋体"/>
          <w:highlight w:val="none"/>
        </w:rPr>
      </w:pPr>
      <w:r>
        <w:rPr>
          <w:rFonts w:ascii="宋体" w:hAnsi="宋体"/>
          <w:highlight w:val="none"/>
        </w:rPr>
        <w:t>C一发生事故造成的后果。</w:t>
      </w:r>
    </w:p>
    <w:p w14:paraId="547723C5">
      <w:pPr>
        <w:pStyle w:val="158"/>
        <w:ind w:firstLine="480"/>
        <w:rPr>
          <w:rFonts w:ascii="宋体" w:hAnsi="宋体"/>
          <w:highlight w:val="none"/>
        </w:rPr>
      </w:pPr>
      <w:r>
        <w:rPr>
          <w:rFonts w:ascii="宋体" w:hAnsi="宋体"/>
          <w:highlight w:val="none"/>
        </w:rPr>
        <w:t>发生事故的可能性（</w:t>
      </w:r>
      <w:r>
        <w:rPr>
          <w:rFonts w:hint="eastAsia" w:ascii="宋体" w:hAnsi="宋体"/>
          <w:highlight w:val="none"/>
        </w:rPr>
        <w:t>L</w:t>
      </w:r>
      <w:r>
        <w:rPr>
          <w:rFonts w:ascii="宋体" w:hAnsi="宋体"/>
          <w:highlight w:val="none"/>
        </w:rPr>
        <w:t>）</w:t>
      </w:r>
    </w:p>
    <w:p w14:paraId="09A3453E">
      <w:pPr>
        <w:pStyle w:val="158"/>
        <w:ind w:firstLine="480"/>
        <w:rPr>
          <w:rFonts w:ascii="宋体" w:hAnsi="宋体"/>
          <w:highlight w:val="none"/>
        </w:rPr>
      </w:pPr>
      <w:r>
        <w:rPr>
          <w:rFonts w:ascii="宋体" w:hAnsi="宋体"/>
          <w:highlight w:val="none"/>
        </w:rPr>
        <w:t>从系统安全角度考虑将</w:t>
      </w:r>
      <w:r>
        <w:rPr>
          <w:rFonts w:hint="eastAsia" w:ascii="宋体" w:hAnsi="宋体"/>
          <w:highlight w:val="none"/>
        </w:rPr>
        <w:t>“</w:t>
      </w:r>
      <w:r>
        <w:rPr>
          <w:rFonts w:ascii="宋体" w:hAnsi="宋体"/>
          <w:highlight w:val="none"/>
        </w:rPr>
        <w:t>发生事故可能性极小</w:t>
      </w:r>
      <w:r>
        <w:rPr>
          <w:rFonts w:hint="eastAsia" w:ascii="宋体" w:hAnsi="宋体"/>
          <w:highlight w:val="none"/>
        </w:rPr>
        <w:t>”</w:t>
      </w:r>
      <w:r>
        <w:rPr>
          <w:rFonts w:ascii="宋体" w:hAnsi="宋体"/>
          <w:highlight w:val="none"/>
        </w:rPr>
        <w:t>的分数定为，而必然要发生的事故的分数定为10，介于这两种情况之间的情况</w:t>
      </w:r>
      <w:r>
        <w:rPr>
          <w:rFonts w:hint="eastAsia" w:ascii="宋体" w:hAnsi="宋体"/>
          <w:highlight w:val="none"/>
          <w:lang w:eastAsia="zh-CN"/>
        </w:rPr>
        <w:t>制定</w:t>
      </w:r>
      <w:r>
        <w:rPr>
          <w:rFonts w:ascii="宋体" w:hAnsi="宋体"/>
          <w:highlight w:val="none"/>
        </w:rPr>
        <w:t>了若干个中间值，如表</w:t>
      </w:r>
      <w:r>
        <w:rPr>
          <w:rFonts w:hint="eastAsia"/>
          <w:highlight w:val="none"/>
          <w:lang w:val="en-US" w:eastAsia="zh-CN"/>
        </w:rPr>
        <w:t>-1</w:t>
      </w:r>
      <w:r>
        <w:rPr>
          <w:rFonts w:ascii="宋体" w:hAnsi="宋体"/>
          <w:highlight w:val="none"/>
        </w:rPr>
        <w:t>所示：</w:t>
      </w:r>
    </w:p>
    <w:p w14:paraId="019274C0">
      <w:pPr>
        <w:pStyle w:val="41"/>
        <w:bidi w:val="0"/>
        <w:rPr>
          <w:highlight w:val="none"/>
        </w:rPr>
      </w:pPr>
      <w:r>
        <w:rPr>
          <w:highlight w:val="none"/>
        </w:rPr>
        <w:t>表</w:t>
      </w:r>
      <w:r>
        <w:rPr>
          <w:rFonts w:hint="eastAsia"/>
          <w:highlight w:val="none"/>
          <w:lang w:val="en-US" w:eastAsia="zh-CN"/>
        </w:rPr>
        <w:t>9</w:t>
      </w:r>
      <w:r>
        <w:rPr>
          <w:highlight w:val="none"/>
        </w:rPr>
        <w:t>-</w:t>
      </w:r>
      <w:r>
        <w:rPr>
          <w:rFonts w:hint="eastAsia"/>
          <w:highlight w:val="none"/>
        </w:rPr>
        <w:t>1</w:t>
      </w:r>
      <w:r>
        <w:rPr>
          <w:highlight w:val="none"/>
        </w:rPr>
        <w:t>发生事故的可能性（L）</w:t>
      </w:r>
    </w:p>
    <w:tbl>
      <w:tblPr>
        <w:tblStyle w:val="30"/>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1221"/>
        <w:gridCol w:w="3039"/>
        <w:gridCol w:w="1220"/>
        <w:gridCol w:w="3039"/>
      </w:tblGrid>
      <w:tr w14:paraId="6E818C9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4D3F7805">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1735C7D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c>
          <w:tcPr>
            <w:tcW w:w="716" w:type="pct"/>
            <w:shd w:val="clear" w:color="auto" w:fill="FFFFFF" w:themeFill="background1"/>
            <w:noWrap w:val="0"/>
            <w:vAlign w:val="center"/>
          </w:tcPr>
          <w:p w14:paraId="04650F5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30C9EC6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r>
      <w:tr w14:paraId="76F0D3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7C9BE5C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10</w:t>
            </w:r>
          </w:p>
        </w:tc>
        <w:tc>
          <w:tcPr>
            <w:tcW w:w="1783" w:type="pct"/>
            <w:shd w:val="clear" w:color="auto" w:fill="FFFFFF" w:themeFill="background1"/>
            <w:noWrap w:val="0"/>
            <w:vAlign w:val="center"/>
          </w:tcPr>
          <w:p w14:paraId="3FE3466B">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完全可能预料</w:t>
            </w:r>
          </w:p>
        </w:tc>
        <w:tc>
          <w:tcPr>
            <w:tcW w:w="716" w:type="pct"/>
            <w:shd w:val="clear" w:color="auto" w:fill="FFFFFF" w:themeFill="background1"/>
            <w:noWrap w:val="0"/>
            <w:vAlign w:val="center"/>
          </w:tcPr>
          <w:p w14:paraId="3FDCDDC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4DCE075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很不可能，可以设想</w:t>
            </w:r>
          </w:p>
        </w:tc>
      </w:tr>
      <w:tr w14:paraId="737968D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6985641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6</w:t>
            </w:r>
          </w:p>
        </w:tc>
        <w:tc>
          <w:tcPr>
            <w:tcW w:w="1783" w:type="pct"/>
            <w:shd w:val="clear" w:color="auto" w:fill="FFFFFF" w:themeFill="background1"/>
            <w:noWrap w:val="0"/>
            <w:vAlign w:val="center"/>
          </w:tcPr>
          <w:p w14:paraId="61CF6C8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相当可能</w:t>
            </w:r>
          </w:p>
        </w:tc>
        <w:tc>
          <w:tcPr>
            <w:tcW w:w="716" w:type="pct"/>
            <w:shd w:val="clear" w:color="auto" w:fill="FFFFFF" w:themeFill="background1"/>
            <w:noWrap w:val="0"/>
            <w:vAlign w:val="center"/>
          </w:tcPr>
          <w:p w14:paraId="1BBB97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22A0A0CC">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极不可能</w:t>
            </w:r>
          </w:p>
        </w:tc>
      </w:tr>
      <w:tr w14:paraId="051EC7F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1761B536">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3</w:t>
            </w:r>
          </w:p>
        </w:tc>
        <w:tc>
          <w:tcPr>
            <w:tcW w:w="1783" w:type="pct"/>
            <w:shd w:val="clear" w:color="auto" w:fill="FFFFFF" w:themeFill="background1"/>
            <w:noWrap w:val="0"/>
            <w:vAlign w:val="center"/>
          </w:tcPr>
          <w:p w14:paraId="59F5B48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可能，但不经常</w:t>
            </w:r>
          </w:p>
        </w:tc>
        <w:tc>
          <w:tcPr>
            <w:tcW w:w="716" w:type="pct"/>
            <w:shd w:val="clear" w:color="auto" w:fill="FFFFFF" w:themeFill="background1"/>
            <w:noWrap w:val="0"/>
            <w:vAlign w:val="center"/>
          </w:tcPr>
          <w:p w14:paraId="056E223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185678A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实际不可能</w:t>
            </w:r>
          </w:p>
        </w:tc>
      </w:tr>
      <w:tr w14:paraId="799967C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5301BA8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w:t>
            </w:r>
          </w:p>
        </w:tc>
        <w:tc>
          <w:tcPr>
            <w:tcW w:w="1783" w:type="pct"/>
            <w:shd w:val="clear" w:color="auto" w:fill="FFFFFF" w:themeFill="background1"/>
            <w:noWrap w:val="0"/>
            <w:vAlign w:val="center"/>
          </w:tcPr>
          <w:p w14:paraId="1DBD952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可能性小，完全意外</w:t>
            </w:r>
          </w:p>
        </w:tc>
        <w:tc>
          <w:tcPr>
            <w:tcW w:w="716" w:type="pct"/>
            <w:shd w:val="clear" w:color="auto" w:fill="FFFFFF" w:themeFill="background1"/>
            <w:noWrap w:val="0"/>
            <w:vAlign w:val="center"/>
          </w:tcPr>
          <w:p w14:paraId="02A72980">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c>
          <w:tcPr>
            <w:tcW w:w="1783" w:type="pct"/>
            <w:shd w:val="clear" w:color="auto" w:fill="FFFFFF" w:themeFill="background1"/>
            <w:noWrap w:val="0"/>
            <w:vAlign w:val="center"/>
          </w:tcPr>
          <w:p w14:paraId="3593BD6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r>
    </w:tbl>
    <w:p w14:paraId="63FF950A">
      <w:pPr>
        <w:pStyle w:val="158"/>
        <w:ind w:firstLine="480"/>
        <w:rPr>
          <w:rFonts w:ascii="宋体" w:hAnsi="宋体"/>
          <w:highlight w:val="none"/>
        </w:rPr>
      </w:pPr>
      <w:r>
        <w:rPr>
          <w:rFonts w:hint="eastAsia" w:ascii="宋体" w:hAnsi="宋体"/>
          <w:highlight w:val="none"/>
        </w:rPr>
        <w:t>②</w:t>
      </w:r>
      <w:r>
        <w:rPr>
          <w:rFonts w:ascii="宋体" w:hAnsi="宋体"/>
          <w:highlight w:val="none"/>
        </w:rPr>
        <w:t>暴露于危险环境的频繁程度（E）</w:t>
      </w:r>
    </w:p>
    <w:p w14:paraId="02B26BF6">
      <w:pPr>
        <w:pStyle w:val="158"/>
        <w:ind w:firstLine="480"/>
        <w:rPr>
          <w:rFonts w:ascii="宋体" w:hAnsi="宋体"/>
          <w:highlight w:val="none"/>
        </w:rPr>
      </w:pPr>
      <w:r>
        <w:rPr>
          <w:rFonts w:ascii="宋体" w:hAnsi="宋体"/>
          <w:highlight w:val="none"/>
        </w:rPr>
        <w:t>人员出现在危险环境中的时间越多，则危险性越大规定连续出现在危险环境的情况分数定为10，而非常罕见地出现在危险环境中分数定为，将介于两者之间的各种情况规定若干个中间值，如</w:t>
      </w:r>
      <w:r>
        <w:rPr>
          <w:rFonts w:hint="eastAsia" w:ascii="宋体" w:hAnsi="宋体"/>
          <w:highlight w:val="none"/>
        </w:rPr>
        <w:t>下表</w:t>
      </w:r>
      <w:r>
        <w:rPr>
          <w:rFonts w:ascii="宋体" w:hAnsi="宋体"/>
          <w:highlight w:val="none"/>
        </w:rPr>
        <w:t>所示：</w:t>
      </w:r>
    </w:p>
    <w:p w14:paraId="258AC15A">
      <w:pPr>
        <w:pStyle w:val="41"/>
        <w:bidi w:val="0"/>
        <w:rPr>
          <w:highlight w:val="none"/>
        </w:rPr>
      </w:pPr>
      <w:r>
        <w:rPr>
          <w:highlight w:val="none"/>
        </w:rPr>
        <w:t>表</w:t>
      </w:r>
      <w:r>
        <w:rPr>
          <w:rFonts w:hint="eastAsia"/>
          <w:highlight w:val="none"/>
          <w:lang w:val="en-US" w:eastAsia="zh-CN"/>
        </w:rPr>
        <w:t>9</w:t>
      </w:r>
      <w:r>
        <w:rPr>
          <w:highlight w:val="none"/>
        </w:rPr>
        <w:t>-</w:t>
      </w:r>
      <w:r>
        <w:rPr>
          <w:rFonts w:hint="eastAsia"/>
          <w:highlight w:val="none"/>
        </w:rPr>
        <w:t>2</w:t>
      </w:r>
      <w:r>
        <w:rPr>
          <w:highlight w:val="none"/>
        </w:rPr>
        <w:t>暴露于危险环境的频繁程度（E）</w:t>
      </w:r>
    </w:p>
    <w:tbl>
      <w:tblPr>
        <w:tblStyle w:val="30"/>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473"/>
        <w:gridCol w:w="6047"/>
      </w:tblGrid>
      <w:tr w14:paraId="39B8FB4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7C8A9808">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548" w:type="pct"/>
            <w:shd w:val="clear" w:color="auto" w:fill="FFFFFF" w:themeFill="background1"/>
            <w:noWrap w:val="0"/>
            <w:vAlign w:val="center"/>
          </w:tcPr>
          <w:p w14:paraId="30C17C81">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暴露于危险环境的频繁程度</w:t>
            </w:r>
          </w:p>
        </w:tc>
      </w:tr>
      <w:tr w14:paraId="26E9611D">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1DED64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10</w:t>
            </w:r>
          </w:p>
        </w:tc>
        <w:tc>
          <w:tcPr>
            <w:tcW w:w="3548" w:type="pct"/>
            <w:shd w:val="clear" w:color="auto" w:fill="FFFFFF" w:themeFill="background1"/>
            <w:noWrap w:val="0"/>
            <w:vAlign w:val="center"/>
          </w:tcPr>
          <w:p w14:paraId="0BC029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连续暴露</w:t>
            </w:r>
          </w:p>
        </w:tc>
      </w:tr>
      <w:tr w14:paraId="334ED1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F7DB7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6</w:t>
            </w:r>
          </w:p>
        </w:tc>
        <w:tc>
          <w:tcPr>
            <w:tcW w:w="3548" w:type="pct"/>
            <w:shd w:val="clear" w:color="auto" w:fill="FFFFFF" w:themeFill="background1"/>
            <w:noWrap w:val="0"/>
            <w:vAlign w:val="center"/>
          </w:tcPr>
          <w:p w14:paraId="06A221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每天工作时间内暴露</w:t>
            </w:r>
          </w:p>
        </w:tc>
      </w:tr>
      <w:tr w14:paraId="2CD8D3A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E814C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3</w:t>
            </w:r>
          </w:p>
        </w:tc>
        <w:tc>
          <w:tcPr>
            <w:tcW w:w="3548" w:type="pct"/>
            <w:shd w:val="clear" w:color="auto" w:fill="FFFFFF" w:themeFill="background1"/>
            <w:noWrap w:val="0"/>
            <w:vAlign w:val="center"/>
          </w:tcPr>
          <w:p w14:paraId="161219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每周一次，或偶然暴露</w:t>
            </w:r>
          </w:p>
        </w:tc>
      </w:tr>
      <w:tr w14:paraId="4671B84F">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5BB3DA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2</w:t>
            </w:r>
          </w:p>
        </w:tc>
        <w:tc>
          <w:tcPr>
            <w:tcW w:w="3548" w:type="pct"/>
            <w:shd w:val="clear" w:color="auto" w:fill="FFFFFF" w:themeFill="background1"/>
            <w:noWrap w:val="0"/>
            <w:vAlign w:val="center"/>
          </w:tcPr>
          <w:p w14:paraId="49EAF14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每月一次暴露</w:t>
            </w:r>
          </w:p>
        </w:tc>
      </w:tr>
      <w:tr w14:paraId="0167043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0C59F00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w:t>
            </w:r>
          </w:p>
        </w:tc>
        <w:tc>
          <w:tcPr>
            <w:tcW w:w="3548" w:type="pct"/>
            <w:shd w:val="clear" w:color="auto" w:fill="FFFFFF" w:themeFill="background1"/>
            <w:noWrap w:val="0"/>
            <w:vAlign w:val="center"/>
          </w:tcPr>
          <w:p w14:paraId="6242205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每年几次暴露</w:t>
            </w:r>
          </w:p>
        </w:tc>
      </w:tr>
      <w:tr w14:paraId="19AF8FF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B9828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highlight w:val="none"/>
                <w:lang w:eastAsia="zh-CN"/>
              </w:rPr>
            </w:pPr>
          </w:p>
        </w:tc>
        <w:tc>
          <w:tcPr>
            <w:tcW w:w="3548" w:type="pct"/>
            <w:shd w:val="clear" w:color="auto" w:fill="FFFFFF" w:themeFill="background1"/>
            <w:noWrap w:val="0"/>
            <w:vAlign w:val="center"/>
          </w:tcPr>
          <w:p w14:paraId="189D7B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非常罕见地暴露</w:t>
            </w:r>
          </w:p>
        </w:tc>
      </w:tr>
    </w:tbl>
    <w:p w14:paraId="2012A8D8">
      <w:pPr>
        <w:pStyle w:val="158"/>
        <w:ind w:firstLine="480"/>
        <w:rPr>
          <w:rFonts w:ascii="宋体" w:hAnsi="宋体"/>
          <w:highlight w:val="none"/>
        </w:rPr>
      </w:pPr>
      <w:r>
        <w:rPr>
          <w:rFonts w:hint="eastAsia" w:ascii="宋体" w:hAnsi="宋体"/>
          <w:highlight w:val="none"/>
        </w:rPr>
        <w:t>③</w:t>
      </w:r>
      <w:r>
        <w:rPr>
          <w:rFonts w:ascii="宋体" w:hAnsi="宋体"/>
          <w:highlight w:val="none"/>
        </w:rPr>
        <w:t>发生事故造成的后果（C）</w:t>
      </w:r>
    </w:p>
    <w:p w14:paraId="46012F71">
      <w:pPr>
        <w:pStyle w:val="158"/>
        <w:ind w:firstLine="480"/>
        <w:rPr>
          <w:rFonts w:ascii="宋体" w:hAnsi="宋体"/>
          <w:highlight w:val="none"/>
        </w:rPr>
      </w:pPr>
      <w:r>
        <w:rPr>
          <w:rFonts w:ascii="宋体" w:hAnsi="宋体"/>
          <w:highlight w:val="none"/>
        </w:rPr>
        <w:t>事故造成的人身伤害与财产损失变化范围很大，对伤亡事故来说，可从极小的轻伤直到多人死亡的严重后果。由于范围广阔，所以规定的分数值为1～100，轻伤规定分数值1，把造成十人以上死亡的可能性分数规定为100，</w:t>
      </w:r>
      <w:r>
        <w:rPr>
          <w:rFonts w:hint="eastAsia" w:ascii="宋体" w:hAnsi="宋体"/>
          <w:highlight w:val="none"/>
          <w:lang w:eastAsia="zh-CN"/>
        </w:rPr>
        <w:t>其他情况的</w:t>
      </w:r>
      <w:r>
        <w:rPr>
          <w:rFonts w:ascii="宋体" w:hAnsi="宋体"/>
          <w:highlight w:val="none"/>
        </w:rPr>
        <w:t>数值在1～100之间，如</w:t>
      </w:r>
      <w:r>
        <w:rPr>
          <w:rFonts w:hint="eastAsia" w:ascii="宋体" w:hAnsi="宋体"/>
          <w:highlight w:val="none"/>
        </w:rPr>
        <w:t>下表</w:t>
      </w:r>
      <w:r>
        <w:rPr>
          <w:rFonts w:ascii="宋体" w:hAnsi="宋体"/>
          <w:highlight w:val="none"/>
        </w:rPr>
        <w:t>所示：</w:t>
      </w:r>
    </w:p>
    <w:p w14:paraId="521215D2">
      <w:pPr>
        <w:pStyle w:val="41"/>
        <w:bidi w:val="0"/>
        <w:rPr>
          <w:highlight w:val="none"/>
        </w:rPr>
      </w:pPr>
      <w:r>
        <w:rPr>
          <w:highlight w:val="none"/>
        </w:rPr>
        <w:t>表</w:t>
      </w:r>
      <w:r>
        <w:rPr>
          <w:rFonts w:hint="eastAsia"/>
          <w:highlight w:val="none"/>
          <w:lang w:val="en-US" w:eastAsia="zh-CN"/>
        </w:rPr>
        <w:t>9</w:t>
      </w:r>
      <w:r>
        <w:rPr>
          <w:highlight w:val="none"/>
        </w:rPr>
        <w:t>-</w:t>
      </w:r>
      <w:r>
        <w:rPr>
          <w:rFonts w:hint="eastAsia"/>
          <w:highlight w:val="none"/>
        </w:rPr>
        <w:t>3</w:t>
      </w:r>
      <w:r>
        <w:rPr>
          <w:highlight w:val="none"/>
        </w:rPr>
        <w:t>发生事故造成的后果（C）</w:t>
      </w:r>
    </w:p>
    <w:tbl>
      <w:tblPr>
        <w:tblStyle w:val="30"/>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55"/>
        <w:gridCol w:w="6465"/>
      </w:tblGrid>
      <w:tr w14:paraId="5F80CC9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68D5CDE4">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793" w:type="pct"/>
            <w:tcBorders>
              <w:tl2br w:val="nil"/>
              <w:tr2bl w:val="nil"/>
            </w:tcBorders>
            <w:shd w:val="clear" w:color="auto" w:fill="FFFFFF" w:themeFill="background1"/>
            <w:noWrap w:val="0"/>
            <w:vAlign w:val="center"/>
          </w:tcPr>
          <w:p w14:paraId="5AE8D794">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事故发生的可能性</w:t>
            </w:r>
          </w:p>
        </w:tc>
      </w:tr>
      <w:tr w14:paraId="620C478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125FCE7">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100</w:t>
            </w:r>
          </w:p>
        </w:tc>
        <w:tc>
          <w:tcPr>
            <w:tcW w:w="3793" w:type="pct"/>
            <w:tcBorders>
              <w:tl2br w:val="nil"/>
              <w:tr2bl w:val="nil"/>
            </w:tcBorders>
            <w:shd w:val="clear" w:color="auto" w:fill="FFFFFF" w:themeFill="background1"/>
            <w:noWrap w:val="0"/>
            <w:vAlign w:val="center"/>
          </w:tcPr>
          <w:p w14:paraId="5E5761C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10人以上死亡</w:t>
            </w:r>
          </w:p>
        </w:tc>
      </w:tr>
      <w:tr w14:paraId="08E140E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25A9AEA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40</w:t>
            </w:r>
          </w:p>
        </w:tc>
        <w:tc>
          <w:tcPr>
            <w:tcW w:w="3793" w:type="pct"/>
            <w:tcBorders>
              <w:tl2br w:val="nil"/>
              <w:tr2bl w:val="nil"/>
            </w:tcBorders>
            <w:shd w:val="clear" w:color="auto" w:fill="FFFFFF" w:themeFill="background1"/>
            <w:noWrap w:val="0"/>
            <w:vAlign w:val="center"/>
          </w:tcPr>
          <w:p w14:paraId="4CE0A59A">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3～9人死亡</w:t>
            </w:r>
          </w:p>
        </w:tc>
      </w:tr>
      <w:tr w14:paraId="63F288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A7318B6">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15</w:t>
            </w:r>
          </w:p>
        </w:tc>
        <w:tc>
          <w:tcPr>
            <w:tcW w:w="3793" w:type="pct"/>
            <w:tcBorders>
              <w:tl2br w:val="nil"/>
              <w:tr2bl w:val="nil"/>
            </w:tcBorders>
            <w:shd w:val="clear" w:color="auto" w:fill="FFFFFF" w:themeFill="background1"/>
            <w:noWrap w:val="0"/>
            <w:vAlign w:val="center"/>
          </w:tcPr>
          <w:p w14:paraId="189606DA">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1～2人死亡</w:t>
            </w:r>
          </w:p>
        </w:tc>
      </w:tr>
      <w:tr w14:paraId="6DF38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53EA616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7</w:t>
            </w:r>
          </w:p>
        </w:tc>
        <w:tc>
          <w:tcPr>
            <w:tcW w:w="3793" w:type="pct"/>
            <w:tcBorders>
              <w:tl2br w:val="nil"/>
              <w:tr2bl w:val="nil"/>
            </w:tcBorders>
            <w:shd w:val="clear" w:color="auto" w:fill="FFFFFF" w:themeFill="background1"/>
            <w:noWrap w:val="0"/>
            <w:vAlign w:val="center"/>
          </w:tcPr>
          <w:p w14:paraId="1AA4495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致残</w:t>
            </w:r>
          </w:p>
        </w:tc>
      </w:tr>
      <w:tr w14:paraId="24B2C5B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3E299EB4">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w:t>
            </w:r>
          </w:p>
        </w:tc>
        <w:tc>
          <w:tcPr>
            <w:tcW w:w="3793" w:type="pct"/>
            <w:tcBorders>
              <w:tl2br w:val="nil"/>
              <w:tr2bl w:val="nil"/>
            </w:tcBorders>
            <w:shd w:val="clear" w:color="auto" w:fill="FFFFFF" w:themeFill="background1"/>
            <w:noWrap w:val="0"/>
            <w:vAlign w:val="center"/>
          </w:tcPr>
          <w:p w14:paraId="37C54C1D">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重伤</w:t>
            </w:r>
          </w:p>
        </w:tc>
      </w:tr>
      <w:tr w14:paraId="1BD0E77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78B7FD51">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w:t>
            </w:r>
          </w:p>
        </w:tc>
        <w:tc>
          <w:tcPr>
            <w:tcW w:w="3793" w:type="pct"/>
            <w:tcBorders>
              <w:tl2br w:val="nil"/>
              <w:tr2bl w:val="nil"/>
            </w:tcBorders>
            <w:shd w:val="clear" w:color="auto" w:fill="FFFFFF" w:themeFill="background1"/>
            <w:noWrap w:val="0"/>
            <w:vAlign w:val="center"/>
          </w:tcPr>
          <w:p w14:paraId="211DFC3A">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轻伤</w:t>
            </w:r>
          </w:p>
        </w:tc>
      </w:tr>
    </w:tbl>
    <w:p w14:paraId="0A0A8819">
      <w:pPr>
        <w:pStyle w:val="158"/>
        <w:ind w:firstLine="480"/>
        <w:rPr>
          <w:rFonts w:ascii="宋体" w:hAnsi="宋体"/>
          <w:highlight w:val="none"/>
        </w:rPr>
      </w:pPr>
      <w:r>
        <w:rPr>
          <w:rFonts w:hint="eastAsia" w:ascii="宋体" w:hAnsi="宋体"/>
          <w:highlight w:val="none"/>
        </w:rPr>
        <w:t>④</w:t>
      </w:r>
      <w:r>
        <w:rPr>
          <w:rFonts w:ascii="宋体" w:hAnsi="宋体"/>
          <w:highlight w:val="none"/>
        </w:rPr>
        <w:t>风险值（D）</w:t>
      </w:r>
    </w:p>
    <w:p w14:paraId="4B8F394A">
      <w:pPr>
        <w:pStyle w:val="158"/>
        <w:ind w:firstLine="480"/>
        <w:rPr>
          <w:rFonts w:ascii="宋体" w:hAnsi="宋体"/>
          <w:highlight w:val="none"/>
        </w:rPr>
      </w:pPr>
      <w:r>
        <w:rPr>
          <w:rFonts w:ascii="宋体" w:hAnsi="宋体"/>
          <w:highlight w:val="none"/>
        </w:rPr>
        <w:t>根据公式D＝LEC，求出风险值D。风险等级的划分是凭经验判断，难免带有局限性，不能认为是普遍适用的，风险等级的界限值并不是长期固定不变的，在不同时期，组织应根据具体情况来确定风险等级的界限值，以符合持续改进的要求。风险等级划分如</w:t>
      </w:r>
      <w:r>
        <w:rPr>
          <w:rFonts w:hint="eastAsia" w:ascii="宋体" w:hAnsi="宋体"/>
          <w:highlight w:val="none"/>
        </w:rPr>
        <w:t>下表</w:t>
      </w:r>
      <w:r>
        <w:rPr>
          <w:rFonts w:ascii="宋体" w:hAnsi="宋体"/>
          <w:highlight w:val="none"/>
        </w:rPr>
        <w:t>所示：</w:t>
      </w:r>
    </w:p>
    <w:p w14:paraId="6B62CA24">
      <w:pPr>
        <w:pStyle w:val="41"/>
        <w:bidi w:val="0"/>
        <w:rPr>
          <w:highlight w:val="none"/>
        </w:rPr>
      </w:pPr>
      <w:r>
        <w:rPr>
          <w:highlight w:val="none"/>
        </w:rPr>
        <w:t>表</w:t>
      </w:r>
      <w:r>
        <w:rPr>
          <w:rFonts w:hint="eastAsia"/>
          <w:highlight w:val="none"/>
          <w:lang w:val="en-US" w:eastAsia="zh-CN"/>
        </w:rPr>
        <w:t>9</w:t>
      </w:r>
      <w:r>
        <w:rPr>
          <w:highlight w:val="none"/>
        </w:rPr>
        <w:t>-</w:t>
      </w:r>
      <w:r>
        <w:rPr>
          <w:rFonts w:hint="eastAsia"/>
          <w:highlight w:val="none"/>
        </w:rPr>
        <w:t>4</w:t>
      </w:r>
      <w:r>
        <w:rPr>
          <w:highlight w:val="none"/>
        </w:rPr>
        <w:t>风险等级划分（D）</w:t>
      </w:r>
    </w:p>
    <w:tbl>
      <w:tblPr>
        <w:tblStyle w:val="30"/>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17"/>
        <w:gridCol w:w="3673"/>
        <w:gridCol w:w="2829"/>
      </w:tblGrid>
      <w:tr w14:paraId="4BE038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243C3F44">
            <w:pPr>
              <w:pStyle w:val="72"/>
              <w:rPr>
                <w:rFonts w:ascii="宋体" w:hAnsi="宋体"/>
                <w:b/>
                <w:highlight w:val="none"/>
              </w:rPr>
            </w:pPr>
            <w:r>
              <w:rPr>
                <w:rFonts w:ascii="宋体" w:hAnsi="宋体"/>
                <w:b/>
                <w:highlight w:val="none"/>
              </w:rPr>
              <w:t>D值</w:t>
            </w:r>
          </w:p>
        </w:tc>
        <w:tc>
          <w:tcPr>
            <w:tcW w:w="2155" w:type="pct"/>
            <w:shd w:val="clear" w:color="auto" w:fill="FFFFFF" w:themeFill="background1"/>
            <w:noWrap w:val="0"/>
            <w:vAlign w:val="center"/>
          </w:tcPr>
          <w:p w14:paraId="6BDAC51C">
            <w:pPr>
              <w:pStyle w:val="72"/>
              <w:rPr>
                <w:rFonts w:ascii="宋体" w:hAnsi="宋体"/>
                <w:b/>
                <w:highlight w:val="none"/>
              </w:rPr>
            </w:pPr>
            <w:r>
              <w:rPr>
                <w:rFonts w:ascii="宋体" w:hAnsi="宋体"/>
                <w:b/>
                <w:highlight w:val="none"/>
              </w:rPr>
              <w:t>危险程度</w:t>
            </w:r>
          </w:p>
        </w:tc>
        <w:tc>
          <w:tcPr>
            <w:tcW w:w="1660" w:type="pct"/>
            <w:shd w:val="clear" w:color="auto" w:fill="FFFFFF" w:themeFill="background1"/>
            <w:noWrap w:val="0"/>
            <w:vAlign w:val="center"/>
          </w:tcPr>
          <w:p w14:paraId="2865B375">
            <w:pPr>
              <w:pStyle w:val="72"/>
              <w:rPr>
                <w:rFonts w:ascii="宋体" w:hAnsi="宋体"/>
                <w:b/>
                <w:highlight w:val="none"/>
              </w:rPr>
            </w:pPr>
            <w:r>
              <w:rPr>
                <w:rFonts w:ascii="宋体" w:hAnsi="宋体"/>
                <w:b/>
                <w:highlight w:val="none"/>
              </w:rPr>
              <w:t>风险等级</w:t>
            </w:r>
          </w:p>
        </w:tc>
      </w:tr>
      <w:tr w14:paraId="6F0120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6822F589">
            <w:pPr>
              <w:pStyle w:val="72"/>
              <w:rPr>
                <w:rFonts w:ascii="宋体" w:hAnsi="宋体"/>
                <w:highlight w:val="none"/>
              </w:rPr>
            </w:pPr>
            <w:r>
              <w:rPr>
                <w:rFonts w:ascii="宋体" w:hAnsi="宋体"/>
                <w:highlight w:val="none"/>
              </w:rPr>
              <w:t>D</w:t>
            </w:r>
            <w:r>
              <w:rPr>
                <w:rFonts w:hint="eastAsia" w:ascii="宋体" w:hAnsi="宋体"/>
                <w:highlight w:val="none"/>
              </w:rPr>
              <w:t>＞</w:t>
            </w:r>
            <w:r>
              <w:rPr>
                <w:rFonts w:ascii="宋体" w:hAnsi="宋体"/>
                <w:highlight w:val="none"/>
              </w:rPr>
              <w:t>320</w:t>
            </w:r>
          </w:p>
        </w:tc>
        <w:tc>
          <w:tcPr>
            <w:tcW w:w="2155" w:type="pct"/>
            <w:shd w:val="clear" w:color="auto" w:fill="FFFFFF" w:themeFill="background1"/>
            <w:noWrap w:val="0"/>
            <w:vAlign w:val="center"/>
          </w:tcPr>
          <w:p w14:paraId="15DD1857">
            <w:pPr>
              <w:pStyle w:val="72"/>
              <w:rPr>
                <w:rFonts w:hint="eastAsia" w:ascii="宋体" w:hAnsi="宋体" w:eastAsia="黑体"/>
                <w:highlight w:val="none"/>
                <w:lang w:eastAsia="zh-CN"/>
              </w:rPr>
            </w:pPr>
            <w:r>
              <w:rPr>
                <w:rFonts w:hint="eastAsia" w:ascii="宋体" w:hAnsi="宋体"/>
                <w:highlight w:val="none"/>
                <w:lang w:val="en-US" w:eastAsia="zh-CN"/>
              </w:rPr>
              <w:t>重大风险</w:t>
            </w:r>
          </w:p>
        </w:tc>
        <w:tc>
          <w:tcPr>
            <w:tcW w:w="1660" w:type="pct"/>
            <w:shd w:val="clear" w:color="auto" w:fill="FFFFFF" w:themeFill="background1"/>
            <w:noWrap w:val="0"/>
            <w:vAlign w:val="center"/>
          </w:tcPr>
          <w:p w14:paraId="4092DFF4">
            <w:pPr>
              <w:pStyle w:val="72"/>
              <w:rPr>
                <w:rFonts w:hint="eastAsia" w:ascii="宋体" w:hAnsi="宋体" w:eastAsia="黑体"/>
                <w:highlight w:val="none"/>
                <w:lang w:eastAsia="zh-CN"/>
              </w:rPr>
            </w:pPr>
            <w:r>
              <w:rPr>
                <w:rFonts w:hint="eastAsia" w:ascii="宋体" w:hAnsi="宋体"/>
                <w:highlight w:val="none"/>
                <w:lang w:val="en-US" w:eastAsia="zh-CN"/>
              </w:rPr>
              <w:t>Ⅳ</w:t>
            </w:r>
          </w:p>
        </w:tc>
      </w:tr>
      <w:tr w14:paraId="5A15CF5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1CEB3543">
            <w:pPr>
              <w:pStyle w:val="72"/>
              <w:rPr>
                <w:rFonts w:ascii="宋体" w:hAnsi="宋体"/>
                <w:highlight w:val="none"/>
              </w:rPr>
            </w:pPr>
            <w:r>
              <w:rPr>
                <w:rFonts w:ascii="宋体" w:hAnsi="宋体"/>
                <w:highlight w:val="none"/>
              </w:rPr>
              <w:t>320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160</w:t>
            </w:r>
          </w:p>
        </w:tc>
        <w:tc>
          <w:tcPr>
            <w:tcW w:w="2155" w:type="pct"/>
            <w:shd w:val="clear" w:color="auto" w:fill="FFFFFF" w:themeFill="background1"/>
            <w:noWrap w:val="0"/>
            <w:vAlign w:val="center"/>
          </w:tcPr>
          <w:p w14:paraId="06F3064D">
            <w:pPr>
              <w:pStyle w:val="72"/>
              <w:rPr>
                <w:rFonts w:hint="default" w:ascii="宋体" w:hAnsi="宋体" w:eastAsia="黑体"/>
                <w:highlight w:val="none"/>
                <w:lang w:val="en-US" w:eastAsia="zh-CN"/>
              </w:rPr>
            </w:pPr>
            <w:r>
              <w:rPr>
                <w:rFonts w:hint="eastAsia" w:ascii="宋体" w:hAnsi="宋体"/>
                <w:highlight w:val="none"/>
                <w:lang w:val="en-US" w:eastAsia="zh-CN"/>
              </w:rPr>
              <w:t>较大风险</w:t>
            </w:r>
          </w:p>
        </w:tc>
        <w:tc>
          <w:tcPr>
            <w:tcW w:w="1660" w:type="pct"/>
            <w:shd w:val="clear" w:color="auto" w:fill="FFFFFF" w:themeFill="background1"/>
            <w:noWrap w:val="0"/>
            <w:vAlign w:val="center"/>
          </w:tcPr>
          <w:p w14:paraId="3BA671D9">
            <w:pPr>
              <w:pStyle w:val="72"/>
              <w:rPr>
                <w:rFonts w:hint="default" w:ascii="宋体" w:hAnsi="宋体" w:eastAsia="黑体"/>
                <w:highlight w:val="none"/>
                <w:lang w:val="en-US" w:eastAsia="zh-CN"/>
              </w:rPr>
            </w:pPr>
            <w:r>
              <w:rPr>
                <w:rFonts w:hint="eastAsia" w:ascii="宋体" w:hAnsi="宋体"/>
                <w:highlight w:val="none"/>
                <w:lang w:val="en-US" w:eastAsia="zh-CN"/>
              </w:rPr>
              <w:t>Ⅲ</w:t>
            </w:r>
          </w:p>
        </w:tc>
      </w:tr>
      <w:tr w14:paraId="14295C9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056B73FB">
            <w:pPr>
              <w:pStyle w:val="72"/>
              <w:rPr>
                <w:rFonts w:ascii="宋体" w:hAnsi="宋体"/>
                <w:highlight w:val="none"/>
              </w:rPr>
            </w:pPr>
            <w:r>
              <w:rPr>
                <w:rFonts w:ascii="宋体" w:hAnsi="宋体"/>
                <w:highlight w:val="none"/>
              </w:rPr>
              <w:t>160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70</w:t>
            </w:r>
          </w:p>
        </w:tc>
        <w:tc>
          <w:tcPr>
            <w:tcW w:w="2155" w:type="pct"/>
            <w:shd w:val="clear" w:color="auto" w:fill="FFFFFF" w:themeFill="background1"/>
            <w:noWrap w:val="0"/>
            <w:vAlign w:val="center"/>
          </w:tcPr>
          <w:p w14:paraId="34E9D889">
            <w:pPr>
              <w:pStyle w:val="72"/>
              <w:rPr>
                <w:rFonts w:hint="eastAsia" w:ascii="宋体" w:hAnsi="宋体" w:eastAsia="黑体"/>
                <w:highlight w:val="none"/>
                <w:lang w:eastAsia="zh-CN"/>
              </w:rPr>
            </w:pPr>
            <w:r>
              <w:rPr>
                <w:rFonts w:hint="eastAsia" w:ascii="宋体" w:hAnsi="宋体"/>
                <w:highlight w:val="none"/>
                <w:lang w:val="en-US" w:eastAsia="zh-CN"/>
              </w:rPr>
              <w:t>一般风险</w:t>
            </w:r>
          </w:p>
        </w:tc>
        <w:tc>
          <w:tcPr>
            <w:tcW w:w="1660" w:type="pct"/>
            <w:shd w:val="clear" w:color="auto" w:fill="FFFFFF" w:themeFill="background1"/>
            <w:noWrap w:val="0"/>
            <w:vAlign w:val="center"/>
          </w:tcPr>
          <w:p w14:paraId="12AE5853">
            <w:pPr>
              <w:pStyle w:val="72"/>
              <w:rPr>
                <w:rFonts w:hint="eastAsia" w:ascii="宋体" w:hAnsi="宋体" w:eastAsia="黑体"/>
                <w:highlight w:val="none"/>
                <w:lang w:eastAsia="zh-CN"/>
              </w:rPr>
            </w:pPr>
            <w:r>
              <w:rPr>
                <w:rFonts w:hint="eastAsia" w:ascii="宋体" w:hAnsi="宋体"/>
                <w:highlight w:val="none"/>
                <w:lang w:val="en-US" w:eastAsia="zh-CN"/>
              </w:rPr>
              <w:t>Ⅱ</w:t>
            </w:r>
          </w:p>
        </w:tc>
      </w:tr>
      <w:tr w14:paraId="5443FA5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537823B4">
            <w:pPr>
              <w:pStyle w:val="72"/>
              <w:rPr>
                <w:rFonts w:hint="default" w:ascii="宋体" w:hAnsi="宋体" w:eastAsia="黑体"/>
                <w:highlight w:val="none"/>
                <w:lang w:val="en-US" w:eastAsia="zh-CN"/>
              </w:rPr>
            </w:pPr>
            <w:r>
              <w:rPr>
                <w:rFonts w:ascii="宋体" w:hAnsi="宋体"/>
                <w:highlight w:val="none"/>
              </w:rPr>
              <w:t>D</w:t>
            </w:r>
            <w:r>
              <w:rPr>
                <w:rFonts w:hint="eastAsia" w:ascii="宋体" w:hAnsi="宋体"/>
                <w:highlight w:val="none"/>
                <w:lang w:val="en-US" w:eastAsia="zh-CN"/>
              </w:rPr>
              <w:t>≤70</w:t>
            </w:r>
          </w:p>
        </w:tc>
        <w:tc>
          <w:tcPr>
            <w:tcW w:w="2155" w:type="pct"/>
            <w:shd w:val="clear" w:color="auto" w:fill="FFFFFF" w:themeFill="background1"/>
            <w:noWrap w:val="0"/>
            <w:vAlign w:val="center"/>
          </w:tcPr>
          <w:p w14:paraId="51980FBC">
            <w:pPr>
              <w:pStyle w:val="72"/>
              <w:rPr>
                <w:rFonts w:hint="default" w:ascii="宋体" w:hAnsi="宋体" w:eastAsia="黑体"/>
                <w:highlight w:val="none"/>
                <w:lang w:val="en-US" w:eastAsia="zh-CN"/>
              </w:rPr>
            </w:pPr>
            <w:r>
              <w:rPr>
                <w:rFonts w:hint="eastAsia" w:ascii="宋体" w:hAnsi="宋体"/>
                <w:highlight w:val="none"/>
                <w:lang w:val="en-US" w:eastAsia="zh-CN"/>
              </w:rPr>
              <w:t>较小风险</w:t>
            </w:r>
          </w:p>
        </w:tc>
        <w:tc>
          <w:tcPr>
            <w:tcW w:w="1660" w:type="pct"/>
            <w:shd w:val="clear" w:color="auto" w:fill="FFFFFF" w:themeFill="background1"/>
            <w:noWrap w:val="0"/>
            <w:vAlign w:val="center"/>
          </w:tcPr>
          <w:p w14:paraId="699E8176">
            <w:pPr>
              <w:pStyle w:val="72"/>
              <w:rPr>
                <w:rFonts w:hint="eastAsia" w:ascii="宋体" w:hAnsi="宋体" w:eastAsia="黑体"/>
                <w:highlight w:val="none"/>
                <w:lang w:eastAsia="zh-CN"/>
              </w:rPr>
            </w:pPr>
            <w:r>
              <w:rPr>
                <w:rFonts w:hint="eastAsia" w:ascii="宋体" w:hAnsi="宋体"/>
                <w:highlight w:val="none"/>
                <w:lang w:val="en-US" w:eastAsia="zh-CN"/>
              </w:rPr>
              <w:t>Ⅰ</w:t>
            </w:r>
          </w:p>
        </w:tc>
      </w:tr>
    </w:tbl>
    <w:p w14:paraId="7DE0E791">
      <w:pPr>
        <w:bidi w:val="0"/>
        <w:rPr>
          <w:rFonts w:hint="eastAsia"/>
          <w:highlight w:val="none"/>
          <w:lang w:val="en-US" w:eastAsia="zh-CN"/>
        </w:rPr>
      </w:pPr>
    </w:p>
    <w:p w14:paraId="1B61E0A9">
      <w:pPr>
        <w:pStyle w:val="4"/>
        <w:bidi w:val="0"/>
        <w:ind w:left="720" w:leftChars="0" w:hanging="720" w:firstLineChars="0"/>
        <w:rPr>
          <w:rFonts w:hint="default"/>
          <w:lang w:val="en-US" w:eastAsia="zh-CN"/>
        </w:rPr>
      </w:pPr>
      <w:r>
        <w:rPr>
          <w:rFonts w:hint="eastAsia"/>
          <w:lang w:val="en-US" w:eastAsia="zh-CN"/>
        </w:rPr>
        <w:t>危险源辨识与评价</w:t>
      </w:r>
    </w:p>
    <w:p w14:paraId="58333EC1">
      <w:pPr>
        <w:ind w:firstLine="480" w:firstLineChars="200"/>
        <w:rPr>
          <w:rFonts w:ascii="宋体" w:hAnsi="宋体"/>
          <w:highlight w:val="none"/>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宋体" w:hAnsi="宋体"/>
          <w:highlight w:val="none"/>
        </w:rPr>
        <w:t>根据以上风险估测方法，对</w:t>
      </w:r>
      <w:r>
        <w:rPr>
          <w:rFonts w:hint="eastAsia"/>
          <w:highlight w:val="none"/>
          <w:lang w:val="en-US" w:eastAsia="zh-CN"/>
        </w:rPr>
        <w:t>塔机</w:t>
      </w:r>
      <w:r>
        <w:rPr>
          <w:rFonts w:hint="eastAsia" w:ascii="宋体" w:hAnsi="宋体"/>
          <w:highlight w:val="none"/>
          <w:lang w:val="en-US" w:eastAsia="zh-CN"/>
        </w:rPr>
        <w:t>安拆</w:t>
      </w:r>
      <w:r>
        <w:rPr>
          <w:rFonts w:ascii="宋体" w:hAnsi="宋体"/>
          <w:highlight w:val="none"/>
        </w:rPr>
        <w:t>施工过程主要危险源进行分析和估算，从而得出相关估测结果见</w:t>
      </w:r>
      <w:r>
        <w:rPr>
          <w:rFonts w:hint="eastAsia" w:ascii="宋体" w:hAnsi="宋体"/>
          <w:highlight w:val="none"/>
        </w:rPr>
        <w:t>下表</w:t>
      </w:r>
      <w:r>
        <w:rPr>
          <w:rFonts w:ascii="宋体" w:hAnsi="宋体"/>
          <w:highlight w:val="none"/>
        </w:rPr>
        <w:t>。</w:t>
      </w:r>
    </w:p>
    <w:tbl>
      <w:tblPr>
        <w:tblStyle w:val="30"/>
        <w:tblW w:w="4997"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510"/>
        <w:gridCol w:w="465"/>
        <w:gridCol w:w="686"/>
        <w:gridCol w:w="5408"/>
        <w:gridCol w:w="1095"/>
        <w:gridCol w:w="485"/>
        <w:gridCol w:w="420"/>
        <w:gridCol w:w="397"/>
        <w:gridCol w:w="723"/>
        <w:gridCol w:w="630"/>
        <w:gridCol w:w="1704"/>
        <w:gridCol w:w="1642"/>
      </w:tblGrid>
      <w:tr w14:paraId="2FB75A1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restart"/>
            <w:tcBorders>
              <w:tl2br w:val="nil"/>
              <w:tr2bl w:val="nil"/>
            </w:tcBorders>
            <w:shd w:val="clear" w:color="auto" w:fill="auto"/>
            <w:vAlign w:val="center"/>
          </w:tcPr>
          <w:p w14:paraId="40FE16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64" w:type="pct"/>
            <w:vMerge w:val="restart"/>
            <w:tcBorders>
              <w:tl2br w:val="nil"/>
              <w:tr2bl w:val="nil"/>
            </w:tcBorders>
            <w:shd w:val="clear" w:color="auto" w:fill="auto"/>
            <w:vAlign w:val="center"/>
          </w:tcPr>
          <w:p w14:paraId="1B7139D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作业活动单元</w:t>
            </w:r>
          </w:p>
        </w:tc>
        <w:tc>
          <w:tcPr>
            <w:tcW w:w="242" w:type="pct"/>
            <w:vMerge w:val="restart"/>
            <w:tcBorders>
              <w:tl2br w:val="nil"/>
              <w:tr2bl w:val="nil"/>
            </w:tcBorders>
            <w:shd w:val="clear" w:color="auto" w:fill="auto"/>
            <w:vAlign w:val="center"/>
          </w:tcPr>
          <w:p w14:paraId="3B2D9D82">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52CDA5C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1907" w:type="pct"/>
            <w:vMerge w:val="restart"/>
            <w:tcBorders>
              <w:tl2br w:val="nil"/>
              <w:tr2bl w:val="nil"/>
            </w:tcBorders>
            <w:shd w:val="clear" w:color="auto" w:fill="auto"/>
            <w:vAlign w:val="center"/>
          </w:tcPr>
          <w:p w14:paraId="17E482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 xml:space="preserve"> 可能存在的隐患</w:t>
            </w:r>
          </w:p>
        </w:tc>
        <w:tc>
          <w:tcPr>
            <w:tcW w:w="386" w:type="pct"/>
            <w:vMerge w:val="restart"/>
            <w:tcBorders>
              <w:tl2br w:val="nil"/>
              <w:tr2bl w:val="nil"/>
            </w:tcBorders>
            <w:shd w:val="clear" w:color="auto" w:fill="auto"/>
            <w:vAlign w:val="center"/>
          </w:tcPr>
          <w:p w14:paraId="1258CEE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6FB05D44">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714" w:type="pct"/>
            <w:gridSpan w:val="4"/>
            <w:tcBorders>
              <w:tl2br w:val="nil"/>
              <w:tr2bl w:val="nil"/>
            </w:tcBorders>
            <w:shd w:val="clear" w:color="auto" w:fill="auto"/>
            <w:vAlign w:val="center"/>
          </w:tcPr>
          <w:p w14:paraId="7F84DA3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危险、有害因素评价</w:t>
            </w:r>
          </w:p>
        </w:tc>
        <w:tc>
          <w:tcPr>
            <w:tcW w:w="222" w:type="pct"/>
            <w:vMerge w:val="restart"/>
            <w:tcBorders>
              <w:tl2br w:val="nil"/>
              <w:tr2bl w:val="nil"/>
            </w:tcBorders>
            <w:shd w:val="clear" w:color="auto" w:fill="auto"/>
            <w:vAlign w:val="center"/>
          </w:tcPr>
          <w:p w14:paraId="79CD3AE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7F39677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601" w:type="pct"/>
            <w:vMerge w:val="restart"/>
            <w:tcBorders>
              <w:tl2br w:val="nil"/>
              <w:tr2bl w:val="nil"/>
            </w:tcBorders>
            <w:shd w:val="clear" w:color="auto" w:fill="auto"/>
            <w:vAlign w:val="center"/>
          </w:tcPr>
          <w:p w14:paraId="1155779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现行法律法规</w:t>
            </w:r>
          </w:p>
        </w:tc>
        <w:tc>
          <w:tcPr>
            <w:tcW w:w="579" w:type="pct"/>
            <w:vMerge w:val="restart"/>
            <w:tcBorders>
              <w:tl2br w:val="nil"/>
              <w:tr2bl w:val="nil"/>
            </w:tcBorders>
            <w:shd w:val="clear" w:color="auto" w:fill="auto"/>
            <w:vAlign w:val="center"/>
          </w:tcPr>
          <w:p w14:paraId="657EDC1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控制方法</w:t>
            </w:r>
          </w:p>
        </w:tc>
      </w:tr>
      <w:tr w14:paraId="0C7DCF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553B5F09">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0CFEB18D">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70CDA00">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73D3001D">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2E639AB6">
            <w:pPr>
              <w:spacing w:line="240" w:lineRule="auto"/>
              <w:jc w:val="center"/>
              <w:rPr>
                <w:rFonts w:hint="eastAsia" w:ascii="宋体" w:hAnsi="宋体" w:eastAsia="宋体" w:cs="宋体"/>
                <w:b/>
                <w:bCs/>
                <w:i w:val="0"/>
                <w:iCs w:val="0"/>
                <w:color w:val="000000"/>
                <w:sz w:val="18"/>
                <w:szCs w:val="18"/>
                <w:highlight w:val="none"/>
                <w:u w:val="none"/>
              </w:rPr>
            </w:pPr>
          </w:p>
        </w:tc>
        <w:tc>
          <w:tcPr>
            <w:tcW w:w="714" w:type="pct"/>
            <w:gridSpan w:val="4"/>
            <w:tcBorders>
              <w:tl2br w:val="nil"/>
              <w:tr2bl w:val="nil"/>
            </w:tcBorders>
            <w:shd w:val="clear" w:color="auto" w:fill="auto"/>
            <w:vAlign w:val="center"/>
          </w:tcPr>
          <w:p w14:paraId="2D5A04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D=LEC</w:t>
            </w:r>
          </w:p>
        </w:tc>
        <w:tc>
          <w:tcPr>
            <w:tcW w:w="222" w:type="pct"/>
            <w:vMerge w:val="continue"/>
            <w:tcBorders>
              <w:tl2br w:val="nil"/>
              <w:tr2bl w:val="nil"/>
            </w:tcBorders>
            <w:shd w:val="clear" w:color="auto" w:fill="auto"/>
            <w:vAlign w:val="center"/>
          </w:tcPr>
          <w:p w14:paraId="4FBB173C">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3DA3122D">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0A2574">
            <w:pPr>
              <w:spacing w:line="240" w:lineRule="auto"/>
              <w:jc w:val="center"/>
              <w:rPr>
                <w:rFonts w:hint="eastAsia" w:ascii="宋体" w:hAnsi="宋体" w:eastAsia="宋体" w:cs="宋体"/>
                <w:b/>
                <w:bCs/>
                <w:i w:val="0"/>
                <w:iCs w:val="0"/>
                <w:color w:val="000000"/>
                <w:sz w:val="18"/>
                <w:szCs w:val="18"/>
                <w:highlight w:val="none"/>
                <w:u w:val="none"/>
              </w:rPr>
            </w:pPr>
          </w:p>
        </w:tc>
      </w:tr>
      <w:tr w14:paraId="1CAB75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44EBD51D">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734635A3">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C14C5D5">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18228B15">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1B51598A">
            <w:pPr>
              <w:spacing w:line="240" w:lineRule="auto"/>
              <w:jc w:val="center"/>
              <w:rPr>
                <w:rFonts w:hint="eastAsia" w:ascii="宋体" w:hAnsi="宋体" w:eastAsia="宋体" w:cs="宋体"/>
                <w:b/>
                <w:bCs/>
                <w:i w:val="0"/>
                <w:iCs w:val="0"/>
                <w:color w:val="000000"/>
                <w:sz w:val="18"/>
                <w:szCs w:val="18"/>
                <w:highlight w:val="none"/>
                <w:u w:val="none"/>
              </w:rPr>
            </w:pPr>
          </w:p>
        </w:tc>
        <w:tc>
          <w:tcPr>
            <w:tcW w:w="171" w:type="pct"/>
            <w:tcBorders>
              <w:tl2br w:val="nil"/>
              <w:tr2bl w:val="nil"/>
            </w:tcBorders>
            <w:shd w:val="clear" w:color="auto" w:fill="auto"/>
            <w:vAlign w:val="center"/>
          </w:tcPr>
          <w:p w14:paraId="7001009E">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L</w:t>
            </w:r>
          </w:p>
        </w:tc>
        <w:tc>
          <w:tcPr>
            <w:tcW w:w="148" w:type="pct"/>
            <w:tcBorders>
              <w:tl2br w:val="nil"/>
              <w:tr2bl w:val="nil"/>
            </w:tcBorders>
            <w:shd w:val="clear" w:color="auto" w:fill="auto"/>
            <w:vAlign w:val="center"/>
          </w:tcPr>
          <w:p w14:paraId="28BE9A57">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E</w:t>
            </w:r>
          </w:p>
        </w:tc>
        <w:tc>
          <w:tcPr>
            <w:tcW w:w="140" w:type="pct"/>
            <w:tcBorders>
              <w:tl2br w:val="nil"/>
              <w:tr2bl w:val="nil"/>
            </w:tcBorders>
            <w:shd w:val="clear" w:color="auto" w:fill="auto"/>
            <w:vAlign w:val="center"/>
          </w:tcPr>
          <w:p w14:paraId="7513AFE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C</w:t>
            </w:r>
          </w:p>
        </w:tc>
        <w:tc>
          <w:tcPr>
            <w:tcW w:w="253" w:type="pct"/>
            <w:tcBorders>
              <w:tl2br w:val="nil"/>
              <w:tr2bl w:val="nil"/>
            </w:tcBorders>
            <w:shd w:val="clear" w:color="auto" w:fill="auto"/>
            <w:vAlign w:val="center"/>
          </w:tcPr>
          <w:p w14:paraId="6859474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w:t>
            </w:r>
          </w:p>
        </w:tc>
        <w:tc>
          <w:tcPr>
            <w:tcW w:w="222" w:type="pct"/>
            <w:vMerge w:val="continue"/>
            <w:tcBorders>
              <w:tl2br w:val="nil"/>
              <w:tr2bl w:val="nil"/>
            </w:tcBorders>
            <w:shd w:val="clear" w:color="auto" w:fill="auto"/>
            <w:vAlign w:val="center"/>
          </w:tcPr>
          <w:p w14:paraId="4EC1DF46">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6D0BEC3E">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B789515">
            <w:pPr>
              <w:spacing w:line="240" w:lineRule="auto"/>
              <w:jc w:val="center"/>
              <w:rPr>
                <w:rFonts w:hint="eastAsia" w:ascii="宋体" w:hAnsi="宋体" w:eastAsia="宋体" w:cs="宋体"/>
                <w:b/>
                <w:bCs/>
                <w:i w:val="0"/>
                <w:iCs w:val="0"/>
                <w:color w:val="000000"/>
                <w:sz w:val="18"/>
                <w:szCs w:val="18"/>
                <w:highlight w:val="none"/>
                <w:u w:val="none"/>
              </w:rPr>
            </w:pPr>
          </w:p>
        </w:tc>
      </w:tr>
      <w:tr w14:paraId="32CD3B1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057B6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64" w:type="pct"/>
            <w:vMerge w:val="restart"/>
            <w:tcBorders>
              <w:tl2br w:val="nil"/>
              <w:tr2bl w:val="nil"/>
            </w:tcBorders>
            <w:shd w:val="clear" w:color="auto" w:fill="auto"/>
            <w:vAlign w:val="center"/>
          </w:tcPr>
          <w:p w14:paraId="0BDE77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起重作业</w:t>
            </w:r>
          </w:p>
        </w:tc>
        <w:tc>
          <w:tcPr>
            <w:tcW w:w="242" w:type="pct"/>
            <w:vMerge w:val="restart"/>
            <w:tcBorders>
              <w:tl2br w:val="nil"/>
              <w:tr2bl w:val="nil"/>
            </w:tcBorders>
            <w:shd w:val="clear" w:color="auto" w:fill="auto"/>
            <w:vAlign w:val="center"/>
          </w:tcPr>
          <w:p w14:paraId="17E34D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2435076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作业</w:t>
            </w:r>
          </w:p>
          <w:p w14:paraId="3A63E77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095780B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9E5FCF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作业前，未检查起重吊装所使用的起重机滑轮、吊索、卡环和地锚等</w:t>
            </w:r>
          </w:p>
        </w:tc>
        <w:tc>
          <w:tcPr>
            <w:tcW w:w="386" w:type="pct"/>
            <w:tcBorders>
              <w:tl2br w:val="nil"/>
              <w:tr2bl w:val="nil"/>
            </w:tcBorders>
            <w:shd w:val="clear" w:color="auto" w:fill="auto"/>
            <w:vAlign w:val="center"/>
          </w:tcPr>
          <w:p w14:paraId="0DB21A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3204B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031F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55E42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5C2966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0C592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restart"/>
            <w:tcBorders>
              <w:tl2br w:val="nil"/>
              <w:tr2bl w:val="nil"/>
            </w:tcBorders>
            <w:shd w:val="clear" w:color="auto" w:fill="auto"/>
            <w:vAlign w:val="center"/>
          </w:tcPr>
          <w:p w14:paraId="636E57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《安全生产法》《建设工程安全生产管理条例》《公路工程施工安全技术规范》《施工现场临时用电安全技术规范》《构筑物施工安全检查标准》《重大危险源辨识》等</w:t>
            </w:r>
          </w:p>
        </w:tc>
        <w:tc>
          <w:tcPr>
            <w:tcW w:w="579" w:type="pct"/>
            <w:vMerge w:val="restart"/>
            <w:tcBorders>
              <w:tl2br w:val="nil"/>
              <w:tr2bl w:val="nil"/>
            </w:tcBorders>
            <w:shd w:val="clear" w:color="auto" w:fill="auto"/>
            <w:vAlign w:val="center"/>
          </w:tcPr>
          <w:p w14:paraId="5391F2C2">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1、严格按方案要求组织施工；</w:t>
            </w:r>
          </w:p>
          <w:p w14:paraId="56AF4453">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2、进行危险源辨识，制定控制措施</w:t>
            </w:r>
          </w:p>
          <w:p w14:paraId="55F6E621">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3、遵守安全管理制度和安全操作规程</w:t>
            </w:r>
          </w:p>
          <w:p w14:paraId="07D9614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4、开展定期和不定期的安全大检查</w:t>
            </w:r>
          </w:p>
          <w:p w14:paraId="7123D48E">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5、针对不同岗位、工种，开展有针对性的安全教育培训；</w:t>
            </w:r>
          </w:p>
          <w:p w14:paraId="6232FD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6、按照分包合同要求严格管理。</w:t>
            </w:r>
          </w:p>
        </w:tc>
      </w:tr>
      <w:tr w14:paraId="22169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B8B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64" w:type="pct"/>
            <w:vMerge w:val="continue"/>
            <w:tcBorders>
              <w:tl2br w:val="nil"/>
              <w:tr2bl w:val="nil"/>
            </w:tcBorders>
            <w:shd w:val="clear" w:color="auto" w:fill="auto"/>
            <w:vAlign w:val="center"/>
          </w:tcPr>
          <w:p w14:paraId="23A2B9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E0EE5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2E64C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吊装业作区未设置明显标志或警戒区；夜间施工没有足够的照明</w:t>
            </w:r>
          </w:p>
        </w:tc>
        <w:tc>
          <w:tcPr>
            <w:tcW w:w="386" w:type="pct"/>
            <w:tcBorders>
              <w:tl2br w:val="nil"/>
              <w:tr2bl w:val="nil"/>
            </w:tcBorders>
            <w:shd w:val="clear" w:color="auto" w:fill="auto"/>
            <w:vAlign w:val="center"/>
          </w:tcPr>
          <w:p w14:paraId="631989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FA769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721721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7668A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9167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CD191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61014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5E9EAC">
            <w:pPr>
              <w:spacing w:line="240" w:lineRule="auto"/>
              <w:jc w:val="left"/>
              <w:rPr>
                <w:rFonts w:hint="eastAsia" w:ascii="宋体" w:hAnsi="宋体" w:eastAsia="宋体" w:cs="宋体"/>
                <w:i w:val="0"/>
                <w:iCs w:val="0"/>
                <w:color w:val="000000"/>
                <w:sz w:val="18"/>
                <w:szCs w:val="18"/>
                <w:highlight w:val="none"/>
                <w:u w:val="none"/>
              </w:rPr>
            </w:pPr>
          </w:p>
        </w:tc>
      </w:tr>
      <w:tr w14:paraId="1AB7ED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0834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64" w:type="pct"/>
            <w:vMerge w:val="continue"/>
            <w:tcBorders>
              <w:tl2br w:val="nil"/>
              <w:tr2bl w:val="nil"/>
            </w:tcBorders>
            <w:shd w:val="clear" w:color="auto" w:fill="auto"/>
            <w:vAlign w:val="center"/>
          </w:tcPr>
          <w:p w14:paraId="4EB8A21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00A919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B7D4A1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起重设备通行道路不平整、坚实</w:t>
            </w:r>
          </w:p>
        </w:tc>
        <w:tc>
          <w:tcPr>
            <w:tcW w:w="386" w:type="pct"/>
            <w:tcBorders>
              <w:tl2br w:val="nil"/>
              <w:tr2bl w:val="nil"/>
            </w:tcBorders>
            <w:shd w:val="clear" w:color="auto" w:fill="auto"/>
            <w:vAlign w:val="center"/>
          </w:tcPr>
          <w:p w14:paraId="7F88ED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F8E23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8" w:type="pct"/>
            <w:tcBorders>
              <w:tl2br w:val="nil"/>
              <w:tr2bl w:val="nil"/>
            </w:tcBorders>
            <w:shd w:val="clear" w:color="auto" w:fill="auto"/>
            <w:vAlign w:val="center"/>
          </w:tcPr>
          <w:p w14:paraId="6A6D5B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D23CD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30A0DB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0EFE5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00F34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50D21F">
            <w:pPr>
              <w:spacing w:line="240" w:lineRule="auto"/>
              <w:jc w:val="left"/>
              <w:rPr>
                <w:rFonts w:hint="eastAsia" w:ascii="宋体" w:hAnsi="宋体" w:eastAsia="宋体" w:cs="宋体"/>
                <w:i w:val="0"/>
                <w:iCs w:val="0"/>
                <w:color w:val="000000"/>
                <w:sz w:val="18"/>
                <w:szCs w:val="18"/>
                <w:highlight w:val="none"/>
                <w:u w:val="none"/>
              </w:rPr>
            </w:pPr>
          </w:p>
        </w:tc>
      </w:tr>
      <w:tr w14:paraId="2AADB8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029D9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64" w:type="pct"/>
            <w:vMerge w:val="continue"/>
            <w:tcBorders>
              <w:tl2br w:val="nil"/>
              <w:tr2bl w:val="nil"/>
            </w:tcBorders>
            <w:shd w:val="clear" w:color="auto" w:fill="auto"/>
            <w:vAlign w:val="center"/>
          </w:tcPr>
          <w:p w14:paraId="285E485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8A747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123BDE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高空用的吊篮和临时工作台未绑扎牢靠，没有防护栏杆</w:t>
            </w:r>
          </w:p>
        </w:tc>
        <w:tc>
          <w:tcPr>
            <w:tcW w:w="386" w:type="pct"/>
            <w:tcBorders>
              <w:tl2br w:val="nil"/>
              <w:tr2bl w:val="nil"/>
            </w:tcBorders>
            <w:shd w:val="clear" w:color="auto" w:fill="auto"/>
            <w:vAlign w:val="center"/>
          </w:tcPr>
          <w:p w14:paraId="547F9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A9623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735EE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B821A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EF2BE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695DA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96983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61C6AF7">
            <w:pPr>
              <w:spacing w:line="240" w:lineRule="auto"/>
              <w:jc w:val="left"/>
              <w:rPr>
                <w:rFonts w:hint="eastAsia" w:ascii="宋体" w:hAnsi="宋体" w:eastAsia="宋体" w:cs="宋体"/>
                <w:i w:val="0"/>
                <w:iCs w:val="0"/>
                <w:color w:val="000000"/>
                <w:sz w:val="18"/>
                <w:szCs w:val="18"/>
                <w:highlight w:val="none"/>
                <w:u w:val="none"/>
              </w:rPr>
            </w:pPr>
          </w:p>
        </w:tc>
      </w:tr>
      <w:tr w14:paraId="664028B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B64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64" w:type="pct"/>
            <w:vMerge w:val="continue"/>
            <w:tcBorders>
              <w:tl2br w:val="nil"/>
              <w:tr2bl w:val="nil"/>
            </w:tcBorders>
            <w:shd w:val="clear" w:color="auto" w:fill="auto"/>
            <w:vAlign w:val="center"/>
          </w:tcPr>
          <w:p w14:paraId="022972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8C4B15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BF01CC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吊篮和工作台的脚手板未铺平绑牢，存在探头板</w:t>
            </w:r>
          </w:p>
        </w:tc>
        <w:tc>
          <w:tcPr>
            <w:tcW w:w="386" w:type="pct"/>
            <w:tcBorders>
              <w:tl2br w:val="nil"/>
              <w:tr2bl w:val="nil"/>
            </w:tcBorders>
            <w:shd w:val="clear" w:color="auto" w:fill="auto"/>
            <w:vAlign w:val="center"/>
          </w:tcPr>
          <w:p w14:paraId="2D301BA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高处坠落</w:t>
            </w:r>
          </w:p>
          <w:p w14:paraId="15D402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672B3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B0611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B42DF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95A5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724839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E7E60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9628F2">
            <w:pPr>
              <w:spacing w:line="240" w:lineRule="auto"/>
              <w:jc w:val="left"/>
              <w:rPr>
                <w:rFonts w:hint="eastAsia" w:ascii="宋体" w:hAnsi="宋体" w:eastAsia="宋体" w:cs="宋体"/>
                <w:i w:val="0"/>
                <w:iCs w:val="0"/>
                <w:color w:val="000000"/>
                <w:sz w:val="18"/>
                <w:szCs w:val="18"/>
                <w:highlight w:val="none"/>
                <w:u w:val="none"/>
              </w:rPr>
            </w:pPr>
          </w:p>
        </w:tc>
      </w:tr>
      <w:tr w14:paraId="4E744F2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25AFC6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64" w:type="pct"/>
            <w:vMerge w:val="continue"/>
            <w:tcBorders>
              <w:tl2br w:val="nil"/>
              <w:tr2bl w:val="nil"/>
            </w:tcBorders>
            <w:shd w:val="clear" w:color="auto" w:fill="auto"/>
            <w:vAlign w:val="center"/>
          </w:tcPr>
          <w:p w14:paraId="51B4FBE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FE2586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01779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吊物下方站人</w:t>
            </w:r>
          </w:p>
        </w:tc>
        <w:tc>
          <w:tcPr>
            <w:tcW w:w="386" w:type="pct"/>
            <w:tcBorders>
              <w:tl2br w:val="nil"/>
              <w:tr2bl w:val="nil"/>
            </w:tcBorders>
            <w:shd w:val="clear" w:color="auto" w:fill="auto"/>
            <w:vAlign w:val="center"/>
          </w:tcPr>
          <w:p w14:paraId="14899B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7A321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5AFFA9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9BAE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6844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77B5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3C88F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70E3346">
            <w:pPr>
              <w:spacing w:line="240" w:lineRule="auto"/>
              <w:jc w:val="left"/>
              <w:rPr>
                <w:rFonts w:hint="eastAsia" w:ascii="宋体" w:hAnsi="宋体" w:eastAsia="宋体" w:cs="宋体"/>
                <w:i w:val="0"/>
                <w:iCs w:val="0"/>
                <w:color w:val="000000"/>
                <w:sz w:val="18"/>
                <w:szCs w:val="18"/>
                <w:highlight w:val="none"/>
                <w:u w:val="none"/>
              </w:rPr>
            </w:pPr>
          </w:p>
        </w:tc>
      </w:tr>
      <w:tr w14:paraId="24A4329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027EC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64" w:type="pct"/>
            <w:vMerge w:val="continue"/>
            <w:tcBorders>
              <w:tl2br w:val="nil"/>
              <w:tr2bl w:val="nil"/>
            </w:tcBorders>
            <w:shd w:val="clear" w:color="auto" w:fill="auto"/>
            <w:vAlign w:val="center"/>
          </w:tcPr>
          <w:p w14:paraId="483AF54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5663C5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91537F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起吊前，未对起重机钢丝绳及连接部位和吊具进行检查</w:t>
            </w:r>
          </w:p>
        </w:tc>
        <w:tc>
          <w:tcPr>
            <w:tcW w:w="386" w:type="pct"/>
            <w:tcBorders>
              <w:tl2br w:val="nil"/>
              <w:tr2bl w:val="nil"/>
            </w:tcBorders>
            <w:shd w:val="clear" w:color="auto" w:fill="auto"/>
            <w:vAlign w:val="center"/>
          </w:tcPr>
          <w:p w14:paraId="38EA5A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4B57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83E37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90F0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19CCB1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32D9477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C771CC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BD049BA">
            <w:pPr>
              <w:spacing w:line="240" w:lineRule="auto"/>
              <w:jc w:val="left"/>
              <w:rPr>
                <w:rFonts w:hint="eastAsia" w:ascii="宋体" w:hAnsi="宋体" w:eastAsia="宋体" w:cs="宋体"/>
                <w:i w:val="0"/>
                <w:iCs w:val="0"/>
                <w:color w:val="000000"/>
                <w:sz w:val="18"/>
                <w:szCs w:val="18"/>
                <w:highlight w:val="none"/>
                <w:u w:val="none"/>
              </w:rPr>
            </w:pPr>
          </w:p>
        </w:tc>
      </w:tr>
      <w:tr w14:paraId="00C720A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9C32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64" w:type="pct"/>
            <w:vMerge w:val="continue"/>
            <w:tcBorders>
              <w:tl2br w:val="nil"/>
              <w:tr2bl w:val="nil"/>
            </w:tcBorders>
            <w:shd w:val="clear" w:color="auto" w:fill="auto"/>
            <w:vAlign w:val="center"/>
          </w:tcPr>
          <w:p w14:paraId="07D3AE0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1FC519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56444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吊装大、重构件和采用新的吊装工艺时，未进行试吊</w:t>
            </w:r>
          </w:p>
        </w:tc>
        <w:tc>
          <w:tcPr>
            <w:tcW w:w="386" w:type="pct"/>
            <w:tcBorders>
              <w:tl2br w:val="nil"/>
              <w:tr2bl w:val="nil"/>
            </w:tcBorders>
            <w:shd w:val="clear" w:color="auto" w:fill="auto"/>
            <w:vAlign w:val="center"/>
          </w:tcPr>
          <w:p w14:paraId="339F742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5259B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16AF88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584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346EF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109297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1CF3F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88144B2">
            <w:pPr>
              <w:spacing w:line="240" w:lineRule="auto"/>
              <w:jc w:val="left"/>
              <w:rPr>
                <w:rFonts w:hint="eastAsia" w:ascii="宋体" w:hAnsi="宋体" w:eastAsia="宋体" w:cs="宋体"/>
                <w:i w:val="0"/>
                <w:iCs w:val="0"/>
                <w:color w:val="000000"/>
                <w:sz w:val="18"/>
                <w:szCs w:val="18"/>
                <w:highlight w:val="none"/>
                <w:u w:val="none"/>
              </w:rPr>
            </w:pPr>
          </w:p>
        </w:tc>
      </w:tr>
      <w:tr w14:paraId="12A4222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38C2C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64" w:type="pct"/>
            <w:vMerge w:val="continue"/>
            <w:tcBorders>
              <w:tl2br w:val="nil"/>
              <w:tr2bl w:val="nil"/>
            </w:tcBorders>
            <w:shd w:val="clear" w:color="auto" w:fill="auto"/>
            <w:vAlign w:val="center"/>
          </w:tcPr>
          <w:p w14:paraId="603B8D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E2A78E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63D89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大雨、雾、大雪及六级以上大风等恶劣天气进行吊装作业</w:t>
            </w:r>
          </w:p>
        </w:tc>
        <w:tc>
          <w:tcPr>
            <w:tcW w:w="386" w:type="pct"/>
            <w:tcBorders>
              <w:tl2br w:val="nil"/>
              <w:tr2bl w:val="nil"/>
            </w:tcBorders>
            <w:shd w:val="clear" w:color="auto" w:fill="auto"/>
            <w:vAlign w:val="center"/>
          </w:tcPr>
          <w:p w14:paraId="0BF1A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F737E8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439B8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351C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1B867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1E1665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26283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5719FE9">
            <w:pPr>
              <w:spacing w:line="240" w:lineRule="auto"/>
              <w:jc w:val="left"/>
              <w:rPr>
                <w:rFonts w:hint="eastAsia" w:ascii="宋体" w:hAnsi="宋体" w:eastAsia="宋体" w:cs="宋体"/>
                <w:i w:val="0"/>
                <w:iCs w:val="0"/>
                <w:color w:val="000000"/>
                <w:sz w:val="18"/>
                <w:szCs w:val="18"/>
                <w:highlight w:val="none"/>
                <w:u w:val="none"/>
              </w:rPr>
            </w:pPr>
          </w:p>
        </w:tc>
      </w:tr>
      <w:tr w14:paraId="7C698E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61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64" w:type="pct"/>
            <w:vMerge w:val="continue"/>
            <w:tcBorders>
              <w:tl2br w:val="nil"/>
              <w:tr2bl w:val="nil"/>
            </w:tcBorders>
            <w:shd w:val="clear" w:color="auto" w:fill="auto"/>
            <w:vAlign w:val="center"/>
          </w:tcPr>
          <w:p w14:paraId="015AFFA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85D46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252AB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采用了斜拉、斜吊，或者起吊埋于地下或粘结在地面上的构件</w:t>
            </w:r>
          </w:p>
        </w:tc>
        <w:tc>
          <w:tcPr>
            <w:tcW w:w="386" w:type="pct"/>
            <w:tcBorders>
              <w:tl2br w:val="nil"/>
              <w:tr2bl w:val="nil"/>
            </w:tcBorders>
            <w:shd w:val="clear" w:color="auto" w:fill="auto"/>
            <w:vAlign w:val="center"/>
          </w:tcPr>
          <w:p w14:paraId="7D2BF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37D807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3A330E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BD540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47CC6A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7A5DEE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53C93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857B7B6">
            <w:pPr>
              <w:spacing w:line="240" w:lineRule="auto"/>
              <w:jc w:val="left"/>
              <w:rPr>
                <w:rFonts w:hint="eastAsia" w:ascii="宋体" w:hAnsi="宋体" w:eastAsia="宋体" w:cs="宋体"/>
                <w:i w:val="0"/>
                <w:iCs w:val="0"/>
                <w:color w:val="000000"/>
                <w:sz w:val="18"/>
                <w:szCs w:val="18"/>
                <w:highlight w:val="none"/>
                <w:u w:val="none"/>
              </w:rPr>
            </w:pPr>
          </w:p>
        </w:tc>
      </w:tr>
      <w:tr w14:paraId="382D534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51E5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64" w:type="pct"/>
            <w:vMerge w:val="continue"/>
            <w:tcBorders>
              <w:tl2br w:val="nil"/>
              <w:tr2bl w:val="nil"/>
            </w:tcBorders>
            <w:shd w:val="clear" w:color="auto" w:fill="auto"/>
            <w:vAlign w:val="center"/>
          </w:tcPr>
          <w:p w14:paraId="409F445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FCEF49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0026FE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起重机与架空输电线距离不满足相关标准的规定</w:t>
            </w:r>
          </w:p>
        </w:tc>
        <w:tc>
          <w:tcPr>
            <w:tcW w:w="386" w:type="pct"/>
            <w:tcBorders>
              <w:tl2br w:val="nil"/>
              <w:tr2bl w:val="nil"/>
            </w:tcBorders>
            <w:shd w:val="clear" w:color="auto" w:fill="auto"/>
            <w:vAlign w:val="center"/>
          </w:tcPr>
          <w:p w14:paraId="68D16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475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2B3211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2E8C0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B42BFF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006C22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19E5E6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D13680">
            <w:pPr>
              <w:spacing w:line="240" w:lineRule="auto"/>
              <w:jc w:val="left"/>
              <w:rPr>
                <w:rFonts w:hint="eastAsia" w:ascii="宋体" w:hAnsi="宋体" w:eastAsia="宋体" w:cs="宋体"/>
                <w:i w:val="0"/>
                <w:iCs w:val="0"/>
                <w:color w:val="000000"/>
                <w:sz w:val="18"/>
                <w:szCs w:val="18"/>
                <w:highlight w:val="none"/>
                <w:u w:val="none"/>
              </w:rPr>
            </w:pPr>
          </w:p>
        </w:tc>
      </w:tr>
      <w:tr w14:paraId="0DEDFF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810B9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64" w:type="pct"/>
            <w:vMerge w:val="continue"/>
            <w:tcBorders>
              <w:tl2br w:val="nil"/>
              <w:tr2bl w:val="nil"/>
            </w:tcBorders>
            <w:shd w:val="clear" w:color="auto" w:fill="auto"/>
            <w:vAlign w:val="center"/>
          </w:tcPr>
          <w:p w14:paraId="052728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896038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86E7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起吊过程中，在起重机行走、回转、俯仰吊臂、起落吊钩等动作前，起重司机未鸣声示意</w:t>
            </w:r>
          </w:p>
        </w:tc>
        <w:tc>
          <w:tcPr>
            <w:tcW w:w="386" w:type="pct"/>
            <w:tcBorders>
              <w:tl2br w:val="nil"/>
              <w:tr2bl w:val="nil"/>
            </w:tcBorders>
            <w:shd w:val="clear" w:color="auto" w:fill="auto"/>
            <w:vAlign w:val="center"/>
          </w:tcPr>
          <w:p w14:paraId="630BA0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BADFC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1E823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A3FB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6D61EF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01473F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324D08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67EAEB9">
            <w:pPr>
              <w:spacing w:line="240" w:lineRule="auto"/>
              <w:jc w:val="left"/>
              <w:rPr>
                <w:rFonts w:hint="eastAsia" w:ascii="宋体" w:hAnsi="宋体" w:eastAsia="宋体" w:cs="宋体"/>
                <w:i w:val="0"/>
                <w:iCs w:val="0"/>
                <w:color w:val="000000"/>
                <w:sz w:val="18"/>
                <w:szCs w:val="18"/>
                <w:highlight w:val="none"/>
                <w:u w:val="none"/>
              </w:rPr>
            </w:pPr>
          </w:p>
        </w:tc>
      </w:tr>
      <w:tr w14:paraId="1E4ACC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DB8E9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64" w:type="pct"/>
            <w:vMerge w:val="continue"/>
            <w:tcBorders>
              <w:tl2br w:val="nil"/>
              <w:tr2bl w:val="nil"/>
            </w:tcBorders>
            <w:shd w:val="clear" w:color="auto" w:fill="auto"/>
            <w:vAlign w:val="center"/>
          </w:tcPr>
          <w:p w14:paraId="7C1159B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1BB05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EE78AC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在已吊起的构件下面或起重臂下旋转范围内作业或行走</w:t>
            </w:r>
          </w:p>
        </w:tc>
        <w:tc>
          <w:tcPr>
            <w:tcW w:w="386" w:type="pct"/>
            <w:tcBorders>
              <w:tl2br w:val="nil"/>
              <w:tr2bl w:val="nil"/>
            </w:tcBorders>
            <w:shd w:val="clear" w:color="auto" w:fill="auto"/>
            <w:vAlign w:val="center"/>
          </w:tcPr>
          <w:p w14:paraId="32B84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F2293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6B3A2E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AEABA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80E96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239D5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286F2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34C90B">
            <w:pPr>
              <w:spacing w:line="240" w:lineRule="auto"/>
              <w:jc w:val="left"/>
              <w:rPr>
                <w:rFonts w:hint="eastAsia" w:ascii="宋体" w:hAnsi="宋体" w:eastAsia="宋体" w:cs="宋体"/>
                <w:i w:val="0"/>
                <w:iCs w:val="0"/>
                <w:color w:val="000000"/>
                <w:sz w:val="18"/>
                <w:szCs w:val="18"/>
                <w:highlight w:val="none"/>
                <w:u w:val="none"/>
              </w:rPr>
            </w:pPr>
          </w:p>
        </w:tc>
      </w:tr>
      <w:tr w14:paraId="67FDB5B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2C57D1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164" w:type="pct"/>
            <w:vMerge w:val="continue"/>
            <w:tcBorders>
              <w:tl2br w:val="nil"/>
              <w:tr2bl w:val="nil"/>
            </w:tcBorders>
            <w:shd w:val="clear" w:color="auto" w:fill="auto"/>
            <w:vAlign w:val="center"/>
          </w:tcPr>
          <w:p w14:paraId="72D0E2E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A828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8AB9D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高处安装中的电、气焊作业，未严格采取安全防火措施，在作业处下面周围10m范围内有人</w:t>
            </w:r>
          </w:p>
        </w:tc>
        <w:tc>
          <w:tcPr>
            <w:tcW w:w="386" w:type="pct"/>
            <w:tcBorders>
              <w:tl2br w:val="nil"/>
              <w:tr2bl w:val="nil"/>
            </w:tcBorders>
            <w:shd w:val="clear" w:color="auto" w:fill="auto"/>
            <w:vAlign w:val="center"/>
          </w:tcPr>
          <w:p w14:paraId="20365F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起重伤害</w:t>
            </w:r>
          </w:p>
          <w:p w14:paraId="6086F7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2E7B69C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7120D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673565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BB9A1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A31ED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9A6977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A06DC30">
            <w:pPr>
              <w:spacing w:line="240" w:lineRule="auto"/>
              <w:jc w:val="left"/>
              <w:rPr>
                <w:rFonts w:hint="eastAsia" w:ascii="宋体" w:hAnsi="宋体" w:eastAsia="宋体" w:cs="宋体"/>
                <w:i w:val="0"/>
                <w:iCs w:val="0"/>
                <w:color w:val="000000"/>
                <w:sz w:val="18"/>
                <w:szCs w:val="18"/>
                <w:highlight w:val="none"/>
                <w:u w:val="none"/>
              </w:rPr>
            </w:pPr>
          </w:p>
        </w:tc>
      </w:tr>
      <w:tr w14:paraId="299B3E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0030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64" w:type="pct"/>
            <w:vMerge w:val="continue"/>
            <w:tcBorders>
              <w:tl2br w:val="nil"/>
              <w:tr2bl w:val="nil"/>
            </w:tcBorders>
            <w:shd w:val="clear" w:color="auto" w:fill="auto"/>
            <w:vAlign w:val="center"/>
          </w:tcPr>
          <w:p w14:paraId="62B90F6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EC65C4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64872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自行式起重机作业前未将支腿全部伸出，并支垫牢固</w:t>
            </w:r>
          </w:p>
        </w:tc>
        <w:tc>
          <w:tcPr>
            <w:tcW w:w="386" w:type="pct"/>
            <w:tcBorders>
              <w:tl2br w:val="nil"/>
              <w:tr2bl w:val="nil"/>
            </w:tcBorders>
            <w:shd w:val="clear" w:color="auto" w:fill="auto"/>
            <w:vAlign w:val="center"/>
          </w:tcPr>
          <w:p w14:paraId="77D621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C9D41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21185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5E386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BB4CF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61E8F4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158608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1F077">
            <w:pPr>
              <w:spacing w:line="240" w:lineRule="auto"/>
              <w:jc w:val="left"/>
              <w:rPr>
                <w:rFonts w:hint="eastAsia" w:ascii="宋体" w:hAnsi="宋体" w:eastAsia="宋体" w:cs="宋体"/>
                <w:i w:val="0"/>
                <w:iCs w:val="0"/>
                <w:color w:val="000000"/>
                <w:sz w:val="18"/>
                <w:szCs w:val="18"/>
                <w:highlight w:val="none"/>
                <w:u w:val="none"/>
              </w:rPr>
            </w:pPr>
          </w:p>
        </w:tc>
      </w:tr>
      <w:tr w14:paraId="6E3146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7D84CB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64" w:type="pct"/>
            <w:vMerge w:val="restart"/>
            <w:tcBorders>
              <w:tl2br w:val="nil"/>
              <w:tr2bl w:val="nil"/>
            </w:tcBorders>
            <w:shd w:val="clear" w:color="auto" w:fill="auto"/>
            <w:vAlign w:val="center"/>
          </w:tcPr>
          <w:p w14:paraId="7D7D75B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w:t>
            </w:r>
          </w:p>
        </w:tc>
        <w:tc>
          <w:tcPr>
            <w:tcW w:w="242" w:type="pct"/>
            <w:vMerge w:val="restart"/>
            <w:tcBorders>
              <w:tl2br w:val="nil"/>
              <w:tr2bl w:val="nil"/>
            </w:tcBorders>
            <w:shd w:val="clear" w:color="auto" w:fill="auto"/>
            <w:vAlign w:val="center"/>
          </w:tcPr>
          <w:p w14:paraId="6E485C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w:t>
            </w:r>
          </w:p>
        </w:tc>
        <w:tc>
          <w:tcPr>
            <w:tcW w:w="1907" w:type="pct"/>
            <w:tcBorders>
              <w:tl2br w:val="nil"/>
              <w:tr2bl w:val="nil"/>
            </w:tcBorders>
            <w:shd w:val="clear" w:color="auto" w:fill="auto"/>
            <w:vAlign w:val="center"/>
          </w:tcPr>
          <w:p w14:paraId="26A3A57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塔机安装前没有进行全面的检查，并确认合格</w:t>
            </w:r>
          </w:p>
        </w:tc>
        <w:tc>
          <w:tcPr>
            <w:tcW w:w="386" w:type="pct"/>
            <w:tcBorders>
              <w:tl2br w:val="nil"/>
              <w:tr2bl w:val="nil"/>
            </w:tcBorders>
            <w:shd w:val="clear" w:color="auto" w:fill="auto"/>
            <w:vAlign w:val="center"/>
          </w:tcPr>
          <w:p w14:paraId="47CE79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557761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CC579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4CA14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3F6DE5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03D0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49B57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473556">
            <w:pPr>
              <w:spacing w:line="240" w:lineRule="auto"/>
              <w:jc w:val="left"/>
              <w:rPr>
                <w:rFonts w:hint="eastAsia" w:ascii="宋体" w:hAnsi="宋体" w:eastAsia="宋体" w:cs="宋体"/>
                <w:i w:val="0"/>
                <w:iCs w:val="0"/>
                <w:color w:val="000000"/>
                <w:sz w:val="18"/>
                <w:szCs w:val="18"/>
                <w:highlight w:val="none"/>
                <w:u w:val="none"/>
              </w:rPr>
            </w:pPr>
          </w:p>
        </w:tc>
      </w:tr>
      <w:tr w14:paraId="518E51A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4CB5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164" w:type="pct"/>
            <w:vMerge w:val="continue"/>
            <w:tcBorders>
              <w:tl2br w:val="nil"/>
              <w:tr2bl w:val="nil"/>
            </w:tcBorders>
            <w:shd w:val="clear" w:color="auto" w:fill="auto"/>
            <w:vAlign w:val="center"/>
          </w:tcPr>
          <w:p w14:paraId="7FF04F0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6DD68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0F88F4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386" w:type="pct"/>
            <w:tcBorders>
              <w:tl2br w:val="nil"/>
              <w:tr2bl w:val="nil"/>
            </w:tcBorders>
            <w:shd w:val="clear" w:color="auto" w:fill="auto"/>
            <w:vAlign w:val="center"/>
          </w:tcPr>
          <w:p w14:paraId="207472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17A9BB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4C4AF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11342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5C932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6B8FE7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C20BDC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A54A25">
            <w:pPr>
              <w:spacing w:line="240" w:lineRule="auto"/>
              <w:jc w:val="left"/>
              <w:rPr>
                <w:rFonts w:hint="eastAsia" w:ascii="宋体" w:hAnsi="宋体" w:eastAsia="宋体" w:cs="宋体"/>
                <w:i w:val="0"/>
                <w:iCs w:val="0"/>
                <w:color w:val="000000"/>
                <w:sz w:val="18"/>
                <w:szCs w:val="18"/>
                <w:highlight w:val="none"/>
                <w:u w:val="none"/>
              </w:rPr>
            </w:pPr>
          </w:p>
        </w:tc>
      </w:tr>
      <w:tr w14:paraId="7DC464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22D67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164" w:type="pct"/>
            <w:vMerge w:val="continue"/>
            <w:tcBorders>
              <w:tl2br w:val="nil"/>
              <w:tr2bl w:val="nil"/>
            </w:tcBorders>
            <w:shd w:val="clear" w:color="auto" w:fill="auto"/>
            <w:vAlign w:val="center"/>
          </w:tcPr>
          <w:p w14:paraId="64C1926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07F95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D5FA4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附着装置的设置和自由端高度不符合使用说明书的规定</w:t>
            </w:r>
          </w:p>
        </w:tc>
        <w:tc>
          <w:tcPr>
            <w:tcW w:w="386" w:type="pct"/>
            <w:tcBorders>
              <w:tl2br w:val="nil"/>
              <w:tr2bl w:val="nil"/>
            </w:tcBorders>
            <w:shd w:val="clear" w:color="auto" w:fill="auto"/>
            <w:vAlign w:val="center"/>
          </w:tcPr>
          <w:p w14:paraId="388D84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7C68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F4D6E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D4D4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837C6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1AFDE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67371E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327825E">
            <w:pPr>
              <w:spacing w:line="240" w:lineRule="auto"/>
              <w:jc w:val="left"/>
              <w:rPr>
                <w:rFonts w:hint="eastAsia" w:ascii="宋体" w:hAnsi="宋体" w:eastAsia="宋体" w:cs="宋体"/>
                <w:i w:val="0"/>
                <w:iCs w:val="0"/>
                <w:color w:val="000000"/>
                <w:sz w:val="18"/>
                <w:szCs w:val="18"/>
                <w:highlight w:val="none"/>
                <w:u w:val="none"/>
              </w:rPr>
            </w:pPr>
          </w:p>
        </w:tc>
      </w:tr>
      <w:tr w14:paraId="60D93E3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198A5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164" w:type="pct"/>
            <w:vMerge w:val="continue"/>
            <w:tcBorders>
              <w:tl2br w:val="nil"/>
              <w:tr2bl w:val="nil"/>
            </w:tcBorders>
            <w:shd w:val="clear" w:color="auto" w:fill="auto"/>
            <w:vAlign w:val="center"/>
          </w:tcPr>
          <w:p w14:paraId="6549EF6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A1D21B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D73CE8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当附着水平距离、附着间距等不满足使用说明书的要求时，没有进行设计计算、绘制制作图、编写相关说明</w:t>
            </w:r>
          </w:p>
        </w:tc>
        <w:tc>
          <w:tcPr>
            <w:tcW w:w="386" w:type="pct"/>
            <w:tcBorders>
              <w:tl2br w:val="nil"/>
              <w:tr2bl w:val="nil"/>
            </w:tcBorders>
            <w:shd w:val="clear" w:color="auto" w:fill="auto"/>
            <w:vAlign w:val="center"/>
          </w:tcPr>
          <w:p w14:paraId="31A2B4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468C2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p>
        </w:tc>
        <w:tc>
          <w:tcPr>
            <w:tcW w:w="148" w:type="pct"/>
            <w:tcBorders>
              <w:tl2br w:val="nil"/>
              <w:tr2bl w:val="nil"/>
            </w:tcBorders>
            <w:shd w:val="clear" w:color="auto" w:fill="auto"/>
            <w:vAlign w:val="center"/>
          </w:tcPr>
          <w:p w14:paraId="245346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40043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AA73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48ADCB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5967AC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3941DF7">
            <w:pPr>
              <w:spacing w:line="240" w:lineRule="auto"/>
              <w:jc w:val="left"/>
              <w:rPr>
                <w:rFonts w:hint="eastAsia" w:ascii="宋体" w:hAnsi="宋体" w:eastAsia="宋体" w:cs="宋体"/>
                <w:i w:val="0"/>
                <w:iCs w:val="0"/>
                <w:color w:val="000000"/>
                <w:sz w:val="18"/>
                <w:szCs w:val="18"/>
                <w:highlight w:val="none"/>
                <w:u w:val="none"/>
              </w:rPr>
            </w:pPr>
          </w:p>
        </w:tc>
      </w:tr>
      <w:tr w14:paraId="56D9DC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E7DE3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164" w:type="pct"/>
            <w:vMerge w:val="continue"/>
            <w:tcBorders>
              <w:tl2br w:val="nil"/>
              <w:tr2bl w:val="nil"/>
            </w:tcBorders>
            <w:shd w:val="clear" w:color="auto" w:fill="auto"/>
            <w:vAlign w:val="center"/>
          </w:tcPr>
          <w:p w14:paraId="446FC48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D8F237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EE3080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386" w:type="pct"/>
            <w:tcBorders>
              <w:tl2br w:val="nil"/>
              <w:tr2bl w:val="nil"/>
            </w:tcBorders>
            <w:shd w:val="clear" w:color="auto" w:fill="auto"/>
            <w:vAlign w:val="center"/>
          </w:tcPr>
          <w:p w14:paraId="41501E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E513D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582F64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A3A35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FC2F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48C08A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6A9A0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7EE681">
            <w:pPr>
              <w:spacing w:line="240" w:lineRule="auto"/>
              <w:jc w:val="left"/>
              <w:rPr>
                <w:rFonts w:hint="eastAsia" w:ascii="宋体" w:hAnsi="宋体" w:eastAsia="宋体" w:cs="宋体"/>
                <w:i w:val="0"/>
                <w:iCs w:val="0"/>
                <w:color w:val="000000"/>
                <w:sz w:val="18"/>
                <w:szCs w:val="18"/>
                <w:highlight w:val="none"/>
                <w:u w:val="none"/>
              </w:rPr>
            </w:pPr>
          </w:p>
        </w:tc>
      </w:tr>
      <w:tr w14:paraId="3A06933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1920" w:hRule="atLeast"/>
        </w:trPr>
        <w:tc>
          <w:tcPr>
            <w:tcW w:w="180" w:type="pct"/>
            <w:tcBorders>
              <w:tl2br w:val="nil"/>
              <w:tr2bl w:val="nil"/>
            </w:tcBorders>
            <w:shd w:val="clear" w:color="auto" w:fill="auto"/>
            <w:vAlign w:val="center"/>
          </w:tcPr>
          <w:p w14:paraId="065F3B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64" w:type="pct"/>
            <w:vMerge w:val="continue"/>
            <w:tcBorders>
              <w:tl2br w:val="nil"/>
              <w:tr2bl w:val="nil"/>
            </w:tcBorders>
            <w:shd w:val="clear" w:color="auto" w:fill="auto"/>
            <w:vAlign w:val="center"/>
          </w:tcPr>
          <w:p w14:paraId="54C2AAD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77847D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2320D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386" w:type="pct"/>
            <w:tcBorders>
              <w:tl2br w:val="nil"/>
              <w:tr2bl w:val="nil"/>
            </w:tcBorders>
            <w:shd w:val="clear" w:color="auto" w:fill="auto"/>
            <w:vAlign w:val="center"/>
          </w:tcPr>
          <w:p w14:paraId="39BDC3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4EC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1C0D4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4EF963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13B1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222" w:type="pct"/>
            <w:tcBorders>
              <w:tl2br w:val="nil"/>
              <w:tr2bl w:val="nil"/>
            </w:tcBorders>
            <w:shd w:val="clear" w:color="auto" w:fill="auto"/>
            <w:vAlign w:val="center"/>
          </w:tcPr>
          <w:p w14:paraId="0493B1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2C8482B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A3882D">
            <w:pPr>
              <w:spacing w:line="240" w:lineRule="auto"/>
              <w:jc w:val="left"/>
              <w:rPr>
                <w:rFonts w:hint="eastAsia" w:ascii="宋体" w:hAnsi="宋体" w:eastAsia="宋体" w:cs="宋体"/>
                <w:i w:val="0"/>
                <w:iCs w:val="0"/>
                <w:color w:val="000000"/>
                <w:sz w:val="18"/>
                <w:szCs w:val="18"/>
                <w:highlight w:val="none"/>
                <w:u w:val="none"/>
              </w:rPr>
            </w:pPr>
          </w:p>
        </w:tc>
      </w:tr>
      <w:tr w14:paraId="2327CBE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04679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164" w:type="pct"/>
            <w:vMerge w:val="continue"/>
            <w:tcBorders>
              <w:tl2br w:val="nil"/>
              <w:tr2bl w:val="nil"/>
            </w:tcBorders>
            <w:shd w:val="clear" w:color="auto" w:fill="auto"/>
            <w:vAlign w:val="center"/>
          </w:tcPr>
          <w:p w14:paraId="1B43901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B76023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68F01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当需要在夜间进行安拆作业时，没有保证提供足够的照明</w:t>
            </w:r>
          </w:p>
        </w:tc>
        <w:tc>
          <w:tcPr>
            <w:tcW w:w="386" w:type="pct"/>
            <w:tcBorders>
              <w:tl2br w:val="nil"/>
              <w:tr2bl w:val="nil"/>
            </w:tcBorders>
            <w:shd w:val="clear" w:color="auto" w:fill="auto"/>
            <w:vAlign w:val="center"/>
          </w:tcPr>
          <w:p w14:paraId="34B138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01A17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293E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03D531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2A657F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60E3E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8D7386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7865DAA">
            <w:pPr>
              <w:spacing w:line="240" w:lineRule="auto"/>
              <w:jc w:val="left"/>
              <w:rPr>
                <w:rFonts w:hint="eastAsia" w:ascii="宋体" w:hAnsi="宋体" w:eastAsia="宋体" w:cs="宋体"/>
                <w:i w:val="0"/>
                <w:iCs w:val="0"/>
                <w:color w:val="000000"/>
                <w:sz w:val="18"/>
                <w:szCs w:val="18"/>
                <w:highlight w:val="none"/>
                <w:u w:val="none"/>
              </w:rPr>
            </w:pPr>
          </w:p>
        </w:tc>
      </w:tr>
      <w:tr w14:paraId="4B8311F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B9E83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164" w:type="pct"/>
            <w:vMerge w:val="continue"/>
            <w:tcBorders>
              <w:tl2br w:val="nil"/>
              <w:tr2bl w:val="nil"/>
            </w:tcBorders>
            <w:shd w:val="clear" w:color="auto" w:fill="auto"/>
            <w:vAlign w:val="center"/>
          </w:tcPr>
          <w:p w14:paraId="5912F00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F4B1A1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9C3E95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当遇特殊情况安装作业不能连续进行时，没有将已安装的部位固定牢靠并达到安全状态</w:t>
            </w:r>
          </w:p>
        </w:tc>
        <w:tc>
          <w:tcPr>
            <w:tcW w:w="386" w:type="pct"/>
            <w:tcBorders>
              <w:tl2br w:val="nil"/>
              <w:tr2bl w:val="nil"/>
            </w:tcBorders>
            <w:shd w:val="clear" w:color="auto" w:fill="auto"/>
            <w:vAlign w:val="center"/>
          </w:tcPr>
          <w:p w14:paraId="72EAC19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1A85CE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5FBA5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24A08C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112D54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D045F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A65DA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4B770E2">
            <w:pPr>
              <w:spacing w:line="240" w:lineRule="auto"/>
              <w:jc w:val="left"/>
              <w:rPr>
                <w:rFonts w:hint="eastAsia" w:ascii="宋体" w:hAnsi="宋体" w:eastAsia="宋体" w:cs="宋体"/>
                <w:i w:val="0"/>
                <w:iCs w:val="0"/>
                <w:color w:val="000000"/>
                <w:sz w:val="18"/>
                <w:szCs w:val="18"/>
                <w:highlight w:val="none"/>
                <w:u w:val="none"/>
              </w:rPr>
            </w:pPr>
          </w:p>
        </w:tc>
      </w:tr>
      <w:tr w14:paraId="6BAA58D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9905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164" w:type="pct"/>
            <w:vMerge w:val="continue"/>
            <w:tcBorders>
              <w:tl2br w:val="nil"/>
              <w:tr2bl w:val="nil"/>
            </w:tcBorders>
            <w:shd w:val="clear" w:color="auto" w:fill="auto"/>
            <w:vAlign w:val="center"/>
          </w:tcPr>
          <w:p w14:paraId="575274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5F3648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34348E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连接件及防松脱件用其它代用品代用</w:t>
            </w:r>
          </w:p>
        </w:tc>
        <w:tc>
          <w:tcPr>
            <w:tcW w:w="386" w:type="pct"/>
            <w:tcBorders>
              <w:tl2br w:val="nil"/>
              <w:tr2bl w:val="nil"/>
            </w:tcBorders>
            <w:shd w:val="clear" w:color="auto" w:fill="auto"/>
            <w:vAlign w:val="center"/>
          </w:tcPr>
          <w:p w14:paraId="1F5A3E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起重伤害等</w:t>
            </w:r>
          </w:p>
        </w:tc>
        <w:tc>
          <w:tcPr>
            <w:tcW w:w="171" w:type="pct"/>
            <w:tcBorders>
              <w:tl2br w:val="nil"/>
              <w:tr2bl w:val="nil"/>
            </w:tcBorders>
            <w:shd w:val="clear" w:color="auto" w:fill="auto"/>
            <w:vAlign w:val="center"/>
          </w:tcPr>
          <w:p w14:paraId="5E9A6D4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6500D3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739EEA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20EE0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41807F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FCC4F4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FAC6FA">
            <w:pPr>
              <w:spacing w:line="240" w:lineRule="auto"/>
              <w:jc w:val="left"/>
              <w:rPr>
                <w:rFonts w:hint="eastAsia" w:ascii="宋体" w:hAnsi="宋体" w:eastAsia="宋体" w:cs="宋体"/>
                <w:i w:val="0"/>
                <w:iCs w:val="0"/>
                <w:color w:val="000000"/>
                <w:sz w:val="18"/>
                <w:szCs w:val="18"/>
                <w:highlight w:val="none"/>
                <w:u w:val="none"/>
              </w:rPr>
            </w:pPr>
          </w:p>
        </w:tc>
      </w:tr>
      <w:tr w14:paraId="44BB69A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3F3ED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c>
          <w:tcPr>
            <w:tcW w:w="164" w:type="pct"/>
            <w:vMerge w:val="restart"/>
            <w:tcBorders>
              <w:tl2br w:val="nil"/>
              <w:tr2bl w:val="nil"/>
            </w:tcBorders>
            <w:shd w:val="clear" w:color="auto" w:fill="auto"/>
            <w:vAlign w:val="center"/>
          </w:tcPr>
          <w:p w14:paraId="02D98EB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w:t>
            </w:r>
          </w:p>
        </w:tc>
        <w:tc>
          <w:tcPr>
            <w:tcW w:w="242" w:type="pct"/>
            <w:vMerge w:val="restart"/>
            <w:tcBorders>
              <w:tl2br w:val="nil"/>
              <w:tr2bl w:val="nil"/>
            </w:tcBorders>
            <w:shd w:val="clear" w:color="auto" w:fill="auto"/>
            <w:vAlign w:val="center"/>
          </w:tcPr>
          <w:p w14:paraId="466BC9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作业前安全条件确认</w:t>
            </w:r>
          </w:p>
        </w:tc>
        <w:tc>
          <w:tcPr>
            <w:tcW w:w="1907" w:type="pct"/>
            <w:tcBorders>
              <w:tl2br w:val="nil"/>
              <w:tr2bl w:val="nil"/>
            </w:tcBorders>
            <w:shd w:val="clear" w:color="auto" w:fill="auto"/>
            <w:vAlign w:val="center"/>
          </w:tcPr>
          <w:p w14:paraId="591E44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高处作业未编制安全技术措施</w:t>
            </w:r>
          </w:p>
        </w:tc>
        <w:tc>
          <w:tcPr>
            <w:tcW w:w="386" w:type="pct"/>
            <w:tcBorders>
              <w:tl2br w:val="nil"/>
              <w:tr2bl w:val="nil"/>
            </w:tcBorders>
            <w:shd w:val="clear" w:color="auto" w:fill="auto"/>
            <w:vAlign w:val="center"/>
          </w:tcPr>
          <w:p w14:paraId="0392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358BAB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727CD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23BF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502608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0477DB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EB00A">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C16BE98">
            <w:pPr>
              <w:spacing w:line="240" w:lineRule="auto"/>
              <w:jc w:val="left"/>
              <w:rPr>
                <w:rFonts w:hint="eastAsia" w:ascii="宋体" w:hAnsi="宋体" w:eastAsia="宋体" w:cs="宋体"/>
                <w:i w:val="0"/>
                <w:iCs w:val="0"/>
                <w:color w:val="000000"/>
                <w:sz w:val="18"/>
                <w:szCs w:val="18"/>
                <w:highlight w:val="none"/>
                <w:u w:val="none"/>
              </w:rPr>
            </w:pPr>
          </w:p>
        </w:tc>
      </w:tr>
      <w:tr w14:paraId="35E360E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F5467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c>
          <w:tcPr>
            <w:tcW w:w="164" w:type="pct"/>
            <w:vMerge w:val="continue"/>
            <w:tcBorders>
              <w:tl2br w:val="nil"/>
              <w:tr2bl w:val="nil"/>
            </w:tcBorders>
            <w:shd w:val="clear" w:color="auto" w:fill="auto"/>
            <w:vAlign w:val="center"/>
          </w:tcPr>
          <w:p w14:paraId="4D51876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2B6D72B">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768DAB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高处作业前，没有对安全防护设施进行检查、验收</w:t>
            </w:r>
          </w:p>
        </w:tc>
        <w:tc>
          <w:tcPr>
            <w:tcW w:w="386" w:type="pct"/>
            <w:tcBorders>
              <w:tl2br w:val="nil"/>
              <w:tr2bl w:val="nil"/>
            </w:tcBorders>
            <w:shd w:val="clear" w:color="auto" w:fill="auto"/>
            <w:vAlign w:val="center"/>
          </w:tcPr>
          <w:p w14:paraId="0C58F65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DCA5C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FA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6BA1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CF1CA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93457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549D4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9D4A259">
            <w:pPr>
              <w:spacing w:line="240" w:lineRule="auto"/>
              <w:jc w:val="left"/>
              <w:rPr>
                <w:rFonts w:hint="eastAsia" w:ascii="宋体" w:hAnsi="宋体" w:eastAsia="宋体" w:cs="宋体"/>
                <w:i w:val="0"/>
                <w:iCs w:val="0"/>
                <w:color w:val="000000"/>
                <w:sz w:val="18"/>
                <w:szCs w:val="18"/>
                <w:highlight w:val="none"/>
                <w:u w:val="none"/>
              </w:rPr>
            </w:pPr>
          </w:p>
        </w:tc>
      </w:tr>
      <w:tr w14:paraId="64E24FF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73D1C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164" w:type="pct"/>
            <w:vMerge w:val="continue"/>
            <w:tcBorders>
              <w:tl2br w:val="nil"/>
              <w:tr2bl w:val="nil"/>
            </w:tcBorders>
            <w:shd w:val="clear" w:color="auto" w:fill="auto"/>
            <w:vAlign w:val="center"/>
          </w:tcPr>
          <w:p w14:paraId="7B9D1EF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3844F2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322EBA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高处作业施工没有对作业人员进行安全教育和交底</w:t>
            </w:r>
          </w:p>
        </w:tc>
        <w:tc>
          <w:tcPr>
            <w:tcW w:w="386" w:type="pct"/>
            <w:tcBorders>
              <w:tl2br w:val="nil"/>
              <w:tr2bl w:val="nil"/>
            </w:tcBorders>
            <w:shd w:val="clear" w:color="auto" w:fill="auto"/>
            <w:vAlign w:val="center"/>
          </w:tcPr>
          <w:p w14:paraId="2B6A5D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20604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32E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6E30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20960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2E9B13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B8505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4C725">
            <w:pPr>
              <w:spacing w:line="240" w:lineRule="auto"/>
              <w:jc w:val="left"/>
              <w:rPr>
                <w:rFonts w:hint="eastAsia" w:ascii="宋体" w:hAnsi="宋体" w:eastAsia="宋体" w:cs="宋体"/>
                <w:i w:val="0"/>
                <w:iCs w:val="0"/>
                <w:color w:val="000000"/>
                <w:sz w:val="18"/>
                <w:szCs w:val="18"/>
                <w:highlight w:val="none"/>
                <w:u w:val="none"/>
              </w:rPr>
            </w:pPr>
          </w:p>
        </w:tc>
      </w:tr>
      <w:tr w14:paraId="1B527A9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BE00A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c>
          <w:tcPr>
            <w:tcW w:w="164" w:type="pct"/>
            <w:vMerge w:val="continue"/>
            <w:tcBorders>
              <w:tl2br w:val="nil"/>
              <w:tr2bl w:val="nil"/>
            </w:tcBorders>
            <w:shd w:val="clear" w:color="auto" w:fill="auto"/>
            <w:vAlign w:val="center"/>
          </w:tcPr>
          <w:p w14:paraId="0D3036D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C1D124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0EFDD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高处作业施工前，没有检查高处作业的安全标志、防火设施、电气设施及设备</w:t>
            </w:r>
          </w:p>
        </w:tc>
        <w:tc>
          <w:tcPr>
            <w:tcW w:w="386" w:type="pct"/>
            <w:tcBorders>
              <w:tl2br w:val="nil"/>
              <w:tr2bl w:val="nil"/>
            </w:tcBorders>
            <w:shd w:val="clear" w:color="auto" w:fill="auto"/>
            <w:vAlign w:val="center"/>
          </w:tcPr>
          <w:p w14:paraId="0F1633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7666A6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2269D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3BF51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E6C5F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293B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E5F3F3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55A23D">
            <w:pPr>
              <w:spacing w:line="240" w:lineRule="auto"/>
              <w:jc w:val="left"/>
              <w:rPr>
                <w:rFonts w:hint="eastAsia" w:ascii="宋体" w:hAnsi="宋体" w:eastAsia="宋体" w:cs="宋体"/>
                <w:i w:val="0"/>
                <w:iCs w:val="0"/>
                <w:color w:val="000000"/>
                <w:sz w:val="18"/>
                <w:szCs w:val="18"/>
                <w:highlight w:val="none"/>
                <w:u w:val="none"/>
              </w:rPr>
            </w:pPr>
          </w:p>
        </w:tc>
      </w:tr>
      <w:tr w14:paraId="07F6513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4697A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164" w:type="pct"/>
            <w:vMerge w:val="continue"/>
            <w:tcBorders>
              <w:tl2br w:val="nil"/>
              <w:tr2bl w:val="nil"/>
            </w:tcBorders>
            <w:shd w:val="clear" w:color="auto" w:fill="auto"/>
            <w:vAlign w:val="center"/>
          </w:tcPr>
          <w:p w14:paraId="1EAB787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F8C19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EF0EB1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高处作业人员没有按规定正确佩戴和使用高处作业安全防护用具</w:t>
            </w:r>
          </w:p>
        </w:tc>
        <w:tc>
          <w:tcPr>
            <w:tcW w:w="386" w:type="pct"/>
            <w:tcBorders>
              <w:tl2br w:val="nil"/>
              <w:tr2bl w:val="nil"/>
            </w:tcBorders>
            <w:shd w:val="clear" w:color="auto" w:fill="auto"/>
            <w:vAlign w:val="center"/>
          </w:tcPr>
          <w:p w14:paraId="6A7E8B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5EB986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E7C7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1061B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3E6016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032914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001D7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9B6807">
            <w:pPr>
              <w:spacing w:line="240" w:lineRule="auto"/>
              <w:jc w:val="left"/>
              <w:rPr>
                <w:rFonts w:hint="eastAsia" w:ascii="宋体" w:hAnsi="宋体" w:eastAsia="宋体" w:cs="宋体"/>
                <w:i w:val="0"/>
                <w:iCs w:val="0"/>
                <w:color w:val="000000"/>
                <w:sz w:val="18"/>
                <w:szCs w:val="18"/>
                <w:highlight w:val="none"/>
                <w:u w:val="none"/>
              </w:rPr>
            </w:pPr>
          </w:p>
        </w:tc>
      </w:tr>
      <w:tr w14:paraId="209A32F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37AAE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c>
          <w:tcPr>
            <w:tcW w:w="164" w:type="pct"/>
            <w:vMerge w:val="continue"/>
            <w:tcBorders>
              <w:tl2br w:val="nil"/>
              <w:tr2bl w:val="nil"/>
            </w:tcBorders>
            <w:shd w:val="clear" w:color="auto" w:fill="auto"/>
            <w:vAlign w:val="center"/>
          </w:tcPr>
          <w:p w14:paraId="6D95F20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3FAD4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5F6CAE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恶劣气候进行露天攀登与悬空高处作业</w:t>
            </w:r>
          </w:p>
        </w:tc>
        <w:tc>
          <w:tcPr>
            <w:tcW w:w="386" w:type="pct"/>
            <w:tcBorders>
              <w:tl2br w:val="nil"/>
              <w:tr2bl w:val="nil"/>
            </w:tcBorders>
            <w:shd w:val="clear" w:color="auto" w:fill="auto"/>
            <w:vAlign w:val="center"/>
          </w:tcPr>
          <w:p w14:paraId="74CC4F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2BAF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06BC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0FC4A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66081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AD3A1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88317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1A4B0FF">
            <w:pPr>
              <w:spacing w:line="240" w:lineRule="auto"/>
              <w:jc w:val="left"/>
              <w:rPr>
                <w:rFonts w:hint="eastAsia" w:ascii="宋体" w:hAnsi="宋体" w:eastAsia="宋体" w:cs="宋体"/>
                <w:i w:val="0"/>
                <w:iCs w:val="0"/>
                <w:color w:val="000000"/>
                <w:sz w:val="18"/>
                <w:szCs w:val="18"/>
                <w:highlight w:val="none"/>
                <w:u w:val="none"/>
              </w:rPr>
            </w:pPr>
          </w:p>
        </w:tc>
      </w:tr>
      <w:tr w14:paraId="777F999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761AD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164" w:type="pct"/>
            <w:vMerge w:val="continue"/>
            <w:tcBorders>
              <w:tl2br w:val="nil"/>
              <w:tr2bl w:val="nil"/>
            </w:tcBorders>
            <w:shd w:val="clear" w:color="auto" w:fill="auto"/>
            <w:vAlign w:val="center"/>
          </w:tcPr>
          <w:p w14:paraId="11E2DF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FE822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悬空</w:t>
            </w:r>
          </w:p>
          <w:p w14:paraId="497E76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32F9BA8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悬空作业没有设牢固的立足点，没有配置登高和防坠落的设施</w:t>
            </w:r>
          </w:p>
        </w:tc>
        <w:tc>
          <w:tcPr>
            <w:tcW w:w="386" w:type="pct"/>
            <w:tcBorders>
              <w:tl2br w:val="nil"/>
              <w:tr2bl w:val="nil"/>
            </w:tcBorders>
            <w:shd w:val="clear" w:color="auto" w:fill="auto"/>
            <w:vAlign w:val="center"/>
          </w:tcPr>
          <w:p w14:paraId="465C3C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84512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C1D14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E8BBF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16875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27C428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19F5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2B1086E">
            <w:pPr>
              <w:spacing w:line="240" w:lineRule="auto"/>
              <w:jc w:val="left"/>
              <w:rPr>
                <w:rFonts w:hint="eastAsia" w:ascii="宋体" w:hAnsi="宋体" w:eastAsia="宋体" w:cs="宋体"/>
                <w:i w:val="0"/>
                <w:iCs w:val="0"/>
                <w:color w:val="000000"/>
                <w:sz w:val="18"/>
                <w:szCs w:val="18"/>
                <w:highlight w:val="none"/>
                <w:u w:val="none"/>
              </w:rPr>
            </w:pPr>
          </w:p>
        </w:tc>
      </w:tr>
      <w:tr w14:paraId="182BBD2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EB1B9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164" w:type="pct"/>
            <w:vMerge w:val="continue"/>
            <w:tcBorders>
              <w:tl2br w:val="nil"/>
              <w:tr2bl w:val="nil"/>
            </w:tcBorders>
            <w:shd w:val="clear" w:color="auto" w:fill="auto"/>
            <w:vAlign w:val="center"/>
          </w:tcPr>
          <w:p w14:paraId="5891997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1C3C0A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A5EA24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在高空安装大模板、吊装第一块预制构件或单独的大中型预制构件时，没有站在作业平台上操作</w:t>
            </w:r>
          </w:p>
        </w:tc>
        <w:tc>
          <w:tcPr>
            <w:tcW w:w="386" w:type="pct"/>
            <w:tcBorders>
              <w:tl2br w:val="nil"/>
              <w:tr2bl w:val="nil"/>
            </w:tcBorders>
            <w:shd w:val="clear" w:color="auto" w:fill="auto"/>
            <w:vAlign w:val="center"/>
          </w:tcPr>
          <w:p w14:paraId="389AAF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C9C84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3AAF4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62C1D3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FA2A95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08E4B4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6E1756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F4DDDE">
            <w:pPr>
              <w:spacing w:line="240" w:lineRule="auto"/>
              <w:jc w:val="left"/>
              <w:rPr>
                <w:rFonts w:hint="eastAsia" w:ascii="宋体" w:hAnsi="宋体" w:eastAsia="宋体" w:cs="宋体"/>
                <w:i w:val="0"/>
                <w:iCs w:val="0"/>
                <w:color w:val="000000"/>
                <w:sz w:val="18"/>
                <w:szCs w:val="18"/>
                <w:highlight w:val="none"/>
                <w:u w:val="none"/>
              </w:rPr>
            </w:pPr>
          </w:p>
        </w:tc>
      </w:tr>
      <w:tr w14:paraId="030B94F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FF35C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64" w:type="pct"/>
            <w:vMerge w:val="continue"/>
            <w:tcBorders>
              <w:tl2br w:val="nil"/>
              <w:tr2bl w:val="nil"/>
            </w:tcBorders>
            <w:shd w:val="clear" w:color="auto" w:fill="auto"/>
            <w:vAlign w:val="center"/>
          </w:tcPr>
          <w:p w14:paraId="34749F8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ACCE20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D9C9E8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在未固定、无防护的构件及安装中的管道上作业或通行</w:t>
            </w:r>
          </w:p>
        </w:tc>
        <w:tc>
          <w:tcPr>
            <w:tcW w:w="386" w:type="pct"/>
            <w:tcBorders>
              <w:tl2br w:val="nil"/>
              <w:tr2bl w:val="nil"/>
            </w:tcBorders>
            <w:shd w:val="clear" w:color="auto" w:fill="auto"/>
            <w:vAlign w:val="center"/>
          </w:tcPr>
          <w:p w14:paraId="4CE814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0B3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9E8B5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7CC61B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1D2001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F1B78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7DC90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88039C">
            <w:pPr>
              <w:spacing w:line="240" w:lineRule="auto"/>
              <w:jc w:val="left"/>
              <w:rPr>
                <w:rFonts w:hint="eastAsia" w:ascii="宋体" w:hAnsi="宋体" w:eastAsia="宋体" w:cs="宋体"/>
                <w:i w:val="0"/>
                <w:iCs w:val="0"/>
                <w:color w:val="000000"/>
                <w:sz w:val="18"/>
                <w:szCs w:val="18"/>
                <w:highlight w:val="none"/>
                <w:u w:val="none"/>
              </w:rPr>
            </w:pPr>
          </w:p>
        </w:tc>
      </w:tr>
      <w:tr w14:paraId="58FB9D7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0A827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w:t>
            </w:r>
          </w:p>
        </w:tc>
        <w:tc>
          <w:tcPr>
            <w:tcW w:w="164" w:type="pct"/>
            <w:vMerge w:val="continue"/>
            <w:tcBorders>
              <w:tl2br w:val="nil"/>
              <w:tr2bl w:val="nil"/>
            </w:tcBorders>
            <w:shd w:val="clear" w:color="auto" w:fill="auto"/>
            <w:vAlign w:val="center"/>
          </w:tcPr>
          <w:p w14:paraId="6D6E12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ADB9F6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0696EE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2A6A96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386" w:type="pct"/>
            <w:tcBorders>
              <w:tl2br w:val="nil"/>
              <w:tr2bl w:val="nil"/>
            </w:tcBorders>
            <w:shd w:val="clear" w:color="auto" w:fill="auto"/>
            <w:vAlign w:val="center"/>
          </w:tcPr>
          <w:p w14:paraId="421C4E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FBB017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A6C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1E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6B15A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9AE08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D2BBA82">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CF198B">
            <w:pPr>
              <w:spacing w:line="240" w:lineRule="auto"/>
              <w:jc w:val="left"/>
              <w:rPr>
                <w:rFonts w:hint="eastAsia" w:ascii="宋体" w:hAnsi="宋体" w:eastAsia="宋体" w:cs="宋体"/>
                <w:i w:val="0"/>
                <w:iCs w:val="0"/>
                <w:color w:val="000000"/>
                <w:sz w:val="18"/>
                <w:szCs w:val="18"/>
                <w:highlight w:val="none"/>
                <w:u w:val="none"/>
              </w:rPr>
            </w:pPr>
          </w:p>
        </w:tc>
      </w:tr>
      <w:tr w14:paraId="488720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D232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164" w:type="pct"/>
            <w:vMerge w:val="continue"/>
            <w:tcBorders>
              <w:tl2br w:val="nil"/>
              <w:tr2bl w:val="nil"/>
            </w:tcBorders>
            <w:shd w:val="clear" w:color="auto" w:fill="auto"/>
            <w:vAlign w:val="center"/>
          </w:tcPr>
          <w:p w14:paraId="2A29E6B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74027E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4056E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施工现场人员进出的通道口没有搭设防护棚</w:t>
            </w:r>
          </w:p>
        </w:tc>
        <w:tc>
          <w:tcPr>
            <w:tcW w:w="386" w:type="pct"/>
            <w:tcBorders>
              <w:tl2br w:val="nil"/>
              <w:tr2bl w:val="nil"/>
            </w:tcBorders>
            <w:shd w:val="clear" w:color="auto" w:fill="auto"/>
            <w:vAlign w:val="center"/>
          </w:tcPr>
          <w:p w14:paraId="1C8C5A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304821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DC2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E20F2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8B25F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17A859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866631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4CF08B8">
            <w:pPr>
              <w:spacing w:line="240" w:lineRule="auto"/>
              <w:jc w:val="left"/>
              <w:rPr>
                <w:rFonts w:hint="eastAsia" w:ascii="宋体" w:hAnsi="宋体" w:eastAsia="宋体" w:cs="宋体"/>
                <w:i w:val="0"/>
                <w:iCs w:val="0"/>
                <w:color w:val="000000"/>
                <w:sz w:val="18"/>
                <w:szCs w:val="18"/>
                <w:highlight w:val="none"/>
                <w:u w:val="none"/>
              </w:rPr>
            </w:pPr>
          </w:p>
        </w:tc>
      </w:tr>
      <w:tr w14:paraId="2E1467B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5D0E9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c>
          <w:tcPr>
            <w:tcW w:w="164" w:type="pct"/>
            <w:vMerge w:val="continue"/>
            <w:tcBorders>
              <w:tl2br w:val="nil"/>
              <w:tr2bl w:val="nil"/>
            </w:tcBorders>
            <w:shd w:val="clear" w:color="auto" w:fill="auto"/>
            <w:vAlign w:val="center"/>
          </w:tcPr>
          <w:p w14:paraId="5E2FED5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118E9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高处作业吊篮</w:t>
            </w:r>
          </w:p>
        </w:tc>
        <w:tc>
          <w:tcPr>
            <w:tcW w:w="1907" w:type="pct"/>
            <w:tcBorders>
              <w:tl2br w:val="nil"/>
              <w:tr2bl w:val="nil"/>
            </w:tcBorders>
            <w:shd w:val="clear" w:color="auto" w:fill="auto"/>
            <w:vAlign w:val="center"/>
          </w:tcPr>
          <w:p w14:paraId="2C927A9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吊篮的自制零部件未经检验合格就进行了装配</w:t>
            </w:r>
          </w:p>
        </w:tc>
        <w:tc>
          <w:tcPr>
            <w:tcW w:w="386" w:type="pct"/>
            <w:tcBorders>
              <w:tl2br w:val="nil"/>
              <w:tr2bl w:val="nil"/>
            </w:tcBorders>
            <w:shd w:val="clear" w:color="auto" w:fill="auto"/>
            <w:vAlign w:val="center"/>
          </w:tcPr>
          <w:p w14:paraId="302ED2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4DC17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1C5DF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6375B9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D7DF7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709B01E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5A36F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DDB5FB">
            <w:pPr>
              <w:spacing w:line="240" w:lineRule="auto"/>
              <w:jc w:val="left"/>
              <w:rPr>
                <w:rFonts w:hint="eastAsia" w:ascii="宋体" w:hAnsi="宋体" w:eastAsia="宋体" w:cs="宋体"/>
                <w:i w:val="0"/>
                <w:iCs w:val="0"/>
                <w:color w:val="000000"/>
                <w:sz w:val="18"/>
                <w:szCs w:val="18"/>
                <w:highlight w:val="none"/>
                <w:u w:val="none"/>
              </w:rPr>
            </w:pPr>
          </w:p>
        </w:tc>
      </w:tr>
      <w:tr w14:paraId="68F494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632A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c>
          <w:tcPr>
            <w:tcW w:w="164" w:type="pct"/>
            <w:vMerge w:val="continue"/>
            <w:tcBorders>
              <w:tl2br w:val="nil"/>
              <w:tr2bl w:val="nil"/>
            </w:tcBorders>
            <w:shd w:val="clear" w:color="auto" w:fill="auto"/>
            <w:vAlign w:val="center"/>
          </w:tcPr>
          <w:p w14:paraId="23F2185A">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63CB9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3822A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没有对标准件、外购件、外协件进行检查验收</w:t>
            </w:r>
          </w:p>
        </w:tc>
        <w:tc>
          <w:tcPr>
            <w:tcW w:w="386" w:type="pct"/>
            <w:tcBorders>
              <w:tl2br w:val="nil"/>
              <w:tr2bl w:val="nil"/>
            </w:tcBorders>
            <w:shd w:val="clear" w:color="auto" w:fill="auto"/>
            <w:vAlign w:val="center"/>
          </w:tcPr>
          <w:p w14:paraId="516024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846E5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6BC87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F4215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0CFA31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34A9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C3F03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5CF5D8F">
            <w:pPr>
              <w:spacing w:line="240" w:lineRule="auto"/>
              <w:jc w:val="left"/>
              <w:rPr>
                <w:rFonts w:hint="eastAsia" w:ascii="宋体" w:hAnsi="宋体" w:eastAsia="宋体" w:cs="宋体"/>
                <w:i w:val="0"/>
                <w:iCs w:val="0"/>
                <w:color w:val="000000"/>
                <w:sz w:val="18"/>
                <w:szCs w:val="18"/>
                <w:highlight w:val="none"/>
                <w:u w:val="none"/>
              </w:rPr>
            </w:pPr>
          </w:p>
        </w:tc>
      </w:tr>
      <w:tr w14:paraId="2B1737D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4367B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164" w:type="pct"/>
            <w:vMerge w:val="continue"/>
            <w:tcBorders>
              <w:tl2br w:val="nil"/>
              <w:tr2bl w:val="nil"/>
            </w:tcBorders>
            <w:shd w:val="clear" w:color="auto" w:fill="auto"/>
            <w:vAlign w:val="center"/>
          </w:tcPr>
          <w:p w14:paraId="425C100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0761E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C6829A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吊篮工作处阵风大于5级</w:t>
            </w:r>
          </w:p>
        </w:tc>
        <w:tc>
          <w:tcPr>
            <w:tcW w:w="386" w:type="pct"/>
            <w:tcBorders>
              <w:tl2br w:val="nil"/>
              <w:tr2bl w:val="nil"/>
            </w:tcBorders>
            <w:shd w:val="clear" w:color="auto" w:fill="auto"/>
            <w:vAlign w:val="center"/>
          </w:tcPr>
          <w:p w14:paraId="1D4DF7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1AC61B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BE8E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503D4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83FF3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22BBA5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E48E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A9C1084">
            <w:pPr>
              <w:spacing w:line="240" w:lineRule="auto"/>
              <w:jc w:val="left"/>
              <w:rPr>
                <w:rFonts w:hint="eastAsia" w:ascii="宋体" w:hAnsi="宋体" w:eastAsia="宋体" w:cs="宋体"/>
                <w:i w:val="0"/>
                <w:iCs w:val="0"/>
                <w:color w:val="000000"/>
                <w:sz w:val="18"/>
                <w:szCs w:val="18"/>
                <w:highlight w:val="none"/>
                <w:u w:val="none"/>
              </w:rPr>
            </w:pPr>
          </w:p>
        </w:tc>
      </w:tr>
      <w:tr w14:paraId="18C8A9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C7725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w:t>
            </w:r>
          </w:p>
        </w:tc>
        <w:tc>
          <w:tcPr>
            <w:tcW w:w="164" w:type="pct"/>
            <w:vMerge w:val="continue"/>
            <w:tcBorders>
              <w:tl2br w:val="nil"/>
              <w:tr2bl w:val="nil"/>
            </w:tcBorders>
            <w:shd w:val="clear" w:color="auto" w:fill="auto"/>
            <w:vAlign w:val="center"/>
          </w:tcPr>
          <w:p w14:paraId="508642C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F418D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CD5521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吊篮的每个吊点没有设置2根钢丝绳，安全钢丝绳没有装安全锁或相同作用的独立安全装置</w:t>
            </w:r>
          </w:p>
        </w:tc>
        <w:tc>
          <w:tcPr>
            <w:tcW w:w="386" w:type="pct"/>
            <w:tcBorders>
              <w:tl2br w:val="nil"/>
              <w:tr2bl w:val="nil"/>
            </w:tcBorders>
            <w:shd w:val="clear" w:color="auto" w:fill="auto"/>
            <w:vAlign w:val="center"/>
          </w:tcPr>
          <w:p w14:paraId="4E5349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716F416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4EAEB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35016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EA291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4190E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207ACB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2164E9">
            <w:pPr>
              <w:spacing w:line="240" w:lineRule="auto"/>
              <w:jc w:val="left"/>
              <w:rPr>
                <w:rFonts w:hint="eastAsia" w:ascii="宋体" w:hAnsi="宋体" w:eastAsia="宋体" w:cs="宋体"/>
                <w:i w:val="0"/>
                <w:iCs w:val="0"/>
                <w:color w:val="000000"/>
                <w:sz w:val="18"/>
                <w:szCs w:val="18"/>
                <w:highlight w:val="none"/>
                <w:u w:val="none"/>
              </w:rPr>
            </w:pPr>
          </w:p>
        </w:tc>
      </w:tr>
      <w:tr w14:paraId="7FA352B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78EDA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w:t>
            </w:r>
          </w:p>
        </w:tc>
        <w:tc>
          <w:tcPr>
            <w:tcW w:w="164" w:type="pct"/>
            <w:vMerge w:val="continue"/>
            <w:tcBorders>
              <w:tl2br w:val="nil"/>
              <w:tr2bl w:val="nil"/>
            </w:tcBorders>
            <w:shd w:val="clear" w:color="auto" w:fill="auto"/>
            <w:vAlign w:val="center"/>
          </w:tcPr>
          <w:p w14:paraId="3DA455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485F1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396237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在正常工作时，安全钢丝绳不能顺利通过安全锁或相同作用的独立安全装置</w:t>
            </w:r>
          </w:p>
        </w:tc>
        <w:tc>
          <w:tcPr>
            <w:tcW w:w="386" w:type="pct"/>
            <w:tcBorders>
              <w:tl2br w:val="nil"/>
              <w:tr2bl w:val="nil"/>
            </w:tcBorders>
            <w:shd w:val="clear" w:color="auto" w:fill="auto"/>
            <w:vAlign w:val="center"/>
          </w:tcPr>
          <w:p w14:paraId="3BC5D5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47F82D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2C845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10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15FF6F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32955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D77A53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A00227">
            <w:pPr>
              <w:spacing w:line="240" w:lineRule="auto"/>
              <w:jc w:val="left"/>
              <w:rPr>
                <w:rFonts w:hint="eastAsia" w:ascii="宋体" w:hAnsi="宋体" w:eastAsia="宋体" w:cs="宋体"/>
                <w:i w:val="0"/>
                <w:iCs w:val="0"/>
                <w:color w:val="000000"/>
                <w:sz w:val="18"/>
                <w:szCs w:val="18"/>
                <w:highlight w:val="none"/>
                <w:u w:val="none"/>
              </w:rPr>
            </w:pPr>
          </w:p>
        </w:tc>
      </w:tr>
      <w:tr w14:paraId="506CB6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B5223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c>
          <w:tcPr>
            <w:tcW w:w="164" w:type="pct"/>
            <w:vMerge w:val="continue"/>
            <w:tcBorders>
              <w:tl2br w:val="nil"/>
              <w:tr2bl w:val="nil"/>
            </w:tcBorders>
            <w:shd w:val="clear" w:color="auto" w:fill="auto"/>
            <w:vAlign w:val="center"/>
          </w:tcPr>
          <w:p w14:paraId="198B48A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A4346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0F125D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吊篮上的操作人员未配置独立于悬吊平台的安全绳及安全带或其它安全装置，未严格遵守操作规程</w:t>
            </w:r>
          </w:p>
        </w:tc>
        <w:tc>
          <w:tcPr>
            <w:tcW w:w="386" w:type="pct"/>
            <w:tcBorders>
              <w:tl2br w:val="nil"/>
              <w:tr2bl w:val="nil"/>
            </w:tcBorders>
            <w:shd w:val="clear" w:color="auto" w:fill="auto"/>
            <w:vAlign w:val="center"/>
          </w:tcPr>
          <w:p w14:paraId="024A86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6AA467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32A927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354D61E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E6BA2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AF6CA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FAB46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71BB61">
            <w:pPr>
              <w:spacing w:line="240" w:lineRule="auto"/>
              <w:jc w:val="left"/>
              <w:rPr>
                <w:rFonts w:hint="eastAsia" w:ascii="宋体" w:hAnsi="宋体" w:eastAsia="宋体" w:cs="宋体"/>
                <w:i w:val="0"/>
                <w:iCs w:val="0"/>
                <w:color w:val="000000"/>
                <w:sz w:val="18"/>
                <w:szCs w:val="18"/>
                <w:highlight w:val="none"/>
                <w:u w:val="none"/>
              </w:rPr>
            </w:pPr>
          </w:p>
        </w:tc>
      </w:tr>
      <w:tr w14:paraId="14081EA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A44AD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w:t>
            </w:r>
          </w:p>
        </w:tc>
        <w:tc>
          <w:tcPr>
            <w:tcW w:w="164" w:type="pct"/>
            <w:vMerge w:val="continue"/>
            <w:tcBorders>
              <w:tl2br w:val="nil"/>
              <w:tr2bl w:val="nil"/>
            </w:tcBorders>
            <w:shd w:val="clear" w:color="auto" w:fill="auto"/>
            <w:vAlign w:val="center"/>
          </w:tcPr>
          <w:p w14:paraId="3AA2BB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0063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0D26B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吊篮在正常工作时，使用安全锁进行制动</w:t>
            </w:r>
          </w:p>
        </w:tc>
        <w:tc>
          <w:tcPr>
            <w:tcW w:w="386" w:type="pct"/>
            <w:tcBorders>
              <w:tl2br w:val="nil"/>
              <w:tr2bl w:val="nil"/>
            </w:tcBorders>
            <w:shd w:val="clear" w:color="auto" w:fill="auto"/>
            <w:vAlign w:val="center"/>
          </w:tcPr>
          <w:p w14:paraId="0904CC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54599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CCADB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4FF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68F8B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222" w:type="pct"/>
            <w:tcBorders>
              <w:tl2br w:val="nil"/>
              <w:tr2bl w:val="nil"/>
            </w:tcBorders>
            <w:shd w:val="clear" w:color="auto" w:fill="auto"/>
            <w:vAlign w:val="center"/>
          </w:tcPr>
          <w:p w14:paraId="6CBE81D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61CA18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49E2C4">
            <w:pPr>
              <w:spacing w:line="240" w:lineRule="auto"/>
              <w:jc w:val="left"/>
              <w:rPr>
                <w:rFonts w:hint="eastAsia" w:ascii="宋体" w:hAnsi="宋体" w:eastAsia="宋体" w:cs="宋体"/>
                <w:i w:val="0"/>
                <w:iCs w:val="0"/>
                <w:color w:val="000000"/>
                <w:sz w:val="18"/>
                <w:szCs w:val="18"/>
                <w:highlight w:val="none"/>
                <w:u w:val="none"/>
              </w:rPr>
            </w:pPr>
          </w:p>
        </w:tc>
      </w:tr>
      <w:tr w14:paraId="3EE80A7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021AE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164" w:type="pct"/>
            <w:vMerge w:val="continue"/>
            <w:tcBorders>
              <w:tl2br w:val="nil"/>
              <w:tr2bl w:val="nil"/>
            </w:tcBorders>
            <w:shd w:val="clear" w:color="auto" w:fill="auto"/>
            <w:vAlign w:val="center"/>
          </w:tcPr>
          <w:p w14:paraId="077A65C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BAA897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F6ADE2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利用吊篮进行电焊作业时，用吊篮做电焊接线回路；或者吊篮内放置氧气瓶、乙炔瓶等易燃易爆品</w:t>
            </w:r>
          </w:p>
        </w:tc>
        <w:tc>
          <w:tcPr>
            <w:tcW w:w="386" w:type="pct"/>
            <w:tcBorders>
              <w:tl2br w:val="nil"/>
              <w:tr2bl w:val="nil"/>
            </w:tcBorders>
            <w:shd w:val="clear" w:color="auto" w:fill="auto"/>
            <w:vAlign w:val="center"/>
          </w:tcPr>
          <w:p w14:paraId="571CD4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EE7D4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0444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BAEC7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DCF642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6985A5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42A02F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231C0EC">
            <w:pPr>
              <w:spacing w:line="240" w:lineRule="auto"/>
              <w:jc w:val="left"/>
              <w:rPr>
                <w:rFonts w:hint="eastAsia" w:ascii="宋体" w:hAnsi="宋体" w:eastAsia="宋体" w:cs="宋体"/>
                <w:i w:val="0"/>
                <w:iCs w:val="0"/>
                <w:color w:val="000000"/>
                <w:sz w:val="18"/>
                <w:szCs w:val="18"/>
                <w:highlight w:val="none"/>
                <w:u w:val="none"/>
              </w:rPr>
            </w:pPr>
          </w:p>
        </w:tc>
      </w:tr>
      <w:tr w14:paraId="432866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C35F0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w:t>
            </w:r>
          </w:p>
        </w:tc>
        <w:tc>
          <w:tcPr>
            <w:tcW w:w="164" w:type="pct"/>
            <w:vMerge w:val="restart"/>
            <w:tcBorders>
              <w:tl2br w:val="nil"/>
              <w:tr2bl w:val="nil"/>
            </w:tcBorders>
            <w:shd w:val="clear" w:color="auto" w:fill="auto"/>
            <w:vAlign w:val="center"/>
          </w:tcPr>
          <w:p w14:paraId="6C0CF3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临时用电</w:t>
            </w:r>
          </w:p>
        </w:tc>
        <w:tc>
          <w:tcPr>
            <w:tcW w:w="242" w:type="pct"/>
            <w:vMerge w:val="restart"/>
            <w:tcBorders>
              <w:tl2br w:val="nil"/>
              <w:tr2bl w:val="nil"/>
            </w:tcBorders>
            <w:shd w:val="clear" w:color="auto" w:fill="auto"/>
            <w:vAlign w:val="center"/>
          </w:tcPr>
          <w:p w14:paraId="6863F39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接地和防雷</w:t>
            </w:r>
          </w:p>
        </w:tc>
        <w:tc>
          <w:tcPr>
            <w:tcW w:w="1907" w:type="pct"/>
            <w:tcBorders>
              <w:tl2br w:val="nil"/>
              <w:tr2bl w:val="nil"/>
            </w:tcBorders>
            <w:shd w:val="clear" w:color="auto" w:fill="auto"/>
            <w:vAlign w:val="center"/>
          </w:tcPr>
          <w:p w14:paraId="0581D1A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施工现场的临时用电电力系统存在利用大地做相线或零线的现象</w:t>
            </w:r>
          </w:p>
        </w:tc>
        <w:tc>
          <w:tcPr>
            <w:tcW w:w="386" w:type="pct"/>
            <w:tcBorders>
              <w:tl2br w:val="nil"/>
              <w:tr2bl w:val="nil"/>
            </w:tcBorders>
            <w:shd w:val="clear" w:color="auto" w:fill="auto"/>
            <w:vAlign w:val="center"/>
          </w:tcPr>
          <w:p w14:paraId="2A5C24D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85A9F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8E8F3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548B2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580D3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04F85F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C31A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3A1F6A">
            <w:pPr>
              <w:spacing w:line="240" w:lineRule="auto"/>
              <w:jc w:val="left"/>
              <w:rPr>
                <w:rFonts w:hint="eastAsia" w:ascii="宋体" w:hAnsi="宋体" w:eastAsia="宋体" w:cs="宋体"/>
                <w:i w:val="0"/>
                <w:iCs w:val="0"/>
                <w:color w:val="000000"/>
                <w:sz w:val="18"/>
                <w:szCs w:val="18"/>
                <w:highlight w:val="none"/>
                <w:u w:val="none"/>
              </w:rPr>
            </w:pPr>
          </w:p>
        </w:tc>
      </w:tr>
      <w:tr w14:paraId="3AC6613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80468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w:t>
            </w:r>
          </w:p>
        </w:tc>
        <w:tc>
          <w:tcPr>
            <w:tcW w:w="164" w:type="pct"/>
            <w:vMerge w:val="continue"/>
            <w:tcBorders>
              <w:tl2br w:val="nil"/>
              <w:tr2bl w:val="nil"/>
            </w:tcBorders>
            <w:shd w:val="clear" w:color="auto" w:fill="auto"/>
            <w:vAlign w:val="center"/>
          </w:tcPr>
          <w:p w14:paraId="1B49DD9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7D18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189640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保护零线没有采用绝缘导线</w:t>
            </w:r>
          </w:p>
        </w:tc>
        <w:tc>
          <w:tcPr>
            <w:tcW w:w="386" w:type="pct"/>
            <w:tcBorders>
              <w:tl2br w:val="nil"/>
              <w:tr2bl w:val="nil"/>
            </w:tcBorders>
            <w:shd w:val="clear" w:color="auto" w:fill="auto"/>
            <w:vAlign w:val="center"/>
          </w:tcPr>
          <w:p w14:paraId="65B4947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4325C4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BC267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7E326AD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962B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68B8B0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7F459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9714D8">
            <w:pPr>
              <w:spacing w:line="240" w:lineRule="auto"/>
              <w:jc w:val="left"/>
              <w:rPr>
                <w:rFonts w:hint="eastAsia" w:ascii="宋体" w:hAnsi="宋体" w:eastAsia="宋体" w:cs="宋体"/>
                <w:i w:val="0"/>
                <w:iCs w:val="0"/>
                <w:color w:val="000000"/>
                <w:sz w:val="18"/>
                <w:szCs w:val="18"/>
                <w:highlight w:val="none"/>
                <w:u w:val="none"/>
              </w:rPr>
            </w:pPr>
          </w:p>
        </w:tc>
      </w:tr>
      <w:tr w14:paraId="245AC6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6D1F9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w:t>
            </w:r>
          </w:p>
        </w:tc>
        <w:tc>
          <w:tcPr>
            <w:tcW w:w="164" w:type="pct"/>
            <w:vMerge w:val="continue"/>
            <w:tcBorders>
              <w:tl2br w:val="nil"/>
              <w:tr2bl w:val="nil"/>
            </w:tcBorders>
            <w:shd w:val="clear" w:color="auto" w:fill="auto"/>
            <w:vAlign w:val="center"/>
          </w:tcPr>
          <w:p w14:paraId="0A1A63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29349D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电缆</w:t>
            </w:r>
          </w:p>
          <w:p w14:paraId="5D8C66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线路</w:t>
            </w:r>
          </w:p>
        </w:tc>
        <w:tc>
          <w:tcPr>
            <w:tcW w:w="1907" w:type="pct"/>
            <w:tcBorders>
              <w:tl2br w:val="nil"/>
              <w:tr2bl w:val="nil"/>
            </w:tcBorders>
            <w:shd w:val="clear" w:color="auto" w:fill="auto"/>
            <w:vAlign w:val="center"/>
          </w:tcPr>
          <w:p w14:paraId="6A513E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电缆线路未采用埋地或架空敷设，或未采取避免机械损伤和介质腐蚀的措施</w:t>
            </w:r>
          </w:p>
        </w:tc>
        <w:tc>
          <w:tcPr>
            <w:tcW w:w="386" w:type="pct"/>
            <w:tcBorders>
              <w:tl2br w:val="nil"/>
              <w:tr2bl w:val="nil"/>
            </w:tcBorders>
            <w:shd w:val="clear" w:color="auto" w:fill="auto"/>
            <w:vAlign w:val="center"/>
          </w:tcPr>
          <w:p w14:paraId="09737F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30E948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16CBA1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E742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917E7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B0B5EB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A55BE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286333">
            <w:pPr>
              <w:spacing w:line="240" w:lineRule="auto"/>
              <w:jc w:val="left"/>
              <w:rPr>
                <w:rFonts w:hint="eastAsia" w:ascii="宋体" w:hAnsi="宋体" w:eastAsia="宋体" w:cs="宋体"/>
                <w:i w:val="0"/>
                <w:iCs w:val="0"/>
                <w:color w:val="000000"/>
                <w:sz w:val="18"/>
                <w:szCs w:val="18"/>
                <w:highlight w:val="none"/>
                <w:u w:val="none"/>
              </w:rPr>
            </w:pPr>
          </w:p>
        </w:tc>
      </w:tr>
      <w:tr w14:paraId="5873CF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BD5D9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164" w:type="pct"/>
            <w:vMerge w:val="continue"/>
            <w:tcBorders>
              <w:tl2br w:val="nil"/>
              <w:tr2bl w:val="nil"/>
            </w:tcBorders>
            <w:shd w:val="clear" w:color="auto" w:fill="auto"/>
            <w:vAlign w:val="center"/>
          </w:tcPr>
          <w:p w14:paraId="05D790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66C64E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14D06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室内配线没有短路保护和过载保护</w:t>
            </w:r>
          </w:p>
        </w:tc>
        <w:tc>
          <w:tcPr>
            <w:tcW w:w="386" w:type="pct"/>
            <w:tcBorders>
              <w:tl2br w:val="nil"/>
              <w:tr2bl w:val="nil"/>
            </w:tcBorders>
            <w:shd w:val="clear" w:color="auto" w:fill="auto"/>
            <w:vAlign w:val="center"/>
          </w:tcPr>
          <w:p w14:paraId="62C70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3D58D6F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8C06C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D7585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DF9A2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3B133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547EF2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A212DE">
            <w:pPr>
              <w:spacing w:line="240" w:lineRule="auto"/>
              <w:jc w:val="left"/>
              <w:rPr>
                <w:rFonts w:hint="eastAsia" w:ascii="宋体" w:hAnsi="宋体" w:eastAsia="宋体" w:cs="宋体"/>
                <w:i w:val="0"/>
                <w:iCs w:val="0"/>
                <w:color w:val="000000"/>
                <w:sz w:val="18"/>
                <w:szCs w:val="18"/>
                <w:highlight w:val="none"/>
                <w:u w:val="none"/>
              </w:rPr>
            </w:pPr>
          </w:p>
        </w:tc>
      </w:tr>
      <w:tr w14:paraId="4B865CD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589C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c>
          <w:tcPr>
            <w:tcW w:w="164" w:type="pct"/>
            <w:vMerge w:val="continue"/>
            <w:tcBorders>
              <w:tl2br w:val="nil"/>
              <w:tr2bl w:val="nil"/>
            </w:tcBorders>
            <w:shd w:val="clear" w:color="auto" w:fill="auto"/>
            <w:vAlign w:val="center"/>
          </w:tcPr>
          <w:p w14:paraId="01EACDC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0FAD02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照明</w:t>
            </w:r>
          </w:p>
        </w:tc>
        <w:tc>
          <w:tcPr>
            <w:tcW w:w="1907" w:type="pct"/>
            <w:tcBorders>
              <w:tl2br w:val="nil"/>
              <w:tr2bl w:val="nil"/>
            </w:tcBorders>
            <w:shd w:val="clear" w:color="auto" w:fill="auto"/>
            <w:vAlign w:val="center"/>
          </w:tcPr>
          <w:p w14:paraId="6CDBB29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有爆炸和火灾危险的场所，没有按危险场所等级选用防爆型照明器</w:t>
            </w:r>
          </w:p>
        </w:tc>
        <w:tc>
          <w:tcPr>
            <w:tcW w:w="386" w:type="pct"/>
            <w:tcBorders>
              <w:tl2br w:val="nil"/>
              <w:tr2bl w:val="nil"/>
            </w:tcBorders>
            <w:shd w:val="clear" w:color="auto" w:fill="auto"/>
            <w:vAlign w:val="center"/>
          </w:tcPr>
          <w:p w14:paraId="4B9803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爆炸</w:t>
            </w:r>
          </w:p>
        </w:tc>
        <w:tc>
          <w:tcPr>
            <w:tcW w:w="171" w:type="pct"/>
            <w:tcBorders>
              <w:tl2br w:val="nil"/>
              <w:tr2bl w:val="nil"/>
            </w:tcBorders>
            <w:shd w:val="clear" w:color="auto" w:fill="auto"/>
            <w:vAlign w:val="center"/>
          </w:tcPr>
          <w:p w14:paraId="354DF3E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EE128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2C747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713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174812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46588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7858461">
            <w:pPr>
              <w:spacing w:line="240" w:lineRule="auto"/>
              <w:jc w:val="left"/>
              <w:rPr>
                <w:rFonts w:hint="eastAsia" w:ascii="宋体" w:hAnsi="宋体" w:eastAsia="宋体" w:cs="宋体"/>
                <w:i w:val="0"/>
                <w:iCs w:val="0"/>
                <w:color w:val="000000"/>
                <w:sz w:val="18"/>
                <w:szCs w:val="18"/>
                <w:highlight w:val="none"/>
                <w:u w:val="none"/>
              </w:rPr>
            </w:pPr>
          </w:p>
        </w:tc>
      </w:tr>
      <w:tr w14:paraId="767095D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6EF66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w:t>
            </w:r>
          </w:p>
        </w:tc>
        <w:tc>
          <w:tcPr>
            <w:tcW w:w="164" w:type="pct"/>
            <w:vMerge w:val="continue"/>
            <w:tcBorders>
              <w:tl2br w:val="nil"/>
              <w:tr2bl w:val="nil"/>
            </w:tcBorders>
            <w:shd w:val="clear" w:color="auto" w:fill="auto"/>
            <w:vAlign w:val="center"/>
          </w:tcPr>
          <w:p w14:paraId="5781D66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272899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1DD55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隧道、高温、有导电灰尘、比较潮湿或灯具离地面高度低于m等场所的照明，电源电压大于36V</w:t>
            </w:r>
          </w:p>
        </w:tc>
        <w:tc>
          <w:tcPr>
            <w:tcW w:w="386" w:type="pct"/>
            <w:tcBorders>
              <w:tl2br w:val="nil"/>
              <w:tr2bl w:val="nil"/>
            </w:tcBorders>
            <w:shd w:val="clear" w:color="auto" w:fill="auto"/>
            <w:vAlign w:val="center"/>
          </w:tcPr>
          <w:p w14:paraId="5C677C5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21671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EBF59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BDF85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34B88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44176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936FE8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FC48D57">
            <w:pPr>
              <w:spacing w:line="240" w:lineRule="auto"/>
              <w:jc w:val="left"/>
              <w:rPr>
                <w:rFonts w:hint="eastAsia" w:ascii="宋体" w:hAnsi="宋体" w:eastAsia="宋体" w:cs="宋体"/>
                <w:i w:val="0"/>
                <w:iCs w:val="0"/>
                <w:color w:val="000000"/>
                <w:sz w:val="18"/>
                <w:szCs w:val="18"/>
                <w:highlight w:val="none"/>
                <w:u w:val="none"/>
              </w:rPr>
            </w:pPr>
          </w:p>
        </w:tc>
      </w:tr>
      <w:tr w14:paraId="5EEFCD7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952441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w:t>
            </w:r>
          </w:p>
        </w:tc>
        <w:tc>
          <w:tcPr>
            <w:tcW w:w="164" w:type="pct"/>
            <w:vMerge w:val="continue"/>
            <w:tcBorders>
              <w:tl2br w:val="nil"/>
              <w:tr2bl w:val="nil"/>
            </w:tcBorders>
            <w:shd w:val="clear" w:color="auto" w:fill="auto"/>
            <w:vAlign w:val="center"/>
          </w:tcPr>
          <w:p w14:paraId="5EBE380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523DA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AFBB3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潮湿和易触及带电体场所的照明，电源电压大于24V</w:t>
            </w:r>
          </w:p>
        </w:tc>
        <w:tc>
          <w:tcPr>
            <w:tcW w:w="386" w:type="pct"/>
            <w:tcBorders>
              <w:tl2br w:val="nil"/>
              <w:tr2bl w:val="nil"/>
            </w:tcBorders>
            <w:shd w:val="clear" w:color="auto" w:fill="auto"/>
            <w:vAlign w:val="center"/>
          </w:tcPr>
          <w:p w14:paraId="40E2B4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D67180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3710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3A0A6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41DBDD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3E353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6CE31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0D36DC">
            <w:pPr>
              <w:spacing w:line="240" w:lineRule="auto"/>
              <w:jc w:val="left"/>
              <w:rPr>
                <w:rFonts w:hint="eastAsia" w:ascii="宋体" w:hAnsi="宋体" w:eastAsia="宋体" w:cs="宋体"/>
                <w:i w:val="0"/>
                <w:iCs w:val="0"/>
                <w:color w:val="000000"/>
                <w:sz w:val="18"/>
                <w:szCs w:val="18"/>
                <w:highlight w:val="none"/>
                <w:u w:val="none"/>
              </w:rPr>
            </w:pPr>
          </w:p>
        </w:tc>
      </w:tr>
      <w:tr w14:paraId="2353A2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332112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c>
          <w:tcPr>
            <w:tcW w:w="164" w:type="pct"/>
            <w:vMerge w:val="continue"/>
            <w:tcBorders>
              <w:tl2br w:val="nil"/>
              <w:tr2bl w:val="nil"/>
            </w:tcBorders>
            <w:shd w:val="clear" w:color="auto" w:fill="auto"/>
            <w:vAlign w:val="center"/>
          </w:tcPr>
          <w:p w14:paraId="6368B5EB">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7313C4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防雨</w:t>
            </w:r>
          </w:p>
        </w:tc>
        <w:tc>
          <w:tcPr>
            <w:tcW w:w="1907" w:type="pct"/>
            <w:tcBorders>
              <w:tl2br w:val="nil"/>
              <w:tr2bl w:val="nil"/>
            </w:tcBorders>
            <w:shd w:val="clear" w:color="auto" w:fill="auto"/>
            <w:vAlign w:val="center"/>
          </w:tcPr>
          <w:p w14:paraId="5665207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户外安装使用的电气设备不具备良好的防雨性能</w:t>
            </w:r>
          </w:p>
        </w:tc>
        <w:tc>
          <w:tcPr>
            <w:tcW w:w="386" w:type="pct"/>
            <w:tcBorders>
              <w:tl2br w:val="nil"/>
              <w:tr2bl w:val="nil"/>
            </w:tcBorders>
            <w:shd w:val="clear" w:color="auto" w:fill="auto"/>
            <w:vAlign w:val="center"/>
          </w:tcPr>
          <w:p w14:paraId="57E535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4CF11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F395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80F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00EED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E6419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F7E35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564CAC">
            <w:pPr>
              <w:spacing w:line="240" w:lineRule="auto"/>
              <w:jc w:val="left"/>
              <w:rPr>
                <w:rFonts w:hint="eastAsia" w:ascii="宋体" w:hAnsi="宋体" w:eastAsia="宋体" w:cs="宋体"/>
                <w:i w:val="0"/>
                <w:iCs w:val="0"/>
                <w:color w:val="000000"/>
                <w:sz w:val="18"/>
                <w:szCs w:val="18"/>
                <w:highlight w:val="none"/>
                <w:u w:val="none"/>
              </w:rPr>
            </w:pPr>
          </w:p>
        </w:tc>
      </w:tr>
      <w:tr w14:paraId="06614CC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CA3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w:t>
            </w:r>
          </w:p>
        </w:tc>
        <w:tc>
          <w:tcPr>
            <w:tcW w:w="164" w:type="pct"/>
            <w:vMerge w:val="continue"/>
            <w:tcBorders>
              <w:tl2br w:val="nil"/>
              <w:tr2bl w:val="nil"/>
            </w:tcBorders>
            <w:shd w:val="clear" w:color="auto" w:fill="auto"/>
            <w:vAlign w:val="center"/>
          </w:tcPr>
          <w:p w14:paraId="21FB9E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17E399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潮湿</w:t>
            </w:r>
          </w:p>
          <w:p w14:paraId="329780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环境</w:t>
            </w:r>
          </w:p>
        </w:tc>
        <w:tc>
          <w:tcPr>
            <w:tcW w:w="1907" w:type="pct"/>
            <w:tcBorders>
              <w:tl2br w:val="nil"/>
              <w:tr2bl w:val="nil"/>
            </w:tcBorders>
            <w:shd w:val="clear" w:color="auto" w:fill="auto"/>
            <w:vAlign w:val="center"/>
          </w:tcPr>
          <w:p w14:paraId="69AB43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在潮湿环境中使用电气设备时，操作人员没有按规定穿戴绝缘防护用品和站在绝缘台上</w:t>
            </w:r>
          </w:p>
        </w:tc>
        <w:tc>
          <w:tcPr>
            <w:tcW w:w="386" w:type="pct"/>
            <w:tcBorders>
              <w:tl2br w:val="nil"/>
              <w:tr2bl w:val="nil"/>
            </w:tcBorders>
            <w:shd w:val="clear" w:color="auto" w:fill="auto"/>
            <w:vAlign w:val="center"/>
          </w:tcPr>
          <w:p w14:paraId="57FE73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1AE9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6D715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F8539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CE7F8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7A6A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3F8A8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169A86">
            <w:pPr>
              <w:spacing w:line="240" w:lineRule="auto"/>
              <w:jc w:val="left"/>
              <w:rPr>
                <w:rFonts w:hint="eastAsia" w:ascii="宋体" w:hAnsi="宋体" w:eastAsia="宋体" w:cs="宋体"/>
                <w:i w:val="0"/>
                <w:iCs w:val="0"/>
                <w:color w:val="000000"/>
                <w:sz w:val="18"/>
                <w:szCs w:val="18"/>
                <w:highlight w:val="none"/>
                <w:u w:val="none"/>
              </w:rPr>
            </w:pPr>
          </w:p>
        </w:tc>
      </w:tr>
      <w:tr w14:paraId="23E928A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1E036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164" w:type="pct"/>
            <w:vMerge w:val="continue"/>
            <w:tcBorders>
              <w:tl2br w:val="nil"/>
              <w:tr2bl w:val="nil"/>
            </w:tcBorders>
            <w:shd w:val="clear" w:color="auto" w:fill="auto"/>
            <w:vAlign w:val="center"/>
          </w:tcPr>
          <w:p w14:paraId="4FD8DD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34C2F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712793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设备的金属外壳、环境中的金属构架和管道没有良好接地</w:t>
            </w:r>
          </w:p>
        </w:tc>
        <w:tc>
          <w:tcPr>
            <w:tcW w:w="386" w:type="pct"/>
            <w:tcBorders>
              <w:tl2br w:val="nil"/>
              <w:tr2bl w:val="nil"/>
            </w:tcBorders>
            <w:shd w:val="clear" w:color="auto" w:fill="auto"/>
            <w:vAlign w:val="center"/>
          </w:tcPr>
          <w:p w14:paraId="5767D3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71122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EC8D7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6F6DC1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27B8E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632CD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F7A7DB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5F887A">
            <w:pPr>
              <w:spacing w:line="240" w:lineRule="auto"/>
              <w:jc w:val="left"/>
              <w:rPr>
                <w:rFonts w:hint="eastAsia" w:ascii="宋体" w:hAnsi="宋体" w:eastAsia="宋体" w:cs="宋体"/>
                <w:i w:val="0"/>
                <w:iCs w:val="0"/>
                <w:color w:val="000000"/>
                <w:sz w:val="18"/>
                <w:szCs w:val="18"/>
                <w:highlight w:val="none"/>
                <w:u w:val="none"/>
              </w:rPr>
            </w:pPr>
          </w:p>
        </w:tc>
      </w:tr>
      <w:tr w14:paraId="07A7492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E73D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w:t>
            </w:r>
          </w:p>
        </w:tc>
        <w:tc>
          <w:tcPr>
            <w:tcW w:w="164" w:type="pct"/>
            <w:vMerge w:val="continue"/>
            <w:tcBorders>
              <w:tl2br w:val="nil"/>
              <w:tr2bl w:val="nil"/>
            </w:tcBorders>
            <w:shd w:val="clear" w:color="auto" w:fill="auto"/>
            <w:vAlign w:val="center"/>
          </w:tcPr>
          <w:p w14:paraId="0D0DC7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12634D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临电</w:t>
            </w:r>
          </w:p>
          <w:p w14:paraId="384F41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w:t>
            </w:r>
          </w:p>
        </w:tc>
        <w:tc>
          <w:tcPr>
            <w:tcW w:w="1907" w:type="pct"/>
            <w:tcBorders>
              <w:tl2br w:val="nil"/>
              <w:tr2bl w:val="nil"/>
            </w:tcBorders>
            <w:shd w:val="clear" w:color="auto" w:fill="auto"/>
            <w:vAlign w:val="center"/>
          </w:tcPr>
          <w:p w14:paraId="5C0BAB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拆除前，被拆除部分没有与带电部分在电气上进行可靠断开、隔离；没有悬挂警示牌；没有在被拆除侧挂临时接地线或投接地刀闸</w:t>
            </w:r>
          </w:p>
        </w:tc>
        <w:tc>
          <w:tcPr>
            <w:tcW w:w="386" w:type="pct"/>
            <w:tcBorders>
              <w:tl2br w:val="nil"/>
              <w:tr2bl w:val="nil"/>
            </w:tcBorders>
            <w:shd w:val="clear" w:color="auto" w:fill="auto"/>
            <w:vAlign w:val="center"/>
          </w:tcPr>
          <w:p w14:paraId="0A939D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8174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422B6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5ADEA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38B73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1F97B1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0A630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4CFE64">
            <w:pPr>
              <w:spacing w:line="240" w:lineRule="auto"/>
              <w:jc w:val="left"/>
              <w:rPr>
                <w:rFonts w:hint="eastAsia" w:ascii="宋体" w:hAnsi="宋体" w:eastAsia="宋体" w:cs="宋体"/>
                <w:i w:val="0"/>
                <w:iCs w:val="0"/>
                <w:color w:val="000000"/>
                <w:sz w:val="18"/>
                <w:szCs w:val="18"/>
                <w:highlight w:val="none"/>
                <w:u w:val="none"/>
              </w:rPr>
            </w:pPr>
          </w:p>
        </w:tc>
      </w:tr>
      <w:tr w14:paraId="09A25D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486F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w:t>
            </w:r>
          </w:p>
        </w:tc>
        <w:tc>
          <w:tcPr>
            <w:tcW w:w="164" w:type="pct"/>
            <w:vMerge w:val="continue"/>
            <w:tcBorders>
              <w:tl2br w:val="nil"/>
              <w:tr2bl w:val="nil"/>
            </w:tcBorders>
            <w:shd w:val="clear" w:color="auto" w:fill="auto"/>
            <w:vAlign w:val="center"/>
          </w:tcPr>
          <w:p w14:paraId="1A8486C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653E29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DBEBA8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在拆除临近带电部分的供用电设施时，没有专人监护、并设隔离防护设施 </w:t>
            </w:r>
          </w:p>
        </w:tc>
        <w:tc>
          <w:tcPr>
            <w:tcW w:w="386" w:type="pct"/>
            <w:tcBorders>
              <w:tl2br w:val="nil"/>
              <w:tr2bl w:val="nil"/>
            </w:tcBorders>
            <w:shd w:val="clear" w:color="auto" w:fill="auto"/>
            <w:vAlign w:val="center"/>
          </w:tcPr>
          <w:p w14:paraId="710C7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5F102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250F5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CEF20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42B58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CCB5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B85C21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5EF910">
            <w:pPr>
              <w:spacing w:line="240" w:lineRule="auto"/>
              <w:jc w:val="left"/>
              <w:rPr>
                <w:rFonts w:hint="eastAsia" w:ascii="宋体" w:hAnsi="宋体" w:eastAsia="宋体" w:cs="宋体"/>
                <w:i w:val="0"/>
                <w:iCs w:val="0"/>
                <w:color w:val="000000"/>
                <w:sz w:val="18"/>
                <w:szCs w:val="18"/>
                <w:highlight w:val="none"/>
                <w:u w:val="none"/>
              </w:rPr>
            </w:pPr>
          </w:p>
        </w:tc>
      </w:tr>
      <w:tr w14:paraId="6A17DB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22446E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164" w:type="pct"/>
            <w:vMerge w:val="continue"/>
            <w:tcBorders>
              <w:tl2br w:val="nil"/>
              <w:tr2bl w:val="nil"/>
            </w:tcBorders>
            <w:shd w:val="clear" w:color="auto" w:fill="auto"/>
            <w:vAlign w:val="center"/>
          </w:tcPr>
          <w:p w14:paraId="67725B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BE151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E031E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拆除工作未从电源侧开始</w:t>
            </w:r>
          </w:p>
        </w:tc>
        <w:tc>
          <w:tcPr>
            <w:tcW w:w="386" w:type="pct"/>
            <w:tcBorders>
              <w:tl2br w:val="nil"/>
              <w:tr2bl w:val="nil"/>
            </w:tcBorders>
            <w:shd w:val="clear" w:color="auto" w:fill="auto"/>
            <w:vAlign w:val="center"/>
          </w:tcPr>
          <w:p w14:paraId="7F591D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6511E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79543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7396C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627B8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0934F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B66E37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5D5DA9">
            <w:pPr>
              <w:spacing w:line="240" w:lineRule="auto"/>
              <w:jc w:val="left"/>
              <w:rPr>
                <w:rFonts w:hint="eastAsia" w:ascii="宋体" w:hAnsi="宋体" w:eastAsia="宋体" w:cs="宋体"/>
                <w:i w:val="0"/>
                <w:iCs w:val="0"/>
                <w:color w:val="000000"/>
                <w:sz w:val="18"/>
                <w:szCs w:val="18"/>
                <w:highlight w:val="none"/>
                <w:u w:val="none"/>
              </w:rPr>
            </w:pPr>
          </w:p>
        </w:tc>
      </w:tr>
      <w:tr w14:paraId="0BAD6DD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65088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w:t>
            </w:r>
          </w:p>
        </w:tc>
        <w:tc>
          <w:tcPr>
            <w:tcW w:w="164" w:type="pct"/>
            <w:vMerge w:val="restart"/>
            <w:tcBorders>
              <w:tl2br w:val="nil"/>
              <w:tr2bl w:val="nil"/>
            </w:tcBorders>
            <w:shd w:val="clear" w:color="auto" w:fill="auto"/>
            <w:vAlign w:val="center"/>
          </w:tcPr>
          <w:p w14:paraId="02E305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特殊季节与特殊环境施工</w:t>
            </w:r>
          </w:p>
        </w:tc>
        <w:tc>
          <w:tcPr>
            <w:tcW w:w="242" w:type="pct"/>
            <w:vMerge w:val="restart"/>
            <w:tcBorders>
              <w:tl2br w:val="nil"/>
              <w:tr2bl w:val="nil"/>
            </w:tcBorders>
            <w:shd w:val="clear" w:color="auto" w:fill="auto"/>
            <w:vAlign w:val="center"/>
          </w:tcPr>
          <w:p w14:paraId="53BEF3C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一般</w:t>
            </w:r>
          </w:p>
        </w:tc>
        <w:tc>
          <w:tcPr>
            <w:tcW w:w="1907" w:type="pct"/>
            <w:tcBorders>
              <w:tl2br w:val="nil"/>
              <w:tr2bl w:val="nil"/>
            </w:tcBorders>
            <w:shd w:val="clear" w:color="auto" w:fill="auto"/>
            <w:vAlign w:val="center"/>
          </w:tcPr>
          <w:p w14:paraId="4D5F861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未制订特殊季节、特殊环境防范措施，未编制应急预案，未储备应急物资、未定期演练</w:t>
            </w:r>
          </w:p>
        </w:tc>
        <w:tc>
          <w:tcPr>
            <w:tcW w:w="386" w:type="pct"/>
            <w:tcBorders>
              <w:tl2br w:val="nil"/>
              <w:tr2bl w:val="nil"/>
            </w:tcBorders>
            <w:shd w:val="clear" w:color="auto" w:fill="auto"/>
            <w:vAlign w:val="center"/>
          </w:tcPr>
          <w:p w14:paraId="71725C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119A77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EB35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36F92C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C1E5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22" w:type="pct"/>
            <w:tcBorders>
              <w:tl2br w:val="nil"/>
              <w:tr2bl w:val="nil"/>
            </w:tcBorders>
            <w:shd w:val="clear" w:color="auto" w:fill="auto"/>
            <w:vAlign w:val="center"/>
          </w:tcPr>
          <w:p w14:paraId="3F1947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4AD901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8C8690">
            <w:pPr>
              <w:spacing w:line="240" w:lineRule="auto"/>
              <w:jc w:val="left"/>
              <w:rPr>
                <w:rFonts w:hint="eastAsia" w:ascii="宋体" w:hAnsi="宋体" w:eastAsia="宋体" w:cs="宋体"/>
                <w:i w:val="0"/>
                <w:iCs w:val="0"/>
                <w:color w:val="000000"/>
                <w:sz w:val="18"/>
                <w:szCs w:val="18"/>
                <w:highlight w:val="none"/>
                <w:u w:val="none"/>
              </w:rPr>
            </w:pPr>
          </w:p>
        </w:tc>
      </w:tr>
      <w:tr w14:paraId="6422D0E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80" w:hRule="atLeast"/>
        </w:trPr>
        <w:tc>
          <w:tcPr>
            <w:tcW w:w="180" w:type="pct"/>
            <w:tcBorders>
              <w:tl2br w:val="nil"/>
              <w:tr2bl w:val="nil"/>
            </w:tcBorders>
            <w:shd w:val="clear" w:color="auto" w:fill="auto"/>
            <w:vAlign w:val="center"/>
          </w:tcPr>
          <w:p w14:paraId="5A54B0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c>
          <w:tcPr>
            <w:tcW w:w="164" w:type="pct"/>
            <w:vMerge w:val="continue"/>
            <w:tcBorders>
              <w:tl2br w:val="nil"/>
              <w:tr2bl w:val="nil"/>
            </w:tcBorders>
            <w:shd w:val="clear" w:color="auto" w:fill="auto"/>
            <w:vAlign w:val="center"/>
          </w:tcPr>
          <w:p w14:paraId="09C7A7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F9EC5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94DAD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未及时收集当地气象、水文等信息，未及时采取防范措施</w:t>
            </w:r>
          </w:p>
        </w:tc>
        <w:tc>
          <w:tcPr>
            <w:tcW w:w="386" w:type="pct"/>
            <w:tcBorders>
              <w:tl2br w:val="nil"/>
              <w:tr2bl w:val="nil"/>
            </w:tcBorders>
            <w:shd w:val="clear" w:color="auto" w:fill="auto"/>
            <w:vAlign w:val="center"/>
          </w:tcPr>
          <w:p w14:paraId="58C560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3A2FCA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E2CB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13C42C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D419A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22" w:type="pct"/>
            <w:tcBorders>
              <w:tl2br w:val="nil"/>
              <w:tr2bl w:val="nil"/>
            </w:tcBorders>
            <w:shd w:val="clear" w:color="auto" w:fill="auto"/>
            <w:vAlign w:val="center"/>
          </w:tcPr>
          <w:p w14:paraId="7DD8E4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5B127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B2AAA8">
            <w:pPr>
              <w:spacing w:line="240" w:lineRule="auto"/>
              <w:jc w:val="left"/>
              <w:rPr>
                <w:rFonts w:hint="eastAsia" w:ascii="宋体" w:hAnsi="宋体" w:eastAsia="宋体" w:cs="宋体"/>
                <w:i w:val="0"/>
                <w:iCs w:val="0"/>
                <w:color w:val="000000"/>
                <w:sz w:val="18"/>
                <w:szCs w:val="18"/>
                <w:highlight w:val="none"/>
                <w:u w:val="none"/>
              </w:rPr>
            </w:pPr>
          </w:p>
        </w:tc>
      </w:tr>
      <w:tr w14:paraId="106F0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10371C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w:t>
            </w:r>
          </w:p>
        </w:tc>
        <w:tc>
          <w:tcPr>
            <w:tcW w:w="164" w:type="pct"/>
            <w:vMerge w:val="continue"/>
            <w:tcBorders>
              <w:tl2br w:val="nil"/>
              <w:tr2bl w:val="nil"/>
            </w:tcBorders>
            <w:shd w:val="clear" w:color="auto" w:fill="auto"/>
            <w:vAlign w:val="center"/>
          </w:tcPr>
          <w:p w14:paraId="0201DDD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E925D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w:t>
            </w:r>
          </w:p>
        </w:tc>
        <w:tc>
          <w:tcPr>
            <w:tcW w:w="1907" w:type="pct"/>
            <w:tcBorders>
              <w:tl2br w:val="nil"/>
              <w:tr2bl w:val="nil"/>
            </w:tcBorders>
            <w:shd w:val="clear" w:color="auto" w:fill="auto"/>
            <w:vAlign w:val="center"/>
          </w:tcPr>
          <w:p w14:paraId="0433994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冬季来临前，未检修、保养使用的设备、机具及防护、消防设施，未采取防冻措施</w:t>
            </w:r>
          </w:p>
        </w:tc>
        <w:tc>
          <w:tcPr>
            <w:tcW w:w="386" w:type="pct"/>
            <w:tcBorders>
              <w:tl2br w:val="nil"/>
              <w:tr2bl w:val="nil"/>
            </w:tcBorders>
            <w:shd w:val="clear" w:color="auto" w:fill="auto"/>
            <w:vAlign w:val="center"/>
          </w:tcPr>
          <w:p w14:paraId="36C80A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5D118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6CC69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0BCF5A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EF6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50A1CC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08DA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0457B6E">
            <w:pPr>
              <w:spacing w:line="240" w:lineRule="auto"/>
              <w:jc w:val="left"/>
              <w:rPr>
                <w:rFonts w:hint="eastAsia" w:ascii="宋体" w:hAnsi="宋体" w:eastAsia="宋体" w:cs="宋体"/>
                <w:i w:val="0"/>
                <w:iCs w:val="0"/>
                <w:color w:val="000000"/>
                <w:sz w:val="18"/>
                <w:szCs w:val="18"/>
                <w:highlight w:val="none"/>
                <w:u w:val="none"/>
              </w:rPr>
            </w:pPr>
          </w:p>
        </w:tc>
      </w:tr>
      <w:tr w14:paraId="78AA89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95666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w:t>
            </w:r>
          </w:p>
        </w:tc>
        <w:tc>
          <w:tcPr>
            <w:tcW w:w="164" w:type="pct"/>
            <w:vMerge w:val="continue"/>
            <w:tcBorders>
              <w:tl2br w:val="nil"/>
              <w:tr2bl w:val="nil"/>
            </w:tcBorders>
            <w:shd w:val="clear" w:color="auto" w:fill="auto"/>
            <w:vAlign w:val="center"/>
          </w:tcPr>
          <w:p w14:paraId="4B9C954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78941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4E722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冬季施工现场的道路、工作平台、斜坡道、脚手板等均未采取防滑措施，冬季施工现场未配消防器材</w:t>
            </w:r>
          </w:p>
        </w:tc>
        <w:tc>
          <w:tcPr>
            <w:tcW w:w="386" w:type="pct"/>
            <w:tcBorders>
              <w:tl2br w:val="nil"/>
              <w:tr2bl w:val="nil"/>
            </w:tcBorders>
            <w:shd w:val="clear" w:color="auto" w:fill="auto"/>
            <w:vAlign w:val="center"/>
          </w:tcPr>
          <w:p w14:paraId="2582FC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16C6B0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18FE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7F6D15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7C3C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213AC9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B562B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96A2188">
            <w:pPr>
              <w:spacing w:line="240" w:lineRule="auto"/>
              <w:jc w:val="left"/>
              <w:rPr>
                <w:rFonts w:hint="eastAsia" w:ascii="宋体" w:hAnsi="宋体" w:eastAsia="宋体" w:cs="宋体"/>
                <w:i w:val="0"/>
                <w:iCs w:val="0"/>
                <w:color w:val="000000"/>
                <w:sz w:val="18"/>
                <w:szCs w:val="18"/>
                <w:highlight w:val="none"/>
                <w:u w:val="none"/>
              </w:rPr>
            </w:pPr>
          </w:p>
        </w:tc>
      </w:tr>
      <w:tr w14:paraId="5971CB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180" w:type="pct"/>
            <w:tcBorders>
              <w:tl2br w:val="nil"/>
              <w:tr2bl w:val="nil"/>
            </w:tcBorders>
            <w:shd w:val="clear" w:color="auto" w:fill="auto"/>
            <w:vAlign w:val="center"/>
          </w:tcPr>
          <w:p w14:paraId="33AE12A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c>
          <w:tcPr>
            <w:tcW w:w="164" w:type="pct"/>
            <w:vMerge w:val="continue"/>
            <w:tcBorders>
              <w:tl2br w:val="nil"/>
              <w:tr2bl w:val="nil"/>
            </w:tcBorders>
            <w:shd w:val="clear" w:color="auto" w:fill="auto"/>
            <w:vAlign w:val="center"/>
          </w:tcPr>
          <w:p w14:paraId="5C2438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697D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w:t>
            </w:r>
          </w:p>
        </w:tc>
        <w:tc>
          <w:tcPr>
            <w:tcW w:w="1907" w:type="pct"/>
            <w:tcBorders>
              <w:tl2br w:val="nil"/>
              <w:tr2bl w:val="nil"/>
            </w:tcBorders>
            <w:shd w:val="clear" w:color="auto" w:fill="auto"/>
            <w:vAlign w:val="center"/>
          </w:tcPr>
          <w:p w14:paraId="425A11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雨季来临前，未检查、修复或完善现场避雷装置、接地装置、排水设施，围堰、堤坝等未采取加固和防坍措施，易冲刷部位未采取防冲或导流措施</w:t>
            </w:r>
          </w:p>
        </w:tc>
        <w:tc>
          <w:tcPr>
            <w:tcW w:w="386" w:type="pct"/>
            <w:tcBorders>
              <w:tl2br w:val="nil"/>
              <w:tr2bl w:val="nil"/>
            </w:tcBorders>
            <w:shd w:val="clear" w:color="auto" w:fill="auto"/>
            <w:vAlign w:val="center"/>
          </w:tcPr>
          <w:p w14:paraId="70AF1B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w:t>
            </w:r>
          </w:p>
        </w:tc>
        <w:tc>
          <w:tcPr>
            <w:tcW w:w="171" w:type="pct"/>
            <w:tcBorders>
              <w:tl2br w:val="nil"/>
              <w:tr2bl w:val="nil"/>
            </w:tcBorders>
            <w:shd w:val="clear" w:color="auto" w:fill="auto"/>
            <w:vAlign w:val="center"/>
          </w:tcPr>
          <w:p w14:paraId="623833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AEFCE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C57C6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3E7B2B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636766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E184A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A23F74">
            <w:pPr>
              <w:spacing w:line="240" w:lineRule="auto"/>
              <w:jc w:val="left"/>
              <w:rPr>
                <w:rFonts w:hint="eastAsia" w:ascii="宋体" w:hAnsi="宋体" w:eastAsia="宋体" w:cs="宋体"/>
                <w:i w:val="0"/>
                <w:iCs w:val="0"/>
                <w:color w:val="000000"/>
                <w:sz w:val="18"/>
                <w:szCs w:val="18"/>
                <w:highlight w:val="none"/>
                <w:u w:val="none"/>
              </w:rPr>
            </w:pPr>
          </w:p>
        </w:tc>
      </w:tr>
      <w:tr w14:paraId="7443738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7286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w:t>
            </w:r>
          </w:p>
        </w:tc>
        <w:tc>
          <w:tcPr>
            <w:tcW w:w="164" w:type="pct"/>
            <w:vMerge w:val="continue"/>
            <w:tcBorders>
              <w:tl2br w:val="nil"/>
              <w:tr2bl w:val="nil"/>
            </w:tcBorders>
            <w:shd w:val="clear" w:color="auto" w:fill="auto"/>
            <w:vAlign w:val="center"/>
          </w:tcPr>
          <w:p w14:paraId="6713910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41D6F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EB3BDB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现场的而脚手架、跳板、桥梁、墩台等作业面未采取防滑措施</w:t>
            </w:r>
          </w:p>
        </w:tc>
        <w:tc>
          <w:tcPr>
            <w:tcW w:w="386" w:type="pct"/>
            <w:tcBorders>
              <w:tl2br w:val="nil"/>
              <w:tr2bl w:val="nil"/>
            </w:tcBorders>
            <w:shd w:val="clear" w:color="auto" w:fill="auto"/>
            <w:vAlign w:val="center"/>
          </w:tcPr>
          <w:p w14:paraId="647400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5667B3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3CFBB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04D43DD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1A1007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35F092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032EC1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C5A28C">
            <w:pPr>
              <w:spacing w:line="240" w:lineRule="auto"/>
              <w:jc w:val="left"/>
              <w:rPr>
                <w:rFonts w:hint="eastAsia" w:ascii="宋体" w:hAnsi="宋体" w:eastAsia="宋体" w:cs="宋体"/>
                <w:i w:val="0"/>
                <w:iCs w:val="0"/>
                <w:color w:val="000000"/>
                <w:sz w:val="18"/>
                <w:szCs w:val="18"/>
                <w:highlight w:val="none"/>
                <w:u w:val="none"/>
              </w:rPr>
            </w:pPr>
          </w:p>
        </w:tc>
      </w:tr>
      <w:tr w14:paraId="4A8884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1B63C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164" w:type="pct"/>
            <w:vMerge w:val="continue"/>
            <w:tcBorders>
              <w:tl2br w:val="nil"/>
              <w:tr2bl w:val="nil"/>
            </w:tcBorders>
            <w:shd w:val="clear" w:color="auto" w:fill="auto"/>
            <w:vAlign w:val="center"/>
          </w:tcPr>
          <w:p w14:paraId="763C106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70AF0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DFB50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大风、大雨后，未检查支架、脚手架、起重设备、临时用电工程、临时房屋等设施的基础</w:t>
            </w:r>
          </w:p>
        </w:tc>
        <w:tc>
          <w:tcPr>
            <w:tcW w:w="386" w:type="pct"/>
            <w:tcBorders>
              <w:tl2br w:val="nil"/>
              <w:tr2bl w:val="nil"/>
            </w:tcBorders>
            <w:shd w:val="clear" w:color="auto" w:fill="auto"/>
            <w:vAlign w:val="center"/>
          </w:tcPr>
          <w:p w14:paraId="7B460A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0116F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D5187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89E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012186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CFC53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8A274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4A86FB1">
            <w:pPr>
              <w:spacing w:line="240" w:lineRule="auto"/>
              <w:jc w:val="left"/>
              <w:rPr>
                <w:rFonts w:hint="eastAsia" w:ascii="宋体" w:hAnsi="宋体" w:eastAsia="宋体" w:cs="宋体"/>
                <w:i w:val="0"/>
                <w:iCs w:val="0"/>
                <w:color w:val="000000"/>
                <w:sz w:val="18"/>
                <w:szCs w:val="18"/>
                <w:highlight w:val="none"/>
                <w:u w:val="none"/>
              </w:rPr>
            </w:pPr>
          </w:p>
        </w:tc>
      </w:tr>
      <w:tr w14:paraId="23C472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748A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w:t>
            </w:r>
          </w:p>
        </w:tc>
        <w:tc>
          <w:tcPr>
            <w:tcW w:w="164" w:type="pct"/>
            <w:vMerge w:val="continue"/>
            <w:tcBorders>
              <w:tl2br w:val="nil"/>
              <w:tr2bl w:val="nil"/>
            </w:tcBorders>
            <w:shd w:val="clear" w:color="auto" w:fill="auto"/>
            <w:vAlign w:val="center"/>
          </w:tcPr>
          <w:p w14:paraId="60C933F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153042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5D0EFF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雷雨时，未停止露天作业</w:t>
            </w:r>
          </w:p>
        </w:tc>
        <w:tc>
          <w:tcPr>
            <w:tcW w:w="386" w:type="pct"/>
            <w:tcBorders>
              <w:tl2br w:val="nil"/>
              <w:tr2bl w:val="nil"/>
            </w:tcBorders>
            <w:shd w:val="clear" w:color="auto" w:fill="auto"/>
            <w:vAlign w:val="center"/>
          </w:tcPr>
          <w:p w14:paraId="777133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雷击等</w:t>
            </w:r>
          </w:p>
        </w:tc>
        <w:tc>
          <w:tcPr>
            <w:tcW w:w="171" w:type="pct"/>
            <w:tcBorders>
              <w:tl2br w:val="nil"/>
              <w:tr2bl w:val="nil"/>
            </w:tcBorders>
            <w:shd w:val="clear" w:color="auto" w:fill="auto"/>
            <w:vAlign w:val="center"/>
          </w:tcPr>
          <w:p w14:paraId="5AF484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BE10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18F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619E6B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7CF7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0FE06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A263A3">
            <w:pPr>
              <w:spacing w:line="240" w:lineRule="auto"/>
              <w:jc w:val="left"/>
              <w:rPr>
                <w:rFonts w:hint="eastAsia" w:ascii="宋体" w:hAnsi="宋体" w:eastAsia="宋体" w:cs="宋体"/>
                <w:i w:val="0"/>
                <w:iCs w:val="0"/>
                <w:color w:val="000000"/>
                <w:sz w:val="18"/>
                <w:szCs w:val="18"/>
                <w:highlight w:val="none"/>
                <w:u w:val="none"/>
              </w:rPr>
            </w:pPr>
          </w:p>
        </w:tc>
      </w:tr>
      <w:tr w14:paraId="2D7FD52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F900F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w:t>
            </w:r>
          </w:p>
        </w:tc>
        <w:tc>
          <w:tcPr>
            <w:tcW w:w="164" w:type="pct"/>
            <w:vMerge w:val="continue"/>
            <w:tcBorders>
              <w:tl2br w:val="nil"/>
              <w:tr2bl w:val="nil"/>
            </w:tcBorders>
            <w:shd w:val="clear" w:color="auto" w:fill="auto"/>
            <w:vAlign w:val="center"/>
          </w:tcPr>
          <w:p w14:paraId="70CC1C9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E46E6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w:t>
            </w:r>
          </w:p>
        </w:tc>
        <w:tc>
          <w:tcPr>
            <w:tcW w:w="1907" w:type="pct"/>
            <w:tcBorders>
              <w:tl2br w:val="nil"/>
              <w:tr2bl w:val="nil"/>
            </w:tcBorders>
            <w:shd w:val="clear" w:color="auto" w:fill="auto"/>
            <w:vAlign w:val="center"/>
          </w:tcPr>
          <w:p w14:paraId="2A8ECA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386" w:type="pct"/>
            <w:tcBorders>
              <w:tl2br w:val="nil"/>
              <w:tr2bl w:val="nil"/>
            </w:tcBorders>
            <w:shd w:val="clear" w:color="auto" w:fill="auto"/>
            <w:vAlign w:val="center"/>
          </w:tcPr>
          <w:p w14:paraId="3757BEC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46DB44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BC98C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6EBE34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1E68A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1C31E0D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0E6AB7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2EB3BD7">
            <w:pPr>
              <w:spacing w:line="240" w:lineRule="auto"/>
              <w:jc w:val="left"/>
              <w:rPr>
                <w:rFonts w:hint="eastAsia" w:ascii="宋体" w:hAnsi="宋体" w:eastAsia="宋体" w:cs="宋体"/>
                <w:i w:val="0"/>
                <w:iCs w:val="0"/>
                <w:color w:val="000000"/>
                <w:sz w:val="18"/>
                <w:szCs w:val="18"/>
                <w:highlight w:val="none"/>
                <w:u w:val="none"/>
              </w:rPr>
            </w:pPr>
          </w:p>
        </w:tc>
      </w:tr>
      <w:tr w14:paraId="1998246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2FBEB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w:t>
            </w:r>
          </w:p>
        </w:tc>
        <w:tc>
          <w:tcPr>
            <w:tcW w:w="164" w:type="pct"/>
            <w:vMerge w:val="continue"/>
            <w:tcBorders>
              <w:tl2br w:val="nil"/>
              <w:tr2bl w:val="nil"/>
            </w:tcBorders>
            <w:shd w:val="clear" w:color="auto" w:fill="auto"/>
            <w:vAlign w:val="center"/>
          </w:tcPr>
          <w:p w14:paraId="153214F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38863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29BF83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夜间施工时，作业现场的预留孔洞、上下道口及沟槽等危险部位未设置夜间警示标志和警示灯</w:t>
            </w:r>
          </w:p>
        </w:tc>
        <w:tc>
          <w:tcPr>
            <w:tcW w:w="386" w:type="pct"/>
            <w:tcBorders>
              <w:tl2br w:val="nil"/>
              <w:tr2bl w:val="nil"/>
            </w:tcBorders>
            <w:shd w:val="clear" w:color="auto" w:fill="auto"/>
            <w:vAlign w:val="center"/>
          </w:tcPr>
          <w:p w14:paraId="5E5E13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6AC86D6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8AA97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2322D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4A734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29014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629759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42490F">
            <w:pPr>
              <w:spacing w:line="240" w:lineRule="auto"/>
              <w:jc w:val="left"/>
              <w:rPr>
                <w:rFonts w:hint="eastAsia" w:ascii="宋体" w:hAnsi="宋体" w:eastAsia="宋体" w:cs="宋体"/>
                <w:i w:val="0"/>
                <w:iCs w:val="0"/>
                <w:color w:val="000000"/>
                <w:sz w:val="18"/>
                <w:szCs w:val="18"/>
                <w:highlight w:val="none"/>
                <w:u w:val="none"/>
              </w:rPr>
            </w:pPr>
          </w:p>
        </w:tc>
      </w:tr>
      <w:tr w14:paraId="590C5FE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3FA3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w:t>
            </w:r>
          </w:p>
        </w:tc>
        <w:tc>
          <w:tcPr>
            <w:tcW w:w="164" w:type="pct"/>
            <w:vMerge w:val="continue"/>
            <w:tcBorders>
              <w:tl2br w:val="nil"/>
              <w:tr2bl w:val="nil"/>
            </w:tcBorders>
            <w:shd w:val="clear" w:color="auto" w:fill="auto"/>
            <w:vAlign w:val="center"/>
          </w:tcPr>
          <w:p w14:paraId="211995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4F0712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高温</w:t>
            </w:r>
          </w:p>
          <w:p w14:paraId="6ACF8A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w:t>
            </w:r>
          </w:p>
        </w:tc>
        <w:tc>
          <w:tcPr>
            <w:tcW w:w="1907" w:type="pct"/>
            <w:tcBorders>
              <w:tl2br w:val="nil"/>
              <w:tr2bl w:val="nil"/>
            </w:tcBorders>
            <w:shd w:val="clear" w:color="auto" w:fill="auto"/>
            <w:vAlign w:val="center"/>
          </w:tcPr>
          <w:p w14:paraId="7EC34E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作业时间未避开高温时段，必须在高温条件下的施工作业未采取防暑降温措施</w:t>
            </w:r>
          </w:p>
        </w:tc>
        <w:tc>
          <w:tcPr>
            <w:tcW w:w="386" w:type="pct"/>
            <w:tcBorders>
              <w:tl2br w:val="nil"/>
              <w:tr2bl w:val="nil"/>
            </w:tcBorders>
            <w:shd w:val="clear" w:color="auto" w:fill="auto"/>
            <w:vAlign w:val="center"/>
          </w:tcPr>
          <w:p w14:paraId="64CD8D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中暑</w:t>
            </w:r>
          </w:p>
        </w:tc>
        <w:tc>
          <w:tcPr>
            <w:tcW w:w="171" w:type="pct"/>
            <w:tcBorders>
              <w:tl2br w:val="nil"/>
              <w:tr2bl w:val="nil"/>
            </w:tcBorders>
            <w:shd w:val="clear" w:color="auto" w:fill="auto"/>
            <w:vAlign w:val="center"/>
          </w:tcPr>
          <w:p w14:paraId="3989FA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9898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64E9D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6CC2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7321C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6C11B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B9A71F">
            <w:pPr>
              <w:spacing w:line="240" w:lineRule="auto"/>
              <w:jc w:val="left"/>
              <w:rPr>
                <w:rFonts w:hint="eastAsia" w:ascii="宋体" w:hAnsi="宋体" w:eastAsia="宋体" w:cs="宋体"/>
                <w:i w:val="0"/>
                <w:iCs w:val="0"/>
                <w:color w:val="000000"/>
                <w:sz w:val="18"/>
                <w:szCs w:val="18"/>
                <w:highlight w:val="none"/>
                <w:u w:val="none"/>
              </w:rPr>
            </w:pPr>
          </w:p>
        </w:tc>
      </w:tr>
      <w:tr w14:paraId="237A0AD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13A09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c>
          <w:tcPr>
            <w:tcW w:w="164" w:type="pct"/>
            <w:vMerge w:val="continue"/>
            <w:tcBorders>
              <w:tl2br w:val="nil"/>
              <w:tr2bl w:val="nil"/>
            </w:tcBorders>
            <w:shd w:val="clear" w:color="auto" w:fill="auto"/>
            <w:vAlign w:val="center"/>
          </w:tcPr>
          <w:p w14:paraId="04E284A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0A1A7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146A76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施工现场的易燃易爆物品未采取防晒措施</w:t>
            </w:r>
          </w:p>
        </w:tc>
        <w:tc>
          <w:tcPr>
            <w:tcW w:w="386" w:type="pct"/>
            <w:tcBorders>
              <w:tl2br w:val="nil"/>
              <w:tr2bl w:val="nil"/>
            </w:tcBorders>
            <w:shd w:val="clear" w:color="auto" w:fill="auto"/>
            <w:vAlign w:val="center"/>
          </w:tcPr>
          <w:p w14:paraId="0551D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196F77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B6103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797D8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FAB58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2E01CC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03FF9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0AC37A">
            <w:pPr>
              <w:spacing w:line="240" w:lineRule="auto"/>
              <w:jc w:val="left"/>
              <w:rPr>
                <w:rFonts w:hint="eastAsia" w:ascii="宋体" w:hAnsi="宋体" w:eastAsia="宋体" w:cs="宋体"/>
                <w:i w:val="0"/>
                <w:iCs w:val="0"/>
                <w:color w:val="000000"/>
                <w:sz w:val="18"/>
                <w:szCs w:val="18"/>
                <w:highlight w:val="none"/>
                <w:u w:val="none"/>
              </w:rPr>
            </w:pPr>
          </w:p>
        </w:tc>
      </w:tr>
      <w:tr w14:paraId="19CECC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92F2E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w:t>
            </w:r>
          </w:p>
        </w:tc>
        <w:tc>
          <w:tcPr>
            <w:tcW w:w="164" w:type="pct"/>
            <w:vMerge w:val="continue"/>
            <w:tcBorders>
              <w:tl2br w:val="nil"/>
              <w:tr2bl w:val="nil"/>
            </w:tcBorders>
            <w:shd w:val="clear" w:color="auto" w:fill="auto"/>
            <w:vAlign w:val="center"/>
          </w:tcPr>
          <w:p w14:paraId="31E241A2">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3A86BD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1907" w:type="pct"/>
            <w:tcBorders>
              <w:tl2br w:val="nil"/>
              <w:tr2bl w:val="nil"/>
            </w:tcBorders>
            <w:shd w:val="clear" w:color="auto" w:fill="auto"/>
            <w:vAlign w:val="center"/>
          </w:tcPr>
          <w:p w14:paraId="4F1D9E1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386" w:type="pct"/>
            <w:tcBorders>
              <w:tl2br w:val="nil"/>
              <w:tr2bl w:val="nil"/>
            </w:tcBorders>
            <w:shd w:val="clear" w:color="auto" w:fill="auto"/>
            <w:vAlign w:val="center"/>
          </w:tcPr>
          <w:p w14:paraId="101E9A3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80F90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1392F2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F85EA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48C3C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42081F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A84919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5D1E764">
            <w:pPr>
              <w:spacing w:line="240" w:lineRule="auto"/>
              <w:jc w:val="left"/>
              <w:rPr>
                <w:rFonts w:hint="eastAsia" w:ascii="宋体" w:hAnsi="宋体" w:eastAsia="宋体" w:cs="宋体"/>
                <w:i w:val="0"/>
                <w:iCs w:val="0"/>
                <w:color w:val="000000"/>
                <w:sz w:val="18"/>
                <w:szCs w:val="18"/>
                <w:highlight w:val="none"/>
                <w:u w:val="none"/>
              </w:rPr>
            </w:pPr>
          </w:p>
        </w:tc>
      </w:tr>
      <w:tr w14:paraId="6E336FF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C6A60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w:t>
            </w:r>
          </w:p>
        </w:tc>
        <w:tc>
          <w:tcPr>
            <w:tcW w:w="164" w:type="pct"/>
            <w:vMerge w:val="continue"/>
            <w:tcBorders>
              <w:tl2br w:val="nil"/>
              <w:tr2bl w:val="nil"/>
            </w:tcBorders>
            <w:shd w:val="clear" w:color="auto" w:fill="auto"/>
            <w:vAlign w:val="center"/>
          </w:tcPr>
          <w:p w14:paraId="1C9E97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5C28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w:t>
            </w:r>
          </w:p>
        </w:tc>
        <w:tc>
          <w:tcPr>
            <w:tcW w:w="1907" w:type="pct"/>
            <w:tcBorders>
              <w:tl2br w:val="nil"/>
              <w:tr2bl w:val="nil"/>
            </w:tcBorders>
            <w:shd w:val="clear" w:color="auto" w:fill="auto"/>
            <w:vAlign w:val="center"/>
          </w:tcPr>
          <w:p w14:paraId="3DC161F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386" w:type="pct"/>
            <w:tcBorders>
              <w:tl2br w:val="nil"/>
              <w:tr2bl w:val="nil"/>
            </w:tcBorders>
            <w:shd w:val="clear" w:color="auto" w:fill="auto"/>
            <w:vAlign w:val="center"/>
          </w:tcPr>
          <w:p w14:paraId="2C062E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EFE56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6CC2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06BF38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6C4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E8D7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9C49BE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09F159">
            <w:pPr>
              <w:spacing w:line="240" w:lineRule="auto"/>
              <w:jc w:val="left"/>
              <w:rPr>
                <w:rFonts w:hint="eastAsia" w:ascii="宋体" w:hAnsi="宋体" w:eastAsia="宋体" w:cs="宋体"/>
                <w:i w:val="0"/>
                <w:iCs w:val="0"/>
                <w:color w:val="000000"/>
                <w:sz w:val="18"/>
                <w:szCs w:val="18"/>
                <w:highlight w:val="none"/>
                <w:u w:val="none"/>
              </w:rPr>
            </w:pPr>
          </w:p>
        </w:tc>
      </w:tr>
      <w:tr w14:paraId="6641F51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DDECD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p>
        </w:tc>
        <w:tc>
          <w:tcPr>
            <w:tcW w:w="164" w:type="pct"/>
            <w:vMerge w:val="continue"/>
            <w:tcBorders>
              <w:tl2br w:val="nil"/>
              <w:tr2bl w:val="nil"/>
            </w:tcBorders>
            <w:shd w:val="clear" w:color="auto" w:fill="auto"/>
            <w:vAlign w:val="center"/>
          </w:tcPr>
          <w:p w14:paraId="769ACB3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1F6DC2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EE8FC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库区及下游受排洪影响地区施工作业未及时掌握水位变化情况</w:t>
            </w:r>
          </w:p>
        </w:tc>
        <w:tc>
          <w:tcPr>
            <w:tcW w:w="386" w:type="pct"/>
            <w:tcBorders>
              <w:tl2br w:val="nil"/>
              <w:tr2bl w:val="nil"/>
            </w:tcBorders>
            <w:shd w:val="clear" w:color="auto" w:fill="auto"/>
            <w:vAlign w:val="center"/>
          </w:tcPr>
          <w:p w14:paraId="73B6C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洪灾</w:t>
            </w:r>
          </w:p>
        </w:tc>
        <w:tc>
          <w:tcPr>
            <w:tcW w:w="171" w:type="pct"/>
            <w:tcBorders>
              <w:tl2br w:val="nil"/>
              <w:tr2bl w:val="nil"/>
            </w:tcBorders>
            <w:shd w:val="clear" w:color="auto" w:fill="auto"/>
            <w:vAlign w:val="center"/>
          </w:tcPr>
          <w:p w14:paraId="677298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B296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47D2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91907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DF0EE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BDE6E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A438490">
            <w:pPr>
              <w:spacing w:line="240" w:lineRule="auto"/>
              <w:jc w:val="left"/>
              <w:rPr>
                <w:rFonts w:hint="eastAsia" w:ascii="宋体" w:hAnsi="宋体" w:eastAsia="宋体" w:cs="宋体"/>
                <w:i w:val="0"/>
                <w:iCs w:val="0"/>
                <w:color w:val="000000"/>
                <w:sz w:val="18"/>
                <w:szCs w:val="18"/>
                <w:highlight w:val="none"/>
                <w:u w:val="none"/>
              </w:rPr>
            </w:pPr>
          </w:p>
        </w:tc>
      </w:tr>
    </w:tbl>
    <w:p w14:paraId="4772452A">
      <w:pPr>
        <w:bidi w:val="0"/>
        <w:rPr>
          <w:rFonts w:hint="eastAsia"/>
          <w:highlight w:val="none"/>
        </w:rPr>
        <w:sectPr>
          <w:headerReference r:id="rId7"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49FDB69D">
      <w:pPr>
        <w:pStyle w:val="4"/>
        <w:bidi w:val="0"/>
        <w:ind w:left="720" w:leftChars="0" w:hanging="720" w:firstLineChars="0"/>
      </w:pPr>
      <w:bookmarkStart w:id="381" w:name="_Toc11562"/>
      <w:bookmarkStart w:id="382" w:name="_Toc18053"/>
      <w:bookmarkStart w:id="383" w:name="_Toc10409839"/>
      <w:r>
        <w:rPr>
          <w:rFonts w:hint="eastAsia"/>
          <w:lang w:val="en-US" w:eastAsia="zh-CN"/>
        </w:rPr>
        <w:t>风险分析结论</w:t>
      </w:r>
    </w:p>
    <w:p w14:paraId="1187E91C">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对</w:t>
      </w:r>
      <w:r>
        <w:rPr>
          <w:rFonts w:hint="eastAsia" w:cs="宋体"/>
          <w:color w:val="000000"/>
          <w:kern w:val="0"/>
          <w:sz w:val="24"/>
          <w:szCs w:val="24"/>
          <w:highlight w:val="none"/>
          <w:lang w:val="en-US" w:eastAsia="zh-CN" w:bidi="ar"/>
        </w:rPr>
        <w:t>塔机</w:t>
      </w:r>
      <w:r>
        <w:rPr>
          <w:rFonts w:hint="eastAsia" w:ascii="宋体" w:hAnsi="宋体" w:eastAsia="宋体" w:cs="宋体"/>
          <w:color w:val="000000"/>
          <w:kern w:val="0"/>
          <w:sz w:val="24"/>
          <w:szCs w:val="24"/>
          <w:highlight w:val="none"/>
          <w:lang w:val="en-US" w:eastAsia="zh-CN" w:bidi="ar"/>
        </w:rPr>
        <w:t>安拆施工过程中存在的危险有害因素进行辨识，辨识出危险有害因素</w:t>
      </w:r>
    </w:p>
    <w:p w14:paraId="75C9AC9D">
      <w:pPr>
        <w:keepNext w:val="0"/>
        <w:keepLines w:val="0"/>
        <w:widowControl/>
        <w:numPr>
          <w:ilvl w:val="0"/>
          <w:numId w:val="0"/>
        </w:numPr>
        <w:suppressLineNumbers w:val="0"/>
        <w:jc w:val="left"/>
        <w:rPr>
          <w:highlight w:val="none"/>
        </w:rPr>
      </w:pPr>
      <w:r>
        <w:rPr>
          <w:rFonts w:hint="eastAsia" w:ascii="宋体" w:hAnsi="宋体" w:eastAsia="宋体" w:cs="宋体"/>
          <w:color w:val="000000"/>
          <w:kern w:val="0"/>
          <w:sz w:val="24"/>
          <w:szCs w:val="24"/>
          <w:highlight w:val="none"/>
          <w:lang w:val="en-US" w:eastAsia="zh-CN" w:bidi="ar"/>
        </w:rPr>
        <w:t>78项。通过评价，得出危害级别为Ⅰ级（D≤70）的风险有71项，为较小风险，由班组管控，项目部加强现场检查并进行关注；危害级别为Ⅱ级（70＜D≤160）的风险有7项，为一般风险，由项目部管控结合实际情况并制定针对性安全控制措施。</w:t>
      </w:r>
    </w:p>
    <w:p w14:paraId="0A8401FE">
      <w:pPr>
        <w:pStyle w:val="158"/>
        <w:jc w:val="center"/>
        <w:rPr>
          <w:rFonts w:ascii="仿宋" w:hAnsi="仿宋" w:eastAsia="黑体" w:cs="仿宋"/>
          <w:bCs/>
          <w:color w:val="000000" w:themeColor="text1"/>
          <w:kern w:val="2"/>
          <w:sz w:val="21"/>
          <w:szCs w:val="24"/>
          <w:highlight w:val="none"/>
          <w:lang w:val="en-US" w:eastAsia="zh-CN" w:bidi="ar-SA"/>
          <w14:textFill>
            <w14:solidFill>
              <w14:schemeClr w14:val="tx1"/>
            </w14:solidFill>
          </w14:textFill>
        </w:rPr>
      </w:pP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表9</w:t>
      </w:r>
      <w:r>
        <w:rPr>
          <w:rFonts w:hint="default" w:ascii="仿宋" w:hAnsi="仿宋" w:eastAsia="黑体" w:cs="仿宋"/>
          <w:bCs/>
          <w:color w:val="000000" w:themeColor="text1"/>
          <w:kern w:val="2"/>
          <w:sz w:val="21"/>
          <w:szCs w:val="24"/>
          <w:highlight w:val="none"/>
          <w:lang w:val="en-US" w:eastAsia="zh-CN" w:bidi="ar-SA"/>
          <w14:textFill>
            <w14:solidFill>
              <w14:schemeClr w14:val="tx1"/>
            </w14:solidFill>
          </w14:textFill>
        </w:rPr>
        <w:t>-</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4</w:t>
      </w:r>
      <w:r>
        <w:rPr>
          <w:rFonts w:hint="default" w:ascii="仿宋" w:hAnsi="仿宋" w:eastAsia="黑体" w:cs="仿宋"/>
          <w:bCs/>
          <w:color w:val="000000" w:themeColor="text1"/>
          <w:kern w:val="2"/>
          <w:sz w:val="21"/>
          <w:szCs w:val="24"/>
          <w:highlight w:val="none"/>
          <w:lang w:val="en-US" w:eastAsia="zh-CN" w:bidi="ar-SA"/>
          <w14:textFill>
            <w14:solidFill>
              <w14:schemeClr w14:val="tx1"/>
            </w14:solidFill>
          </w14:textFill>
        </w:rPr>
        <w:t xml:space="preserve"> </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液压爬模施工显著危害因素清单及控制措施表</w:t>
      </w:r>
    </w:p>
    <w:tbl>
      <w:tblPr>
        <w:tblStyle w:val="30"/>
        <w:tblW w:w="4998"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414"/>
        <w:gridCol w:w="556"/>
        <w:gridCol w:w="4363"/>
        <w:gridCol w:w="886"/>
        <w:gridCol w:w="508"/>
        <w:gridCol w:w="1792"/>
      </w:tblGrid>
      <w:tr w14:paraId="0FFE75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restart"/>
            <w:tcBorders>
              <w:tl2br w:val="nil"/>
              <w:tr2bl w:val="nil"/>
            </w:tcBorders>
            <w:shd w:val="clear" w:color="auto" w:fill="auto"/>
            <w:vAlign w:val="center"/>
          </w:tcPr>
          <w:p w14:paraId="2FD3735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326" w:type="pct"/>
            <w:vMerge w:val="restart"/>
            <w:tcBorders>
              <w:tl2br w:val="nil"/>
              <w:tr2bl w:val="nil"/>
            </w:tcBorders>
            <w:shd w:val="clear" w:color="auto" w:fill="auto"/>
            <w:vAlign w:val="center"/>
          </w:tcPr>
          <w:p w14:paraId="76CB645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1A79129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2559" w:type="pct"/>
            <w:vMerge w:val="restart"/>
            <w:tcBorders>
              <w:tl2br w:val="nil"/>
              <w:tr2bl w:val="nil"/>
            </w:tcBorders>
            <w:shd w:val="clear" w:color="auto" w:fill="auto"/>
            <w:vAlign w:val="center"/>
          </w:tcPr>
          <w:p w14:paraId="323F8E7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危害因素</w:t>
            </w:r>
          </w:p>
        </w:tc>
        <w:tc>
          <w:tcPr>
            <w:tcW w:w="520" w:type="pct"/>
            <w:vMerge w:val="restart"/>
            <w:tcBorders>
              <w:tl2br w:val="nil"/>
              <w:tr2bl w:val="nil"/>
            </w:tcBorders>
            <w:shd w:val="clear" w:color="auto" w:fill="auto"/>
            <w:vAlign w:val="center"/>
          </w:tcPr>
          <w:p w14:paraId="4EB5BFA3">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3DABBC4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298" w:type="pct"/>
            <w:vMerge w:val="restart"/>
            <w:tcBorders>
              <w:tl2br w:val="nil"/>
              <w:tr2bl w:val="nil"/>
            </w:tcBorders>
            <w:shd w:val="clear" w:color="auto" w:fill="auto"/>
            <w:vAlign w:val="center"/>
          </w:tcPr>
          <w:p w14:paraId="5ED373B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150E13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1051" w:type="pct"/>
            <w:vMerge w:val="restart"/>
            <w:tcBorders>
              <w:tl2br w:val="nil"/>
              <w:tr2bl w:val="nil"/>
            </w:tcBorders>
            <w:shd w:val="clear" w:color="auto" w:fill="auto"/>
            <w:vAlign w:val="center"/>
          </w:tcPr>
          <w:p w14:paraId="5B205F6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控制措施</w:t>
            </w:r>
          </w:p>
        </w:tc>
      </w:tr>
      <w:tr w14:paraId="4BBCFC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5EF16BA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74C53552">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0F5F42">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52F3CFA5">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325BFFC4">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2E1F3C11">
            <w:pPr>
              <w:spacing w:line="240" w:lineRule="auto"/>
              <w:jc w:val="center"/>
              <w:rPr>
                <w:rFonts w:hint="eastAsia" w:ascii="宋体" w:hAnsi="宋体" w:eastAsia="宋体" w:cs="宋体"/>
                <w:b/>
                <w:bCs/>
                <w:i w:val="0"/>
                <w:iCs w:val="0"/>
                <w:color w:val="000000"/>
                <w:sz w:val="18"/>
                <w:szCs w:val="18"/>
                <w:highlight w:val="none"/>
                <w:u w:val="none"/>
              </w:rPr>
            </w:pPr>
          </w:p>
        </w:tc>
      </w:tr>
      <w:tr w14:paraId="26ACB3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3675DF2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4EB49331">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861C73">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4FE629FB">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2306F555">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6941F265">
            <w:pPr>
              <w:spacing w:line="240" w:lineRule="auto"/>
              <w:jc w:val="center"/>
              <w:rPr>
                <w:rFonts w:hint="eastAsia" w:ascii="宋体" w:hAnsi="宋体" w:eastAsia="宋体" w:cs="宋体"/>
                <w:b/>
                <w:bCs/>
                <w:i w:val="0"/>
                <w:iCs w:val="0"/>
                <w:color w:val="000000"/>
                <w:sz w:val="18"/>
                <w:szCs w:val="18"/>
                <w:highlight w:val="none"/>
                <w:u w:val="none"/>
              </w:rPr>
            </w:pPr>
          </w:p>
        </w:tc>
      </w:tr>
      <w:tr w14:paraId="5C2F910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243" w:type="pct"/>
            <w:tcBorders>
              <w:tl2br w:val="nil"/>
              <w:tr2bl w:val="nil"/>
            </w:tcBorders>
            <w:shd w:val="clear" w:color="auto" w:fill="auto"/>
            <w:vAlign w:val="center"/>
          </w:tcPr>
          <w:p w14:paraId="7322E4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326" w:type="pct"/>
            <w:vMerge w:val="restart"/>
            <w:tcBorders>
              <w:tl2br w:val="nil"/>
              <w:tr2bl w:val="nil"/>
            </w:tcBorders>
            <w:shd w:val="clear" w:color="auto" w:fill="auto"/>
            <w:vAlign w:val="center"/>
          </w:tcPr>
          <w:p w14:paraId="635F457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安装</w:t>
            </w:r>
          </w:p>
        </w:tc>
        <w:tc>
          <w:tcPr>
            <w:tcW w:w="2559" w:type="pct"/>
            <w:tcBorders>
              <w:tl2br w:val="nil"/>
              <w:tr2bl w:val="nil"/>
            </w:tcBorders>
            <w:shd w:val="clear" w:color="auto" w:fill="auto"/>
            <w:vAlign w:val="center"/>
          </w:tcPr>
          <w:p w14:paraId="6B7BFF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520" w:type="pct"/>
            <w:tcBorders>
              <w:tl2br w:val="nil"/>
              <w:tr2bl w:val="nil"/>
            </w:tcBorders>
            <w:shd w:val="clear" w:color="auto" w:fill="auto"/>
            <w:vAlign w:val="center"/>
          </w:tcPr>
          <w:p w14:paraId="662D8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298" w:type="pct"/>
            <w:tcBorders>
              <w:tl2br w:val="nil"/>
              <w:tr2bl w:val="nil"/>
            </w:tcBorders>
            <w:shd w:val="clear" w:color="auto" w:fill="auto"/>
            <w:vAlign w:val="center"/>
          </w:tcPr>
          <w:p w14:paraId="732DF7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2961EC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施工前对场地排水进行检查，验收合格方可施工</w:t>
            </w:r>
          </w:p>
        </w:tc>
      </w:tr>
      <w:tr w14:paraId="098A315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23A334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326" w:type="pct"/>
            <w:vMerge w:val="continue"/>
            <w:tcBorders>
              <w:tl2br w:val="nil"/>
              <w:tr2bl w:val="nil"/>
            </w:tcBorders>
            <w:shd w:val="clear" w:color="auto" w:fill="auto"/>
            <w:vAlign w:val="center"/>
          </w:tcPr>
          <w:p w14:paraId="75B32C28">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5F8D19D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520" w:type="pct"/>
            <w:tcBorders>
              <w:tl2br w:val="nil"/>
              <w:tr2bl w:val="nil"/>
            </w:tcBorders>
            <w:shd w:val="clear" w:color="auto" w:fill="auto"/>
            <w:vAlign w:val="center"/>
          </w:tcPr>
          <w:p w14:paraId="02DADF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42979A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36B791E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施工前落实交底制度，确保每位进场人员全覆盖</w:t>
            </w:r>
          </w:p>
        </w:tc>
      </w:tr>
      <w:tr w14:paraId="529338D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1920" w:hRule="atLeast"/>
        </w:trPr>
        <w:tc>
          <w:tcPr>
            <w:tcW w:w="243" w:type="pct"/>
            <w:tcBorders>
              <w:tl2br w:val="nil"/>
              <w:tr2bl w:val="nil"/>
            </w:tcBorders>
            <w:shd w:val="clear" w:color="auto" w:fill="auto"/>
            <w:vAlign w:val="center"/>
          </w:tcPr>
          <w:p w14:paraId="4837F9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326" w:type="pct"/>
            <w:vMerge w:val="continue"/>
            <w:tcBorders>
              <w:tl2br w:val="nil"/>
              <w:tr2bl w:val="nil"/>
            </w:tcBorders>
            <w:shd w:val="clear" w:color="auto" w:fill="auto"/>
            <w:vAlign w:val="center"/>
          </w:tcPr>
          <w:p w14:paraId="3BC3F884">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372578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520" w:type="pct"/>
            <w:tcBorders>
              <w:tl2br w:val="nil"/>
              <w:tr2bl w:val="nil"/>
            </w:tcBorders>
            <w:shd w:val="clear" w:color="auto" w:fill="auto"/>
            <w:vAlign w:val="center"/>
          </w:tcPr>
          <w:p w14:paraId="6DDCE4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11317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1D54035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安排专人进行</w:t>
            </w: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安拆工作。安装完成后落实验收程序。报专业机构验收合格后，由项目部组织邀请监理和业主单位进行验收。施工过程中定期进行检查维护，对破损构件及时进行更换。</w:t>
            </w:r>
          </w:p>
        </w:tc>
      </w:tr>
      <w:tr w14:paraId="750597C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52D11F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326" w:type="pct"/>
            <w:tcBorders>
              <w:tl2br w:val="nil"/>
              <w:tr2bl w:val="nil"/>
            </w:tcBorders>
            <w:shd w:val="clear" w:color="auto" w:fill="auto"/>
            <w:vAlign w:val="center"/>
          </w:tcPr>
          <w:p w14:paraId="324EA28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5A785D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2559" w:type="pct"/>
            <w:tcBorders>
              <w:tl2br w:val="nil"/>
              <w:tr2bl w:val="nil"/>
            </w:tcBorders>
            <w:shd w:val="clear" w:color="auto" w:fill="auto"/>
            <w:vAlign w:val="center"/>
          </w:tcPr>
          <w:p w14:paraId="6C20BEE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520" w:type="pct"/>
            <w:tcBorders>
              <w:tl2br w:val="nil"/>
              <w:tr2bl w:val="nil"/>
            </w:tcBorders>
            <w:shd w:val="clear" w:color="auto" w:fill="auto"/>
            <w:vAlign w:val="center"/>
          </w:tcPr>
          <w:p w14:paraId="2A469E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298" w:type="pct"/>
            <w:tcBorders>
              <w:tl2br w:val="nil"/>
              <w:tr2bl w:val="nil"/>
            </w:tcBorders>
            <w:shd w:val="clear" w:color="auto" w:fill="auto"/>
            <w:vAlign w:val="center"/>
          </w:tcPr>
          <w:p w14:paraId="7A6693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43E20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高处作业交叉作业时，如有条件设置防坠网。高处平台小型设备及工具妥善保管。</w:t>
            </w:r>
          </w:p>
        </w:tc>
      </w:tr>
      <w:tr w14:paraId="07241A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960" w:hRule="atLeast"/>
        </w:trPr>
        <w:tc>
          <w:tcPr>
            <w:tcW w:w="243" w:type="pct"/>
            <w:tcBorders>
              <w:tl2br w:val="nil"/>
              <w:tr2bl w:val="nil"/>
            </w:tcBorders>
            <w:shd w:val="clear" w:color="auto" w:fill="auto"/>
            <w:vAlign w:val="center"/>
          </w:tcPr>
          <w:p w14:paraId="298908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326" w:type="pct"/>
            <w:tcBorders>
              <w:tl2br w:val="nil"/>
              <w:tr2bl w:val="nil"/>
            </w:tcBorders>
            <w:shd w:val="clear" w:color="auto" w:fill="auto"/>
            <w:vAlign w:val="center"/>
          </w:tcPr>
          <w:p w14:paraId="6F3399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w:t>
            </w:r>
          </w:p>
        </w:tc>
        <w:tc>
          <w:tcPr>
            <w:tcW w:w="2559" w:type="pct"/>
            <w:tcBorders>
              <w:tl2br w:val="nil"/>
              <w:tr2bl w:val="nil"/>
            </w:tcBorders>
            <w:shd w:val="clear" w:color="auto" w:fill="auto"/>
            <w:vAlign w:val="center"/>
          </w:tcPr>
          <w:p w14:paraId="34E8C8A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520" w:type="pct"/>
            <w:tcBorders>
              <w:tl2br w:val="nil"/>
              <w:tr2bl w:val="nil"/>
            </w:tcBorders>
            <w:shd w:val="clear" w:color="auto" w:fill="auto"/>
            <w:vAlign w:val="center"/>
          </w:tcPr>
          <w:p w14:paraId="086B5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298" w:type="pct"/>
            <w:tcBorders>
              <w:tl2br w:val="nil"/>
              <w:tr2bl w:val="nil"/>
            </w:tcBorders>
            <w:shd w:val="clear" w:color="auto" w:fill="auto"/>
            <w:vAlign w:val="center"/>
          </w:tcPr>
          <w:p w14:paraId="564DA7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7D0930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夜间施工时，作业场所设置照明设备，光束不直接照射指挥人员，并设置夜间警示标志和警示灯</w:t>
            </w:r>
          </w:p>
        </w:tc>
      </w:tr>
      <w:tr w14:paraId="5FBE179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4789D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326" w:type="pct"/>
            <w:tcBorders>
              <w:tl2br w:val="nil"/>
              <w:tr2bl w:val="nil"/>
            </w:tcBorders>
            <w:shd w:val="clear" w:color="auto" w:fill="auto"/>
            <w:vAlign w:val="center"/>
          </w:tcPr>
          <w:p w14:paraId="7B6124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2559" w:type="pct"/>
            <w:tcBorders>
              <w:tl2br w:val="nil"/>
              <w:tr2bl w:val="nil"/>
            </w:tcBorders>
            <w:shd w:val="clear" w:color="auto" w:fill="auto"/>
            <w:vAlign w:val="center"/>
          </w:tcPr>
          <w:p w14:paraId="196701B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520" w:type="pct"/>
            <w:tcBorders>
              <w:tl2br w:val="nil"/>
              <w:tr2bl w:val="nil"/>
            </w:tcBorders>
            <w:shd w:val="clear" w:color="auto" w:fill="auto"/>
            <w:vAlign w:val="center"/>
          </w:tcPr>
          <w:p w14:paraId="79B776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3FC93A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1CDE8E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 级以上大风等恶劣天气，脚手架使用前重新进行检查</w:t>
            </w:r>
          </w:p>
        </w:tc>
      </w:tr>
      <w:tr w14:paraId="10CF3B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7E3313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326" w:type="pct"/>
            <w:tcBorders>
              <w:tl2br w:val="nil"/>
              <w:tr2bl w:val="nil"/>
            </w:tcBorders>
            <w:shd w:val="clear" w:color="auto" w:fill="auto"/>
            <w:vAlign w:val="center"/>
          </w:tcPr>
          <w:p w14:paraId="17059CF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汛期施工</w:t>
            </w:r>
          </w:p>
        </w:tc>
        <w:tc>
          <w:tcPr>
            <w:tcW w:w="2559" w:type="pct"/>
            <w:tcBorders>
              <w:tl2br w:val="nil"/>
              <w:tr2bl w:val="nil"/>
            </w:tcBorders>
            <w:shd w:val="clear" w:color="auto" w:fill="auto"/>
            <w:vAlign w:val="center"/>
          </w:tcPr>
          <w:p w14:paraId="1C7B53F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520" w:type="pct"/>
            <w:tcBorders>
              <w:tl2br w:val="nil"/>
              <w:tr2bl w:val="nil"/>
            </w:tcBorders>
            <w:shd w:val="clear" w:color="auto" w:fill="auto"/>
            <w:vAlign w:val="center"/>
          </w:tcPr>
          <w:p w14:paraId="4BBEE3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75F5EFE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6AA24E7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做好汛期警戒工作，对易发生洪水、泥石流、滑坡等灾害部位加强观测</w:t>
            </w:r>
          </w:p>
        </w:tc>
      </w:tr>
    </w:tbl>
    <w:p w14:paraId="7D06C13B">
      <w:pPr>
        <w:pStyle w:val="3"/>
        <w:bidi w:val="0"/>
        <w:ind w:left="575" w:leftChars="0" w:hanging="575" w:firstLineChars="0"/>
        <w:rPr>
          <w:rFonts w:hint="eastAsia"/>
          <w:highlight w:val="none"/>
        </w:rPr>
      </w:pPr>
      <w:bookmarkStart w:id="384" w:name="_Toc22149"/>
      <w:bookmarkStart w:id="385" w:name="_Toc4461"/>
      <w:r>
        <w:rPr>
          <w:rFonts w:hint="eastAsia"/>
          <w:highlight w:val="none"/>
        </w:rPr>
        <w:t>组织</w:t>
      </w:r>
      <w:r>
        <w:rPr>
          <w:rFonts w:hint="eastAsia"/>
          <w:highlight w:val="none"/>
          <w:lang w:val="en-US" w:eastAsia="zh-CN"/>
        </w:rPr>
        <w:t>机</w:t>
      </w:r>
      <w:r>
        <w:rPr>
          <w:rFonts w:hint="eastAsia"/>
          <w:highlight w:val="none"/>
        </w:rPr>
        <w:t>构及职责</w:t>
      </w:r>
      <w:bookmarkEnd w:id="381"/>
      <w:bookmarkEnd w:id="382"/>
      <w:bookmarkEnd w:id="383"/>
      <w:bookmarkEnd w:id="384"/>
      <w:bookmarkEnd w:id="385"/>
    </w:p>
    <w:p w14:paraId="42429EFE">
      <w:pPr>
        <w:pStyle w:val="4"/>
        <w:bidi w:val="0"/>
        <w:ind w:left="720" w:leftChars="0" w:hanging="720" w:firstLineChars="0"/>
        <w:rPr>
          <w:rFonts w:hint="eastAsia"/>
        </w:rPr>
      </w:pPr>
      <w:bookmarkStart w:id="386" w:name="_Toc530055718"/>
      <w:r>
        <w:rPr>
          <w:rFonts w:hint="eastAsia"/>
        </w:rPr>
        <w:t>应急处置领导小组</w:t>
      </w:r>
      <w:bookmarkEnd w:id="386"/>
    </w:p>
    <w:p w14:paraId="40BFA608">
      <w:pPr>
        <w:ind w:firstLine="643"/>
        <w:rPr>
          <w:rFonts w:hint="default" w:ascii="Times New Roman" w:hAnsi="Times New Roman" w:eastAsia="宋体" w:cstheme="minorBidi"/>
          <w:szCs w:val="22"/>
          <w:highlight w:val="none"/>
          <w:lang w:val="en-US" w:eastAsia="zh-CN"/>
        </w:rPr>
      </w:pPr>
      <w:bookmarkStart w:id="387" w:name="_Toc530055719"/>
      <w:r>
        <w:rPr>
          <w:rFonts w:hint="default" w:ascii="Times New Roman" w:hAnsi="Times New Roman" w:eastAsia="宋体" w:cstheme="minorBidi"/>
          <w:szCs w:val="22"/>
          <w:highlight w:val="none"/>
          <w:lang w:val="en-US" w:eastAsia="zh-CN"/>
        </w:rPr>
        <w:t>项目部成立以项目经理</w:t>
      </w:r>
      <w:r>
        <w:rPr>
          <w:rFonts w:hint="eastAsia" w:ascii="Times New Roman" w:hAnsi="Times New Roman" w:eastAsia="宋体" w:cstheme="minorBidi"/>
          <w:szCs w:val="22"/>
          <w:highlight w:val="none"/>
          <w:lang w:val="en-US" w:eastAsia="zh-CN"/>
        </w:rPr>
        <w:t>、</w:t>
      </w:r>
      <w:r>
        <w:rPr>
          <w:rFonts w:hint="default" w:ascii="Times New Roman" w:hAnsi="Times New Roman" w:eastAsia="宋体" w:cstheme="minorBidi"/>
          <w:szCs w:val="22"/>
          <w:highlight w:val="none"/>
          <w:lang w:val="en-US" w:eastAsia="zh-CN"/>
        </w:rPr>
        <w:t>项目书记为组长，总工程师、</w:t>
      </w:r>
      <w:r>
        <w:rPr>
          <w:rFonts w:hint="eastAsia" w:ascii="Times New Roman" w:hAnsi="Times New Roman" w:eastAsia="宋体" w:cstheme="minorBidi"/>
          <w:szCs w:val="22"/>
          <w:highlight w:val="none"/>
          <w:lang w:val="en-US" w:eastAsia="zh-CN"/>
        </w:rPr>
        <w:t>副经理、安全总监等其他副职领导</w:t>
      </w:r>
      <w:r>
        <w:rPr>
          <w:rFonts w:hint="default" w:ascii="Times New Roman" w:hAnsi="Times New Roman" w:eastAsia="宋体" w:cstheme="minorBidi"/>
          <w:szCs w:val="22"/>
          <w:highlight w:val="none"/>
          <w:lang w:val="en-US" w:eastAsia="zh-CN"/>
        </w:rPr>
        <w:t>为副组长，各</w:t>
      </w:r>
      <w:r>
        <w:rPr>
          <w:rFonts w:hint="eastAsia" w:ascii="Times New Roman" w:hAnsi="Times New Roman" w:eastAsia="宋体" w:cstheme="minorBidi"/>
          <w:szCs w:val="22"/>
          <w:highlight w:val="none"/>
          <w:lang w:val="en-US" w:eastAsia="zh-CN"/>
        </w:rPr>
        <w:t>职能</w:t>
      </w:r>
      <w:r>
        <w:rPr>
          <w:rFonts w:hint="default" w:ascii="Times New Roman" w:hAnsi="Times New Roman" w:eastAsia="宋体" w:cstheme="minorBidi"/>
          <w:szCs w:val="22"/>
          <w:highlight w:val="none"/>
          <w:lang w:val="en-US" w:eastAsia="zh-CN"/>
        </w:rPr>
        <w:t>部门负责人及各协作队伍负责人为组员的安全应急领导小组</w:t>
      </w:r>
      <w:r>
        <w:rPr>
          <w:rFonts w:hint="eastAsia" w:ascii="Times New Roman" w:hAnsi="Times New Roman" w:eastAsia="宋体" w:cstheme="minorBidi"/>
          <w:szCs w:val="22"/>
          <w:highlight w:val="none"/>
          <w:lang w:val="en-US" w:eastAsia="zh-CN"/>
        </w:rPr>
        <w:t>。</w:t>
      </w:r>
    </w:p>
    <w:p w14:paraId="15B92C34">
      <w:pPr>
        <w:ind w:firstLine="480"/>
        <w:rPr>
          <w:rFonts w:cstheme="minorBidi"/>
          <w:szCs w:val="22"/>
          <w:highlight w:val="none"/>
        </w:rPr>
      </w:pPr>
      <w:r>
        <w:rPr>
          <w:rFonts w:cstheme="minorBidi"/>
          <w:szCs w:val="22"/>
          <w:highlight w:val="none"/>
        </w:rPr>
        <w:t>组  长</w:t>
      </w:r>
      <w:r>
        <w:rPr>
          <w:rFonts w:hint="eastAsia" w:cstheme="minorBidi"/>
          <w:szCs w:val="22"/>
          <w:highlight w:val="none"/>
        </w:rPr>
        <w:t>：</w:t>
      </w:r>
      <w:r>
        <w:rPr>
          <w:rFonts w:hint="eastAsia"/>
          <w:highlight w:val="none"/>
        </w:rPr>
        <w:t>程金平</w:t>
      </w:r>
    </w:p>
    <w:p w14:paraId="02251F65">
      <w:pPr>
        <w:ind w:firstLine="480"/>
        <w:rPr>
          <w:rFonts w:hint="default" w:eastAsia="宋体" w:cstheme="minorBidi"/>
          <w:szCs w:val="22"/>
          <w:highlight w:val="none"/>
          <w:lang w:val="en-US" w:eastAsia="zh-CN"/>
        </w:rPr>
      </w:pPr>
      <w:r>
        <w:rPr>
          <w:rFonts w:cstheme="minorBidi"/>
          <w:szCs w:val="22"/>
          <w:highlight w:val="none"/>
        </w:rPr>
        <w:t>副组长：</w:t>
      </w:r>
      <w:r>
        <w:rPr>
          <w:rFonts w:hint="eastAsia" w:cstheme="minorBidi"/>
          <w:szCs w:val="22"/>
          <w:highlight w:val="none"/>
          <w:lang w:val="en-US" w:eastAsia="zh-CN"/>
        </w:rPr>
        <w:t>赵凯、刘海、刘斌、李野、刘海东、农世好</w:t>
      </w:r>
    </w:p>
    <w:p w14:paraId="225437F3">
      <w:pPr>
        <w:ind w:firstLine="480"/>
        <w:rPr>
          <w:rFonts w:hint="eastAsia"/>
          <w:highlight w:val="none"/>
          <w:lang w:val="en-US" w:eastAsia="zh-CN"/>
        </w:rPr>
      </w:pPr>
      <w:r>
        <w:rPr>
          <w:rFonts w:cstheme="minorBidi"/>
          <w:szCs w:val="22"/>
          <w:highlight w:val="none"/>
        </w:rPr>
        <w:t>组  员：</w:t>
      </w:r>
      <w:r>
        <w:rPr>
          <w:rFonts w:hint="eastAsia"/>
          <w:highlight w:val="none"/>
        </w:rPr>
        <w:t>岳蛟、</w:t>
      </w:r>
      <w:r>
        <w:rPr>
          <w:highlight w:val="none"/>
        </w:rPr>
        <w:t>李萌萌</w:t>
      </w:r>
      <w:r>
        <w:rPr>
          <w:rFonts w:hint="eastAsia"/>
          <w:highlight w:val="none"/>
        </w:rPr>
        <w:t>、刘嘉伟、黄硕、</w:t>
      </w:r>
      <w:r>
        <w:rPr>
          <w:highlight w:val="none"/>
        </w:rPr>
        <w:t>魏小雨</w:t>
      </w:r>
      <w:r>
        <w:rPr>
          <w:rFonts w:hint="eastAsia"/>
          <w:highlight w:val="none"/>
        </w:rPr>
        <w:t>、</w:t>
      </w:r>
      <w:r>
        <w:rPr>
          <w:highlight w:val="none"/>
        </w:rPr>
        <w:t>丁阳</w:t>
      </w:r>
      <w:r>
        <w:rPr>
          <w:rFonts w:hint="eastAsia"/>
          <w:highlight w:val="none"/>
        </w:rPr>
        <w:t>、</w:t>
      </w:r>
      <w:r>
        <w:rPr>
          <w:highlight w:val="none"/>
        </w:rPr>
        <w:t>陈硕</w:t>
      </w:r>
      <w:r>
        <w:rPr>
          <w:rFonts w:hint="eastAsia"/>
          <w:highlight w:val="none"/>
        </w:rPr>
        <w:t>、</w:t>
      </w:r>
      <w:r>
        <w:rPr>
          <w:rFonts w:hint="eastAsia"/>
          <w:highlight w:val="none"/>
          <w:lang w:val="en-US" w:eastAsia="zh-CN"/>
        </w:rPr>
        <w:t>刘慈龙</w:t>
      </w:r>
      <w:r>
        <w:rPr>
          <w:rFonts w:hint="eastAsia"/>
          <w:highlight w:val="none"/>
        </w:rPr>
        <w:t>、</w:t>
      </w:r>
      <w:r>
        <w:rPr>
          <w:rFonts w:hint="eastAsia"/>
          <w:highlight w:val="none"/>
          <w:lang w:val="en-US" w:eastAsia="zh-CN"/>
        </w:rPr>
        <w:t>桂海波</w:t>
      </w:r>
    </w:p>
    <w:p w14:paraId="4299E23B">
      <w:pPr>
        <w:ind w:firstLine="480" w:firstLineChars="200"/>
        <w:rPr>
          <w:highlight w:val="none"/>
        </w:rPr>
      </w:pPr>
      <w:bookmarkStart w:id="388" w:name="_Toc29787"/>
      <w:r>
        <w:rPr>
          <w:rFonts w:hint="eastAsia"/>
          <w:color w:val="000000"/>
          <w:kern w:val="0"/>
          <w:highlight w:val="none"/>
          <w:lang w:bidi="ar"/>
        </w:rPr>
        <w:t>应急救援领导小组办公室</w:t>
      </w:r>
      <w:bookmarkEnd w:id="388"/>
      <w:r>
        <w:rPr>
          <w:rFonts w:hint="eastAsia"/>
          <w:color w:val="000000"/>
          <w:kern w:val="0"/>
          <w:highlight w:val="none"/>
          <w:lang w:bidi="ar"/>
        </w:rPr>
        <w:t xml:space="preserve"> </w:t>
      </w:r>
    </w:p>
    <w:p w14:paraId="4D2BF7A1">
      <w:pPr>
        <w:widowControl/>
        <w:ind w:firstLine="480" w:firstLineChars="200"/>
        <w:jc w:val="left"/>
        <w:rPr>
          <w:highlight w:val="none"/>
        </w:rPr>
      </w:pPr>
      <w:r>
        <w:rPr>
          <w:rFonts w:hint="eastAsia"/>
          <w:color w:val="000000"/>
          <w:kern w:val="0"/>
          <w:highlight w:val="none"/>
          <w:lang w:bidi="ar"/>
        </w:rPr>
        <w:t>主  任：刘斌</w:t>
      </w:r>
    </w:p>
    <w:p w14:paraId="3AD9DCB4">
      <w:pPr>
        <w:widowControl/>
        <w:ind w:firstLine="480" w:firstLineChars="200"/>
        <w:jc w:val="left"/>
        <w:rPr>
          <w:rFonts w:hint="eastAsia"/>
          <w:highlight w:val="none"/>
          <w:lang w:val="en-US" w:eastAsia="zh-CN"/>
        </w:rPr>
      </w:pPr>
      <w:r>
        <w:rPr>
          <w:rFonts w:hint="eastAsia"/>
          <w:color w:val="000000"/>
          <w:kern w:val="0"/>
          <w:highlight w:val="none"/>
          <w:lang w:bidi="ar"/>
        </w:rPr>
        <w:t>成  员：陈硕、</w:t>
      </w:r>
      <w:r>
        <w:rPr>
          <w:rFonts w:hint="eastAsia"/>
          <w:color w:val="000000"/>
          <w:kern w:val="0"/>
          <w:highlight w:val="none"/>
          <w:lang w:val="en-US" w:eastAsia="zh-CN" w:bidi="ar"/>
        </w:rPr>
        <w:t>刘俊臣</w:t>
      </w:r>
      <w:r>
        <w:rPr>
          <w:rFonts w:hint="eastAsia"/>
          <w:color w:val="000000"/>
          <w:kern w:val="0"/>
          <w:highlight w:val="none"/>
          <w:lang w:bidi="ar"/>
        </w:rPr>
        <w:t>、</w:t>
      </w:r>
      <w:r>
        <w:rPr>
          <w:rFonts w:hint="eastAsia"/>
          <w:color w:val="000000"/>
          <w:kern w:val="0"/>
          <w:highlight w:val="none"/>
          <w:lang w:val="en-US" w:eastAsia="zh-CN" w:bidi="ar"/>
        </w:rPr>
        <w:t>苏靖晗</w:t>
      </w:r>
    </w:p>
    <w:p w14:paraId="3986D17E">
      <w:pPr>
        <w:pStyle w:val="4"/>
        <w:bidi w:val="0"/>
        <w:ind w:left="720" w:leftChars="0" w:hanging="720" w:firstLineChars="0"/>
        <w:rPr>
          <w:rFonts w:hint="eastAsia"/>
          <w:lang w:val="en-US" w:eastAsia="zh-CN"/>
        </w:rPr>
      </w:pPr>
      <w:r>
        <w:rPr>
          <w:rFonts w:hint="eastAsia"/>
          <w:lang w:val="en-US" w:eastAsia="zh-CN"/>
        </w:rPr>
        <w:t>职责</w:t>
      </w:r>
      <w:bookmarkEnd w:id="387"/>
    </w:p>
    <w:p w14:paraId="02B89FAD">
      <w:pPr>
        <w:ind w:firstLine="480"/>
        <w:rPr>
          <w:rFonts w:hint="default" w:ascii="宋体" w:hAnsi="宋体" w:eastAsia="宋体"/>
          <w:highlight w:val="none"/>
          <w:lang w:val="en-US" w:eastAsia="zh-CN"/>
        </w:rPr>
      </w:pPr>
      <w:r>
        <w:rPr>
          <w:rFonts w:hint="eastAsia"/>
          <w:highlight w:val="none"/>
          <w:lang w:val="en-US" w:eastAsia="zh-CN"/>
        </w:rPr>
        <w:t>1.领导小组职责</w:t>
      </w:r>
    </w:p>
    <w:p w14:paraId="3B3B8E53">
      <w:pPr>
        <w:ind w:firstLine="480"/>
        <w:rPr>
          <w:rFonts w:hint="eastAsia" w:ascii="宋体" w:hAnsi="宋体" w:eastAsia="宋体"/>
          <w:highlight w:val="none"/>
        </w:rPr>
      </w:pPr>
      <w:r>
        <w:rPr>
          <w:rFonts w:hint="eastAsia" w:ascii="宋体" w:hAnsi="宋体" w:eastAsia="宋体"/>
          <w:highlight w:val="none"/>
        </w:rPr>
        <w:t>（1）负责组织和制定应急处置措施；</w:t>
      </w:r>
    </w:p>
    <w:p w14:paraId="63BD38DD">
      <w:pPr>
        <w:ind w:firstLine="480"/>
        <w:rPr>
          <w:rFonts w:hint="eastAsia" w:ascii="宋体" w:hAnsi="宋体" w:eastAsia="宋体"/>
          <w:highlight w:val="none"/>
        </w:rPr>
      </w:pPr>
      <w:r>
        <w:rPr>
          <w:rFonts w:hint="eastAsia" w:ascii="宋体" w:hAnsi="宋体" w:eastAsia="宋体"/>
          <w:highlight w:val="none"/>
        </w:rPr>
        <w:t>（2）按规定的报告程序和时限，逐级上报事故；</w:t>
      </w:r>
    </w:p>
    <w:p w14:paraId="0ECFE6C4">
      <w:pPr>
        <w:ind w:firstLine="480"/>
        <w:rPr>
          <w:rFonts w:hint="eastAsia" w:ascii="宋体" w:hAnsi="宋体" w:eastAsia="宋体"/>
          <w:highlight w:val="none"/>
        </w:rPr>
      </w:pPr>
      <w:r>
        <w:rPr>
          <w:rFonts w:hint="eastAsia" w:ascii="宋体" w:hAnsi="宋体" w:eastAsia="宋体"/>
          <w:highlight w:val="none"/>
        </w:rPr>
        <w:t>（3）检查督促做好各项预防措施及应急资源的落实情况；</w:t>
      </w:r>
    </w:p>
    <w:p w14:paraId="450A8A15">
      <w:pPr>
        <w:ind w:firstLine="480"/>
        <w:rPr>
          <w:rFonts w:hint="eastAsia" w:ascii="宋体" w:hAnsi="宋体" w:eastAsia="宋体"/>
          <w:highlight w:val="none"/>
        </w:rPr>
      </w:pPr>
      <w:r>
        <w:rPr>
          <w:rFonts w:hint="eastAsia" w:ascii="宋体" w:hAnsi="宋体" w:eastAsia="宋体"/>
          <w:highlight w:val="none"/>
        </w:rPr>
        <w:t>（4）应急处置措施的组织与实施；</w:t>
      </w:r>
    </w:p>
    <w:p w14:paraId="4D88D10E">
      <w:pPr>
        <w:ind w:firstLine="480"/>
        <w:rPr>
          <w:rFonts w:hint="eastAsia" w:ascii="宋体" w:hAnsi="宋体" w:eastAsia="宋体"/>
          <w:highlight w:val="none"/>
        </w:rPr>
      </w:pPr>
      <w:r>
        <w:rPr>
          <w:rFonts w:hint="eastAsia" w:ascii="宋体" w:hAnsi="宋体" w:eastAsia="宋体"/>
          <w:highlight w:val="none"/>
        </w:rPr>
        <w:t>（5）当施工现场发生紧急情况时，发布和解除应急救援命令；</w:t>
      </w:r>
    </w:p>
    <w:p w14:paraId="747B9F4A">
      <w:pPr>
        <w:ind w:firstLine="480"/>
        <w:rPr>
          <w:rFonts w:hint="eastAsia" w:ascii="宋体" w:hAnsi="宋体" w:eastAsia="宋体"/>
          <w:highlight w:val="none"/>
        </w:rPr>
      </w:pPr>
      <w:r>
        <w:rPr>
          <w:rFonts w:hint="eastAsia" w:ascii="宋体" w:hAnsi="宋体" w:eastAsia="宋体"/>
          <w:highlight w:val="none"/>
        </w:rPr>
        <w:t>（6）随时了解和掌握处理事故的实际情况，根据情况作出应急对策；</w:t>
      </w:r>
    </w:p>
    <w:p w14:paraId="7890CCA2">
      <w:pPr>
        <w:ind w:firstLine="480"/>
        <w:rPr>
          <w:rFonts w:hint="eastAsia" w:ascii="宋体" w:hAnsi="宋体" w:eastAsia="宋体"/>
          <w:highlight w:val="none"/>
        </w:rPr>
      </w:pPr>
      <w:r>
        <w:rPr>
          <w:rFonts w:hint="eastAsia" w:ascii="宋体" w:hAnsi="宋体" w:eastAsia="宋体"/>
          <w:highlight w:val="none"/>
        </w:rPr>
        <w:t>（7）保护好事故现场，确保内外通讯畅通。</w:t>
      </w:r>
    </w:p>
    <w:p w14:paraId="16428EC1">
      <w:pPr>
        <w:bidi w:val="0"/>
        <w:ind w:firstLine="480" w:firstLineChars="200"/>
        <w:rPr>
          <w:rFonts w:hint="eastAsia"/>
          <w:highlight w:val="none"/>
          <w:lang w:val="en-US" w:eastAsia="zh-CN"/>
        </w:rPr>
      </w:pPr>
      <w:r>
        <w:rPr>
          <w:rFonts w:hint="eastAsia"/>
          <w:highlight w:val="none"/>
          <w:lang w:val="en-US" w:eastAsia="zh-CN"/>
        </w:rPr>
        <w:t>2.</w:t>
      </w:r>
      <w:r>
        <w:rPr>
          <w:rFonts w:hint="eastAsia"/>
          <w:color w:val="000000"/>
          <w:kern w:val="0"/>
          <w:highlight w:val="none"/>
          <w:lang w:bidi="ar"/>
        </w:rPr>
        <w:t>应急救援领导小组办公室</w:t>
      </w:r>
      <w:r>
        <w:rPr>
          <w:rFonts w:hint="eastAsia"/>
          <w:highlight w:val="none"/>
          <w:lang w:val="en-US" w:eastAsia="zh-CN"/>
        </w:rPr>
        <w:t>职责</w:t>
      </w:r>
    </w:p>
    <w:p w14:paraId="5C6AEBDA">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1</w:t>
      </w:r>
      <w:r>
        <w:rPr>
          <w:rFonts w:hint="eastAsia"/>
          <w:color w:val="000000"/>
          <w:kern w:val="0"/>
          <w:highlight w:val="none"/>
          <w:lang w:bidi="ar"/>
        </w:rPr>
        <w:t xml:space="preserve">）服从项目部应急救援领导小组的指挥，实施救援响应； </w:t>
      </w:r>
    </w:p>
    <w:p w14:paraId="52DFE93E">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2</w:t>
      </w:r>
      <w:r>
        <w:rPr>
          <w:rFonts w:hint="eastAsia"/>
          <w:color w:val="000000"/>
          <w:kern w:val="0"/>
          <w:highlight w:val="none"/>
          <w:lang w:bidi="ar"/>
        </w:rPr>
        <w:t xml:space="preserve">）根据组长指示，发布和解除突发事件应急救援命令； </w:t>
      </w:r>
    </w:p>
    <w:p w14:paraId="62B429E0">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3</w:t>
      </w:r>
      <w:r>
        <w:rPr>
          <w:rFonts w:hint="eastAsia"/>
          <w:color w:val="000000"/>
          <w:kern w:val="0"/>
          <w:highlight w:val="none"/>
          <w:lang w:bidi="ar"/>
        </w:rPr>
        <w:t>）织指挥救援队伍实施救援行动；</w:t>
      </w:r>
    </w:p>
    <w:p w14:paraId="5DA114A4">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4</w:t>
      </w:r>
      <w:r>
        <w:rPr>
          <w:rFonts w:hint="eastAsia"/>
          <w:color w:val="000000"/>
          <w:kern w:val="0"/>
          <w:highlight w:val="none"/>
          <w:lang w:bidi="ar"/>
        </w:rPr>
        <w:t xml:space="preserve">）向上级报告事故和事故救援情况，适时发布事故救援报告； </w:t>
      </w:r>
    </w:p>
    <w:p w14:paraId="783617A8">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5</w:t>
      </w:r>
      <w:r>
        <w:rPr>
          <w:rFonts w:hint="eastAsia"/>
          <w:color w:val="000000"/>
          <w:kern w:val="0"/>
          <w:highlight w:val="none"/>
          <w:lang w:bidi="ar"/>
        </w:rPr>
        <w:t xml:space="preserve">）指令有关部门配合上级部门进行事故调查处理； </w:t>
      </w:r>
    </w:p>
    <w:p w14:paraId="4D4109EF">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6</w:t>
      </w:r>
      <w:r>
        <w:rPr>
          <w:rFonts w:hint="eastAsia"/>
          <w:color w:val="000000"/>
          <w:kern w:val="0"/>
          <w:highlight w:val="none"/>
          <w:lang w:bidi="ar"/>
        </w:rPr>
        <w:t xml:space="preserve">）必要时向有关部门发出救援请求； </w:t>
      </w:r>
    </w:p>
    <w:p w14:paraId="3D151FDB">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7</w:t>
      </w:r>
      <w:r>
        <w:rPr>
          <w:rFonts w:hint="eastAsia"/>
          <w:color w:val="000000"/>
          <w:kern w:val="0"/>
          <w:highlight w:val="none"/>
          <w:lang w:bidi="ar"/>
        </w:rPr>
        <w:t xml:space="preserve">）完成领导小组交办的其他事项。 </w:t>
      </w:r>
    </w:p>
    <w:p w14:paraId="4576F001">
      <w:pPr>
        <w:pStyle w:val="4"/>
        <w:bidi w:val="0"/>
        <w:ind w:left="720" w:leftChars="0" w:hanging="720" w:firstLineChars="0"/>
        <w:rPr>
          <w:rFonts w:hint="eastAsia"/>
        </w:rPr>
      </w:pPr>
      <w:bookmarkStart w:id="389" w:name="_Toc530055720"/>
      <w:r>
        <w:rPr>
          <w:rFonts w:hint="eastAsia"/>
        </w:rPr>
        <w:t>领导小组人员分工</w:t>
      </w:r>
      <w:bookmarkEnd w:id="389"/>
    </w:p>
    <w:p w14:paraId="14889A10">
      <w:pPr>
        <w:ind w:firstLine="480"/>
        <w:rPr>
          <w:rFonts w:hint="eastAsia" w:ascii="宋体" w:hAnsi="宋体" w:eastAsia="宋体"/>
          <w:highlight w:val="none"/>
        </w:rPr>
      </w:pPr>
      <w:r>
        <w:rPr>
          <w:rFonts w:hint="eastAsia" w:ascii="宋体" w:hAnsi="宋体" w:eastAsia="宋体"/>
          <w:highlight w:val="none"/>
        </w:rPr>
        <w:t>组长</w:t>
      </w:r>
      <w:r>
        <w:rPr>
          <w:rFonts w:hint="eastAsia" w:ascii="宋体" w:hAnsi="宋体" w:eastAsia="宋体"/>
          <w:highlight w:val="none"/>
          <w:lang w:eastAsia="zh-CN"/>
        </w:rPr>
        <w:t>（</w:t>
      </w:r>
      <w:r>
        <w:rPr>
          <w:rFonts w:hint="eastAsia" w:ascii="宋体" w:hAnsi="宋体" w:eastAsia="宋体"/>
          <w:highlight w:val="none"/>
          <w:lang w:val="en-US" w:eastAsia="zh-CN"/>
        </w:rPr>
        <w:t>总指挥</w:t>
      </w:r>
      <w:r>
        <w:rPr>
          <w:rFonts w:hint="eastAsia" w:ascii="宋体" w:hAnsi="宋体" w:eastAsia="宋体"/>
          <w:highlight w:val="none"/>
          <w:lang w:eastAsia="zh-CN"/>
        </w:rPr>
        <w:t>）</w:t>
      </w:r>
      <w:r>
        <w:rPr>
          <w:rFonts w:hint="eastAsia" w:ascii="宋体" w:hAnsi="宋体" w:eastAsia="宋体"/>
          <w:highlight w:val="none"/>
        </w:rPr>
        <w:t>：发生吊装安全事故时，发布和解除应急救援指令；组织指挥应急队伍实施救援行动；向上级汇报和公司通报事故情况，必要时向有关单位发出救援要求；组织事故调查，总结应急救援经验教育等。</w:t>
      </w:r>
    </w:p>
    <w:p w14:paraId="0EC44A98">
      <w:pPr>
        <w:ind w:firstLine="480"/>
        <w:rPr>
          <w:rFonts w:hint="eastAsia" w:ascii="宋体" w:hAnsi="宋体" w:eastAsia="宋体"/>
          <w:highlight w:val="none"/>
        </w:rPr>
      </w:pPr>
      <w:r>
        <w:rPr>
          <w:rFonts w:hint="eastAsia" w:ascii="宋体" w:hAnsi="宋体" w:eastAsia="宋体"/>
          <w:highlight w:val="none"/>
        </w:rPr>
        <w:t>副组长</w:t>
      </w:r>
      <w:r>
        <w:rPr>
          <w:rFonts w:hint="eastAsia" w:ascii="宋体" w:hAnsi="宋体" w:eastAsia="宋体"/>
          <w:highlight w:val="none"/>
          <w:lang w:eastAsia="zh-CN"/>
        </w:rPr>
        <w:t>（</w:t>
      </w:r>
      <w:r>
        <w:rPr>
          <w:rFonts w:hint="eastAsia" w:ascii="宋体" w:hAnsi="宋体" w:eastAsia="宋体"/>
          <w:highlight w:val="none"/>
          <w:lang w:val="en-US" w:eastAsia="zh-CN"/>
        </w:rPr>
        <w:t>副总指挥</w:t>
      </w:r>
      <w:r>
        <w:rPr>
          <w:rFonts w:hint="eastAsia" w:ascii="宋体" w:hAnsi="宋体" w:eastAsia="宋体"/>
          <w:highlight w:val="none"/>
          <w:lang w:eastAsia="zh-CN"/>
        </w:rPr>
        <w:t>）</w:t>
      </w:r>
      <w:r>
        <w:rPr>
          <w:rFonts w:hint="eastAsia" w:ascii="宋体" w:hAnsi="宋体" w:eastAsia="宋体"/>
          <w:highlight w:val="none"/>
        </w:rPr>
        <w:t>：协助组长工作，负责指挥应急处置工作的具体实施。</w:t>
      </w:r>
    </w:p>
    <w:p w14:paraId="5725054B">
      <w:pPr>
        <w:ind w:firstLine="480"/>
        <w:rPr>
          <w:rFonts w:hint="eastAsia" w:ascii="宋体" w:hAnsi="宋体" w:eastAsia="宋体"/>
          <w:highlight w:val="none"/>
        </w:rPr>
      </w:pPr>
      <w:r>
        <w:rPr>
          <w:rFonts w:hint="eastAsia" w:ascii="宋体" w:hAnsi="宋体" w:eastAsia="宋体"/>
          <w:highlight w:val="none"/>
        </w:rPr>
        <w:t>小组成员：</w:t>
      </w:r>
    </w:p>
    <w:p w14:paraId="0692D2FE">
      <w:pPr>
        <w:ind w:firstLine="480"/>
        <w:rPr>
          <w:rFonts w:hint="eastAsia" w:ascii="宋体" w:hAnsi="宋体" w:eastAsia="宋体"/>
          <w:highlight w:val="none"/>
        </w:rPr>
      </w:pPr>
      <w:r>
        <w:rPr>
          <w:rFonts w:hint="eastAsia" w:ascii="宋体" w:hAnsi="宋体" w:eastAsia="宋体"/>
          <w:highlight w:val="none"/>
        </w:rPr>
        <w:t>（1）负责警戒、治安保卫、人员疏散，道路交通管制工作。</w:t>
      </w:r>
    </w:p>
    <w:p w14:paraId="5F4FEB7F">
      <w:pPr>
        <w:ind w:firstLine="480"/>
        <w:rPr>
          <w:rFonts w:hint="eastAsia" w:ascii="宋体" w:hAnsi="宋体" w:eastAsia="宋体"/>
          <w:highlight w:val="none"/>
        </w:rPr>
      </w:pPr>
      <w:r>
        <w:rPr>
          <w:rFonts w:hint="eastAsia" w:ascii="宋体" w:hAnsi="宋体" w:eastAsia="宋体"/>
          <w:highlight w:val="none"/>
        </w:rPr>
        <w:t>（2）协助副组长工作，做好事故报警，情况通报及事故处置工作，负责事故现场的通讯联络、对外联络及事故现场的监测工作。</w:t>
      </w:r>
    </w:p>
    <w:p w14:paraId="7663CFCB">
      <w:pPr>
        <w:ind w:firstLine="480"/>
        <w:rPr>
          <w:rFonts w:hint="eastAsia" w:ascii="宋体" w:hAnsi="宋体" w:eastAsia="宋体"/>
          <w:highlight w:val="none"/>
        </w:rPr>
      </w:pPr>
      <w:r>
        <w:rPr>
          <w:rFonts w:hint="eastAsia" w:ascii="宋体" w:hAnsi="宋体" w:eastAsia="宋体"/>
          <w:highlight w:val="none"/>
        </w:rPr>
        <w:t>（3）负责协助抢险机械设备的调转；负责抢险救援物质的供应和运输工作。</w:t>
      </w:r>
    </w:p>
    <w:p w14:paraId="4F33F013">
      <w:pPr>
        <w:ind w:firstLine="480"/>
        <w:rPr>
          <w:rFonts w:hint="eastAsia" w:ascii="宋体" w:hAnsi="宋体" w:eastAsia="宋体"/>
          <w:highlight w:val="none"/>
        </w:rPr>
      </w:pPr>
      <w:r>
        <w:rPr>
          <w:rFonts w:hint="eastAsia" w:ascii="宋体" w:hAnsi="宋体" w:eastAsia="宋体"/>
          <w:highlight w:val="none"/>
        </w:rPr>
        <w:t>（4）负责抢险车辆调度和现场医疗救护指挥及受伤人员分类抢救和护送医院，受伤人员的生活必需品、抢险救援物资供应，资金保证。</w:t>
      </w:r>
    </w:p>
    <w:p w14:paraId="43F7A73A">
      <w:pPr>
        <w:ind w:firstLine="480"/>
        <w:rPr>
          <w:rFonts w:hint="default" w:eastAsia="宋体"/>
          <w:highlight w:val="none"/>
          <w:lang w:val="en-US" w:eastAsia="zh-CN"/>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color w:val="000000"/>
          <w:kern w:val="0"/>
          <w:highlight w:val="none"/>
          <w:lang w:val="en-US" w:eastAsia="zh-CN" w:bidi="ar"/>
        </w:rPr>
        <w:t>应急联络方式：手机号码（24小时）19142751617</w:t>
      </w:r>
    </w:p>
    <w:p w14:paraId="187F4135">
      <w:pPr>
        <w:pStyle w:val="3"/>
        <w:bidi w:val="0"/>
        <w:ind w:left="575" w:leftChars="0" w:hanging="575" w:firstLineChars="0"/>
      </w:pPr>
      <w:bookmarkStart w:id="390" w:name="_Toc8652"/>
      <w:bookmarkStart w:id="391" w:name="_Toc29166"/>
      <w:bookmarkStart w:id="392" w:name="_Toc15798"/>
      <w:bookmarkStart w:id="393" w:name="_Toc10409840"/>
      <w:r>
        <w:rPr>
          <w:rFonts w:hint="eastAsia"/>
          <w:lang w:val="en-US" w:eastAsia="zh-CN"/>
        </w:rPr>
        <w:t xml:space="preserve"> </w:t>
      </w:r>
      <w:bookmarkStart w:id="394" w:name="_Toc17497"/>
      <w:r>
        <w:rPr>
          <w:rFonts w:hint="eastAsia"/>
        </w:rPr>
        <w:t>预防与预警</w:t>
      </w:r>
      <w:bookmarkEnd w:id="390"/>
      <w:bookmarkEnd w:id="391"/>
      <w:bookmarkEnd w:id="392"/>
      <w:bookmarkEnd w:id="393"/>
      <w:bookmarkEnd w:id="394"/>
    </w:p>
    <w:p w14:paraId="3E310D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bookmarkStart w:id="395" w:name="_Toc10409841"/>
      <w:r>
        <w:rPr>
          <w:rFonts w:hint="eastAsia"/>
          <w:highlight w:val="none"/>
        </w:rPr>
        <w:t>（1）施工现场设安全领导小组，负责吊装过程中可能造成的人员 伤亡事故的控制。</w:t>
      </w:r>
    </w:p>
    <w:p w14:paraId="75B650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（2）发生事故时，安全领导小组要立即救人。救人时先排除危险，防止抢救时事故的再发生。</w:t>
      </w:r>
    </w:p>
    <w:p w14:paraId="056172D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3）遇到安全事故较大或人员受伤时，现场人员在组织自救的同时，应及时拨打急救中心电话“120”或公安及生产中心电话“110”求的外部支援；支援时必须讲明地点、基本情况、联系电话等详细情况，并派人到路上接警。  </w:t>
      </w:r>
    </w:p>
    <w:p w14:paraId="04B1D2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（4）将受伤人员及时转送医院进行紧急救护。</w:t>
      </w:r>
    </w:p>
    <w:p w14:paraId="20DCB8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（5）将信息迅速传递给项目部；传递内容包括发生的时间、地点、部位、简要经过、伤人数和已采取的应急措施等。  </w:t>
      </w:r>
    </w:p>
    <w:p w14:paraId="0326C1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（6）项目部接到应急信息后应立即核实现场的处置情况，组织有关人员或应急队伍赶赴现场。</w:t>
      </w:r>
    </w:p>
    <w:p w14:paraId="49D412F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7）应急队伍到达现场后，应服从现场指挥人员统指挥，按分工要求进行疏散人员，抢救物质，尽可能减少生命财产损失，防止事故蔓延；可能对区域内外人群安全构成威胁时，必须对与事故应急救援无关的人员进行紧急疏散。</w:t>
      </w:r>
    </w:p>
    <w:p w14:paraId="74615B3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（8）事故处理完毕后，施工现场应保护好现场，接受事故调查并如实提供事故的情况。</w:t>
      </w:r>
    </w:p>
    <w:bookmarkEnd w:id="395"/>
    <w:p w14:paraId="5EF3147C">
      <w:pPr>
        <w:pStyle w:val="3"/>
        <w:bidi w:val="0"/>
        <w:ind w:left="575" w:leftChars="0" w:hanging="575" w:firstLineChars="0"/>
        <w:rPr>
          <w:rFonts w:hint="eastAsia"/>
          <w:lang w:val="en-US" w:eastAsia="zh-CN"/>
        </w:rPr>
      </w:pPr>
      <w:bookmarkStart w:id="396" w:name="_Toc55223384"/>
      <w:bookmarkStart w:id="397" w:name="_Toc3771"/>
      <w:bookmarkStart w:id="398" w:name="_Toc941"/>
      <w:bookmarkStart w:id="399" w:name="_Toc17271"/>
      <w:bookmarkStart w:id="400" w:name="_Toc40778455"/>
      <w:bookmarkStart w:id="401" w:name="_Toc18740"/>
      <w:bookmarkStart w:id="402" w:name="_Toc28613979"/>
      <w:bookmarkStart w:id="403" w:name="_Toc31708"/>
      <w:bookmarkStart w:id="404" w:name="_Toc9735"/>
      <w:bookmarkStart w:id="405" w:name="_Toc21226"/>
      <w:r>
        <w:rPr>
          <w:rFonts w:hint="eastAsia"/>
        </w:rPr>
        <w:t>处置流程</w:t>
      </w:r>
      <w:bookmarkEnd w:id="396"/>
      <w:bookmarkEnd w:id="397"/>
      <w:bookmarkEnd w:id="398"/>
      <w:bookmarkEnd w:id="399"/>
      <w:bookmarkEnd w:id="400"/>
      <w:bookmarkEnd w:id="401"/>
      <w:bookmarkEnd w:id="402"/>
      <w:bookmarkEnd w:id="403"/>
      <w:bookmarkEnd w:id="404"/>
      <w:bookmarkEnd w:id="405"/>
    </w:p>
    <w:p w14:paraId="32C3D2E6">
      <w:pPr>
        <w:pStyle w:val="4"/>
        <w:bidi w:val="0"/>
        <w:ind w:left="720" w:leftChars="0" w:hanging="720" w:firstLineChars="0"/>
      </w:pPr>
      <w:bookmarkStart w:id="406" w:name="_Toc10409842"/>
      <w:bookmarkStart w:id="407" w:name="_Toc29053"/>
      <w:bookmarkStart w:id="408" w:name="_Toc16079"/>
      <w:r>
        <w:rPr>
          <w:rFonts w:hint="eastAsia"/>
          <w:lang w:val="en-US" w:eastAsia="zh-CN"/>
        </w:rPr>
        <w:t xml:space="preserve"> 信息报告与公开 </w:t>
      </w:r>
    </w:p>
    <w:p w14:paraId="755BF96A">
      <w:pPr>
        <w:bidi w:val="0"/>
        <w:jc w:val="center"/>
        <w:rPr>
          <w:highlight w:val="none"/>
        </w:rPr>
      </w:pPr>
      <w:bookmarkStart w:id="409" w:name="_Toc12816"/>
      <w:bookmarkStart w:id="410" w:name="_Toc646"/>
      <w:bookmarkStart w:id="411" w:name="_Toc1726"/>
      <w:r>
        <w:rPr>
          <w:highlight w:val="none"/>
        </w:rPr>
        <w:drawing>
          <wp:inline distT="0" distB="0" distL="114300" distR="114300">
            <wp:extent cx="3441700" cy="4241800"/>
            <wp:effectExtent l="0" t="0" r="0" b="0"/>
            <wp:docPr id="2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2"/>
                    <pic:cNvPicPr>
                      <a:picLocks noChangeAspect="1"/>
                    </pic:cNvPicPr>
                  </pic:nvPicPr>
                  <pic:blipFill>
                    <a:blip r:embed="rId66"/>
                    <a:stretch>
                      <a:fillRect/>
                    </a:stretch>
                  </pic:blipFill>
                  <pic:spPr>
                    <a:xfrm>
                      <a:off x="0" y="0"/>
                      <a:ext cx="3441700" cy="4241800"/>
                    </a:xfrm>
                    <a:prstGeom prst="rect">
                      <a:avLst/>
                    </a:prstGeom>
                    <a:noFill/>
                    <a:ln>
                      <a:noFill/>
                    </a:ln>
                  </pic:spPr>
                </pic:pic>
              </a:graphicData>
            </a:graphic>
          </wp:inline>
        </w:drawing>
      </w:r>
    </w:p>
    <w:p w14:paraId="006CCF79">
      <w:pPr>
        <w:pStyle w:val="41"/>
        <w:bidi w:val="0"/>
        <w:rPr>
          <w:highlight w:val="none"/>
        </w:rPr>
      </w:pPr>
      <w:r>
        <w:t xml:space="preserve">图 </w:t>
      </w:r>
      <w:r>
        <w:fldChar w:fldCharType="begin"/>
      </w:r>
      <w:r>
        <w:instrText xml:space="preserve"> STYLEREF 3 \s </w:instrText>
      </w:r>
      <w:r>
        <w:fldChar w:fldCharType="separate"/>
      </w:r>
      <w:r>
        <w:t>9.4.1</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highlight w:val="none"/>
          <w:lang w:val="en-US" w:eastAsia="zh-CN"/>
        </w:rPr>
        <w:t xml:space="preserve"> 信息发布流程图</w:t>
      </w:r>
    </w:p>
    <w:bookmarkEnd w:id="409"/>
    <w:bookmarkEnd w:id="410"/>
    <w:bookmarkEnd w:id="411"/>
    <w:p w14:paraId="7548F674">
      <w:pPr>
        <w:pStyle w:val="4"/>
        <w:bidi w:val="0"/>
        <w:ind w:left="720" w:leftChars="0" w:hanging="720" w:firstLineChars="0"/>
      </w:pPr>
      <w:r>
        <w:rPr>
          <w:rFonts w:hint="eastAsia"/>
          <w:lang w:val="en-US" w:eastAsia="zh-CN"/>
        </w:rPr>
        <w:t>响应分级</w:t>
      </w:r>
    </w:p>
    <w:p w14:paraId="1DD75A6E">
      <w:pPr>
        <w:bidi w:val="0"/>
        <w:ind w:firstLine="480" w:firstLineChars="200"/>
        <w:rPr>
          <w:highlight w:val="none"/>
        </w:rPr>
      </w:pPr>
      <w:r>
        <w:rPr>
          <w:rFonts w:hint="eastAsia"/>
          <w:highlight w:val="none"/>
          <w:lang w:val="en-US" w:eastAsia="zh-CN"/>
        </w:rPr>
        <w:t xml:space="preserve">按照事故性质、潜在危险性、严重程度、发展趋势、影响范围及应急处置能力等因素，结合国家及广西桂贺高速公路有限公司相关文件要求，将应急响应分为 I、Ⅱ、Ⅲ、Ⅳ级。 </w:t>
      </w:r>
    </w:p>
    <w:p w14:paraId="0EC19DDB">
      <w:pPr>
        <w:bidi w:val="0"/>
        <w:ind w:firstLine="480" w:firstLineChars="200"/>
        <w:rPr>
          <w:highlight w:val="none"/>
        </w:rPr>
      </w:pPr>
      <w:r>
        <w:rPr>
          <w:rFonts w:hint="eastAsia"/>
          <w:highlight w:val="none"/>
          <w:lang w:val="en-US" w:eastAsia="zh-CN"/>
        </w:rPr>
        <w:t>I级、Ⅱ级、Ⅲ级应急响应行动由广西桂贺高速公路有限公司应急领导小组组织实施。当广西桂贺高速公路有限公司应急领导小组进行应急响应行动时，总承包部应当按照相应的预案在确保救援人员安全的情况下全力以赴组织救援，控制事态发展；如事态有继续扩大可能，应立即撤离周边人员并及时向属地应急管理部门、监管部门、广西桂贺高速公路有限公司以及公司报告救援工作进展情况。</w:t>
      </w:r>
    </w:p>
    <w:p w14:paraId="217B6212">
      <w:pPr>
        <w:bidi w:val="0"/>
        <w:ind w:firstLine="480" w:firstLineChars="200"/>
        <w:rPr>
          <w:highlight w:val="none"/>
        </w:rPr>
      </w:pPr>
      <w:r>
        <w:rPr>
          <w:rFonts w:hint="eastAsia"/>
          <w:highlight w:val="none"/>
          <w:lang w:val="en-US" w:eastAsia="zh-CN"/>
        </w:rPr>
        <w:t>Ⅳ级应急响应行动的组织实施由总承包部应急领导小组决定。总承包部根据事故灾难或险情的严重程度启动相应的应急预案，超出其应急救援处置能力时，及时报请广西桂贺高速公路有限公司或上级公司应急领导小组启动相应应急预案实施救援。</w:t>
      </w:r>
    </w:p>
    <w:p w14:paraId="341B73BF">
      <w:pPr>
        <w:pStyle w:val="4"/>
        <w:bidi w:val="0"/>
        <w:ind w:left="720" w:leftChars="0" w:hanging="720" w:firstLineChars="0"/>
      </w:pPr>
      <w:r>
        <w:rPr>
          <w:rFonts w:hint="eastAsia"/>
          <w:lang w:val="en-US" w:eastAsia="zh-CN"/>
        </w:rPr>
        <w:t>响应程序</w:t>
      </w:r>
    </w:p>
    <w:p w14:paraId="00A893CC">
      <w:pPr>
        <w:bidi w:val="0"/>
        <w:ind w:firstLine="480" w:firstLineChars="200"/>
        <w:rPr>
          <w:highlight w:val="none"/>
        </w:rPr>
      </w:pPr>
      <w:r>
        <w:rPr>
          <w:rFonts w:hint="eastAsia"/>
          <w:highlight w:val="none"/>
          <w:lang w:val="en-US" w:eastAsia="zh-CN"/>
        </w:rPr>
        <w:t xml:space="preserve">（1）经现场发现异常现象或发生事件、事故时现场管理人员根据出现的险情或有可能出现的险情，迅速向应急领导小组上报。应急救援组织机构领导小组成员必须迅速到达指定岗位并立即启动总承包部应急救援预案。由应急领导小组组长主持紧急情况处理会议，协调、派遣和统一指挥所有车辆、设备、人员、物资等实施紧急抢救，并在30分钟内向广西桂贺高速公路有限公司应急领导小组办公室、监理及公司领导报告，主要说明紧急情况性质、地点、发生时间、有无伤亡等现场情况。根据上级领导指示启动更高一级的应急预案。（根据事故大小情况来确定，如果事故特别小，根据上级指示可由总承包部自行直接处理。如果事故较大或总承包部处理不了则由总承包部向广西桂贺高速公路有限公司应急救援领导办公室进行请示，请求启动广西桂贺高速公路有限公司级应急预案，广西桂贺高速公路有限公司的救援预案仍不能进行处理，则由广西桂贺高速公路有限公司向政府部门请示启动上一级救援预案。） </w:t>
      </w:r>
    </w:p>
    <w:p w14:paraId="28952113">
      <w:pPr>
        <w:bidi w:val="0"/>
        <w:ind w:firstLine="480" w:firstLineChars="200"/>
        <w:rPr>
          <w:highlight w:val="none"/>
        </w:rPr>
      </w:pPr>
      <w:r>
        <w:rPr>
          <w:rFonts w:hint="eastAsia"/>
          <w:highlight w:val="none"/>
          <w:lang w:val="en-US" w:eastAsia="zh-CN"/>
        </w:rPr>
        <w:t xml:space="preserve">（2）应急领导小组组长指挥各相应应急救援小组实施救援，各应急救援小组要切实履行自己的应急救援职责，实施救援。根据现场情况拨打120、110、119 等急救电话。 </w:t>
      </w:r>
    </w:p>
    <w:p w14:paraId="4AB5C266">
      <w:pPr>
        <w:bidi w:val="0"/>
        <w:ind w:firstLine="480" w:firstLineChars="200"/>
        <w:rPr>
          <w:highlight w:val="none"/>
        </w:rPr>
      </w:pPr>
      <w:r>
        <w:rPr>
          <w:rFonts w:hint="eastAsia"/>
          <w:highlight w:val="none"/>
          <w:lang w:val="en-US" w:eastAsia="zh-CN"/>
        </w:rPr>
        <w:t>（3）遇到紧急情况，全体职工应特事特办、急事急办，主动积极地投身到紧急情况的处理中去。各种设备、车辆、器材、物资等统一调遣，各类人员必须坚持无条件服从组长或副组长的命令和安排，不得拖延、推诿、阻碍紧急情况的处理。</w:t>
      </w:r>
    </w:p>
    <w:p w14:paraId="57945702">
      <w:pPr>
        <w:bidi w:val="0"/>
        <w:ind w:firstLine="480" w:firstLineChars="200"/>
        <w:rPr>
          <w:highlight w:val="none"/>
        </w:rPr>
      </w:pPr>
      <w:r>
        <w:rPr>
          <w:rFonts w:hint="eastAsia"/>
          <w:highlight w:val="none"/>
          <w:lang w:val="en-US" w:eastAsia="zh-CN"/>
        </w:rPr>
        <w:t>应急领导小组在确认事故现场得以控制，环境符合有关标准，导致次生、诱发事故隐患消除后，按照“谁启动、谁结束”的原则，经事故现场应急指挥机构批准后，现场应急结束</w:t>
      </w:r>
    </w:p>
    <w:p w14:paraId="1A68A341">
      <w:pPr>
        <w:pStyle w:val="4"/>
        <w:bidi w:val="0"/>
        <w:ind w:left="720" w:leftChars="0" w:hanging="720" w:firstLineChars="0"/>
      </w:pPr>
      <w:r>
        <w:rPr>
          <w:rFonts w:hint="eastAsia"/>
          <w:lang w:val="en-US" w:eastAsia="zh-CN"/>
        </w:rPr>
        <w:t xml:space="preserve"> 后期处理</w:t>
      </w:r>
    </w:p>
    <w:p w14:paraId="585DA7A2">
      <w:pPr>
        <w:bidi w:val="0"/>
        <w:rPr>
          <w:highlight w:val="none"/>
        </w:rPr>
      </w:pPr>
      <w:r>
        <w:rPr>
          <w:rFonts w:hint="eastAsia"/>
          <w:highlight w:val="none"/>
          <w:lang w:val="en-US" w:eastAsia="zh-CN"/>
        </w:rPr>
        <w:t xml:space="preserve">（1）应急总结 </w:t>
      </w:r>
    </w:p>
    <w:p w14:paraId="0C0F858A">
      <w:pPr>
        <w:bidi w:val="0"/>
        <w:rPr>
          <w:rFonts w:hint="eastAsia" w:ascii="Times New Roman" w:hAnsi="Times New Roman" w:eastAsia="宋体" w:cs="Times New Roman"/>
          <w:highlight w:val="none"/>
          <w:lang w:val="en-US" w:eastAsia="zh-CN"/>
        </w:rPr>
      </w:pPr>
      <w:r>
        <w:rPr>
          <w:rFonts w:hint="eastAsia"/>
          <w:highlight w:val="none"/>
          <w:lang w:val="en-US" w:eastAsia="zh-CN"/>
        </w:rPr>
        <w:t>抢险救援结束后，由监理单位主持、业主、设计、咨询等相关单位参加的恢复生产会，对生产安全事故发生的原因进行分析，确定下一步恢复生产应采取的安全、文明、质量等施工措施和管理措施。总承包部主要从</w:t>
      </w:r>
      <w:r>
        <w:rPr>
          <w:rFonts w:hint="eastAsia" w:ascii="Times New Roman" w:hAnsi="Times New Roman" w:eastAsia="宋体" w:cs="Times New Roman"/>
          <w:highlight w:val="none"/>
          <w:lang w:val="en-US" w:eastAsia="zh-CN"/>
        </w:rPr>
        <w:t xml:space="preserve">以下几个方面进行恢复生产： </w:t>
      </w:r>
    </w:p>
    <w:p w14:paraId="76330384">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1）做好事故处理和善后工作，对受害人员进行领导慰问或团体慰问。对良性事迹加强报道。 </w:t>
      </w:r>
    </w:p>
    <w:p w14:paraId="76F89553">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2）严格落实公司及广西桂贺高速公路有限公司和地方政府应急管理规定，推行全员应急管理，认真学习应急预案。 </w:t>
      </w:r>
    </w:p>
    <w:p w14:paraId="5A4BD24D">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3）健全各组织机构，加强人员管理，建立矩阵管理。完善安全、质量保证体系，健全安全、质量管理组织机构，整个项目形成一套严密完整的安全、质量管理体系，各层级充分发挥管理的机能、职能和人的作用。 </w:t>
      </w:r>
    </w:p>
    <w:p w14:paraId="2777BB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4）依据安全、质量体系有关文件，制定安全、质量检查计划制度，形成安全、质量管理依据，做到“有法可依”。严格实施岗位责任制。 </w:t>
      </w:r>
    </w:p>
    <w:p w14:paraId="55D00052">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5）做好技术、试验、测量、机械、施工工艺、后勤等各项保证工作。 </w:t>
      </w:r>
    </w:p>
    <w:p w14:paraId="5F247871">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6）对恢复生产确保资金投入不受阻。 </w:t>
      </w:r>
    </w:p>
    <w:p w14:paraId="3ACEE864">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7）确保设计、施工方案可行，符合现场实际情况，可利用现场存有的机械、设备和材料。 </w:t>
      </w:r>
    </w:p>
    <w:p w14:paraId="5E669531">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8）及时调用后备人员和机械设备，补充到该工区，进行生产恢复，尽快达到生产正常。 </w:t>
      </w:r>
    </w:p>
    <w:p w14:paraId="14753A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抢险结束和生产恢复后，对应急预案的整个过程进行评审、分析和总结，找出预案中存在的不足，并进行评审及修订，使以后的应急预案更加成熟，遇到紧急情况等能处理及时，将安全、财产损失降到最低限度。 </w:t>
      </w:r>
    </w:p>
    <w:p w14:paraId="1F4CC4DE">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（2）事故调查 </w:t>
      </w:r>
    </w:p>
    <w:p w14:paraId="7CF86D72">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按照事故调查组的要求，总承包部如实提供相应资料。 </w:t>
      </w:r>
    </w:p>
    <w:p w14:paraId="6CB752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（3）保险理赔 </w:t>
      </w:r>
    </w:p>
    <w:p w14:paraId="62CE07FF">
      <w:pPr>
        <w:bidi w:val="0"/>
        <w:ind w:firstLine="480" w:firstLineChars="200"/>
        <w:rPr>
          <w:rFonts w:hint="eastAsia"/>
          <w:highlight w:val="none"/>
        </w:rPr>
      </w:pPr>
      <w:r>
        <w:rPr>
          <w:rFonts w:hint="eastAsia" w:ascii="Times New Roman" w:hAnsi="Times New Roman" w:eastAsia="宋体" w:cs="Times New Roman"/>
          <w:highlight w:val="none"/>
          <w:lang w:val="en-US" w:eastAsia="zh-CN"/>
        </w:rPr>
        <w:t>按照保险理赔机构的要求，总承包部如实提供相应资料。</w:t>
      </w:r>
    </w:p>
    <w:p w14:paraId="2D9A1A18">
      <w:pPr>
        <w:pStyle w:val="3"/>
        <w:bidi w:val="0"/>
        <w:ind w:left="575" w:leftChars="0" w:hanging="575" w:firstLineChars="0"/>
        <w:rPr>
          <w:rFonts w:hint="eastAsia"/>
        </w:rPr>
      </w:pPr>
      <w:bookmarkStart w:id="412" w:name="_Toc12334"/>
      <w:bookmarkStart w:id="413" w:name="_Toc22178"/>
      <w:r>
        <w:rPr>
          <w:rFonts w:hint="eastAsia"/>
        </w:rPr>
        <w:t>突发事件应急</w:t>
      </w:r>
      <w:r>
        <w:rPr>
          <w:rFonts w:hint="eastAsia"/>
          <w:lang w:val="en-US" w:eastAsia="zh-CN"/>
        </w:rPr>
        <w:t>处置措施和</w:t>
      </w:r>
      <w:r>
        <w:rPr>
          <w:rFonts w:hint="eastAsia"/>
        </w:rPr>
        <w:t>预案</w:t>
      </w:r>
      <w:bookmarkEnd w:id="406"/>
      <w:bookmarkEnd w:id="407"/>
      <w:bookmarkEnd w:id="408"/>
      <w:bookmarkEnd w:id="412"/>
      <w:bookmarkEnd w:id="413"/>
    </w:p>
    <w:p w14:paraId="6C38D89F">
      <w:pPr>
        <w:pStyle w:val="4"/>
        <w:bidi w:val="0"/>
        <w:ind w:left="720" w:leftChars="0" w:hanging="720" w:firstLineChars="0"/>
        <w:rPr>
          <w:rFonts w:hint="eastAsia"/>
        </w:rPr>
      </w:pPr>
      <w:bookmarkStart w:id="414" w:name="_Toc530055723"/>
      <w:r>
        <w:rPr>
          <w:rFonts w:hint="eastAsia"/>
        </w:rPr>
        <w:t>高空坠落应急处置措施</w:t>
      </w:r>
      <w:bookmarkEnd w:id="414"/>
    </w:p>
    <w:p w14:paraId="75576B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0B76F95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0F5D25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09BF09F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04C7A53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（5）遇有创伤性出血的伤员，应迅速包扎止血，使伤员保持在头底脚高的卧位，并注意保暖。正确的现场止血处理措施：</w:t>
      </w:r>
    </w:p>
    <w:p w14:paraId="4AEB801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a.一般伤口的止血法：先用生理盐水（%Nacl溶液）冲洗伤口，涂上红汞水，然后盖上消毒纱布，用绷带较紧地包扎。</w:t>
      </w:r>
    </w:p>
    <w:p w14:paraId="0761F52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b.加压包扎止血法：用纱布、棉花等作成软件垫，放在伤口上再加包扎，来增强压力而达到止血。</w:t>
      </w:r>
    </w:p>
    <w:p w14:paraId="098E2F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1分钟。</w:t>
      </w:r>
    </w:p>
    <w:p w14:paraId="0E22054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（6）动用最快的交通工具或其他措施，及时把伤者送往邻近医院抢救，运送途中应尽量减少颠簸。同时密切注意伤者的呼吸、脉搏、血压及伤口的情况。</w:t>
      </w:r>
    </w:p>
    <w:p w14:paraId="223C4A2A">
      <w:pPr>
        <w:pStyle w:val="4"/>
        <w:bidi w:val="0"/>
        <w:ind w:left="720" w:leftChars="0" w:hanging="720" w:firstLineChars="0"/>
        <w:rPr>
          <w:rFonts w:hint="eastAsia"/>
        </w:rPr>
      </w:pPr>
      <w:bookmarkStart w:id="415" w:name="_Toc530055724"/>
      <w:r>
        <w:rPr>
          <w:rFonts w:hint="eastAsia"/>
        </w:rPr>
        <w:t>物体打击应急处置措施</w:t>
      </w:r>
      <w:bookmarkEnd w:id="415"/>
    </w:p>
    <w:p w14:paraId="37F520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当发生物体打击事故后，抢救的重点放在颅脑损伤、胸部骨折和出血上进行处理。</w:t>
      </w:r>
    </w:p>
    <w:p w14:paraId="3CEA3EF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10D634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（2）遇呼吸、心跳停止者，应立即进行人工呼吸，胸外心脏挤压。处于休克状态的伤员要让其安静、保暖、平卧、少动，并将下肢抬高约20度左右，尽快送医院进行抢救治疗。</w:t>
      </w:r>
    </w:p>
    <w:p w14:paraId="111C08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106A562C">
      <w:pPr>
        <w:pStyle w:val="4"/>
        <w:bidi w:val="0"/>
        <w:ind w:left="720" w:leftChars="0" w:hanging="720" w:firstLineChars="0"/>
        <w:rPr>
          <w:rFonts w:hint="eastAsia"/>
        </w:rPr>
      </w:pPr>
      <w:bookmarkStart w:id="416" w:name="_Toc530055725"/>
      <w:r>
        <w:rPr>
          <w:rFonts w:hint="eastAsia"/>
        </w:rPr>
        <w:t>机械伤害应急处置措施</w:t>
      </w:r>
      <w:bookmarkEnd w:id="416"/>
      <w:r>
        <w:rPr>
          <w:rFonts w:hint="eastAsia"/>
        </w:rPr>
        <w:t xml:space="preserve"> </w:t>
      </w:r>
    </w:p>
    <w:p w14:paraId="6C56A9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当施工人员发生机械伤害事故时，迅速确定事故发生的准确位置、可能波及的范围、设备损坏的程度、人员伤亡等情况，观察伤者的受伤情况、部位、伤害性质，急救人员应尽快赶往出事地点。</w:t>
      </w:r>
    </w:p>
    <w:p w14:paraId="3D0EE8A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（1）休克、昏迷急救</w:t>
      </w:r>
    </w:p>
    <w:p w14:paraId="22C19E0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让休克者平卧、不用枕头，腿部抬高30度。若属于心原性休克同时伴有心力衰竭、气急，不能平卧时，可采用半卧，注意保暖和安静，尽量不要搬动，如必须搬动时，动作要轻。</w:t>
      </w:r>
    </w:p>
    <w:p w14:paraId="2DCA816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（2）骨折急救</w:t>
      </w:r>
    </w:p>
    <w:p w14:paraId="12AFF60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a.固定断骨的材料可就地取材，如棍、木板、拐杖、硬纸板等都可作为固定材料，长短要以能固定住骨折处上下两个关节或不使断骨错动为准。 </w:t>
      </w:r>
    </w:p>
    <w:p w14:paraId="6FB35F1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b.脊柱骨折或骨折或颈部骨折时，除非是特殊情况如室内失火，否则应让伤者留在原地，等待携有医疗器材的医护人员来搬动。  </w:t>
      </w:r>
    </w:p>
    <w:p w14:paraId="085D18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14A49B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（3）严重出血的急救</w:t>
      </w:r>
    </w:p>
    <w:p w14:paraId="1CDAB92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止血的方法：</w:t>
      </w:r>
    </w:p>
    <w:p w14:paraId="3FC3D93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a.一般止血法：一般伤口小的出血，先用生理盐水涂上红汞药水，然后盖上消毒纱布，用绷带较紧地包扎。</w:t>
      </w:r>
    </w:p>
    <w:p w14:paraId="3E9F868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196B178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（4）肢体切断断肢(指)后，有时即刻造成伤者因流血或疼痛而发生休克，所以应设法首先止血，防止伤员休克。其急救要点为：</w:t>
      </w:r>
    </w:p>
    <w:p w14:paraId="18D2FC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a.让伤者躺下，用一块纱布或清洁布块(如翻出干净手帕的内面)，放在断肢伤口上，再用绷带固定位置。如果找不到绷带，也可用围巾包扎。</w:t>
      </w:r>
    </w:p>
    <w:p w14:paraId="19FCD53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b.如是手臂切断，用绷带把断臂挂在胸前，固定位置；若是一条腿断了，则与另一条腿扎在一起。</w:t>
      </w:r>
    </w:p>
    <w:p w14:paraId="6BA461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c.料理好伤者后，设法找回断肢。倘若离断的伤肢(指)仍在机器中，千万不能将肢体强行拉出，或将机器倒开(转)，以免增加损伤的机会。正确的方法应是拆开机器后取出。</w:t>
      </w:r>
    </w:p>
    <w:p w14:paraId="760798A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3DF83D5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e.离断后的伤肢，如有少许皮肤或其他肌腱相连，不能将其离断，应放在夹板或阔竹片上，然后包扎，立即送到医院作紧急处理。</w:t>
      </w:r>
    </w:p>
    <w:p w14:paraId="4D39FF2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f.严禁在离断伤肢(指)的断端涂抹各种药物及药水(包括消毒剂)，更不能涂抹牙膏、灶灰之类试图止血。</w:t>
      </w:r>
    </w:p>
    <w:p w14:paraId="78DB9C6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（5）一般性外伤</w:t>
      </w:r>
    </w:p>
    <w:p w14:paraId="11FCE3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a.视伤情送往医院，防止破伤风。</w:t>
      </w:r>
    </w:p>
    <w:p w14:paraId="3E64AFA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b.轻微内伤，送医院检查。</w:t>
      </w:r>
    </w:p>
    <w:p w14:paraId="31617DCD">
      <w:pPr>
        <w:pStyle w:val="4"/>
        <w:bidi w:val="0"/>
        <w:ind w:left="720" w:leftChars="0" w:hanging="720" w:firstLineChars="0"/>
        <w:rPr>
          <w:rFonts w:hint="eastAsia"/>
        </w:rPr>
      </w:pPr>
      <w:bookmarkStart w:id="417" w:name="_Toc530055726"/>
      <w:r>
        <w:rPr>
          <w:rFonts w:hint="eastAsia"/>
        </w:rPr>
        <w:t>触电应急处置措施</w:t>
      </w:r>
      <w:bookmarkEnd w:id="417"/>
      <w:r>
        <w:rPr>
          <w:rFonts w:hint="eastAsia"/>
        </w:rPr>
        <w:t xml:space="preserve"> </w:t>
      </w:r>
    </w:p>
    <w:p w14:paraId="288D47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（1）迅速脱离电源  </w:t>
      </w:r>
    </w:p>
    <w:p w14:paraId="487664B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人体触电以后，可能由于痉挛或失去知觉等原因而紧抓带电体，不能自己摆脱电源。抢救触电者的首要步骤就是使触电者尽快脱离电源。 </w:t>
      </w:r>
    </w:p>
    <w:p w14:paraId="4279AD5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使触电者脱离电源的方法：  </w:t>
      </w:r>
    </w:p>
    <w:p w14:paraId="52777A5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a.立即将闸刀打开或将插头拨掉，切断电源。要注意，普通的电灯开关（如拉线开关）只能关断一根线，有时关断的不是相线，并未真正切断电源。 </w:t>
      </w:r>
    </w:p>
    <w:p w14:paraId="2B73BB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b.找不到开关或插头时，可用绝缘的物体（如干燥的木棒、竹杆、手套等）将电线拨开，使触电者脱离电源。</w:t>
      </w:r>
    </w:p>
    <w:p w14:paraId="6BA157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c.用绝缘工具（如带绝缘的电工钳、木柄斧头以及锄头等）切断电线来切断电源。</w:t>
      </w:r>
    </w:p>
    <w:p w14:paraId="61EE77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d.遇高压触电事故，立即通过有关部门停电。 </w:t>
      </w:r>
    </w:p>
    <w:p w14:paraId="7ACECC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总之，要因地制宜，灵活运用各种方法，快速切断电源，防止事故扩大。</w:t>
      </w:r>
    </w:p>
    <w:p w14:paraId="5436D91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（2）现场急救方法</w:t>
      </w:r>
    </w:p>
    <w:p w14:paraId="1B04B0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6FACD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a.口对口人工呼吸法：是用人工的方法来代替肺的呼吸活动，使空气有节律地进入和排出肺脏，供给体内足够的氧气，充分排出二氧化碳，维持正常的通气功能。 </w:t>
      </w:r>
    </w:p>
    <w:p w14:paraId="4E62B03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b.体外心脏挤压法：是指有节律地对心脏挤压，用人工的方法代替心脏的自然收缩，使心脏恢复搏动功能，维持血液循环。</w:t>
      </w:r>
    </w:p>
    <w:p w14:paraId="7154BD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（3）触电急救方法</w:t>
      </w:r>
    </w:p>
    <w:p w14:paraId="1817DB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触电病人一般有以下四种症状，可分别给予正确的对症救治：</w:t>
      </w:r>
    </w:p>
    <w:p w14:paraId="1FDC4F8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a.神志尚清醒，但心慌力乏，四肢麻木。该类病人一般只需将其扶到清凉通风之处休息，让其自然慢慢恢复。但要派专人照料护理，因为有的病人在几小时后会发生病变而突然死亡。</w:t>
      </w:r>
    </w:p>
    <w:p w14:paraId="6B76189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b.有心跳，但呼吸停止或极微弱。该类病人应该采用口对口人工呼吸法进行急救。人工呼吸法可按下述口诀进行，频率是每分钟约12次：清理口腔防堵塞，鼻孔朝天头后仰；贴嘴吹气胸扩张，放开口鼻换气畅。</w:t>
      </w:r>
    </w:p>
    <w:p w14:paraId="0409F88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c.有呼吸，但心跳停止或极微弱。该类病人应该采用人工胸外心脏挤压法来恢复病人的心跳。一般可以按下述口诀进行，频率是每分钟约60~80次。当胸一手掌，中指对凹膛；掌根用力向下压，压下突然收。</w:t>
      </w:r>
    </w:p>
    <w:p w14:paraId="373B9A4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15332E26">
      <w:pPr>
        <w:pStyle w:val="4"/>
        <w:bidi w:val="0"/>
        <w:ind w:left="720" w:leftChars="0" w:hanging="720" w:firstLineChars="0"/>
        <w:rPr>
          <w:rFonts w:hint="eastAsia"/>
        </w:rPr>
      </w:pPr>
      <w:bookmarkStart w:id="418" w:name="_Toc530055727"/>
      <w:r>
        <w:rPr>
          <w:rFonts w:hint="eastAsia"/>
        </w:rPr>
        <w:t>落水人员应急处置措施</w:t>
      </w:r>
      <w:bookmarkEnd w:id="418"/>
    </w:p>
    <w:p w14:paraId="3E5E850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（1）交通船舶必须符合水上航行安全要求，备妥救生工具如救生衣、救生圈、救生竹篙等救生器材。</w:t>
      </w:r>
    </w:p>
    <w:p w14:paraId="4A70D88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（2）水上施工作业及船上流动作业人员应按规定穿着救生衣。符合高处作业条件的，还应按高处作业的规定系好安全带。</w:t>
      </w:r>
    </w:p>
    <w:p w14:paraId="0787E2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（3）交通船必须按定员，不准超载。乘坐人员应听从船员的指挥，船到位后，应待靠稳拴牢方可上、下。不得抢上抢下或船未靠稳就跳船。</w:t>
      </w:r>
    </w:p>
    <w:p w14:paraId="0D7A7AC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（4）乘坐人员应听从船员的指挥，自觉入舱，不得站立和坐骑在船头、船尾和船帮上，遇有风浪时，船上乘坐人员不得来回走动。非本船驾驶人员严禁擅自操作。</w:t>
      </w:r>
    </w:p>
    <w:p w14:paraId="56C5FE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（5）施工人员应开展游泳培训，加强自救和互救的能力。</w:t>
      </w:r>
    </w:p>
    <w:p w14:paraId="4688F6F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（6）人员上下通道必须设安全网，跳板要固定。作业平台应满铺脚手板，周边必须有栏杆和安全网等可靠的临边维护。</w:t>
      </w:r>
    </w:p>
    <w:p w14:paraId="3F48572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（7）作业平台上应配置足够数量的救生圈等救生设备，并配备一定数量的固定式防水灯，保证夜间足够的照明。</w:t>
      </w:r>
    </w:p>
    <w:p w14:paraId="27E5DFF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（8）作业平台上设置多条安全通道，以防不测时人员迅速疏散。</w:t>
      </w:r>
    </w:p>
    <w:p w14:paraId="7347971D">
      <w:pPr>
        <w:pStyle w:val="3"/>
        <w:bidi w:val="0"/>
        <w:ind w:left="575" w:leftChars="0" w:hanging="575" w:firstLineChars="0"/>
        <w:rPr>
          <w:highlight w:val="none"/>
        </w:rPr>
      </w:pPr>
      <w:bookmarkStart w:id="419" w:name="_Toc7406"/>
      <w:bookmarkStart w:id="420" w:name="_Toc27785"/>
      <w:bookmarkStart w:id="421" w:name="_Toc11464"/>
      <w:bookmarkStart w:id="422" w:name="_Toc20264"/>
      <w:bookmarkStart w:id="423" w:name="_Toc10409843"/>
      <w:r>
        <w:rPr>
          <w:rFonts w:hint="eastAsia"/>
          <w:highlight w:val="none"/>
          <w:lang w:val="en-US" w:eastAsia="zh-CN"/>
        </w:rPr>
        <w:t xml:space="preserve"> </w:t>
      </w:r>
      <w:bookmarkStart w:id="424" w:name="_Toc16556"/>
      <w:r>
        <w:rPr>
          <w:rFonts w:hint="eastAsia" w:ascii="宋体" w:hAnsi="宋体" w:eastAsia="宋体" w:cs="Times New Roman"/>
        </w:rPr>
        <w:t>应急</w:t>
      </w:r>
      <w:r>
        <w:rPr>
          <w:rFonts w:hint="eastAsia"/>
          <w:highlight w:val="none"/>
        </w:rPr>
        <w:t>保障</w:t>
      </w:r>
      <w:bookmarkEnd w:id="419"/>
      <w:bookmarkEnd w:id="420"/>
      <w:bookmarkEnd w:id="421"/>
      <w:bookmarkEnd w:id="422"/>
      <w:bookmarkEnd w:id="423"/>
      <w:bookmarkEnd w:id="424"/>
    </w:p>
    <w:p w14:paraId="79FD59CD">
      <w:pPr>
        <w:bidi w:val="0"/>
        <w:ind w:firstLine="480" w:firstLineChars="200"/>
        <w:rPr>
          <w:rFonts w:hint="default"/>
          <w:highlight w:val="none"/>
          <w:lang w:val="en-US" w:eastAsia="zh-CN"/>
        </w:rPr>
      </w:pPr>
      <w:r>
        <w:rPr>
          <w:rFonts w:hint="eastAsia"/>
          <w:highlight w:val="none"/>
          <w:lang w:val="en-US" w:eastAsia="zh-CN"/>
        </w:rPr>
        <w:t>1、应急救援物资</w:t>
      </w:r>
    </w:p>
    <w:p w14:paraId="161CCD62">
      <w:pPr>
        <w:pStyle w:val="41"/>
        <w:bidi w:val="0"/>
        <w:rPr>
          <w:rFonts w:hint="eastAsia"/>
          <w:highlight w:val="none"/>
          <w:lang w:val="en-US" w:eastAsia="zh-CN"/>
        </w:rPr>
      </w:pPr>
      <w:r>
        <w:rPr>
          <w:highlight w:val="none"/>
        </w:rPr>
        <w:t>表</w:t>
      </w:r>
      <w:r>
        <w:rPr>
          <w:rFonts w:hint="eastAsia"/>
          <w:highlight w:val="none"/>
          <w:lang w:val="en-US" w:eastAsia="zh-CN"/>
        </w:rPr>
        <w:t>9.6-1应急物资、机械设备表</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815"/>
        <w:gridCol w:w="2708"/>
        <w:gridCol w:w="1268"/>
        <w:gridCol w:w="1878"/>
        <w:gridCol w:w="1850"/>
      </w:tblGrid>
      <w:tr w14:paraId="61FEB0C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tblHeader/>
          <w:jc w:val="center"/>
        </w:trPr>
        <w:tc>
          <w:tcPr>
            <w:tcW w:w="478" w:type="pct"/>
            <w:tcBorders>
              <w:tl2br w:val="nil"/>
              <w:tr2bl w:val="nil"/>
            </w:tcBorders>
            <w:shd w:val="clear" w:color="auto" w:fill="DAE3F3" w:themeFill="accent5" w:themeFillTint="32"/>
            <w:noWrap w:val="0"/>
            <w:vAlign w:val="center"/>
          </w:tcPr>
          <w:p w14:paraId="03AC62B3">
            <w:pPr>
              <w:pStyle w:val="105"/>
              <w:bidi w:val="0"/>
              <w:rPr>
                <w:rFonts w:hint="eastAsia"/>
                <w:highlight w:val="none"/>
                <w:lang w:val="en-US" w:eastAsia="zh-CN"/>
              </w:rPr>
            </w:pPr>
            <w:r>
              <w:rPr>
                <w:rFonts w:hint="eastAsia"/>
                <w:highlight w:val="none"/>
                <w:lang w:val="en-US" w:eastAsia="zh-CN"/>
              </w:rPr>
              <w:t>编号</w:t>
            </w:r>
          </w:p>
        </w:tc>
        <w:tc>
          <w:tcPr>
            <w:tcW w:w="1589" w:type="pct"/>
            <w:tcBorders>
              <w:tl2br w:val="nil"/>
              <w:tr2bl w:val="nil"/>
            </w:tcBorders>
            <w:shd w:val="clear" w:color="auto" w:fill="DAE3F3" w:themeFill="accent5" w:themeFillTint="32"/>
            <w:noWrap w:val="0"/>
            <w:vAlign w:val="center"/>
          </w:tcPr>
          <w:p w14:paraId="55C38F40">
            <w:pPr>
              <w:pStyle w:val="105"/>
              <w:bidi w:val="0"/>
              <w:rPr>
                <w:rFonts w:hint="eastAsia"/>
                <w:highlight w:val="none"/>
                <w:lang w:val="en-US" w:eastAsia="zh-CN"/>
              </w:rPr>
            </w:pPr>
            <w:r>
              <w:rPr>
                <w:rFonts w:hint="eastAsia"/>
                <w:highlight w:val="none"/>
                <w:lang w:val="en-US" w:eastAsia="zh-CN"/>
              </w:rPr>
              <w:t>机具、材料名称</w:t>
            </w:r>
          </w:p>
        </w:tc>
        <w:tc>
          <w:tcPr>
            <w:tcW w:w="744" w:type="pct"/>
            <w:tcBorders>
              <w:tl2br w:val="nil"/>
              <w:tr2bl w:val="nil"/>
            </w:tcBorders>
            <w:shd w:val="clear" w:color="auto" w:fill="DAE3F3" w:themeFill="accent5" w:themeFillTint="32"/>
            <w:noWrap w:val="0"/>
            <w:vAlign w:val="center"/>
          </w:tcPr>
          <w:p w14:paraId="4F54F2C9">
            <w:pPr>
              <w:pStyle w:val="105"/>
              <w:bidi w:val="0"/>
              <w:rPr>
                <w:rFonts w:hint="eastAsia"/>
                <w:highlight w:val="none"/>
                <w:lang w:val="en-US" w:eastAsia="zh-CN"/>
              </w:rPr>
            </w:pPr>
            <w:r>
              <w:rPr>
                <w:rFonts w:hint="eastAsia"/>
                <w:highlight w:val="none"/>
                <w:lang w:val="en-US" w:eastAsia="zh-CN"/>
              </w:rPr>
              <w:t>单位</w:t>
            </w:r>
          </w:p>
        </w:tc>
        <w:tc>
          <w:tcPr>
            <w:tcW w:w="1102" w:type="pct"/>
            <w:tcBorders>
              <w:tl2br w:val="nil"/>
              <w:tr2bl w:val="nil"/>
            </w:tcBorders>
            <w:shd w:val="clear" w:color="auto" w:fill="DAE3F3" w:themeFill="accent5" w:themeFillTint="32"/>
            <w:noWrap w:val="0"/>
            <w:vAlign w:val="center"/>
          </w:tcPr>
          <w:p w14:paraId="4518FBC0">
            <w:pPr>
              <w:pStyle w:val="105"/>
              <w:bidi w:val="0"/>
              <w:rPr>
                <w:rFonts w:hint="eastAsia"/>
                <w:highlight w:val="none"/>
                <w:lang w:val="en-US" w:eastAsia="zh-CN"/>
              </w:rPr>
            </w:pPr>
            <w:r>
              <w:rPr>
                <w:rFonts w:hint="eastAsia"/>
                <w:highlight w:val="none"/>
                <w:lang w:val="en-US" w:eastAsia="zh-CN"/>
              </w:rPr>
              <w:t>数量</w:t>
            </w:r>
          </w:p>
        </w:tc>
        <w:tc>
          <w:tcPr>
            <w:tcW w:w="1085" w:type="pct"/>
            <w:tcBorders>
              <w:tl2br w:val="nil"/>
              <w:tr2bl w:val="nil"/>
            </w:tcBorders>
            <w:shd w:val="clear" w:color="auto" w:fill="DAE3F3" w:themeFill="accent5" w:themeFillTint="32"/>
            <w:noWrap w:val="0"/>
            <w:vAlign w:val="center"/>
          </w:tcPr>
          <w:p w14:paraId="4D813F3B">
            <w:pPr>
              <w:pStyle w:val="105"/>
              <w:bidi w:val="0"/>
              <w:rPr>
                <w:rFonts w:hint="eastAsia"/>
                <w:highlight w:val="none"/>
                <w:lang w:val="en-US" w:eastAsia="zh-CN"/>
              </w:rPr>
            </w:pPr>
            <w:r>
              <w:rPr>
                <w:rFonts w:hint="eastAsia"/>
                <w:highlight w:val="none"/>
                <w:lang w:val="en-US" w:eastAsia="zh-CN"/>
              </w:rPr>
              <w:t>备注</w:t>
            </w:r>
          </w:p>
        </w:tc>
      </w:tr>
      <w:tr w14:paraId="30C8B55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5E4BE82">
            <w:pPr>
              <w:pStyle w:val="105"/>
              <w:bidi w:val="0"/>
              <w:rPr>
                <w:rFonts w:hint="eastAsia"/>
                <w:highlight w:val="none"/>
                <w:lang w:val="en-US" w:eastAsia="zh-CN"/>
              </w:rPr>
            </w:pPr>
            <w:r>
              <w:rPr>
                <w:rFonts w:hint="eastAsia"/>
                <w:highlight w:val="none"/>
                <w:lang w:val="en-US" w:eastAsia="zh-CN"/>
              </w:rPr>
              <w:t>1</w:t>
            </w:r>
          </w:p>
        </w:tc>
        <w:tc>
          <w:tcPr>
            <w:tcW w:w="1589" w:type="pct"/>
            <w:tcBorders>
              <w:tl2br w:val="nil"/>
              <w:tr2bl w:val="nil"/>
            </w:tcBorders>
            <w:noWrap w:val="0"/>
            <w:vAlign w:val="center"/>
          </w:tcPr>
          <w:p w14:paraId="73750A37">
            <w:pPr>
              <w:pStyle w:val="105"/>
              <w:bidi w:val="0"/>
              <w:rPr>
                <w:rFonts w:hint="eastAsia"/>
                <w:highlight w:val="none"/>
                <w:lang w:val="en-US" w:eastAsia="zh-CN"/>
              </w:rPr>
            </w:pPr>
            <w:r>
              <w:rPr>
                <w:rFonts w:hint="eastAsia"/>
                <w:highlight w:val="none"/>
                <w:lang w:val="en-US" w:eastAsia="zh-CN"/>
              </w:rPr>
              <w:t>挖掘机</w:t>
            </w:r>
          </w:p>
        </w:tc>
        <w:tc>
          <w:tcPr>
            <w:tcW w:w="744" w:type="pct"/>
            <w:tcBorders>
              <w:tl2br w:val="nil"/>
              <w:tr2bl w:val="nil"/>
            </w:tcBorders>
            <w:noWrap w:val="0"/>
            <w:vAlign w:val="center"/>
          </w:tcPr>
          <w:p w14:paraId="746FE5DC">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59627C63">
            <w:pPr>
              <w:pStyle w:val="105"/>
              <w:bidi w:val="0"/>
              <w:rPr>
                <w:rFonts w:hint="default"/>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048356CB">
            <w:pPr>
              <w:pStyle w:val="105"/>
              <w:bidi w:val="0"/>
              <w:rPr>
                <w:rFonts w:hint="eastAsia"/>
                <w:highlight w:val="none"/>
                <w:lang w:val="en-US" w:eastAsia="zh-CN"/>
              </w:rPr>
            </w:pPr>
            <w:r>
              <w:rPr>
                <w:rFonts w:hint="eastAsia"/>
                <w:highlight w:val="none"/>
                <w:lang w:val="en-US" w:eastAsia="zh-CN"/>
              </w:rPr>
              <w:t>220型</w:t>
            </w:r>
          </w:p>
        </w:tc>
      </w:tr>
      <w:tr w14:paraId="1C5073D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175A9546">
            <w:pPr>
              <w:pStyle w:val="105"/>
              <w:bidi w:val="0"/>
              <w:rPr>
                <w:rFonts w:hint="eastAsia"/>
                <w:highlight w:val="none"/>
                <w:lang w:val="en-US" w:eastAsia="zh-CN"/>
              </w:rPr>
            </w:pPr>
            <w:r>
              <w:rPr>
                <w:rFonts w:hint="eastAsia"/>
                <w:highlight w:val="none"/>
                <w:lang w:val="en-US" w:eastAsia="zh-CN"/>
              </w:rPr>
              <w:t>2</w:t>
            </w:r>
          </w:p>
        </w:tc>
        <w:tc>
          <w:tcPr>
            <w:tcW w:w="1589" w:type="pct"/>
            <w:tcBorders>
              <w:tl2br w:val="nil"/>
              <w:tr2bl w:val="nil"/>
            </w:tcBorders>
            <w:noWrap w:val="0"/>
            <w:vAlign w:val="center"/>
          </w:tcPr>
          <w:p w14:paraId="41355EE0">
            <w:pPr>
              <w:pStyle w:val="105"/>
              <w:bidi w:val="0"/>
              <w:rPr>
                <w:rFonts w:hint="eastAsia"/>
                <w:highlight w:val="none"/>
                <w:lang w:val="en-US" w:eastAsia="zh-CN"/>
              </w:rPr>
            </w:pPr>
            <w:r>
              <w:rPr>
                <w:rFonts w:hint="eastAsia"/>
                <w:highlight w:val="none"/>
                <w:lang w:val="en-US" w:eastAsia="zh-CN"/>
              </w:rPr>
              <w:t>装载机</w:t>
            </w:r>
          </w:p>
        </w:tc>
        <w:tc>
          <w:tcPr>
            <w:tcW w:w="744" w:type="pct"/>
            <w:tcBorders>
              <w:tl2br w:val="nil"/>
              <w:tr2bl w:val="nil"/>
            </w:tcBorders>
            <w:noWrap w:val="0"/>
            <w:vAlign w:val="center"/>
          </w:tcPr>
          <w:p w14:paraId="772D87D8">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3DBB2160">
            <w:pPr>
              <w:pStyle w:val="105"/>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704429AC">
            <w:pPr>
              <w:pStyle w:val="105"/>
              <w:bidi w:val="0"/>
              <w:rPr>
                <w:rFonts w:hint="eastAsia"/>
                <w:highlight w:val="none"/>
                <w:lang w:val="en-US" w:eastAsia="zh-CN"/>
              </w:rPr>
            </w:pPr>
            <w:r>
              <w:rPr>
                <w:rFonts w:hint="eastAsia"/>
                <w:highlight w:val="none"/>
                <w:lang w:val="en-US" w:eastAsia="zh-CN"/>
              </w:rPr>
              <w:t>50型</w:t>
            </w:r>
          </w:p>
        </w:tc>
      </w:tr>
      <w:tr w14:paraId="1033BC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BF97530">
            <w:pPr>
              <w:pStyle w:val="105"/>
              <w:bidi w:val="0"/>
              <w:rPr>
                <w:rFonts w:hint="eastAsia"/>
                <w:highlight w:val="none"/>
                <w:lang w:val="en-US" w:eastAsia="zh-CN"/>
              </w:rPr>
            </w:pPr>
            <w:r>
              <w:rPr>
                <w:rFonts w:hint="eastAsia"/>
                <w:highlight w:val="none"/>
                <w:lang w:val="en-US" w:eastAsia="zh-CN"/>
              </w:rPr>
              <w:t>3</w:t>
            </w:r>
          </w:p>
        </w:tc>
        <w:tc>
          <w:tcPr>
            <w:tcW w:w="1589" w:type="pct"/>
            <w:tcBorders>
              <w:tl2br w:val="nil"/>
              <w:tr2bl w:val="nil"/>
            </w:tcBorders>
            <w:noWrap w:val="0"/>
            <w:vAlign w:val="center"/>
          </w:tcPr>
          <w:p w14:paraId="5D1BA242">
            <w:pPr>
              <w:pStyle w:val="105"/>
              <w:bidi w:val="0"/>
              <w:rPr>
                <w:rFonts w:hint="eastAsia"/>
                <w:highlight w:val="none"/>
                <w:lang w:val="en-US" w:eastAsia="zh-CN"/>
              </w:rPr>
            </w:pPr>
            <w:r>
              <w:rPr>
                <w:rFonts w:hint="eastAsia"/>
                <w:highlight w:val="none"/>
                <w:lang w:val="en-US" w:eastAsia="zh-CN"/>
              </w:rPr>
              <w:t>发电机</w:t>
            </w:r>
          </w:p>
        </w:tc>
        <w:tc>
          <w:tcPr>
            <w:tcW w:w="744" w:type="pct"/>
            <w:tcBorders>
              <w:tl2br w:val="nil"/>
              <w:tr2bl w:val="nil"/>
            </w:tcBorders>
            <w:noWrap w:val="0"/>
            <w:vAlign w:val="center"/>
          </w:tcPr>
          <w:p w14:paraId="45EE70B2">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21BC5CA7">
            <w:pPr>
              <w:pStyle w:val="105"/>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30F02B58">
            <w:pPr>
              <w:pStyle w:val="105"/>
              <w:bidi w:val="0"/>
              <w:rPr>
                <w:rFonts w:hint="eastAsia"/>
                <w:highlight w:val="none"/>
                <w:lang w:val="en-US" w:eastAsia="zh-CN"/>
              </w:rPr>
            </w:pPr>
            <w:r>
              <w:rPr>
                <w:rFonts w:hint="eastAsia"/>
                <w:highlight w:val="none"/>
                <w:lang w:val="en-US" w:eastAsia="zh-CN"/>
              </w:rPr>
              <w:t>200千瓦</w:t>
            </w:r>
          </w:p>
        </w:tc>
      </w:tr>
      <w:tr w14:paraId="6F5C3DB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E93BC18">
            <w:pPr>
              <w:pStyle w:val="105"/>
              <w:bidi w:val="0"/>
              <w:rPr>
                <w:rFonts w:hint="eastAsia"/>
                <w:highlight w:val="none"/>
                <w:lang w:val="en-US" w:eastAsia="zh-CN"/>
              </w:rPr>
            </w:pPr>
            <w:r>
              <w:rPr>
                <w:rFonts w:hint="eastAsia"/>
                <w:highlight w:val="none"/>
                <w:lang w:val="en-US" w:eastAsia="zh-CN"/>
              </w:rPr>
              <w:t>4</w:t>
            </w:r>
          </w:p>
        </w:tc>
        <w:tc>
          <w:tcPr>
            <w:tcW w:w="1589" w:type="pct"/>
            <w:tcBorders>
              <w:tl2br w:val="nil"/>
              <w:tr2bl w:val="nil"/>
            </w:tcBorders>
            <w:noWrap w:val="0"/>
            <w:vAlign w:val="center"/>
          </w:tcPr>
          <w:p w14:paraId="0AAA4765">
            <w:pPr>
              <w:pStyle w:val="105"/>
              <w:bidi w:val="0"/>
              <w:rPr>
                <w:rFonts w:hint="eastAsia"/>
                <w:highlight w:val="none"/>
                <w:lang w:val="en-US" w:eastAsia="zh-CN"/>
              </w:rPr>
            </w:pPr>
            <w:r>
              <w:rPr>
                <w:rFonts w:hint="eastAsia"/>
                <w:highlight w:val="none"/>
                <w:lang w:val="en-US" w:eastAsia="zh-CN"/>
              </w:rPr>
              <w:t>千斤顶</w:t>
            </w:r>
          </w:p>
        </w:tc>
        <w:tc>
          <w:tcPr>
            <w:tcW w:w="744" w:type="pct"/>
            <w:tcBorders>
              <w:tl2br w:val="nil"/>
              <w:tr2bl w:val="nil"/>
            </w:tcBorders>
            <w:noWrap w:val="0"/>
            <w:vAlign w:val="center"/>
          </w:tcPr>
          <w:p w14:paraId="13BDD8C5">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0FFD560D">
            <w:pPr>
              <w:pStyle w:val="105"/>
              <w:bidi w:val="0"/>
              <w:rPr>
                <w:rFonts w:hint="eastAsia"/>
                <w:highlight w:val="none"/>
                <w:lang w:val="en-US" w:eastAsia="zh-CN"/>
              </w:rPr>
            </w:pPr>
            <w:r>
              <w:rPr>
                <w:rFonts w:hint="eastAsia"/>
                <w:highlight w:val="none"/>
                <w:lang w:val="en-US" w:eastAsia="zh-CN"/>
              </w:rPr>
              <w:t>6</w:t>
            </w:r>
          </w:p>
        </w:tc>
        <w:tc>
          <w:tcPr>
            <w:tcW w:w="1085" w:type="pct"/>
            <w:tcBorders>
              <w:tl2br w:val="nil"/>
              <w:tr2bl w:val="nil"/>
            </w:tcBorders>
            <w:noWrap w:val="0"/>
            <w:vAlign w:val="center"/>
          </w:tcPr>
          <w:p w14:paraId="5CCBA438">
            <w:pPr>
              <w:pStyle w:val="105"/>
              <w:bidi w:val="0"/>
              <w:rPr>
                <w:rFonts w:hint="eastAsia"/>
                <w:highlight w:val="none"/>
                <w:lang w:val="en-US" w:eastAsia="zh-CN"/>
              </w:rPr>
            </w:pPr>
            <w:r>
              <w:rPr>
                <w:rFonts w:hint="eastAsia"/>
                <w:highlight w:val="none"/>
                <w:lang w:val="en-US" w:eastAsia="zh-CN"/>
              </w:rPr>
              <w:t>400吨</w:t>
            </w:r>
          </w:p>
        </w:tc>
      </w:tr>
      <w:tr w14:paraId="2E7171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A43E9FC">
            <w:pPr>
              <w:pStyle w:val="105"/>
              <w:bidi w:val="0"/>
              <w:rPr>
                <w:rFonts w:hint="eastAsia"/>
                <w:highlight w:val="none"/>
                <w:lang w:val="en-US" w:eastAsia="zh-CN"/>
              </w:rPr>
            </w:pPr>
            <w:r>
              <w:rPr>
                <w:rFonts w:hint="eastAsia"/>
                <w:highlight w:val="none"/>
                <w:lang w:val="en-US" w:eastAsia="zh-CN"/>
              </w:rPr>
              <w:t>5</w:t>
            </w:r>
          </w:p>
        </w:tc>
        <w:tc>
          <w:tcPr>
            <w:tcW w:w="1589" w:type="pct"/>
            <w:tcBorders>
              <w:tl2br w:val="nil"/>
              <w:tr2bl w:val="nil"/>
            </w:tcBorders>
            <w:noWrap w:val="0"/>
            <w:vAlign w:val="center"/>
          </w:tcPr>
          <w:p w14:paraId="048DE0B9">
            <w:pPr>
              <w:pStyle w:val="105"/>
              <w:bidi w:val="0"/>
              <w:rPr>
                <w:rFonts w:hint="eastAsia"/>
                <w:highlight w:val="none"/>
                <w:lang w:val="en-US" w:eastAsia="zh-CN"/>
              </w:rPr>
            </w:pPr>
            <w:r>
              <w:rPr>
                <w:rFonts w:hint="eastAsia"/>
                <w:highlight w:val="none"/>
                <w:lang w:val="en-US" w:eastAsia="zh-CN"/>
              </w:rPr>
              <w:t>铁锹</w:t>
            </w:r>
          </w:p>
        </w:tc>
        <w:tc>
          <w:tcPr>
            <w:tcW w:w="744" w:type="pct"/>
            <w:tcBorders>
              <w:tl2br w:val="nil"/>
              <w:tr2bl w:val="nil"/>
            </w:tcBorders>
            <w:noWrap w:val="0"/>
            <w:vAlign w:val="center"/>
          </w:tcPr>
          <w:p w14:paraId="6C4351D8">
            <w:pPr>
              <w:pStyle w:val="105"/>
              <w:bidi w:val="0"/>
              <w:rPr>
                <w:rFonts w:hint="eastAsia"/>
                <w:highlight w:val="none"/>
                <w:lang w:val="en-US" w:eastAsia="zh-CN"/>
              </w:rPr>
            </w:pPr>
            <w:r>
              <w:rPr>
                <w:rFonts w:hint="eastAsia"/>
                <w:highlight w:val="none"/>
                <w:lang w:val="en-US" w:eastAsia="zh-CN"/>
              </w:rPr>
              <w:t>把</w:t>
            </w:r>
          </w:p>
        </w:tc>
        <w:tc>
          <w:tcPr>
            <w:tcW w:w="1102" w:type="pct"/>
            <w:tcBorders>
              <w:tl2br w:val="nil"/>
              <w:tr2bl w:val="nil"/>
            </w:tcBorders>
            <w:noWrap w:val="0"/>
            <w:vAlign w:val="center"/>
          </w:tcPr>
          <w:p w14:paraId="4BB98384">
            <w:pPr>
              <w:pStyle w:val="105"/>
              <w:bidi w:val="0"/>
              <w:rPr>
                <w:rFonts w:hint="eastAsia"/>
                <w:highlight w:val="none"/>
                <w:lang w:val="en-US" w:eastAsia="zh-CN"/>
              </w:rPr>
            </w:pPr>
            <w:r>
              <w:rPr>
                <w:rFonts w:hint="eastAsia"/>
                <w:highlight w:val="none"/>
                <w:lang w:val="en-US" w:eastAsia="zh-CN"/>
              </w:rPr>
              <w:t>30</w:t>
            </w:r>
          </w:p>
        </w:tc>
        <w:tc>
          <w:tcPr>
            <w:tcW w:w="1085" w:type="pct"/>
            <w:tcBorders>
              <w:tl2br w:val="nil"/>
              <w:tr2bl w:val="nil"/>
            </w:tcBorders>
            <w:noWrap w:val="0"/>
            <w:vAlign w:val="center"/>
          </w:tcPr>
          <w:p w14:paraId="5AB91991">
            <w:pPr>
              <w:pStyle w:val="105"/>
              <w:bidi w:val="0"/>
              <w:rPr>
                <w:rFonts w:hint="eastAsia"/>
                <w:highlight w:val="none"/>
                <w:lang w:val="en-US" w:eastAsia="zh-CN"/>
              </w:rPr>
            </w:pPr>
          </w:p>
        </w:tc>
      </w:tr>
      <w:tr w14:paraId="63FE7D1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0F9CC978">
            <w:pPr>
              <w:pStyle w:val="105"/>
              <w:bidi w:val="0"/>
              <w:rPr>
                <w:rFonts w:hint="eastAsia"/>
                <w:highlight w:val="none"/>
                <w:lang w:val="en-US" w:eastAsia="zh-CN"/>
              </w:rPr>
            </w:pPr>
            <w:r>
              <w:rPr>
                <w:rFonts w:hint="eastAsia"/>
                <w:highlight w:val="none"/>
                <w:lang w:val="en-US" w:eastAsia="zh-CN"/>
              </w:rPr>
              <w:t>6</w:t>
            </w:r>
          </w:p>
        </w:tc>
        <w:tc>
          <w:tcPr>
            <w:tcW w:w="1589" w:type="pct"/>
            <w:tcBorders>
              <w:tl2br w:val="nil"/>
              <w:tr2bl w:val="nil"/>
            </w:tcBorders>
            <w:noWrap w:val="0"/>
            <w:vAlign w:val="center"/>
          </w:tcPr>
          <w:p w14:paraId="0A914BEF">
            <w:pPr>
              <w:pStyle w:val="105"/>
              <w:bidi w:val="0"/>
              <w:rPr>
                <w:rFonts w:hint="eastAsia"/>
                <w:highlight w:val="none"/>
                <w:lang w:val="en-US" w:eastAsia="zh-CN"/>
              </w:rPr>
            </w:pPr>
            <w:r>
              <w:rPr>
                <w:rFonts w:hint="eastAsia"/>
                <w:highlight w:val="none"/>
                <w:lang w:val="en-US" w:eastAsia="zh-CN"/>
              </w:rPr>
              <w:t>担架</w:t>
            </w:r>
          </w:p>
        </w:tc>
        <w:tc>
          <w:tcPr>
            <w:tcW w:w="744" w:type="pct"/>
            <w:tcBorders>
              <w:tl2br w:val="nil"/>
              <w:tr2bl w:val="nil"/>
            </w:tcBorders>
            <w:noWrap w:val="0"/>
            <w:vAlign w:val="center"/>
          </w:tcPr>
          <w:p w14:paraId="005D9F76">
            <w:pPr>
              <w:pStyle w:val="105"/>
              <w:bidi w:val="0"/>
              <w:rPr>
                <w:rFonts w:hint="eastAsia"/>
                <w:highlight w:val="none"/>
                <w:lang w:val="en-US" w:eastAsia="zh-CN"/>
              </w:rPr>
            </w:pPr>
            <w:r>
              <w:rPr>
                <w:rFonts w:hint="eastAsia"/>
                <w:highlight w:val="none"/>
                <w:lang w:val="en-US" w:eastAsia="zh-CN"/>
              </w:rPr>
              <w:t>副</w:t>
            </w:r>
          </w:p>
        </w:tc>
        <w:tc>
          <w:tcPr>
            <w:tcW w:w="1102" w:type="pct"/>
            <w:tcBorders>
              <w:tl2br w:val="nil"/>
              <w:tr2bl w:val="nil"/>
            </w:tcBorders>
            <w:noWrap w:val="0"/>
            <w:vAlign w:val="center"/>
          </w:tcPr>
          <w:p w14:paraId="7C700413">
            <w:pPr>
              <w:pStyle w:val="105"/>
              <w:bidi w:val="0"/>
              <w:rPr>
                <w:rFonts w:hint="eastAsia"/>
                <w:highlight w:val="none"/>
                <w:lang w:val="en-US" w:eastAsia="zh-CN"/>
              </w:rPr>
            </w:pPr>
            <w:r>
              <w:rPr>
                <w:rFonts w:hint="eastAsia"/>
                <w:highlight w:val="none"/>
                <w:lang w:val="en-US" w:eastAsia="zh-CN"/>
              </w:rPr>
              <w:t>5</w:t>
            </w:r>
          </w:p>
        </w:tc>
        <w:tc>
          <w:tcPr>
            <w:tcW w:w="1085" w:type="pct"/>
            <w:tcBorders>
              <w:tl2br w:val="nil"/>
              <w:tr2bl w:val="nil"/>
            </w:tcBorders>
            <w:noWrap w:val="0"/>
            <w:vAlign w:val="center"/>
          </w:tcPr>
          <w:p w14:paraId="6DE4CED6">
            <w:pPr>
              <w:pStyle w:val="105"/>
              <w:bidi w:val="0"/>
              <w:rPr>
                <w:rFonts w:hint="eastAsia"/>
                <w:highlight w:val="none"/>
                <w:lang w:val="en-US" w:eastAsia="zh-CN"/>
              </w:rPr>
            </w:pPr>
          </w:p>
        </w:tc>
      </w:tr>
      <w:tr w14:paraId="7F2478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6A72BB2">
            <w:pPr>
              <w:pStyle w:val="105"/>
              <w:bidi w:val="0"/>
              <w:rPr>
                <w:rFonts w:hint="eastAsia"/>
                <w:highlight w:val="none"/>
                <w:lang w:val="en-US" w:eastAsia="zh-CN"/>
              </w:rPr>
            </w:pPr>
            <w:r>
              <w:rPr>
                <w:rFonts w:hint="eastAsia"/>
                <w:highlight w:val="none"/>
                <w:lang w:val="en-US" w:eastAsia="zh-CN"/>
              </w:rPr>
              <w:t>7</w:t>
            </w:r>
          </w:p>
        </w:tc>
        <w:tc>
          <w:tcPr>
            <w:tcW w:w="1589" w:type="pct"/>
            <w:tcBorders>
              <w:tl2br w:val="nil"/>
              <w:tr2bl w:val="nil"/>
            </w:tcBorders>
            <w:noWrap w:val="0"/>
            <w:vAlign w:val="center"/>
          </w:tcPr>
          <w:p w14:paraId="667F2E95">
            <w:pPr>
              <w:pStyle w:val="105"/>
              <w:bidi w:val="0"/>
              <w:rPr>
                <w:rFonts w:hint="eastAsia"/>
                <w:highlight w:val="none"/>
                <w:lang w:val="en-US" w:eastAsia="zh-CN"/>
              </w:rPr>
            </w:pPr>
            <w:r>
              <w:rPr>
                <w:rFonts w:hint="eastAsia"/>
                <w:highlight w:val="none"/>
                <w:lang w:val="en-US" w:eastAsia="zh-CN"/>
              </w:rPr>
              <w:t>灭火器</w:t>
            </w:r>
          </w:p>
        </w:tc>
        <w:tc>
          <w:tcPr>
            <w:tcW w:w="744" w:type="pct"/>
            <w:tcBorders>
              <w:tl2br w:val="nil"/>
              <w:tr2bl w:val="nil"/>
            </w:tcBorders>
            <w:noWrap w:val="0"/>
            <w:vAlign w:val="center"/>
          </w:tcPr>
          <w:p w14:paraId="07B20F57">
            <w:pPr>
              <w:pStyle w:val="105"/>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4D3FFEF1">
            <w:pPr>
              <w:pStyle w:val="105"/>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529D3456">
            <w:pPr>
              <w:pStyle w:val="105"/>
              <w:bidi w:val="0"/>
              <w:rPr>
                <w:rFonts w:hint="eastAsia"/>
                <w:highlight w:val="none"/>
                <w:lang w:val="en-US" w:eastAsia="zh-CN"/>
              </w:rPr>
            </w:pPr>
            <w:r>
              <w:rPr>
                <w:rFonts w:hint="eastAsia"/>
                <w:highlight w:val="none"/>
                <w:lang w:val="en-US" w:eastAsia="zh-CN"/>
              </w:rPr>
              <w:t>符合规范</w:t>
            </w:r>
          </w:p>
        </w:tc>
      </w:tr>
      <w:tr w14:paraId="70521E6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711EC73B">
            <w:pPr>
              <w:pStyle w:val="105"/>
              <w:bidi w:val="0"/>
              <w:rPr>
                <w:rFonts w:hint="eastAsia"/>
                <w:highlight w:val="none"/>
                <w:lang w:val="en-US" w:eastAsia="zh-CN"/>
              </w:rPr>
            </w:pPr>
            <w:r>
              <w:rPr>
                <w:rFonts w:hint="eastAsia"/>
                <w:highlight w:val="none"/>
                <w:lang w:val="en-US" w:eastAsia="zh-CN"/>
              </w:rPr>
              <w:t>8</w:t>
            </w:r>
          </w:p>
        </w:tc>
        <w:tc>
          <w:tcPr>
            <w:tcW w:w="1589" w:type="pct"/>
            <w:tcBorders>
              <w:tl2br w:val="nil"/>
              <w:tr2bl w:val="nil"/>
            </w:tcBorders>
            <w:noWrap w:val="0"/>
            <w:vAlign w:val="center"/>
          </w:tcPr>
          <w:p w14:paraId="123CC337">
            <w:pPr>
              <w:pStyle w:val="105"/>
              <w:bidi w:val="0"/>
              <w:rPr>
                <w:rFonts w:hint="eastAsia"/>
                <w:highlight w:val="none"/>
                <w:lang w:val="en-US" w:eastAsia="zh-CN"/>
              </w:rPr>
            </w:pPr>
            <w:r>
              <w:rPr>
                <w:rFonts w:hint="eastAsia"/>
                <w:highlight w:val="none"/>
                <w:lang w:val="en-US" w:eastAsia="zh-CN"/>
              </w:rPr>
              <w:t>手电筒</w:t>
            </w:r>
          </w:p>
        </w:tc>
        <w:tc>
          <w:tcPr>
            <w:tcW w:w="744" w:type="pct"/>
            <w:tcBorders>
              <w:tl2br w:val="nil"/>
              <w:tr2bl w:val="nil"/>
            </w:tcBorders>
            <w:noWrap w:val="0"/>
            <w:vAlign w:val="center"/>
          </w:tcPr>
          <w:p w14:paraId="272B368B">
            <w:pPr>
              <w:pStyle w:val="105"/>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048705B1">
            <w:pPr>
              <w:pStyle w:val="105"/>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16B312FF">
            <w:pPr>
              <w:pStyle w:val="105"/>
              <w:bidi w:val="0"/>
              <w:rPr>
                <w:rFonts w:hint="eastAsia"/>
                <w:highlight w:val="none"/>
                <w:lang w:val="en-US" w:eastAsia="zh-CN"/>
              </w:rPr>
            </w:pPr>
          </w:p>
        </w:tc>
      </w:tr>
      <w:tr w14:paraId="0ED5010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7F93CC7">
            <w:pPr>
              <w:pStyle w:val="105"/>
              <w:bidi w:val="0"/>
              <w:rPr>
                <w:rFonts w:hint="eastAsia"/>
                <w:highlight w:val="none"/>
                <w:lang w:val="en-US" w:eastAsia="zh-CN"/>
              </w:rPr>
            </w:pPr>
            <w:r>
              <w:rPr>
                <w:rFonts w:hint="eastAsia"/>
                <w:highlight w:val="none"/>
                <w:lang w:val="en-US" w:eastAsia="zh-CN"/>
              </w:rPr>
              <w:t>9</w:t>
            </w:r>
          </w:p>
        </w:tc>
        <w:tc>
          <w:tcPr>
            <w:tcW w:w="1589" w:type="pct"/>
            <w:tcBorders>
              <w:tl2br w:val="nil"/>
              <w:tr2bl w:val="nil"/>
            </w:tcBorders>
            <w:noWrap w:val="0"/>
            <w:vAlign w:val="center"/>
          </w:tcPr>
          <w:p w14:paraId="38452813">
            <w:pPr>
              <w:pStyle w:val="105"/>
              <w:bidi w:val="0"/>
              <w:rPr>
                <w:rFonts w:hint="eastAsia"/>
                <w:highlight w:val="none"/>
                <w:lang w:val="en-US" w:eastAsia="zh-CN"/>
              </w:rPr>
            </w:pPr>
            <w:r>
              <w:rPr>
                <w:rFonts w:hint="eastAsia"/>
                <w:highlight w:val="none"/>
                <w:lang w:val="en-US" w:eastAsia="zh-CN"/>
              </w:rPr>
              <w:t>指挥车</w:t>
            </w:r>
          </w:p>
        </w:tc>
        <w:tc>
          <w:tcPr>
            <w:tcW w:w="744" w:type="pct"/>
            <w:tcBorders>
              <w:tl2br w:val="nil"/>
              <w:tr2bl w:val="nil"/>
            </w:tcBorders>
            <w:noWrap w:val="0"/>
            <w:vAlign w:val="center"/>
          </w:tcPr>
          <w:p w14:paraId="2863AF8F">
            <w:pPr>
              <w:pStyle w:val="105"/>
              <w:bidi w:val="0"/>
              <w:rPr>
                <w:rFonts w:hint="eastAsia"/>
                <w:highlight w:val="none"/>
                <w:lang w:val="en-US" w:eastAsia="zh-CN"/>
              </w:rPr>
            </w:pPr>
            <w:r>
              <w:rPr>
                <w:rFonts w:hint="eastAsia"/>
                <w:highlight w:val="none"/>
                <w:lang w:val="en-US" w:eastAsia="zh-CN"/>
              </w:rPr>
              <w:t>辆</w:t>
            </w:r>
          </w:p>
        </w:tc>
        <w:tc>
          <w:tcPr>
            <w:tcW w:w="1102" w:type="pct"/>
            <w:tcBorders>
              <w:tl2br w:val="nil"/>
              <w:tr2bl w:val="nil"/>
            </w:tcBorders>
            <w:noWrap w:val="0"/>
            <w:vAlign w:val="center"/>
          </w:tcPr>
          <w:p w14:paraId="15F6E8E0">
            <w:pPr>
              <w:pStyle w:val="105"/>
              <w:bidi w:val="0"/>
              <w:rPr>
                <w:rFonts w:hint="eastAsia"/>
                <w:highlight w:val="none"/>
                <w:lang w:val="en-US" w:eastAsia="zh-CN"/>
              </w:rPr>
            </w:pPr>
            <w:r>
              <w:rPr>
                <w:rFonts w:hint="eastAsia"/>
                <w:highlight w:val="none"/>
                <w:lang w:val="en-US" w:eastAsia="zh-CN"/>
              </w:rPr>
              <w:t>1</w:t>
            </w:r>
          </w:p>
        </w:tc>
        <w:tc>
          <w:tcPr>
            <w:tcW w:w="1085" w:type="pct"/>
            <w:tcBorders>
              <w:tl2br w:val="nil"/>
              <w:tr2bl w:val="nil"/>
            </w:tcBorders>
            <w:noWrap w:val="0"/>
            <w:vAlign w:val="center"/>
          </w:tcPr>
          <w:p w14:paraId="60C6ECF9">
            <w:pPr>
              <w:pStyle w:val="105"/>
              <w:bidi w:val="0"/>
              <w:rPr>
                <w:rFonts w:hint="eastAsia"/>
                <w:highlight w:val="none"/>
                <w:lang w:val="en-US" w:eastAsia="zh-CN"/>
              </w:rPr>
            </w:pPr>
          </w:p>
        </w:tc>
      </w:tr>
    </w:tbl>
    <w:p w14:paraId="67AD68D1">
      <w:pPr>
        <w:bidi w:val="0"/>
        <w:ind w:firstLine="480" w:firstLineChars="200"/>
        <w:rPr>
          <w:rFonts w:hint="eastAsia" w:ascii="宋体" w:hAnsi="宋体" w:eastAsia="宋体"/>
          <w:highlight w:val="none"/>
          <w:lang w:val="en-US" w:eastAsia="zh-CN"/>
        </w:rPr>
      </w:pPr>
      <w:bookmarkStart w:id="425" w:name="_Toc15656"/>
      <w:r>
        <w:rPr>
          <w:rFonts w:hint="eastAsia" w:ascii="宋体" w:hAnsi="宋体" w:eastAsia="宋体"/>
          <w:highlight w:val="none"/>
          <w:lang w:val="en-US" w:eastAsia="zh-CN"/>
        </w:rPr>
        <w:t>2、应急电话及救援路线图</w:t>
      </w:r>
      <w:bookmarkEnd w:id="425"/>
    </w:p>
    <w:p w14:paraId="1B367387">
      <w:pPr>
        <w:bidi w:val="0"/>
        <w:ind w:firstLine="480" w:firstLineChars="200"/>
        <w:rPr>
          <w:rFonts w:hint="default" w:ascii="宋体" w:hAnsi="宋体" w:eastAsia="宋体"/>
          <w:highlight w:val="none"/>
          <w:lang w:val="en-US" w:eastAsia="zh-CN"/>
        </w:rPr>
      </w:pPr>
      <w:r>
        <w:rPr>
          <w:rFonts w:hint="eastAsia" w:ascii="宋体" w:hAnsi="宋体" w:eastAsia="宋体"/>
          <w:highlight w:val="none"/>
          <w:lang w:val="en-US" w:eastAsia="zh-CN"/>
        </w:rPr>
        <w:t>（1）应急电话及机构</w:t>
      </w:r>
    </w:p>
    <w:p w14:paraId="3161C880">
      <w:pPr>
        <w:pStyle w:val="41"/>
        <w:bidi w:val="0"/>
        <w:rPr>
          <w:rFonts w:hint="eastAsia"/>
          <w:highlight w:val="none"/>
          <w:lang w:val="en-US" w:eastAsia="zh-CN"/>
        </w:rPr>
      </w:pPr>
      <w:r>
        <w:rPr>
          <w:highlight w:val="none"/>
        </w:rPr>
        <w:t>表</w:t>
      </w:r>
      <w:r>
        <w:rPr>
          <w:rFonts w:hint="eastAsia"/>
          <w:highlight w:val="none"/>
          <w:lang w:val="en-US" w:eastAsia="zh-CN"/>
        </w:rPr>
        <w:t>9.6-2项目附近救援机构联系方式及位置</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99"/>
        <w:gridCol w:w="2496"/>
        <w:gridCol w:w="1693"/>
        <w:gridCol w:w="1831"/>
        <w:gridCol w:w="1800"/>
      </w:tblGrid>
      <w:tr w14:paraId="36B7A3C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410" w:type="pct"/>
            <w:tcBorders>
              <w:tl2br w:val="nil"/>
              <w:tr2bl w:val="nil"/>
            </w:tcBorders>
            <w:shd w:val="clear" w:color="auto" w:fill="DAE3F3" w:themeFill="accent5" w:themeFillTint="32"/>
            <w:noWrap w:val="0"/>
            <w:vAlign w:val="center"/>
          </w:tcPr>
          <w:p w14:paraId="1918F4A3">
            <w:pPr>
              <w:pStyle w:val="105"/>
              <w:bidi w:val="0"/>
              <w:rPr>
                <w:rFonts w:hint="eastAsia"/>
                <w:highlight w:val="none"/>
              </w:rPr>
            </w:pPr>
            <w:r>
              <w:rPr>
                <w:rFonts w:hint="eastAsia"/>
                <w:highlight w:val="none"/>
              </w:rPr>
              <w:t>序号</w:t>
            </w:r>
          </w:p>
        </w:tc>
        <w:tc>
          <w:tcPr>
            <w:tcW w:w="1464" w:type="pct"/>
            <w:tcBorders>
              <w:tl2br w:val="nil"/>
              <w:tr2bl w:val="nil"/>
            </w:tcBorders>
            <w:shd w:val="clear" w:color="auto" w:fill="DAE3F3" w:themeFill="accent5" w:themeFillTint="32"/>
            <w:noWrap w:val="0"/>
            <w:vAlign w:val="center"/>
          </w:tcPr>
          <w:p w14:paraId="6AE9834D">
            <w:pPr>
              <w:pStyle w:val="105"/>
              <w:bidi w:val="0"/>
              <w:rPr>
                <w:rFonts w:hint="eastAsia"/>
                <w:highlight w:val="none"/>
              </w:rPr>
            </w:pPr>
            <w:r>
              <w:rPr>
                <w:rFonts w:hint="eastAsia"/>
                <w:highlight w:val="none"/>
              </w:rPr>
              <w:t>周边资源</w:t>
            </w:r>
          </w:p>
        </w:tc>
        <w:tc>
          <w:tcPr>
            <w:tcW w:w="993" w:type="pct"/>
            <w:tcBorders>
              <w:tl2br w:val="nil"/>
              <w:tr2bl w:val="nil"/>
            </w:tcBorders>
            <w:shd w:val="clear" w:color="auto" w:fill="DAE3F3" w:themeFill="accent5" w:themeFillTint="32"/>
            <w:noWrap w:val="0"/>
            <w:vAlign w:val="center"/>
          </w:tcPr>
          <w:p w14:paraId="7971B0E4">
            <w:pPr>
              <w:pStyle w:val="105"/>
              <w:bidi w:val="0"/>
              <w:rPr>
                <w:rFonts w:hint="eastAsia"/>
                <w:highlight w:val="none"/>
              </w:rPr>
            </w:pPr>
            <w:r>
              <w:rPr>
                <w:rFonts w:hint="eastAsia"/>
                <w:highlight w:val="none"/>
              </w:rPr>
              <w:t>联系方式</w:t>
            </w:r>
          </w:p>
        </w:tc>
        <w:tc>
          <w:tcPr>
            <w:tcW w:w="1074" w:type="pct"/>
            <w:tcBorders>
              <w:tl2br w:val="nil"/>
              <w:tr2bl w:val="nil"/>
            </w:tcBorders>
            <w:shd w:val="clear" w:color="auto" w:fill="DAE3F3" w:themeFill="accent5" w:themeFillTint="32"/>
            <w:noWrap w:val="0"/>
            <w:vAlign w:val="center"/>
          </w:tcPr>
          <w:p w14:paraId="7790F91C">
            <w:pPr>
              <w:pStyle w:val="105"/>
              <w:bidi w:val="0"/>
              <w:rPr>
                <w:rFonts w:hint="eastAsia"/>
                <w:highlight w:val="none"/>
              </w:rPr>
            </w:pPr>
            <w:r>
              <w:rPr>
                <w:rFonts w:hint="eastAsia"/>
                <w:highlight w:val="none"/>
              </w:rPr>
              <w:t>位置</w:t>
            </w:r>
          </w:p>
        </w:tc>
        <w:tc>
          <w:tcPr>
            <w:tcW w:w="1056" w:type="pct"/>
            <w:tcBorders>
              <w:tl2br w:val="nil"/>
              <w:tr2bl w:val="nil"/>
            </w:tcBorders>
            <w:shd w:val="clear" w:color="auto" w:fill="DAE3F3" w:themeFill="accent5" w:themeFillTint="32"/>
            <w:noWrap w:val="0"/>
            <w:vAlign w:val="center"/>
          </w:tcPr>
          <w:p w14:paraId="5427F3F5">
            <w:pPr>
              <w:pStyle w:val="105"/>
              <w:bidi w:val="0"/>
              <w:rPr>
                <w:rFonts w:hint="eastAsia"/>
                <w:highlight w:val="none"/>
              </w:rPr>
            </w:pPr>
            <w:r>
              <w:rPr>
                <w:rFonts w:hint="eastAsia"/>
                <w:highlight w:val="none"/>
              </w:rPr>
              <w:t>用途</w:t>
            </w:r>
          </w:p>
        </w:tc>
      </w:tr>
      <w:tr w14:paraId="16E07F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361E3B1B">
            <w:pPr>
              <w:pStyle w:val="105"/>
              <w:bidi w:val="0"/>
              <w:rPr>
                <w:rFonts w:hint="eastAsia"/>
                <w:highlight w:val="none"/>
              </w:rPr>
            </w:pPr>
            <w:r>
              <w:rPr>
                <w:rFonts w:hint="eastAsia"/>
                <w:highlight w:val="none"/>
              </w:rPr>
              <w:t>1</w:t>
            </w:r>
          </w:p>
        </w:tc>
        <w:tc>
          <w:tcPr>
            <w:tcW w:w="1464" w:type="pct"/>
            <w:tcBorders>
              <w:tl2br w:val="nil"/>
              <w:tr2bl w:val="nil"/>
            </w:tcBorders>
            <w:noWrap w:val="0"/>
            <w:vAlign w:val="center"/>
          </w:tcPr>
          <w:p w14:paraId="140EE99A">
            <w:pPr>
              <w:pStyle w:val="105"/>
              <w:bidi w:val="0"/>
              <w:rPr>
                <w:rFonts w:hint="eastAsia"/>
                <w:highlight w:val="none"/>
                <w:lang w:val="en-US" w:eastAsia="zh-CN"/>
              </w:rPr>
            </w:pPr>
            <w:r>
              <w:rPr>
                <w:rFonts w:hint="eastAsia"/>
                <w:highlight w:val="none"/>
              </w:rPr>
              <w:t>火警</w:t>
            </w:r>
          </w:p>
        </w:tc>
        <w:tc>
          <w:tcPr>
            <w:tcW w:w="993" w:type="pct"/>
            <w:tcBorders>
              <w:tl2br w:val="nil"/>
              <w:tr2bl w:val="nil"/>
            </w:tcBorders>
            <w:noWrap w:val="0"/>
            <w:vAlign w:val="center"/>
          </w:tcPr>
          <w:p w14:paraId="428A9795">
            <w:pPr>
              <w:pStyle w:val="105"/>
              <w:bidi w:val="0"/>
              <w:rPr>
                <w:rFonts w:hint="eastAsia"/>
                <w:highlight w:val="none"/>
                <w:lang w:val="en-US" w:eastAsia="zh-CN"/>
              </w:rPr>
            </w:pPr>
            <w:r>
              <w:rPr>
                <w:rFonts w:hint="eastAsia"/>
                <w:highlight w:val="none"/>
              </w:rPr>
              <w:t>119</w:t>
            </w:r>
          </w:p>
        </w:tc>
        <w:tc>
          <w:tcPr>
            <w:tcW w:w="1074" w:type="pct"/>
            <w:tcBorders>
              <w:tl2br w:val="nil"/>
              <w:tr2bl w:val="nil"/>
            </w:tcBorders>
            <w:noWrap w:val="0"/>
            <w:vAlign w:val="center"/>
          </w:tcPr>
          <w:p w14:paraId="493989EF">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71FBEDA1">
            <w:pPr>
              <w:pStyle w:val="105"/>
              <w:bidi w:val="0"/>
              <w:rPr>
                <w:rFonts w:hint="eastAsia"/>
                <w:highlight w:val="none"/>
                <w:lang w:val="en-US" w:eastAsia="zh-CN"/>
              </w:rPr>
            </w:pPr>
            <w:r>
              <w:rPr>
                <w:rFonts w:hint="eastAsia"/>
                <w:highlight w:val="none"/>
              </w:rPr>
              <w:t>火灾报警救援</w:t>
            </w:r>
          </w:p>
        </w:tc>
      </w:tr>
      <w:tr w14:paraId="60448D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8F1E53C">
            <w:pPr>
              <w:pStyle w:val="105"/>
              <w:bidi w:val="0"/>
              <w:rPr>
                <w:rFonts w:hint="eastAsia"/>
                <w:highlight w:val="none"/>
              </w:rPr>
            </w:pPr>
            <w:r>
              <w:rPr>
                <w:rFonts w:hint="eastAsia"/>
                <w:highlight w:val="none"/>
              </w:rPr>
              <w:t>2</w:t>
            </w:r>
          </w:p>
        </w:tc>
        <w:tc>
          <w:tcPr>
            <w:tcW w:w="1464" w:type="pct"/>
            <w:tcBorders>
              <w:tl2br w:val="nil"/>
              <w:tr2bl w:val="nil"/>
            </w:tcBorders>
            <w:noWrap w:val="0"/>
            <w:vAlign w:val="center"/>
          </w:tcPr>
          <w:p w14:paraId="5F76E0E0">
            <w:pPr>
              <w:pStyle w:val="105"/>
              <w:bidi w:val="0"/>
              <w:rPr>
                <w:rFonts w:hint="eastAsia"/>
                <w:highlight w:val="none"/>
                <w:lang w:val="en-US" w:eastAsia="zh-CN"/>
              </w:rPr>
            </w:pPr>
            <w:r>
              <w:rPr>
                <w:rFonts w:hint="eastAsia"/>
                <w:highlight w:val="none"/>
              </w:rPr>
              <w:t>匪警</w:t>
            </w:r>
          </w:p>
        </w:tc>
        <w:tc>
          <w:tcPr>
            <w:tcW w:w="993" w:type="pct"/>
            <w:tcBorders>
              <w:tl2br w:val="nil"/>
              <w:tr2bl w:val="nil"/>
            </w:tcBorders>
            <w:noWrap w:val="0"/>
            <w:vAlign w:val="center"/>
          </w:tcPr>
          <w:p w14:paraId="0F093DE0">
            <w:pPr>
              <w:pStyle w:val="105"/>
              <w:bidi w:val="0"/>
              <w:rPr>
                <w:rFonts w:hint="eastAsia"/>
                <w:highlight w:val="none"/>
                <w:lang w:val="en-US" w:eastAsia="zh-CN"/>
              </w:rPr>
            </w:pPr>
            <w:r>
              <w:rPr>
                <w:rFonts w:hint="eastAsia"/>
                <w:highlight w:val="none"/>
              </w:rPr>
              <w:t>110</w:t>
            </w:r>
          </w:p>
        </w:tc>
        <w:tc>
          <w:tcPr>
            <w:tcW w:w="1074" w:type="pct"/>
            <w:tcBorders>
              <w:tl2br w:val="nil"/>
              <w:tr2bl w:val="nil"/>
            </w:tcBorders>
            <w:noWrap w:val="0"/>
            <w:vAlign w:val="center"/>
          </w:tcPr>
          <w:p w14:paraId="4A1D87A7">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9AE60A5">
            <w:pPr>
              <w:pStyle w:val="105"/>
              <w:bidi w:val="0"/>
              <w:rPr>
                <w:rFonts w:hint="eastAsia"/>
                <w:highlight w:val="none"/>
                <w:lang w:val="en-US" w:eastAsia="zh-CN"/>
              </w:rPr>
            </w:pPr>
            <w:r>
              <w:rPr>
                <w:rFonts w:hint="eastAsia"/>
                <w:highlight w:val="none"/>
              </w:rPr>
              <w:t>治安事件报警救援</w:t>
            </w:r>
          </w:p>
        </w:tc>
      </w:tr>
      <w:tr w14:paraId="52BAABF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6A783CE">
            <w:pPr>
              <w:pStyle w:val="105"/>
              <w:bidi w:val="0"/>
              <w:rPr>
                <w:rFonts w:hint="eastAsia"/>
                <w:highlight w:val="none"/>
              </w:rPr>
            </w:pPr>
            <w:r>
              <w:rPr>
                <w:rFonts w:hint="eastAsia"/>
                <w:highlight w:val="none"/>
              </w:rPr>
              <w:t>3</w:t>
            </w:r>
          </w:p>
        </w:tc>
        <w:tc>
          <w:tcPr>
            <w:tcW w:w="1464" w:type="pct"/>
            <w:tcBorders>
              <w:tl2br w:val="nil"/>
              <w:tr2bl w:val="nil"/>
            </w:tcBorders>
            <w:noWrap w:val="0"/>
            <w:vAlign w:val="center"/>
          </w:tcPr>
          <w:p w14:paraId="1C94D057">
            <w:pPr>
              <w:pStyle w:val="105"/>
              <w:bidi w:val="0"/>
              <w:rPr>
                <w:rFonts w:hint="eastAsia"/>
                <w:highlight w:val="none"/>
                <w:lang w:val="en-US" w:eastAsia="zh-CN"/>
              </w:rPr>
            </w:pPr>
            <w:r>
              <w:rPr>
                <w:rFonts w:hint="eastAsia"/>
                <w:highlight w:val="none"/>
              </w:rPr>
              <w:t>气象</w:t>
            </w:r>
          </w:p>
        </w:tc>
        <w:tc>
          <w:tcPr>
            <w:tcW w:w="993" w:type="pct"/>
            <w:tcBorders>
              <w:tl2br w:val="nil"/>
              <w:tr2bl w:val="nil"/>
            </w:tcBorders>
            <w:noWrap w:val="0"/>
            <w:vAlign w:val="center"/>
          </w:tcPr>
          <w:p w14:paraId="66FFE489">
            <w:pPr>
              <w:pStyle w:val="105"/>
              <w:bidi w:val="0"/>
              <w:rPr>
                <w:rFonts w:hint="eastAsia"/>
                <w:highlight w:val="none"/>
                <w:lang w:val="en-US" w:eastAsia="zh-CN"/>
              </w:rPr>
            </w:pPr>
            <w:r>
              <w:rPr>
                <w:rFonts w:hint="eastAsia"/>
                <w:highlight w:val="none"/>
              </w:rPr>
              <w:t>121</w:t>
            </w:r>
          </w:p>
        </w:tc>
        <w:tc>
          <w:tcPr>
            <w:tcW w:w="1074" w:type="pct"/>
            <w:tcBorders>
              <w:tl2br w:val="nil"/>
              <w:tr2bl w:val="nil"/>
            </w:tcBorders>
            <w:noWrap w:val="0"/>
            <w:vAlign w:val="center"/>
          </w:tcPr>
          <w:p w14:paraId="3827B03C">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01E100E">
            <w:pPr>
              <w:pStyle w:val="105"/>
              <w:bidi w:val="0"/>
              <w:rPr>
                <w:rFonts w:hint="eastAsia"/>
                <w:highlight w:val="none"/>
                <w:lang w:val="en-US" w:eastAsia="zh-CN"/>
              </w:rPr>
            </w:pPr>
            <w:r>
              <w:rPr>
                <w:rFonts w:hint="eastAsia"/>
                <w:highlight w:val="none"/>
              </w:rPr>
              <w:t>气象信息</w:t>
            </w:r>
          </w:p>
        </w:tc>
      </w:tr>
      <w:tr w14:paraId="7D6CF00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FF178AE">
            <w:pPr>
              <w:pStyle w:val="105"/>
              <w:bidi w:val="0"/>
              <w:rPr>
                <w:rFonts w:hint="eastAsia"/>
                <w:highlight w:val="none"/>
              </w:rPr>
            </w:pPr>
            <w:r>
              <w:rPr>
                <w:rFonts w:hint="eastAsia"/>
                <w:highlight w:val="none"/>
              </w:rPr>
              <w:t>4</w:t>
            </w:r>
          </w:p>
        </w:tc>
        <w:tc>
          <w:tcPr>
            <w:tcW w:w="1464" w:type="pct"/>
            <w:tcBorders>
              <w:tl2br w:val="nil"/>
              <w:tr2bl w:val="nil"/>
            </w:tcBorders>
            <w:noWrap w:val="0"/>
            <w:vAlign w:val="center"/>
          </w:tcPr>
          <w:p w14:paraId="0546E46A">
            <w:pPr>
              <w:pStyle w:val="105"/>
              <w:bidi w:val="0"/>
              <w:rPr>
                <w:rFonts w:hint="eastAsia"/>
                <w:highlight w:val="none"/>
                <w:lang w:val="en-US" w:eastAsia="zh-CN"/>
              </w:rPr>
            </w:pPr>
            <w:r>
              <w:rPr>
                <w:rFonts w:hint="eastAsia"/>
                <w:highlight w:val="none"/>
              </w:rPr>
              <w:t>查号台</w:t>
            </w:r>
          </w:p>
        </w:tc>
        <w:tc>
          <w:tcPr>
            <w:tcW w:w="993" w:type="pct"/>
            <w:tcBorders>
              <w:tl2br w:val="nil"/>
              <w:tr2bl w:val="nil"/>
            </w:tcBorders>
            <w:noWrap w:val="0"/>
            <w:vAlign w:val="center"/>
          </w:tcPr>
          <w:p w14:paraId="09AC7376">
            <w:pPr>
              <w:pStyle w:val="105"/>
              <w:bidi w:val="0"/>
              <w:rPr>
                <w:rFonts w:hint="eastAsia"/>
                <w:highlight w:val="none"/>
                <w:lang w:val="en-US" w:eastAsia="zh-CN"/>
              </w:rPr>
            </w:pPr>
            <w:r>
              <w:rPr>
                <w:rFonts w:hint="eastAsia"/>
                <w:highlight w:val="none"/>
              </w:rPr>
              <w:t>114</w:t>
            </w:r>
          </w:p>
        </w:tc>
        <w:tc>
          <w:tcPr>
            <w:tcW w:w="1074" w:type="pct"/>
            <w:tcBorders>
              <w:tl2br w:val="nil"/>
              <w:tr2bl w:val="nil"/>
            </w:tcBorders>
            <w:noWrap w:val="0"/>
            <w:vAlign w:val="center"/>
          </w:tcPr>
          <w:p w14:paraId="7E0DF5E4">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FFA8840">
            <w:pPr>
              <w:pStyle w:val="105"/>
              <w:bidi w:val="0"/>
              <w:rPr>
                <w:rFonts w:hint="eastAsia"/>
                <w:highlight w:val="none"/>
                <w:lang w:val="en-US" w:eastAsia="zh-CN"/>
              </w:rPr>
            </w:pPr>
            <w:r>
              <w:rPr>
                <w:rFonts w:hint="eastAsia"/>
                <w:highlight w:val="none"/>
              </w:rPr>
              <w:t>电话号码查询</w:t>
            </w:r>
          </w:p>
        </w:tc>
      </w:tr>
      <w:tr w14:paraId="4CFE678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BE19AFF">
            <w:pPr>
              <w:pStyle w:val="105"/>
              <w:bidi w:val="0"/>
              <w:rPr>
                <w:rFonts w:hint="eastAsia"/>
                <w:highlight w:val="none"/>
                <w:lang w:val="en-US" w:eastAsia="zh-CN"/>
              </w:rPr>
            </w:pPr>
            <w:r>
              <w:rPr>
                <w:rFonts w:hint="eastAsia"/>
                <w:highlight w:val="none"/>
                <w:lang w:val="en-US" w:eastAsia="zh-CN"/>
              </w:rPr>
              <w:t>5</w:t>
            </w:r>
          </w:p>
        </w:tc>
        <w:tc>
          <w:tcPr>
            <w:tcW w:w="1464" w:type="pct"/>
            <w:tcBorders>
              <w:tl2br w:val="nil"/>
              <w:tr2bl w:val="nil"/>
            </w:tcBorders>
            <w:noWrap w:val="0"/>
            <w:vAlign w:val="center"/>
          </w:tcPr>
          <w:p w14:paraId="17BBDBE8">
            <w:pPr>
              <w:pStyle w:val="105"/>
              <w:bidi w:val="0"/>
              <w:rPr>
                <w:rFonts w:hint="eastAsia"/>
                <w:highlight w:val="none"/>
                <w:lang w:val="en-US" w:eastAsia="zh-CN"/>
              </w:rPr>
            </w:pPr>
            <w:r>
              <w:rPr>
                <w:rFonts w:hint="eastAsia"/>
                <w:highlight w:val="none"/>
              </w:rPr>
              <w:t>市急救中心</w:t>
            </w:r>
          </w:p>
        </w:tc>
        <w:tc>
          <w:tcPr>
            <w:tcW w:w="993" w:type="pct"/>
            <w:tcBorders>
              <w:tl2br w:val="nil"/>
              <w:tr2bl w:val="nil"/>
            </w:tcBorders>
            <w:noWrap w:val="0"/>
            <w:vAlign w:val="center"/>
          </w:tcPr>
          <w:p w14:paraId="749555BD">
            <w:pPr>
              <w:pStyle w:val="105"/>
              <w:bidi w:val="0"/>
              <w:rPr>
                <w:rFonts w:hint="eastAsia"/>
                <w:highlight w:val="none"/>
                <w:lang w:val="en-US" w:eastAsia="zh-CN"/>
              </w:rPr>
            </w:pPr>
            <w:r>
              <w:rPr>
                <w:rFonts w:hint="eastAsia"/>
                <w:highlight w:val="none"/>
              </w:rPr>
              <w:t>120</w:t>
            </w:r>
          </w:p>
        </w:tc>
        <w:tc>
          <w:tcPr>
            <w:tcW w:w="1074" w:type="pct"/>
            <w:tcBorders>
              <w:tl2br w:val="nil"/>
              <w:tr2bl w:val="nil"/>
            </w:tcBorders>
            <w:noWrap w:val="0"/>
            <w:vAlign w:val="center"/>
          </w:tcPr>
          <w:p w14:paraId="372AEEF5">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1A3DB57">
            <w:pPr>
              <w:pStyle w:val="105"/>
              <w:bidi w:val="0"/>
              <w:rPr>
                <w:rFonts w:hint="eastAsia"/>
                <w:highlight w:val="none"/>
                <w:lang w:val="en-US" w:eastAsia="zh-CN"/>
              </w:rPr>
            </w:pPr>
            <w:r>
              <w:rPr>
                <w:rFonts w:hint="eastAsia"/>
                <w:highlight w:val="none"/>
              </w:rPr>
              <w:t>人员伤亡急救</w:t>
            </w:r>
          </w:p>
        </w:tc>
      </w:tr>
      <w:tr w14:paraId="0390A4E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C04ABBB">
            <w:pPr>
              <w:pStyle w:val="105"/>
              <w:bidi w:val="0"/>
              <w:rPr>
                <w:rFonts w:hint="eastAsia"/>
                <w:highlight w:val="none"/>
                <w:lang w:val="en-US" w:eastAsia="zh-CN"/>
              </w:rPr>
            </w:pPr>
            <w:r>
              <w:rPr>
                <w:rFonts w:hint="eastAsia"/>
                <w:highlight w:val="none"/>
                <w:lang w:val="en-US" w:eastAsia="zh-CN"/>
              </w:rPr>
              <w:t>6</w:t>
            </w:r>
          </w:p>
        </w:tc>
        <w:tc>
          <w:tcPr>
            <w:tcW w:w="1464" w:type="pct"/>
            <w:tcBorders>
              <w:tl2br w:val="nil"/>
              <w:tr2bl w:val="nil"/>
            </w:tcBorders>
            <w:noWrap w:val="0"/>
            <w:vAlign w:val="center"/>
          </w:tcPr>
          <w:p w14:paraId="6E94E596">
            <w:pPr>
              <w:pStyle w:val="105"/>
              <w:bidi w:val="0"/>
              <w:rPr>
                <w:rFonts w:hint="eastAsia"/>
                <w:highlight w:val="none"/>
                <w:lang w:val="en-US" w:eastAsia="zh-CN"/>
              </w:rPr>
            </w:pPr>
            <w:r>
              <w:rPr>
                <w:rFonts w:hint="eastAsia"/>
                <w:highlight w:val="none"/>
              </w:rPr>
              <w:t>道路事故报警</w:t>
            </w:r>
          </w:p>
        </w:tc>
        <w:tc>
          <w:tcPr>
            <w:tcW w:w="993" w:type="pct"/>
            <w:tcBorders>
              <w:tl2br w:val="nil"/>
              <w:tr2bl w:val="nil"/>
            </w:tcBorders>
            <w:noWrap w:val="0"/>
            <w:vAlign w:val="center"/>
          </w:tcPr>
          <w:p w14:paraId="3319EEBC">
            <w:pPr>
              <w:pStyle w:val="105"/>
              <w:bidi w:val="0"/>
              <w:rPr>
                <w:rFonts w:hint="eastAsia"/>
                <w:highlight w:val="none"/>
                <w:lang w:val="en-US" w:eastAsia="zh-CN"/>
              </w:rPr>
            </w:pPr>
            <w:r>
              <w:rPr>
                <w:rFonts w:hint="eastAsia"/>
                <w:highlight w:val="none"/>
              </w:rPr>
              <w:t>122</w:t>
            </w:r>
          </w:p>
        </w:tc>
        <w:tc>
          <w:tcPr>
            <w:tcW w:w="1074" w:type="pct"/>
            <w:tcBorders>
              <w:tl2br w:val="nil"/>
              <w:tr2bl w:val="nil"/>
            </w:tcBorders>
            <w:noWrap w:val="0"/>
            <w:vAlign w:val="center"/>
          </w:tcPr>
          <w:p w14:paraId="5F26F765">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45D9281D">
            <w:pPr>
              <w:pStyle w:val="105"/>
              <w:bidi w:val="0"/>
              <w:rPr>
                <w:rFonts w:hint="eastAsia"/>
                <w:highlight w:val="none"/>
                <w:lang w:val="en-US" w:eastAsia="zh-CN"/>
              </w:rPr>
            </w:pPr>
            <w:r>
              <w:rPr>
                <w:rFonts w:hint="eastAsia"/>
                <w:highlight w:val="none"/>
              </w:rPr>
              <w:t>道路事故报警</w:t>
            </w:r>
          </w:p>
        </w:tc>
      </w:tr>
    </w:tbl>
    <w:p w14:paraId="021B72B1">
      <w:pPr>
        <w:bidi w:val="0"/>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（2）应急救援路线</w:t>
      </w:r>
    </w:p>
    <w:p w14:paraId="2B2C97D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为急救医生留出抢救通道，确保安全通道畅通，我部已与恭城县人民医院签订协议，联系电话120、0773-8212298。</w:t>
      </w:r>
    </w:p>
    <w:p w14:paraId="42FC3D16">
      <w:pPr>
        <w:keepNext w:val="0"/>
        <w:keepLines w:val="0"/>
        <w:widowControl/>
        <w:suppressLineNumbers w:val="0"/>
        <w:ind w:firstLine="480" w:firstLineChars="200"/>
        <w:jc w:val="left"/>
        <w:rPr>
          <w:highlight w:val="none"/>
        </w:rPr>
      </w:pPr>
      <w:r>
        <w:rPr>
          <w:rFonts w:hint="eastAsia" w:cs="宋体"/>
          <w:color w:val="000000"/>
          <w:kern w:val="0"/>
          <w:sz w:val="24"/>
          <w:szCs w:val="24"/>
          <w:highlight w:val="none"/>
          <w:lang w:val="en-US" w:eastAsia="zh-CN" w:bidi="ar"/>
        </w:rPr>
        <w:t>应急救援路线：</w:t>
      </w:r>
      <w:r>
        <w:rPr>
          <w:rFonts w:hint="eastAsia" w:ascii="宋体" w:hAnsi="宋体" w:eastAsia="宋体" w:cs="宋体"/>
          <w:color w:val="000000"/>
          <w:kern w:val="0"/>
          <w:sz w:val="24"/>
          <w:szCs w:val="24"/>
          <w:highlight w:val="none"/>
          <w:lang w:val="en-US" w:eastAsia="zh-CN" w:bidi="ar"/>
        </w:rPr>
        <w:t>项目经理部在施工事故应急抢险过程中一旦发生人员伤亡事故或其他紧急情况，除及时采取对应的应急响应处置措施外，恭城县人民医院为主要应急处置地点，现场至恭城县人民医院全程约30分钟。</w:t>
      </w:r>
    </w:p>
    <w:p w14:paraId="2EE47B4C">
      <w:pPr>
        <w:pStyle w:val="13"/>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0" b="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67"/>
                    <a:srcRect b="6944"/>
                    <a:stretch>
                      <a:fillRect/>
                    </a:stretch>
                  </pic:blipFill>
                  <pic:spPr>
                    <a:xfrm>
                      <a:off x="0" y="0"/>
                      <a:ext cx="4458335" cy="2416810"/>
                    </a:xfrm>
                    <a:prstGeom prst="rect">
                      <a:avLst/>
                    </a:prstGeom>
                    <a:noFill/>
                    <a:ln w="9525">
                      <a:noFill/>
                    </a:ln>
                  </pic:spPr>
                </pic:pic>
              </a:graphicData>
            </a:graphic>
          </wp:inline>
        </w:drawing>
      </w:r>
    </w:p>
    <w:p w14:paraId="741763BE">
      <w:pPr>
        <w:pStyle w:val="41"/>
        <w:bidi w:val="0"/>
        <w:rPr>
          <w:rFonts w:hint="eastAsia"/>
          <w:highlight w:val="none"/>
          <w:lang w:val="en-US" w:eastAsia="zh-CN"/>
        </w:rPr>
      </w:pPr>
      <w:r>
        <w:rPr>
          <w:rFonts w:hint="eastAsia"/>
          <w:highlight w:val="none"/>
          <w:lang w:val="en-US" w:eastAsia="zh-CN"/>
        </w:rPr>
        <w:t>图9.6</w:t>
      </w:r>
      <w:r>
        <w:rPr>
          <w:rFonts w:hint="default"/>
          <w:highlight w:val="none"/>
          <w:lang w:val="en-US" w:eastAsia="zh-CN"/>
        </w:rPr>
        <w:t xml:space="preserve">-1 </w:t>
      </w:r>
      <w:r>
        <w:rPr>
          <w:rFonts w:hint="eastAsia"/>
          <w:highlight w:val="none"/>
          <w:lang w:val="en-US" w:eastAsia="zh-CN"/>
        </w:rPr>
        <w:t>应急路线图</w:t>
      </w:r>
    </w:p>
    <w:p w14:paraId="5160C3FD">
      <w:pPr>
        <w:pStyle w:val="3"/>
        <w:bidi w:val="0"/>
        <w:ind w:left="575" w:leftChars="0" w:hanging="575" w:firstLineChars="0"/>
        <w:rPr>
          <w:rFonts w:hint="eastAsia"/>
        </w:rPr>
      </w:pPr>
      <w:bookmarkStart w:id="426" w:name="_Toc1146"/>
      <w:bookmarkStart w:id="427" w:name="_Toc21709"/>
      <w:bookmarkStart w:id="428" w:name="_Toc40778459"/>
      <w:bookmarkStart w:id="429" w:name="_Toc3267"/>
      <w:bookmarkStart w:id="430" w:name="_Toc28123"/>
      <w:bookmarkStart w:id="431" w:name="_Toc25072"/>
      <w:bookmarkStart w:id="432" w:name="_Toc23591"/>
      <w:bookmarkStart w:id="433" w:name="_Toc32359"/>
      <w:bookmarkStart w:id="434" w:name="_Toc55223388"/>
      <w:bookmarkStart w:id="435" w:name="_Toc31758"/>
      <w:r>
        <w:rPr>
          <w:rFonts w:hint="eastAsia"/>
        </w:rPr>
        <w:t>事故善后及恢复生产</w:t>
      </w:r>
      <w:bookmarkEnd w:id="426"/>
      <w:bookmarkEnd w:id="427"/>
      <w:bookmarkEnd w:id="428"/>
      <w:bookmarkEnd w:id="429"/>
      <w:bookmarkEnd w:id="430"/>
      <w:bookmarkEnd w:id="431"/>
      <w:bookmarkEnd w:id="432"/>
      <w:bookmarkEnd w:id="433"/>
      <w:bookmarkEnd w:id="434"/>
      <w:bookmarkEnd w:id="435"/>
    </w:p>
    <w:p w14:paraId="044B4493">
      <w:pPr>
        <w:bidi w:val="0"/>
        <w:ind w:firstLine="480" w:firstLineChars="200"/>
        <w:rPr>
          <w:highlight w:val="none"/>
        </w:rPr>
      </w:pPr>
      <w:bookmarkStart w:id="436" w:name="_Toc239741315"/>
      <w:r>
        <w:rPr>
          <w:rFonts w:hint="eastAsia"/>
          <w:highlight w:val="none"/>
        </w:rPr>
        <w:t>当事态得到有效控制，危险得以消除时，由项目经理下达终止应急令。</w:t>
      </w:r>
    </w:p>
    <w:p w14:paraId="2292B82F">
      <w:pPr>
        <w:bidi w:val="0"/>
        <w:ind w:firstLine="480" w:firstLineChars="200"/>
        <w:rPr>
          <w:highlight w:val="none"/>
        </w:rPr>
      </w:pPr>
      <w:r>
        <w:rPr>
          <w:rFonts w:hint="eastAsia"/>
          <w:highlight w:val="none"/>
        </w:rPr>
        <w:t>当终止应急救援后，事故现场仍然存在可能的不明隐患时支护结构是否能满足土体应力、是否需要采取加强支护等），现场警戒不予解除，直至经技术部门技术鉴定确认无不明隐患、周边土体、支护结构及周边建筑物等趋于稳定后，告知安保部部长下令解除现场警戒。</w:t>
      </w:r>
    </w:p>
    <w:p w14:paraId="06D3AE3B">
      <w:pPr>
        <w:bidi w:val="0"/>
        <w:ind w:firstLine="480" w:firstLineChars="200"/>
        <w:rPr>
          <w:highlight w:val="none"/>
        </w:rPr>
      </w:pPr>
      <w:r>
        <w:rPr>
          <w:rFonts w:hint="eastAsia"/>
          <w:highlight w:val="none"/>
        </w:rPr>
        <w:t>警戒解除后，由应急救援队伍负责恢复现场。主要清理临时设施、救援过程中产生的废弃物、恢复现场施工条件等。</w:t>
      </w:r>
    </w:p>
    <w:p w14:paraId="6E3F8998">
      <w:pPr>
        <w:bidi w:val="0"/>
        <w:ind w:firstLine="480" w:firstLineChars="200"/>
        <w:rPr>
          <w:highlight w:val="none"/>
        </w:rPr>
      </w:pPr>
      <w:r>
        <w:rPr>
          <w:rFonts w:hint="eastAsia"/>
          <w:highlight w:val="none"/>
        </w:rPr>
        <w:t>事故处理</w:t>
      </w:r>
      <w:bookmarkEnd w:id="436"/>
      <w:r>
        <w:rPr>
          <w:rFonts w:hint="eastAsia"/>
          <w:highlight w:val="none"/>
        </w:rPr>
        <w:t>：事故调查小组在事故得到控制以后，迅速到受到保护的现场调查取证，查明产生事故的原因。项目部在事故处理完毕后，认真总结经验教训。</w:t>
      </w:r>
    </w:p>
    <w:p w14:paraId="229C72D7">
      <w:pPr>
        <w:bidi w:val="0"/>
        <w:ind w:firstLine="480" w:firstLineChars="200"/>
        <w:rPr>
          <w:highlight w:val="none"/>
        </w:rPr>
      </w:pPr>
      <w:bookmarkStart w:id="437" w:name="_Toc239741316"/>
      <w:r>
        <w:rPr>
          <w:rFonts w:hint="eastAsia"/>
          <w:highlight w:val="none"/>
        </w:rPr>
        <w:t>生产恢复</w:t>
      </w:r>
      <w:bookmarkEnd w:id="437"/>
      <w:r>
        <w:rPr>
          <w:rFonts w:hint="eastAsia"/>
          <w:highlight w:val="none"/>
        </w:rPr>
        <w:t>：事故发生后，项目部在处理事故的同时，尽快组织人员恢复生产，避免影响项目部施工生产进度，恢复生产的主要工作包括：</w:t>
      </w:r>
    </w:p>
    <w:p w14:paraId="5E762D68">
      <w:pPr>
        <w:bidi w:val="0"/>
        <w:ind w:firstLine="480" w:firstLineChars="200"/>
        <w:rPr>
          <w:highlight w:val="none"/>
        </w:rPr>
      </w:pPr>
      <w:r>
        <w:rPr>
          <w:rFonts w:hint="eastAsia"/>
          <w:highlight w:val="none"/>
          <w:lang w:val="en-US" w:eastAsia="zh-CN"/>
        </w:rPr>
        <w:t>1、</w:t>
      </w:r>
      <w:r>
        <w:rPr>
          <w:rFonts w:hint="eastAsia"/>
          <w:highlight w:val="none"/>
        </w:rPr>
        <w:t>明确事故处理所需的现场材料，加快对施工现场进行调查和取证，收集相关的资料证据，包括对现场的</w:t>
      </w:r>
      <w:r>
        <w:rPr>
          <w:rFonts w:hint="eastAsia"/>
          <w:highlight w:val="none"/>
          <w:lang w:eastAsia="zh-CN"/>
        </w:rPr>
        <w:t>摄像</w:t>
      </w:r>
      <w:r>
        <w:rPr>
          <w:rFonts w:hint="eastAsia"/>
          <w:highlight w:val="none"/>
        </w:rPr>
        <w:t>，相关人员、机械设备、物资材料在现场的资料照片，详细统计机械设备、物资材料的损失情况，制定维修或报废处理计划。</w:t>
      </w:r>
    </w:p>
    <w:p w14:paraId="5E7ACC6D">
      <w:pPr>
        <w:bidi w:val="0"/>
        <w:ind w:firstLine="480" w:firstLineChars="200"/>
        <w:rPr>
          <w:highlight w:val="none"/>
        </w:rPr>
      </w:pPr>
      <w:r>
        <w:rPr>
          <w:rFonts w:hint="eastAsia"/>
          <w:highlight w:val="none"/>
          <w:lang w:val="en-US" w:eastAsia="zh-CN"/>
        </w:rPr>
        <w:t>2、</w:t>
      </w:r>
      <w:r>
        <w:rPr>
          <w:rFonts w:hint="eastAsia"/>
          <w:highlight w:val="none"/>
        </w:rPr>
        <w:t>现场取证工作完成后，项目部对现场清理行动进行充分论证，认为时机成熟时，调集相关人员和设备对现场进行清理，制定现场清理的计划和措施，落实现场责任人，防止清理过程中事态进一步扩大。</w:t>
      </w:r>
    </w:p>
    <w:p w14:paraId="16A37B33">
      <w:pPr>
        <w:ind w:firstLine="480" w:firstLineChars="200"/>
        <w:rPr>
          <w:rFonts w:hint="eastAsia"/>
          <w:highlight w:val="none"/>
          <w:lang w:val="en-US" w:eastAsia="zh-CN"/>
        </w:rPr>
      </w:pPr>
      <w:r>
        <w:rPr>
          <w:rFonts w:hint="eastAsia"/>
          <w:highlight w:val="none"/>
          <w:lang w:val="en-US" w:eastAsia="zh-CN"/>
        </w:rPr>
        <w:t>3、</w:t>
      </w:r>
      <w:r>
        <w:rPr>
          <w:rFonts w:hint="eastAsia"/>
          <w:highlight w:val="none"/>
        </w:rPr>
        <w:t>现场清理完毕，项目部重新调集生产资源，组织施工生产，组织生产过程中，应吸取事故教训、总结经验、制定切实可靠的安全措施后方可施工。</w:t>
      </w:r>
      <w:r>
        <w:rPr>
          <w:rFonts w:hint="eastAsia"/>
          <w:highlight w:val="none"/>
          <w:lang w:val="en-US" w:eastAsia="zh-CN"/>
        </w:rPr>
        <w:br w:type="page"/>
      </w:r>
    </w:p>
    <w:p w14:paraId="5C5B4B2C">
      <w:pPr>
        <w:pStyle w:val="2"/>
        <w:bidi w:val="0"/>
        <w:ind w:left="432" w:leftChars="0" w:hanging="432" w:firstLineChars="0"/>
        <w:rPr>
          <w:rFonts w:hint="eastAsia" w:ascii="宋体" w:hAnsi="宋体" w:eastAsia="宋体" w:cs="Times New Roman"/>
        </w:rPr>
      </w:pPr>
      <w:bookmarkStart w:id="438" w:name="_Toc5516"/>
      <w:bookmarkStart w:id="439" w:name="_Toc3199"/>
      <w:bookmarkStart w:id="440" w:name="_Toc15890"/>
      <w:bookmarkStart w:id="441" w:name="_Toc25052"/>
      <w:r>
        <w:rPr>
          <w:rFonts w:hint="eastAsia" w:ascii="宋体" w:hAnsi="宋体" w:eastAsia="宋体" w:cs="Times New Roman"/>
        </w:rPr>
        <w:t>绿色及文明施工</w:t>
      </w:r>
      <w:bookmarkEnd w:id="438"/>
      <w:bookmarkEnd w:id="439"/>
      <w:bookmarkEnd w:id="440"/>
      <w:bookmarkEnd w:id="441"/>
    </w:p>
    <w:p w14:paraId="66F9B472">
      <w:pPr>
        <w:pStyle w:val="3"/>
        <w:bidi w:val="0"/>
        <w:ind w:left="575" w:leftChars="0" w:hanging="575" w:firstLineChars="0"/>
        <w:rPr>
          <w:rFonts w:hint="default"/>
          <w:lang w:val="en-US" w:eastAsia="zh-CN"/>
        </w:rPr>
      </w:pPr>
      <w:bookmarkStart w:id="442" w:name="_Toc7823"/>
      <w:bookmarkStart w:id="443" w:name="_Toc2870"/>
      <w:bookmarkStart w:id="444" w:name="_Toc32357"/>
      <w:bookmarkStart w:id="445" w:name="_Toc16477"/>
      <w:bookmarkStart w:id="446" w:name="_Toc30600"/>
      <w:r>
        <w:rPr>
          <w:rFonts w:hint="eastAsia"/>
          <w:lang w:val="en-US" w:eastAsia="zh-CN"/>
        </w:rPr>
        <w:t>绿色施工</w:t>
      </w:r>
      <w:bookmarkEnd w:id="442"/>
      <w:bookmarkEnd w:id="443"/>
      <w:bookmarkEnd w:id="444"/>
      <w:bookmarkEnd w:id="445"/>
      <w:bookmarkEnd w:id="446"/>
    </w:p>
    <w:p w14:paraId="39E6F611">
      <w:pPr>
        <w:pStyle w:val="4"/>
        <w:bidi w:val="0"/>
        <w:ind w:left="720" w:leftChars="0" w:hanging="720" w:firstLineChars="0"/>
        <w:rPr>
          <w:rFonts w:hint="default"/>
          <w:lang w:val="en-US" w:eastAsia="zh-CN"/>
        </w:rPr>
      </w:pPr>
      <w:r>
        <w:rPr>
          <w:rFonts w:hint="eastAsia"/>
          <w:lang w:val="en-US" w:eastAsia="zh-CN"/>
        </w:rPr>
        <w:t>绿色施工</w:t>
      </w:r>
      <w:r>
        <w:rPr>
          <w:rFonts w:hint="eastAsia"/>
        </w:rPr>
        <w:t>组织机构</w:t>
      </w:r>
    </w:p>
    <w:p w14:paraId="2A5F2AD3">
      <w:pPr>
        <w:bidi w:val="0"/>
        <w:ind w:firstLine="480" w:firstLineChars="200"/>
        <w:rPr>
          <w:rFonts w:hint="eastAsia" w:eastAsia="宋体"/>
          <w:highlight w:val="none"/>
          <w:lang w:eastAsia="zh-CN"/>
        </w:rPr>
      </w:pPr>
      <w:r>
        <w:rPr>
          <w:rFonts w:hint="eastAsia" w:ascii="宋体" w:hAnsi="宋体"/>
          <w:sz w:val="24"/>
          <w:highlight w:val="none"/>
        </w:rPr>
        <w:t>项目部成立节</w:t>
      </w:r>
      <w:r>
        <w:rPr>
          <w:rFonts w:hint="eastAsia" w:ascii="宋体" w:hAnsi="宋体"/>
          <w:sz w:val="24"/>
          <w:highlight w:val="none"/>
          <w:lang w:val="en-US" w:eastAsia="zh-CN"/>
        </w:rPr>
        <w:t>绿色施工</w:t>
      </w:r>
      <w:r>
        <w:rPr>
          <w:rFonts w:hint="eastAsia" w:ascii="宋体" w:hAnsi="宋体"/>
          <w:sz w:val="24"/>
          <w:highlight w:val="none"/>
        </w:rPr>
        <w:t>领导小组，负责项目</w:t>
      </w:r>
      <w:r>
        <w:rPr>
          <w:rFonts w:hint="eastAsia" w:ascii="宋体" w:hAnsi="宋体"/>
          <w:sz w:val="24"/>
          <w:highlight w:val="none"/>
          <w:lang w:val="en-US" w:eastAsia="zh-CN"/>
        </w:rPr>
        <w:t>绿色施工</w:t>
      </w:r>
      <w:r>
        <w:rPr>
          <w:rFonts w:hint="eastAsia" w:ascii="宋体" w:hAnsi="宋体"/>
          <w:sz w:val="24"/>
          <w:highlight w:val="none"/>
        </w:rPr>
        <w:t>的指导工作，指定</w:t>
      </w:r>
      <w:r>
        <w:rPr>
          <w:rFonts w:hint="eastAsia" w:ascii="宋体" w:hAnsi="宋体"/>
          <w:sz w:val="24"/>
          <w:highlight w:val="none"/>
          <w:lang w:val="en-US" w:eastAsia="zh-CN"/>
        </w:rPr>
        <w:t>工程部</w:t>
      </w:r>
      <w:r>
        <w:rPr>
          <w:rFonts w:hint="eastAsia" w:ascii="宋体" w:hAnsi="宋体"/>
          <w:sz w:val="24"/>
          <w:highlight w:val="none"/>
        </w:rPr>
        <w:t>人员具体负责节能减排工作。项目经理是</w:t>
      </w:r>
      <w:r>
        <w:rPr>
          <w:rFonts w:hint="eastAsia" w:ascii="宋体" w:hAnsi="宋体"/>
          <w:sz w:val="24"/>
          <w:highlight w:val="none"/>
          <w:lang w:val="en-US" w:eastAsia="zh-CN"/>
        </w:rPr>
        <w:t>绿色施工</w:t>
      </w:r>
      <w:r>
        <w:rPr>
          <w:rFonts w:hint="eastAsia" w:ascii="宋体" w:hAnsi="宋体"/>
          <w:sz w:val="24"/>
          <w:highlight w:val="none"/>
        </w:rPr>
        <w:t>第一责任人，对此项工作负总责。</w:t>
      </w:r>
    </w:p>
    <w:p w14:paraId="0ABBF6D4">
      <w:pPr>
        <w:bidi w:val="0"/>
        <w:rPr>
          <w:rFonts w:hint="eastAsia" w:eastAsia="宋体"/>
          <w:highlight w:val="none"/>
          <w:lang w:eastAsia="zh-CN"/>
        </w:rPr>
      </w:pPr>
      <w:r>
        <w:rPr>
          <w:rFonts w:hint="eastAsia"/>
          <w:highlight w:val="none"/>
        </w:rPr>
        <w:drawing>
          <wp:inline distT="0" distB="0" distL="114300" distR="114300">
            <wp:extent cx="5269230" cy="4343400"/>
            <wp:effectExtent l="0" t="0" r="0" b="0"/>
            <wp:docPr id="39" name="图片 39" descr="组织流程图--(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组织流程图--(2)(2)"/>
                    <pic:cNvPicPr>
                      <a:picLocks noChangeAspect="1"/>
                    </pic:cNvPicPr>
                  </pic:nvPicPr>
                  <pic:blipFill>
                    <a:blip r:embed="rId68"/>
                    <a:stretch>
                      <a:fillRect/>
                    </a:stretch>
                  </pic:blipFill>
                  <pic:spPr>
                    <a:xfrm>
                      <a:off x="0" y="0"/>
                      <a:ext cx="5269230" cy="4343400"/>
                    </a:xfrm>
                    <a:prstGeom prst="rect">
                      <a:avLst/>
                    </a:prstGeom>
                  </pic:spPr>
                </pic:pic>
              </a:graphicData>
            </a:graphic>
          </wp:inline>
        </w:drawing>
      </w:r>
    </w:p>
    <w:p w14:paraId="02F2B72D">
      <w:pPr>
        <w:pStyle w:val="41"/>
        <w:bidi w:val="0"/>
        <w:rPr>
          <w:rFonts w:hint="default"/>
          <w:highlight w:val="none"/>
          <w:lang w:val="en-US" w:eastAsia="zh-CN"/>
        </w:rPr>
      </w:pPr>
      <w:r>
        <w:rPr>
          <w:rFonts w:hint="eastAsia"/>
          <w:highlight w:val="none"/>
          <w:lang w:val="en-US" w:eastAsia="zh-CN"/>
        </w:rPr>
        <w:t xml:space="preserve">图10-1 </w:t>
      </w:r>
      <w:r>
        <w:rPr>
          <w:rFonts w:hint="eastAsia" w:ascii="宋体" w:hAnsi="宋体"/>
          <w:sz w:val="24"/>
          <w:highlight w:val="none"/>
          <w:lang w:val="en-US" w:eastAsia="zh-CN"/>
        </w:rPr>
        <w:t>绿色施工</w:t>
      </w:r>
      <w:r>
        <w:rPr>
          <w:rFonts w:hint="eastAsia"/>
          <w:highlight w:val="none"/>
        </w:rPr>
        <w:t>管理组织机构</w:t>
      </w:r>
    </w:p>
    <w:p w14:paraId="282FD1E0">
      <w:pPr>
        <w:pStyle w:val="4"/>
        <w:bidi w:val="0"/>
        <w:ind w:left="720" w:leftChars="0" w:hanging="720" w:firstLineChars="0"/>
        <w:rPr>
          <w:rFonts w:hint="eastAsia"/>
        </w:rPr>
      </w:pPr>
      <w:r>
        <w:rPr>
          <w:rFonts w:hint="eastAsia"/>
          <w:lang w:val="en-US" w:eastAsia="zh-CN"/>
        </w:rPr>
        <w:t>绿色施工</w:t>
      </w:r>
      <w:r>
        <w:rPr>
          <w:rFonts w:hint="eastAsia"/>
        </w:rPr>
        <w:t>保证体系</w:t>
      </w:r>
    </w:p>
    <w:p w14:paraId="70B5C251">
      <w:pPr>
        <w:pStyle w:val="13"/>
        <w:rPr>
          <w:rFonts w:hint="eastAsia"/>
          <w:highlight w:val="none"/>
          <w:lang w:val="en-US" w:eastAsia="zh-CN"/>
        </w:rPr>
      </w:pPr>
      <w:r>
        <w:rPr>
          <w:rFonts w:hint="eastAsia"/>
          <w:highlight w:val="none"/>
          <w:lang w:val="en-US" w:eastAsia="zh-CN"/>
        </w:rPr>
        <w:t>绿色施工保证体系如图1-1所示。</w:t>
      </w:r>
    </w:p>
    <w:p w14:paraId="27538FB1">
      <w:pPr>
        <w:pStyle w:val="4"/>
        <w:bidi w:val="0"/>
        <w:ind w:left="720" w:leftChars="0" w:hanging="720" w:firstLineChars="0"/>
        <w:rPr>
          <w:rFonts w:hint="eastAsia"/>
          <w:lang w:val="en-US" w:eastAsia="zh-CN"/>
        </w:rPr>
      </w:pPr>
      <w:r>
        <w:rPr>
          <w:rFonts w:hint="eastAsia"/>
          <w:lang w:val="en-US" w:eastAsia="zh-CN"/>
        </w:rPr>
        <w:t>绿色施工保证措施</w:t>
      </w:r>
    </w:p>
    <w:p w14:paraId="1554C5FD">
      <w:pPr>
        <w:pStyle w:val="5"/>
        <w:bidi w:val="0"/>
        <w:ind w:left="864" w:leftChars="0" w:hanging="864" w:firstLineChars="0"/>
        <w:rPr>
          <w:rFonts w:hint="eastAsia"/>
          <w:lang w:val="en-US" w:eastAsia="zh-CN"/>
        </w:rPr>
      </w:pPr>
      <w:r>
        <w:rPr>
          <w:rFonts w:hint="eastAsia"/>
          <w:lang w:val="en-US" w:eastAsia="zh-CN"/>
        </w:rPr>
        <w:t>生态环保和水土保持措施</w:t>
      </w:r>
    </w:p>
    <w:p w14:paraId="79C073F6">
      <w:pPr>
        <w:numPr>
          <w:ilvl w:val="0"/>
          <w:numId w:val="8"/>
        </w:numPr>
        <w:ind w:firstLine="480" w:firstLineChars="200"/>
        <w:rPr>
          <w:highlight w:val="none"/>
        </w:rPr>
      </w:pPr>
      <w:r>
        <w:rPr>
          <w:highlight w:val="none"/>
        </w:rPr>
        <w:t>维护自然生态平衡的措施</w:t>
      </w:r>
    </w:p>
    <w:p w14:paraId="3DEC67E3">
      <w:pPr>
        <w:bidi w:val="0"/>
        <w:ind w:firstLine="480" w:firstLineChars="200"/>
        <w:rPr>
          <w:highlight w:val="none"/>
        </w:rPr>
      </w:pPr>
      <w:r>
        <w:rPr>
          <w:highlight w:val="none"/>
        </w:rPr>
        <w:t>施工现场生产、生活房屋及生活设施、原材料堆放处和材料加工场均在规划 的区域内进行。修建的施工便道，要结合地方乡镇长远规划，选择线路。弃土场 必须做好防护工作，确保不发生水土流失情况，并进行弃土场绿化。</w:t>
      </w:r>
    </w:p>
    <w:p w14:paraId="4B3121E9">
      <w:pPr>
        <w:bidi w:val="0"/>
        <w:ind w:firstLine="480" w:firstLineChars="200"/>
        <w:rPr>
          <w:highlight w:val="none"/>
        </w:rPr>
      </w:pPr>
      <w:r>
        <w:rPr>
          <w:highlight w:val="none"/>
        </w:rPr>
        <w:t>施工期间对施工人员加强保护自然资源及野生动植物的教育，严禁随意砍伐 和偷猎，限制施工人员和车辆的活动范围。</w:t>
      </w:r>
    </w:p>
    <w:p w14:paraId="2901C3BD">
      <w:pPr>
        <w:bidi w:val="0"/>
        <w:ind w:firstLine="480" w:firstLineChars="200"/>
        <w:rPr>
          <w:highlight w:val="none"/>
        </w:rPr>
      </w:pPr>
      <w:r>
        <w:rPr>
          <w:highlight w:val="none"/>
        </w:rPr>
        <w:t>施工便道选线、生活营地、大型临时设施场地选址尽量少占或绕避林地、耕</w:t>
      </w:r>
    </w:p>
    <w:p w14:paraId="7BC889F3">
      <w:pPr>
        <w:bidi w:val="0"/>
        <w:rPr>
          <w:highlight w:val="none"/>
        </w:rPr>
      </w:pPr>
      <w:r>
        <w:rPr>
          <w:highlight w:val="none"/>
        </w:rPr>
        <w:t>地，保护原有植被。</w:t>
      </w:r>
    </w:p>
    <w:p w14:paraId="4895AB92">
      <w:pPr>
        <w:bidi w:val="0"/>
        <w:ind w:firstLine="480" w:firstLineChars="200"/>
        <w:rPr>
          <w:highlight w:val="none"/>
        </w:rPr>
      </w:pPr>
      <w:r>
        <w:rPr>
          <w:highlight w:val="none"/>
        </w:rPr>
        <w:t>对合同规定的施工界限外的植物、树木等尽力维护，严禁超范围砍伐。工程</w:t>
      </w:r>
    </w:p>
    <w:p w14:paraId="0A456FFB">
      <w:pPr>
        <w:bidi w:val="0"/>
        <w:rPr>
          <w:highlight w:val="none"/>
        </w:rPr>
      </w:pPr>
      <w:r>
        <w:rPr>
          <w:highlight w:val="none"/>
        </w:rPr>
        <w:t>完工后及时进行现场清理，复垦或绿化。</w:t>
      </w:r>
    </w:p>
    <w:p w14:paraId="55C70DDD">
      <w:pPr>
        <w:pStyle w:val="13"/>
        <w:rPr>
          <w:highlight w:val="none"/>
        </w:rPr>
      </w:pPr>
      <w:r>
        <w:rPr>
          <w:highlight w:val="none"/>
        </w:rPr>
        <mc:AlternateContent>
          <mc:Choice Requires="wpg">
            <w:drawing>
              <wp:inline distT="0" distB="0" distL="0" distR="0">
                <wp:extent cx="4855210" cy="4525645"/>
                <wp:effectExtent l="6350" t="6350" r="15240" b="14605"/>
                <wp:docPr id="40" name="Group 2503"/>
                <wp:cNvGraphicFramePr/>
                <a:graphic xmlns:a="http://schemas.openxmlformats.org/drawingml/2006/main">
                  <a:graphicData uri="http://schemas.microsoft.com/office/word/2010/wordprocessingGroup">
                    <wpg:wgp>
                      <wpg:cNvGrpSpPr/>
                      <wpg:grpSpPr>
                        <a:xfrm>
                          <a:off x="0" y="0"/>
                          <a:ext cx="4855210" cy="4525645"/>
                          <a:chOff x="0" y="0"/>
                          <a:chExt cx="7901" cy="5079"/>
                        </a:xfrm>
                      </wpg:grpSpPr>
                      <wps:wsp>
                        <wps:cNvPr id="626" name="Text Box 2504"/>
                        <wps:cNvSpPr txBox="1">
                          <a:spLocks noChangeArrowheads="1"/>
                        </wps:cNvSpPr>
                        <wps:spPr bwMode="auto">
                          <a:xfrm>
                            <a:off x="0" y="1142"/>
                            <a:ext cx="804" cy="2272"/>
                          </a:xfrm>
                          <a:prstGeom prst="rect">
                            <a:avLst/>
                          </a:prstGeom>
                          <a:solidFill>
                            <a:schemeClr val="accent6">
                              <a:lumMod val="40000"/>
                              <a:lumOff val="60000"/>
                            </a:schemeClr>
                          </a:solidFill>
                          <a:ln w="12700">
                            <a:solidFill>
                              <a:srgbClr val="0000C8"/>
                            </a:solidFill>
                            <a:miter lim="800000"/>
                          </a:ln>
                        </wps:spPr>
                        <wps:txbx>
                          <w:txbxContent>
                            <w:p w14:paraId="2653F702">
                              <w:pPr>
                                <w:pStyle w:val="55"/>
                                <w:rPr>
                                  <w:rFonts w:hint="eastAsia"/>
                                  <w:lang w:val="en-US" w:eastAsia="zh-CN"/>
                                </w:rPr>
                              </w:pPr>
                              <w:r>
                                <w:rPr>
                                  <w:rFonts w:hint="eastAsia"/>
                                  <w:lang w:val="en-US" w:eastAsia="zh-CN"/>
                                </w:rPr>
                                <w:t>绿色</w:t>
                              </w:r>
                            </w:p>
                            <w:p w14:paraId="2B3EC0DC">
                              <w:pPr>
                                <w:pStyle w:val="55"/>
                              </w:pPr>
                              <w:r>
                                <w:rPr>
                                  <w:rFonts w:hint="eastAsia"/>
                                </w:rPr>
                                <w:t>施工</w:t>
                              </w:r>
                            </w:p>
                            <w:p w14:paraId="39EC98D8">
                              <w:pPr>
                                <w:pStyle w:val="55"/>
                              </w:pPr>
                              <w:r>
                                <w:rPr>
                                  <w:rFonts w:hint="eastAsia"/>
                                </w:rPr>
                                <w:t>保证</w:t>
                              </w:r>
                            </w:p>
                            <w:p w14:paraId="2442F07C">
                              <w:pPr>
                                <w:pStyle w:val="55"/>
                              </w:pPr>
                              <w:r>
                                <w:rPr>
                                  <w:rFonts w:hint="eastAsia"/>
                                </w:rPr>
                                <w:t>体系</w:t>
                              </w:r>
                            </w:p>
                          </w:txbxContent>
                        </wps:txbx>
                        <wps:bodyPr rot="0" vert="horz" wrap="square" lIns="0" tIns="0" rIns="0" bIns="0" anchor="ctr" anchorCtr="0" upright="1">
                          <a:noAutofit/>
                        </wps:bodyPr>
                      </wps:wsp>
                      <wps:wsp>
                        <wps:cNvPr id="627" name="Line 2505"/>
                        <wps:cNvCnPr>
                          <a:cxnSpLocks noChangeShapeType="1"/>
                        </wps:cNvCnPr>
                        <wps:spPr bwMode="auto">
                          <a:xfrm>
                            <a:off x="806" y="2267"/>
                            <a:ext cx="195" cy="0"/>
                          </a:xfrm>
                          <a:prstGeom prst="line">
                            <a:avLst/>
                          </a:prstGeom>
                          <a:noFill/>
                          <a:ln w="12700">
                            <a:solidFill>
                              <a:srgbClr val="0000C8"/>
                            </a:solidFill>
                            <a:round/>
                          </a:ln>
                        </wps:spPr>
                        <wps:bodyPr/>
                      </wps:wsp>
                      <wps:wsp>
                        <wps:cNvPr id="628" name="Line 2506"/>
                        <wps:cNvCnPr>
                          <a:cxnSpLocks noChangeShapeType="1"/>
                        </wps:cNvCnPr>
                        <wps:spPr bwMode="auto">
                          <a:xfrm>
                            <a:off x="1001" y="385"/>
                            <a:ext cx="0" cy="3740"/>
                          </a:xfrm>
                          <a:prstGeom prst="line">
                            <a:avLst/>
                          </a:prstGeom>
                          <a:noFill/>
                          <a:ln w="12700">
                            <a:solidFill>
                              <a:srgbClr val="0000C8"/>
                            </a:solidFill>
                            <a:round/>
                          </a:ln>
                        </wps:spPr>
                        <wps:bodyPr/>
                      </wps:wsp>
                      <wps:wsp>
                        <wps:cNvPr id="629" name="Line 2507"/>
                        <wps:cNvCnPr>
                          <a:cxnSpLocks noChangeShapeType="1"/>
                        </wps:cNvCnPr>
                        <wps:spPr bwMode="auto">
                          <a:xfrm>
                            <a:off x="1001" y="385"/>
                            <a:ext cx="214" cy="0"/>
                          </a:xfrm>
                          <a:prstGeom prst="line">
                            <a:avLst/>
                          </a:prstGeom>
                          <a:noFill/>
                          <a:ln w="12700">
                            <a:solidFill>
                              <a:srgbClr val="0000C8"/>
                            </a:solidFill>
                            <a:round/>
                          </a:ln>
                        </wps:spPr>
                        <wps:bodyPr/>
                      </wps:wsp>
                      <wps:wsp>
                        <wps:cNvPr id="630" name="Text Box 2508"/>
                        <wps:cNvSpPr txBox="1">
                          <a:spLocks noChangeArrowheads="1"/>
                        </wps:cNvSpPr>
                        <wps:spPr bwMode="auto">
                          <a:xfrm>
                            <a:off x="1215" y="233"/>
                            <a:ext cx="1351" cy="303"/>
                          </a:xfrm>
                          <a:prstGeom prst="rect">
                            <a:avLst/>
                          </a:prstGeom>
                          <a:solidFill>
                            <a:schemeClr val="accent6">
                              <a:lumMod val="40000"/>
                              <a:lumOff val="60000"/>
                            </a:schemeClr>
                          </a:solidFill>
                          <a:ln w="12700">
                            <a:solidFill>
                              <a:srgbClr val="0000C8"/>
                            </a:solidFill>
                            <a:miter lim="800000"/>
                          </a:ln>
                        </wps:spPr>
                        <wps:txbx>
                          <w:txbxContent>
                            <w:p w14:paraId="6F2A6A99">
                              <w:pPr>
                                <w:pStyle w:val="55"/>
                              </w:pPr>
                              <w:r>
                                <w:rPr>
                                  <w:rFonts w:hint="eastAsia"/>
                                </w:rPr>
                                <w:t>思想保证</w:t>
                              </w:r>
                            </w:p>
                          </w:txbxContent>
                        </wps:txbx>
                        <wps:bodyPr rot="0" vert="horz" wrap="square" lIns="0" tIns="0" rIns="0" bIns="0" anchor="ctr" anchorCtr="0" upright="1">
                          <a:noAutofit/>
                        </wps:bodyPr>
                      </wps:wsp>
                      <wps:wsp>
                        <wps:cNvPr id="631" name="Line 2509"/>
                        <wps:cNvCnPr>
                          <a:cxnSpLocks noChangeShapeType="1"/>
                        </wps:cNvCnPr>
                        <wps:spPr bwMode="auto">
                          <a:xfrm>
                            <a:off x="1002" y="1142"/>
                            <a:ext cx="214" cy="0"/>
                          </a:xfrm>
                          <a:prstGeom prst="line">
                            <a:avLst/>
                          </a:prstGeom>
                          <a:noFill/>
                          <a:ln w="12700">
                            <a:solidFill>
                              <a:srgbClr val="0000C8"/>
                            </a:solidFill>
                            <a:round/>
                          </a:ln>
                        </wps:spPr>
                        <wps:bodyPr/>
                      </wps:wsp>
                      <wps:wsp>
                        <wps:cNvPr id="632" name="Text Box 2510"/>
                        <wps:cNvSpPr txBox="1">
                          <a:spLocks noChangeArrowheads="1"/>
                        </wps:cNvSpPr>
                        <wps:spPr bwMode="auto">
                          <a:xfrm>
                            <a:off x="1215" y="990"/>
                            <a:ext cx="1351" cy="303"/>
                          </a:xfrm>
                          <a:prstGeom prst="rect">
                            <a:avLst/>
                          </a:prstGeom>
                          <a:solidFill>
                            <a:schemeClr val="accent6">
                              <a:lumMod val="40000"/>
                              <a:lumOff val="60000"/>
                            </a:schemeClr>
                          </a:solidFill>
                          <a:ln w="12700">
                            <a:solidFill>
                              <a:srgbClr val="0000C8"/>
                            </a:solidFill>
                            <a:miter lim="800000"/>
                          </a:ln>
                        </wps:spPr>
                        <wps:txbx>
                          <w:txbxContent>
                            <w:p w14:paraId="60DF620B">
                              <w:pPr>
                                <w:pStyle w:val="55"/>
                              </w:pPr>
                              <w:r>
                                <w:rPr>
                                  <w:rFonts w:hint="eastAsia"/>
                                </w:rPr>
                                <w:t>组织保证</w:t>
                              </w:r>
                            </w:p>
                          </w:txbxContent>
                        </wps:txbx>
                        <wps:bodyPr rot="0" vert="horz" wrap="square" lIns="0" tIns="0" rIns="0" bIns="0" anchor="ctr" anchorCtr="0" upright="1">
                          <a:noAutofit/>
                        </wps:bodyPr>
                      </wps:wsp>
                      <wps:wsp>
                        <wps:cNvPr id="633" name="Line 2511"/>
                        <wps:cNvCnPr>
                          <a:cxnSpLocks noChangeShapeType="1"/>
                        </wps:cNvCnPr>
                        <wps:spPr bwMode="auto">
                          <a:xfrm>
                            <a:off x="2566" y="1142"/>
                            <a:ext cx="479" cy="0"/>
                          </a:xfrm>
                          <a:prstGeom prst="line">
                            <a:avLst/>
                          </a:prstGeom>
                          <a:noFill/>
                          <a:ln w="12700">
                            <a:solidFill>
                              <a:srgbClr val="0000C8"/>
                            </a:solidFill>
                            <a:round/>
                          </a:ln>
                        </wps:spPr>
                        <wps:bodyPr/>
                      </wps:wsp>
                      <wps:wsp>
                        <wps:cNvPr id="634" name="Text Box 2512"/>
                        <wps:cNvSpPr txBox="1">
                          <a:spLocks noChangeArrowheads="1"/>
                        </wps:cNvSpPr>
                        <wps:spPr bwMode="auto">
                          <a:xfrm>
                            <a:off x="3045" y="990"/>
                            <a:ext cx="2533" cy="303"/>
                          </a:xfrm>
                          <a:prstGeom prst="rect">
                            <a:avLst/>
                          </a:prstGeom>
                          <a:solidFill>
                            <a:schemeClr val="accent6">
                              <a:lumMod val="40000"/>
                              <a:lumOff val="60000"/>
                            </a:schemeClr>
                          </a:solidFill>
                          <a:ln w="12700">
                            <a:solidFill>
                              <a:srgbClr val="0000C8"/>
                            </a:solidFill>
                            <a:miter lim="800000"/>
                          </a:ln>
                        </wps:spPr>
                        <wps:txbx>
                          <w:txbxContent>
                            <w:p w14:paraId="5388B81E">
                              <w:pPr>
                                <w:pStyle w:val="55"/>
                              </w:pPr>
                              <w:r>
                                <w:rPr>
                                  <w:rFonts w:hint="eastAsia"/>
                                </w:rPr>
                                <w:t>成立</w:t>
                              </w:r>
                              <w:r>
                                <w:rPr>
                                  <w:rFonts w:hint="eastAsia"/>
                                  <w:lang w:val="en-US" w:eastAsia="zh-CN"/>
                                </w:rPr>
                                <w:t>绿色施工</w:t>
                              </w:r>
                              <w:r>
                                <w:rPr>
                                  <w:rFonts w:hint="eastAsia"/>
                                </w:rPr>
                                <w:t>领导小组</w:t>
                              </w:r>
                            </w:p>
                          </w:txbxContent>
                        </wps:txbx>
                        <wps:bodyPr rot="0" vert="horz" wrap="square" lIns="108000" tIns="0" rIns="0" bIns="0" anchor="ctr" anchorCtr="0" upright="1">
                          <a:noAutofit/>
                        </wps:bodyPr>
                      </wps:wsp>
                      <wps:wsp>
                        <wps:cNvPr id="635" name="Text Box 2513"/>
                        <wps:cNvSpPr txBox="1">
                          <a:spLocks noChangeArrowheads="1"/>
                        </wps:cNvSpPr>
                        <wps:spPr bwMode="auto">
                          <a:xfrm>
                            <a:off x="3045" y="0"/>
                            <a:ext cx="2533" cy="302"/>
                          </a:xfrm>
                          <a:prstGeom prst="rect">
                            <a:avLst/>
                          </a:prstGeom>
                          <a:solidFill>
                            <a:schemeClr val="accent6">
                              <a:lumMod val="40000"/>
                              <a:lumOff val="60000"/>
                            </a:schemeClr>
                          </a:solidFill>
                          <a:ln w="12700">
                            <a:solidFill>
                              <a:srgbClr val="0000C8"/>
                            </a:solidFill>
                            <a:miter lim="800000"/>
                          </a:ln>
                        </wps:spPr>
                        <wps:txbx>
                          <w:txbxContent>
                            <w:p w14:paraId="2F287673">
                              <w:pPr>
                                <w:pStyle w:val="55"/>
                              </w:pPr>
                              <w:r>
                                <w:rPr>
                                  <w:rFonts w:hint="eastAsia"/>
                                  <w:lang w:val="en-US" w:eastAsia="zh-CN"/>
                                </w:rPr>
                                <w:t>环保节能</w:t>
                              </w:r>
                              <w:r>
                                <w:rPr>
                                  <w:rFonts w:hint="eastAsia"/>
                                </w:rPr>
                                <w:t>知识宣传教育</w:t>
                              </w:r>
                            </w:p>
                          </w:txbxContent>
                        </wps:txbx>
                        <wps:bodyPr rot="0" vert="horz" wrap="square" lIns="108000" tIns="0" rIns="0" bIns="0" anchor="ctr" anchorCtr="0" upright="1">
                          <a:noAutofit/>
                        </wps:bodyPr>
                      </wps:wsp>
                      <wps:wsp>
                        <wps:cNvPr id="636" name="Text Box 2514"/>
                        <wps:cNvSpPr txBox="1">
                          <a:spLocks noChangeArrowheads="1"/>
                        </wps:cNvSpPr>
                        <wps:spPr bwMode="auto">
                          <a:xfrm>
                            <a:off x="3045" y="453"/>
                            <a:ext cx="2533" cy="303"/>
                          </a:xfrm>
                          <a:prstGeom prst="rect">
                            <a:avLst/>
                          </a:prstGeom>
                          <a:solidFill>
                            <a:schemeClr val="accent6">
                              <a:lumMod val="40000"/>
                              <a:lumOff val="60000"/>
                            </a:schemeClr>
                          </a:solidFill>
                          <a:ln w="12700">
                            <a:solidFill>
                              <a:srgbClr val="0000C8"/>
                            </a:solidFill>
                            <a:miter lim="800000"/>
                          </a:ln>
                        </wps:spPr>
                        <wps:txbx>
                          <w:txbxContent>
                            <w:p w14:paraId="205954D5">
                              <w:pPr>
                                <w:pStyle w:val="55"/>
                                <w:spacing w:line="240" w:lineRule="auto"/>
                              </w:pPr>
                              <w:r>
                                <w:rPr>
                                  <w:rFonts w:hint="eastAsia"/>
                                </w:rPr>
                                <w:t>制定目标责任制</w:t>
                              </w:r>
                            </w:p>
                            <w:p w14:paraId="41FB3821">
                              <w:pPr>
                                <w:pStyle w:val="55"/>
                              </w:pPr>
                            </w:p>
                          </w:txbxContent>
                        </wps:txbx>
                        <wps:bodyPr rot="0" vert="horz" wrap="square" lIns="108000" tIns="0" rIns="0" bIns="0" anchor="ctr" anchorCtr="0" upright="1">
                          <a:noAutofit/>
                        </wps:bodyPr>
                      </wps:wsp>
                      <wps:wsp>
                        <wps:cNvPr id="637" name="Line 2515"/>
                        <wps:cNvCnPr>
                          <a:cxnSpLocks noChangeShapeType="1"/>
                        </wps:cNvCnPr>
                        <wps:spPr bwMode="auto">
                          <a:xfrm>
                            <a:off x="2707" y="158"/>
                            <a:ext cx="0" cy="447"/>
                          </a:xfrm>
                          <a:prstGeom prst="line">
                            <a:avLst/>
                          </a:prstGeom>
                          <a:noFill/>
                          <a:ln w="12700">
                            <a:solidFill>
                              <a:srgbClr val="0000C8"/>
                            </a:solidFill>
                            <a:round/>
                          </a:ln>
                        </wps:spPr>
                        <wps:bodyPr/>
                      </wps:wsp>
                      <wps:wsp>
                        <wps:cNvPr id="638" name="Line 2516"/>
                        <wps:cNvCnPr>
                          <a:cxnSpLocks noChangeShapeType="1"/>
                        </wps:cNvCnPr>
                        <wps:spPr bwMode="auto">
                          <a:xfrm>
                            <a:off x="2707" y="158"/>
                            <a:ext cx="338" cy="0"/>
                          </a:xfrm>
                          <a:prstGeom prst="line">
                            <a:avLst/>
                          </a:prstGeom>
                          <a:noFill/>
                          <a:ln w="12700">
                            <a:solidFill>
                              <a:srgbClr val="0000C8"/>
                            </a:solidFill>
                            <a:round/>
                          </a:ln>
                        </wps:spPr>
                        <wps:bodyPr/>
                      </wps:wsp>
                      <wps:wsp>
                        <wps:cNvPr id="639" name="Line 2517"/>
                        <wps:cNvCnPr>
                          <a:cxnSpLocks noChangeShapeType="1"/>
                        </wps:cNvCnPr>
                        <wps:spPr bwMode="auto">
                          <a:xfrm>
                            <a:off x="2707" y="605"/>
                            <a:ext cx="338" cy="0"/>
                          </a:xfrm>
                          <a:prstGeom prst="line">
                            <a:avLst/>
                          </a:prstGeom>
                          <a:noFill/>
                          <a:ln w="12700">
                            <a:solidFill>
                              <a:srgbClr val="0000C8"/>
                            </a:solidFill>
                            <a:round/>
                          </a:ln>
                        </wps:spPr>
                        <wps:bodyPr/>
                      </wps:wsp>
                      <wps:wsp>
                        <wps:cNvPr id="640" name="Line 2518"/>
                        <wps:cNvCnPr>
                          <a:cxnSpLocks noChangeShapeType="1"/>
                        </wps:cNvCnPr>
                        <wps:spPr bwMode="auto">
                          <a:xfrm>
                            <a:off x="1001" y="2039"/>
                            <a:ext cx="143" cy="0"/>
                          </a:xfrm>
                          <a:prstGeom prst="line">
                            <a:avLst/>
                          </a:prstGeom>
                          <a:noFill/>
                          <a:ln w="12700">
                            <a:solidFill>
                              <a:srgbClr val="0000C8"/>
                            </a:solidFill>
                            <a:round/>
                          </a:ln>
                        </wps:spPr>
                        <wps:bodyPr/>
                      </wps:wsp>
                      <wps:wsp>
                        <wps:cNvPr id="641" name="Text Box 2519"/>
                        <wps:cNvSpPr txBox="1">
                          <a:spLocks noChangeArrowheads="1"/>
                        </wps:cNvSpPr>
                        <wps:spPr bwMode="auto">
                          <a:xfrm>
                            <a:off x="1144" y="1887"/>
                            <a:ext cx="1352" cy="303"/>
                          </a:xfrm>
                          <a:prstGeom prst="rect">
                            <a:avLst/>
                          </a:prstGeom>
                          <a:solidFill>
                            <a:schemeClr val="accent6">
                              <a:lumMod val="40000"/>
                              <a:lumOff val="60000"/>
                            </a:schemeClr>
                          </a:solidFill>
                          <a:ln w="12700">
                            <a:solidFill>
                              <a:srgbClr val="0000C8"/>
                            </a:solidFill>
                            <a:miter lim="800000"/>
                          </a:ln>
                        </wps:spPr>
                        <wps:txbx>
                          <w:txbxContent>
                            <w:p w14:paraId="3BE9033C">
                              <w:pPr>
                                <w:pStyle w:val="55"/>
                              </w:pPr>
                              <w:r>
                                <w:rPr>
                                  <w:rFonts w:hint="eastAsia"/>
                                </w:rPr>
                                <w:t>技术保证</w:t>
                              </w:r>
                            </w:p>
                          </w:txbxContent>
                        </wps:txbx>
                        <wps:bodyPr rot="0" vert="horz" wrap="square" lIns="0" tIns="0" rIns="0" bIns="0" anchor="ctr" anchorCtr="0" upright="1">
                          <a:noAutofit/>
                        </wps:bodyPr>
                      </wps:wsp>
                      <wps:wsp>
                        <wps:cNvPr id="217" name="Line 2520"/>
                        <wps:cNvCnPr>
                          <a:cxnSpLocks noChangeShapeType="1"/>
                        </wps:cNvCnPr>
                        <wps:spPr bwMode="auto">
                          <a:xfrm>
                            <a:off x="2496" y="2039"/>
                            <a:ext cx="549" cy="0"/>
                          </a:xfrm>
                          <a:prstGeom prst="line">
                            <a:avLst/>
                          </a:prstGeom>
                          <a:noFill/>
                          <a:ln w="12700">
                            <a:solidFill>
                              <a:srgbClr val="0000C8"/>
                            </a:solidFill>
                            <a:round/>
                          </a:ln>
                        </wps:spPr>
                        <wps:bodyPr/>
                      </wps:wsp>
                      <wps:wsp>
                        <wps:cNvPr id="667" name="Text Box 2521"/>
                        <wps:cNvSpPr txBox="1">
                          <a:spLocks noChangeArrowheads="1"/>
                        </wps:cNvSpPr>
                        <wps:spPr bwMode="auto">
                          <a:xfrm>
                            <a:off x="3045" y="1887"/>
                            <a:ext cx="3390" cy="303"/>
                          </a:xfrm>
                          <a:prstGeom prst="rect">
                            <a:avLst/>
                          </a:prstGeom>
                          <a:solidFill>
                            <a:schemeClr val="accent6">
                              <a:lumMod val="40000"/>
                              <a:lumOff val="60000"/>
                            </a:schemeClr>
                          </a:solidFill>
                          <a:ln w="12700">
                            <a:solidFill>
                              <a:srgbClr val="0000C8"/>
                            </a:solidFill>
                            <a:miter lim="800000"/>
                          </a:ln>
                        </wps:spPr>
                        <wps:txbx>
                          <w:txbxContent>
                            <w:p w14:paraId="50C5CED0">
                              <w:pPr>
                                <w:pStyle w:val="55"/>
                                <w:rPr>
                                  <w:rFonts w:hint="eastAsia" w:eastAsia="宋体"/>
                                  <w:lang w:eastAsia="zh-CN"/>
                                </w:rPr>
                              </w:pPr>
                              <w:r>
                                <w:rPr>
                                  <w:rFonts w:hint="eastAsia"/>
                                </w:rPr>
                                <w:t>制定实施</w:t>
                              </w:r>
                              <w:r>
                                <w:rPr>
                                  <w:rFonts w:hint="eastAsia"/>
                                  <w:lang w:val="en-US" w:eastAsia="zh-CN"/>
                                </w:rPr>
                                <w:t>性绿色施工措施</w:t>
                              </w:r>
                            </w:p>
                          </w:txbxContent>
                        </wps:txbx>
                        <wps:bodyPr rot="0" vert="horz" wrap="square" lIns="108000" tIns="0" rIns="0" bIns="0" anchor="ctr" anchorCtr="0" upright="1">
                          <a:noAutofit/>
                        </wps:bodyPr>
                      </wps:wsp>
                      <wps:wsp>
                        <wps:cNvPr id="668" name="Text Box 2522"/>
                        <wps:cNvSpPr txBox="1">
                          <a:spLocks noChangeArrowheads="1"/>
                        </wps:cNvSpPr>
                        <wps:spPr bwMode="auto">
                          <a:xfrm>
                            <a:off x="3045" y="1510"/>
                            <a:ext cx="3390" cy="303"/>
                          </a:xfrm>
                          <a:prstGeom prst="rect">
                            <a:avLst/>
                          </a:prstGeom>
                          <a:solidFill>
                            <a:schemeClr val="accent6">
                              <a:lumMod val="40000"/>
                              <a:lumOff val="60000"/>
                            </a:schemeClr>
                          </a:solidFill>
                          <a:ln w="12700">
                            <a:solidFill>
                              <a:srgbClr val="0000C8"/>
                            </a:solidFill>
                            <a:miter lim="800000"/>
                          </a:ln>
                        </wps:spPr>
                        <wps:txbx>
                          <w:txbxContent>
                            <w:p w14:paraId="728CD31B">
                              <w:pPr>
                                <w:pStyle w:val="55"/>
                              </w:pPr>
                              <w:r>
                                <w:rPr>
                                  <w:rFonts w:hint="eastAsia"/>
                                  <w:lang w:val="en-US" w:eastAsia="zh-CN"/>
                                </w:rPr>
                                <w:t>组织</w:t>
                              </w:r>
                              <w:r>
                                <w:rPr>
                                  <w:rFonts w:hint="eastAsia"/>
                                </w:rPr>
                                <w:t>员工培训</w:t>
                              </w:r>
                            </w:p>
                          </w:txbxContent>
                        </wps:txbx>
                        <wps:bodyPr rot="0" vert="horz" wrap="square" lIns="108000" tIns="0" rIns="0" bIns="0" anchor="ctr" anchorCtr="0" upright="1">
                          <a:noAutofit/>
                        </wps:bodyPr>
                      </wps:wsp>
                      <wps:wsp>
                        <wps:cNvPr id="669" name="Line 2523"/>
                        <wps:cNvCnPr>
                          <a:cxnSpLocks noChangeShapeType="1"/>
                        </wps:cNvCnPr>
                        <wps:spPr bwMode="auto">
                          <a:xfrm>
                            <a:off x="2707" y="1659"/>
                            <a:ext cx="0" cy="767"/>
                          </a:xfrm>
                          <a:prstGeom prst="line">
                            <a:avLst/>
                          </a:prstGeom>
                          <a:noFill/>
                          <a:ln w="12700">
                            <a:solidFill>
                              <a:srgbClr val="0000C8"/>
                            </a:solidFill>
                            <a:round/>
                          </a:ln>
                        </wps:spPr>
                        <wps:bodyPr/>
                      </wps:wsp>
                      <wps:wsp>
                        <wps:cNvPr id="670" name="Line 2524"/>
                        <wps:cNvCnPr>
                          <a:cxnSpLocks noChangeShapeType="1"/>
                        </wps:cNvCnPr>
                        <wps:spPr bwMode="auto">
                          <a:xfrm>
                            <a:off x="2707" y="1659"/>
                            <a:ext cx="338" cy="0"/>
                          </a:xfrm>
                          <a:prstGeom prst="line">
                            <a:avLst/>
                          </a:prstGeom>
                          <a:noFill/>
                          <a:ln w="12700">
                            <a:solidFill>
                              <a:srgbClr val="0000C8"/>
                            </a:solidFill>
                            <a:round/>
                          </a:ln>
                        </wps:spPr>
                        <wps:bodyPr/>
                      </wps:wsp>
                      <wps:wsp>
                        <wps:cNvPr id="671" name="Line 2525"/>
                        <wps:cNvCnPr>
                          <a:cxnSpLocks noChangeShapeType="1"/>
                        </wps:cNvCnPr>
                        <wps:spPr bwMode="auto">
                          <a:xfrm>
                            <a:off x="1001" y="3110"/>
                            <a:ext cx="143" cy="0"/>
                          </a:xfrm>
                          <a:prstGeom prst="line">
                            <a:avLst/>
                          </a:prstGeom>
                          <a:noFill/>
                          <a:ln w="12700">
                            <a:solidFill>
                              <a:srgbClr val="0000C8"/>
                            </a:solidFill>
                            <a:round/>
                          </a:ln>
                        </wps:spPr>
                        <wps:bodyPr/>
                      </wps:wsp>
                      <wps:wsp>
                        <wps:cNvPr id="672" name="Text Box 2526"/>
                        <wps:cNvSpPr txBox="1">
                          <a:spLocks noChangeArrowheads="1"/>
                        </wps:cNvSpPr>
                        <wps:spPr bwMode="auto">
                          <a:xfrm>
                            <a:off x="1144" y="2959"/>
                            <a:ext cx="1352" cy="303"/>
                          </a:xfrm>
                          <a:prstGeom prst="rect">
                            <a:avLst/>
                          </a:prstGeom>
                          <a:solidFill>
                            <a:schemeClr val="accent6">
                              <a:lumMod val="40000"/>
                              <a:lumOff val="60000"/>
                            </a:schemeClr>
                          </a:solidFill>
                          <a:ln w="12700">
                            <a:solidFill>
                              <a:srgbClr val="0000C8"/>
                            </a:solidFill>
                            <a:miter lim="800000"/>
                          </a:ln>
                        </wps:spPr>
                        <wps:txbx>
                          <w:txbxContent>
                            <w:p w14:paraId="3BA69FC5">
                              <w:pPr>
                                <w:pStyle w:val="55"/>
                              </w:pPr>
                              <w:r>
                                <w:rPr>
                                  <w:rFonts w:hint="eastAsia"/>
                                </w:rPr>
                                <w:t>制度保证</w:t>
                              </w:r>
                            </w:p>
                          </w:txbxContent>
                        </wps:txbx>
                        <wps:bodyPr rot="0" vert="horz" wrap="square" lIns="0" tIns="0" rIns="0" bIns="0" anchor="ctr" anchorCtr="0" upright="1">
                          <a:noAutofit/>
                        </wps:bodyPr>
                      </wps:wsp>
                      <wps:wsp>
                        <wps:cNvPr id="673" name="Text Box 2527"/>
                        <wps:cNvSpPr txBox="1">
                          <a:spLocks noChangeArrowheads="1"/>
                        </wps:cNvSpPr>
                        <wps:spPr bwMode="auto">
                          <a:xfrm>
                            <a:off x="3045" y="3111"/>
                            <a:ext cx="3390" cy="303"/>
                          </a:xfrm>
                          <a:prstGeom prst="rect">
                            <a:avLst/>
                          </a:prstGeom>
                          <a:solidFill>
                            <a:schemeClr val="accent6">
                              <a:lumMod val="40000"/>
                              <a:lumOff val="60000"/>
                            </a:schemeClr>
                          </a:solidFill>
                          <a:ln w="12700">
                            <a:solidFill>
                              <a:srgbClr val="0000C8"/>
                            </a:solidFill>
                            <a:miter lim="800000"/>
                          </a:ln>
                        </wps:spPr>
                        <wps:txbx>
                          <w:txbxContent>
                            <w:p w14:paraId="192F0B52">
                              <w:pPr>
                                <w:pStyle w:val="55"/>
                              </w:pPr>
                              <w:r>
                                <w:rPr>
                                  <w:rFonts w:hint="eastAsia"/>
                                </w:rPr>
                                <w:t>公司、项目部相关规章制度</w:t>
                              </w:r>
                            </w:p>
                          </w:txbxContent>
                        </wps:txbx>
                        <wps:bodyPr rot="0" vert="horz" wrap="square" lIns="108000" tIns="0" rIns="0" bIns="0" anchor="ctr" anchorCtr="0" upright="1">
                          <a:noAutofit/>
                        </wps:bodyPr>
                      </wps:wsp>
                      <wps:wsp>
                        <wps:cNvPr id="674" name="Text Box 2528"/>
                        <wps:cNvSpPr txBox="1">
                          <a:spLocks noChangeArrowheads="1"/>
                        </wps:cNvSpPr>
                        <wps:spPr bwMode="auto">
                          <a:xfrm>
                            <a:off x="3045" y="2734"/>
                            <a:ext cx="3390" cy="303"/>
                          </a:xfrm>
                          <a:prstGeom prst="rect">
                            <a:avLst/>
                          </a:prstGeom>
                          <a:solidFill>
                            <a:schemeClr val="accent6">
                              <a:lumMod val="40000"/>
                              <a:lumOff val="60000"/>
                            </a:schemeClr>
                          </a:solidFill>
                          <a:ln w="12700">
                            <a:solidFill>
                              <a:srgbClr val="0000C8"/>
                            </a:solidFill>
                            <a:miter lim="800000"/>
                          </a:ln>
                        </wps:spPr>
                        <wps:txbx>
                          <w:txbxContent>
                            <w:p w14:paraId="2FC5EA5F">
                              <w:pPr>
                                <w:pStyle w:val="55"/>
                              </w:pPr>
                              <w:r>
                                <w:rPr>
                                  <w:rFonts w:hint="eastAsia"/>
                                </w:rPr>
                                <w:t>国家、相关部委相关法律、法规</w:t>
                              </w:r>
                            </w:p>
                          </w:txbxContent>
                        </wps:txbx>
                        <wps:bodyPr rot="0" vert="horz" wrap="square" lIns="108000" tIns="0" rIns="0" bIns="0" anchor="ctr" anchorCtr="0" upright="1">
                          <a:noAutofit/>
                        </wps:bodyPr>
                      </wps:wsp>
                      <wps:wsp>
                        <wps:cNvPr id="697" name="Line 2529"/>
                        <wps:cNvCnPr>
                          <a:cxnSpLocks noChangeShapeType="1"/>
                        </wps:cNvCnPr>
                        <wps:spPr bwMode="auto">
                          <a:xfrm>
                            <a:off x="2707" y="2883"/>
                            <a:ext cx="0" cy="379"/>
                          </a:xfrm>
                          <a:prstGeom prst="line">
                            <a:avLst/>
                          </a:prstGeom>
                          <a:noFill/>
                          <a:ln w="12700">
                            <a:solidFill>
                              <a:srgbClr val="0000C8"/>
                            </a:solidFill>
                            <a:round/>
                          </a:ln>
                        </wps:spPr>
                        <wps:bodyPr/>
                      </wps:wsp>
                      <wps:wsp>
                        <wps:cNvPr id="702" name="Line 2530"/>
                        <wps:cNvCnPr>
                          <a:cxnSpLocks noChangeShapeType="1"/>
                        </wps:cNvCnPr>
                        <wps:spPr bwMode="auto">
                          <a:xfrm>
                            <a:off x="2707" y="2883"/>
                            <a:ext cx="338" cy="0"/>
                          </a:xfrm>
                          <a:prstGeom prst="line">
                            <a:avLst/>
                          </a:prstGeom>
                          <a:noFill/>
                          <a:ln w="12700">
                            <a:solidFill>
                              <a:srgbClr val="0000C8"/>
                            </a:solidFill>
                            <a:round/>
                          </a:ln>
                        </wps:spPr>
                        <wps:bodyPr/>
                      </wps:wsp>
                      <wps:wsp>
                        <wps:cNvPr id="703" name="Line 2531"/>
                        <wps:cNvCnPr>
                          <a:cxnSpLocks noChangeShapeType="1"/>
                        </wps:cNvCnPr>
                        <wps:spPr bwMode="auto">
                          <a:xfrm>
                            <a:off x="1001" y="4125"/>
                            <a:ext cx="143" cy="0"/>
                          </a:xfrm>
                          <a:prstGeom prst="line">
                            <a:avLst/>
                          </a:prstGeom>
                          <a:noFill/>
                          <a:ln w="12700">
                            <a:solidFill>
                              <a:srgbClr val="0000C8"/>
                            </a:solidFill>
                            <a:round/>
                          </a:ln>
                        </wps:spPr>
                        <wps:bodyPr/>
                      </wps:wsp>
                      <wps:wsp>
                        <wps:cNvPr id="286927" name="Text Box 2532"/>
                        <wps:cNvSpPr txBox="1">
                          <a:spLocks noChangeArrowheads="1"/>
                        </wps:cNvSpPr>
                        <wps:spPr bwMode="auto">
                          <a:xfrm>
                            <a:off x="1144" y="3973"/>
                            <a:ext cx="1352" cy="304"/>
                          </a:xfrm>
                          <a:prstGeom prst="rect">
                            <a:avLst/>
                          </a:prstGeom>
                          <a:solidFill>
                            <a:schemeClr val="accent6">
                              <a:lumMod val="40000"/>
                              <a:lumOff val="60000"/>
                            </a:schemeClr>
                          </a:solidFill>
                          <a:ln w="12700">
                            <a:solidFill>
                              <a:srgbClr val="0000C8"/>
                            </a:solidFill>
                            <a:miter lim="800000"/>
                          </a:ln>
                        </wps:spPr>
                        <wps:txbx>
                          <w:txbxContent>
                            <w:p w14:paraId="72B0B6B3">
                              <w:pPr>
                                <w:pStyle w:val="55"/>
                              </w:pPr>
                              <w:r>
                                <w:rPr>
                                  <w:rFonts w:hint="eastAsia"/>
                                </w:rPr>
                                <w:t>施工保证</w:t>
                              </w:r>
                            </w:p>
                          </w:txbxContent>
                        </wps:txbx>
                        <wps:bodyPr rot="0" vert="horz" wrap="square" lIns="0" tIns="0" rIns="0" bIns="0" anchor="ctr" anchorCtr="0" upright="1">
                          <a:noAutofit/>
                        </wps:bodyPr>
                      </wps:wsp>
                      <wps:wsp>
                        <wps:cNvPr id="286928" name="Line 2533"/>
                        <wps:cNvCnPr>
                          <a:cxnSpLocks noChangeShapeType="1"/>
                        </wps:cNvCnPr>
                        <wps:spPr bwMode="auto">
                          <a:xfrm>
                            <a:off x="2496" y="4125"/>
                            <a:ext cx="549" cy="0"/>
                          </a:xfrm>
                          <a:prstGeom prst="line">
                            <a:avLst/>
                          </a:prstGeom>
                          <a:noFill/>
                          <a:ln w="12700">
                            <a:solidFill>
                              <a:srgbClr val="0000C8"/>
                            </a:solidFill>
                            <a:round/>
                          </a:ln>
                        </wps:spPr>
                        <wps:bodyPr/>
                      </wps:wsp>
                      <wps:wsp>
                        <wps:cNvPr id="286929" name="Text Box 2534"/>
                        <wps:cNvSpPr txBox="1">
                          <a:spLocks noChangeArrowheads="1"/>
                        </wps:cNvSpPr>
                        <wps:spPr bwMode="auto">
                          <a:xfrm>
                            <a:off x="3045" y="3973"/>
                            <a:ext cx="3040" cy="304"/>
                          </a:xfrm>
                          <a:prstGeom prst="rect">
                            <a:avLst/>
                          </a:prstGeom>
                          <a:solidFill>
                            <a:schemeClr val="accent6">
                              <a:lumMod val="40000"/>
                              <a:lumOff val="60000"/>
                            </a:schemeClr>
                          </a:solidFill>
                          <a:ln w="12700">
                            <a:solidFill>
                              <a:srgbClr val="0000C8"/>
                            </a:solidFill>
                            <a:miter lim="800000"/>
                          </a:ln>
                        </wps:spPr>
                        <wps:txbx>
                          <w:txbxContent>
                            <w:p w14:paraId="498948D0">
                              <w:pPr>
                                <w:pStyle w:val="55"/>
                              </w:pPr>
                              <w:r>
                                <w:rPr>
                                  <w:rFonts w:hint="eastAsia"/>
                                  <w:lang w:val="en-US" w:eastAsia="zh-CN"/>
                                </w:rPr>
                                <w:t>绿色</w:t>
                              </w:r>
                              <w:r>
                                <w:rPr>
                                  <w:rFonts w:hint="eastAsia"/>
                                </w:rPr>
                                <w:t>施工工艺保证</w:t>
                              </w:r>
                            </w:p>
                          </w:txbxContent>
                        </wps:txbx>
                        <wps:bodyPr rot="0" vert="horz" wrap="square" lIns="108000" tIns="0" rIns="0" bIns="0" anchor="ctr" anchorCtr="0" upright="1">
                          <a:noAutofit/>
                        </wps:bodyPr>
                      </wps:wsp>
                      <wps:wsp>
                        <wps:cNvPr id="286930" name="Text Box 2535"/>
                        <wps:cNvSpPr txBox="1">
                          <a:spLocks noChangeArrowheads="1"/>
                        </wps:cNvSpPr>
                        <wps:spPr bwMode="auto">
                          <a:xfrm>
                            <a:off x="3045" y="3596"/>
                            <a:ext cx="3040" cy="303"/>
                          </a:xfrm>
                          <a:prstGeom prst="rect">
                            <a:avLst/>
                          </a:prstGeom>
                          <a:solidFill>
                            <a:schemeClr val="accent6">
                              <a:lumMod val="40000"/>
                              <a:lumOff val="60000"/>
                            </a:schemeClr>
                          </a:solidFill>
                          <a:ln w="12700">
                            <a:solidFill>
                              <a:srgbClr val="0000C8"/>
                            </a:solidFill>
                            <a:miter lim="800000"/>
                          </a:ln>
                        </wps:spPr>
                        <wps:txbx>
                          <w:txbxContent>
                            <w:p w14:paraId="26605DA4">
                              <w:pPr>
                                <w:pStyle w:val="55"/>
                              </w:pPr>
                              <w:r>
                                <w:rPr>
                                  <w:rFonts w:hint="eastAsia"/>
                                </w:rPr>
                                <w:t>落实岗位责任制</w:t>
                              </w:r>
                            </w:p>
                          </w:txbxContent>
                        </wps:txbx>
                        <wps:bodyPr rot="0" vert="horz" wrap="square" lIns="108000" tIns="0" rIns="0" bIns="0" anchor="ctr" anchorCtr="0" upright="1">
                          <a:noAutofit/>
                        </wps:bodyPr>
                      </wps:wsp>
                      <wps:wsp>
                        <wps:cNvPr id="286931" name="Text Box 2536"/>
                        <wps:cNvSpPr txBox="1">
                          <a:spLocks noChangeArrowheads="1"/>
                        </wps:cNvSpPr>
                        <wps:spPr bwMode="auto">
                          <a:xfrm>
                            <a:off x="3045" y="4353"/>
                            <a:ext cx="3040" cy="302"/>
                          </a:xfrm>
                          <a:prstGeom prst="rect">
                            <a:avLst/>
                          </a:prstGeom>
                          <a:solidFill>
                            <a:schemeClr val="accent6">
                              <a:lumMod val="40000"/>
                              <a:lumOff val="60000"/>
                            </a:schemeClr>
                          </a:solidFill>
                          <a:ln w="12700">
                            <a:solidFill>
                              <a:srgbClr val="0000C8"/>
                            </a:solidFill>
                            <a:miter lim="800000"/>
                          </a:ln>
                        </wps:spPr>
                        <wps:txbx>
                          <w:txbxContent>
                            <w:p w14:paraId="59662101">
                              <w:pPr>
                                <w:pStyle w:val="55"/>
                              </w:pPr>
                              <w:r>
                                <w:rPr>
                                  <w:rFonts w:hint="eastAsia"/>
                                </w:rPr>
                                <w:t>物资设备保证</w:t>
                              </w:r>
                            </w:p>
                          </w:txbxContent>
                        </wps:txbx>
                        <wps:bodyPr rot="0" vert="horz" wrap="square" lIns="108000" tIns="0" rIns="0" bIns="0" anchor="ctr" anchorCtr="0" upright="1">
                          <a:noAutofit/>
                        </wps:bodyPr>
                      </wps:wsp>
                      <wps:wsp>
                        <wps:cNvPr id="286932" name="Line 2537"/>
                        <wps:cNvCnPr>
                          <a:cxnSpLocks noChangeShapeType="1"/>
                        </wps:cNvCnPr>
                        <wps:spPr bwMode="auto">
                          <a:xfrm>
                            <a:off x="2707" y="3747"/>
                            <a:ext cx="0" cy="1180"/>
                          </a:xfrm>
                          <a:prstGeom prst="line">
                            <a:avLst/>
                          </a:prstGeom>
                          <a:noFill/>
                          <a:ln w="12700">
                            <a:solidFill>
                              <a:srgbClr val="0000C8"/>
                            </a:solidFill>
                            <a:round/>
                          </a:ln>
                        </wps:spPr>
                        <wps:bodyPr/>
                      </wps:wsp>
                      <wps:wsp>
                        <wps:cNvPr id="286933" name="Line 2538"/>
                        <wps:cNvCnPr>
                          <a:cxnSpLocks noChangeShapeType="1"/>
                        </wps:cNvCnPr>
                        <wps:spPr bwMode="auto">
                          <a:xfrm>
                            <a:off x="2707" y="3747"/>
                            <a:ext cx="338" cy="0"/>
                          </a:xfrm>
                          <a:prstGeom prst="line">
                            <a:avLst/>
                          </a:prstGeom>
                          <a:noFill/>
                          <a:ln w="12700">
                            <a:solidFill>
                              <a:srgbClr val="0000C8"/>
                            </a:solidFill>
                            <a:round/>
                          </a:ln>
                        </wps:spPr>
                        <wps:bodyPr/>
                      </wps:wsp>
                      <wps:wsp>
                        <wps:cNvPr id="286934" name="Line 2539"/>
                        <wps:cNvCnPr>
                          <a:cxnSpLocks noChangeShapeType="1"/>
                        </wps:cNvCnPr>
                        <wps:spPr bwMode="auto">
                          <a:xfrm>
                            <a:off x="2707" y="4504"/>
                            <a:ext cx="338" cy="0"/>
                          </a:xfrm>
                          <a:prstGeom prst="line">
                            <a:avLst/>
                          </a:prstGeom>
                          <a:noFill/>
                          <a:ln w="12700">
                            <a:solidFill>
                              <a:srgbClr val="0000C8"/>
                            </a:solidFill>
                            <a:round/>
                          </a:ln>
                        </wps:spPr>
                        <wps:bodyPr/>
                      </wps:wsp>
                      <wps:wsp>
                        <wps:cNvPr id="286935" name="Line 2540"/>
                        <wps:cNvCnPr>
                          <a:cxnSpLocks noChangeShapeType="1"/>
                        </wps:cNvCnPr>
                        <wps:spPr bwMode="auto">
                          <a:xfrm>
                            <a:off x="2566" y="358"/>
                            <a:ext cx="141" cy="0"/>
                          </a:xfrm>
                          <a:prstGeom prst="line">
                            <a:avLst/>
                          </a:prstGeom>
                          <a:noFill/>
                          <a:ln w="12700">
                            <a:solidFill>
                              <a:srgbClr val="0000C8"/>
                            </a:solidFill>
                            <a:round/>
                          </a:ln>
                        </wps:spPr>
                        <wps:bodyPr/>
                      </wps:wsp>
                      <wps:wsp>
                        <wps:cNvPr id="286936" name="Text Box 2541"/>
                        <wps:cNvSpPr txBox="1">
                          <a:spLocks noChangeArrowheads="1"/>
                        </wps:cNvSpPr>
                        <wps:spPr bwMode="auto">
                          <a:xfrm>
                            <a:off x="3045" y="2276"/>
                            <a:ext cx="3390" cy="303"/>
                          </a:xfrm>
                          <a:prstGeom prst="rect">
                            <a:avLst/>
                          </a:prstGeom>
                          <a:solidFill>
                            <a:schemeClr val="accent6">
                              <a:lumMod val="40000"/>
                              <a:lumOff val="60000"/>
                            </a:schemeClr>
                          </a:solidFill>
                          <a:ln w="12700">
                            <a:solidFill>
                              <a:srgbClr val="0000C8"/>
                            </a:solidFill>
                            <a:miter lim="800000"/>
                          </a:ln>
                        </wps:spPr>
                        <wps:txbx>
                          <w:txbxContent>
                            <w:p w14:paraId="0136C8F0">
                              <w:pPr>
                                <w:pStyle w:val="55"/>
                                <w:rPr>
                                  <w:rFonts w:hint="default" w:eastAsia="宋体"/>
                                  <w:lang w:val="en-US" w:eastAsia="zh-CN"/>
                                </w:rPr>
                              </w:pPr>
                              <w:r>
                                <w:rPr>
                                  <w:rFonts w:hint="eastAsia"/>
                                  <w:lang w:val="en-US" w:eastAsia="zh-CN"/>
                                </w:rPr>
                                <w:t>按照设计和施组内容进行落实</w:t>
                              </w:r>
                            </w:p>
                          </w:txbxContent>
                        </wps:txbx>
                        <wps:bodyPr rot="0" vert="horz" wrap="square" lIns="108000" tIns="0" rIns="0" bIns="0" anchor="ctr" anchorCtr="0" upright="1">
                          <a:noAutofit/>
                        </wps:bodyPr>
                      </wps:wsp>
                      <wps:wsp>
                        <wps:cNvPr id="286937" name="Line 2542"/>
                        <wps:cNvCnPr>
                          <a:cxnSpLocks noChangeShapeType="1"/>
                        </wps:cNvCnPr>
                        <wps:spPr bwMode="auto">
                          <a:xfrm>
                            <a:off x="2707" y="2426"/>
                            <a:ext cx="338" cy="0"/>
                          </a:xfrm>
                          <a:prstGeom prst="line">
                            <a:avLst/>
                          </a:prstGeom>
                          <a:noFill/>
                          <a:ln w="12700">
                            <a:solidFill>
                              <a:srgbClr val="0000C8"/>
                            </a:solidFill>
                            <a:round/>
                          </a:ln>
                        </wps:spPr>
                        <wps:bodyPr/>
                      </wps:wsp>
                      <wps:wsp>
                        <wps:cNvPr id="286938" name="Text Box 2543"/>
                        <wps:cNvSpPr txBox="1">
                          <a:spLocks noChangeArrowheads="1"/>
                        </wps:cNvSpPr>
                        <wps:spPr bwMode="auto">
                          <a:xfrm>
                            <a:off x="3045" y="4776"/>
                            <a:ext cx="3040" cy="303"/>
                          </a:xfrm>
                          <a:prstGeom prst="rect">
                            <a:avLst/>
                          </a:prstGeom>
                          <a:solidFill>
                            <a:schemeClr val="accent6">
                              <a:lumMod val="40000"/>
                              <a:lumOff val="60000"/>
                            </a:schemeClr>
                          </a:solidFill>
                          <a:ln w="12700">
                            <a:solidFill>
                              <a:srgbClr val="0000C8"/>
                            </a:solidFill>
                            <a:miter lim="800000"/>
                          </a:ln>
                        </wps:spPr>
                        <wps:txbx>
                          <w:txbxContent>
                            <w:p w14:paraId="6D1F5B1C">
                              <w:pPr>
                                <w:pStyle w:val="55"/>
                              </w:pPr>
                              <w:r>
                                <w:rPr>
                                  <w:rFonts w:hint="eastAsia"/>
                                </w:rPr>
                                <w:t>监督、检查、改进</w:t>
                              </w:r>
                            </w:p>
                          </w:txbxContent>
                        </wps:txbx>
                        <wps:bodyPr rot="0" vert="horz" wrap="square" lIns="108000" tIns="0" rIns="0" bIns="0" anchor="ctr" anchorCtr="0" upright="1">
                          <a:noAutofit/>
                        </wps:bodyPr>
                      </wps:wsp>
                      <wps:wsp>
                        <wps:cNvPr id="286939" name="Line 2544"/>
                        <wps:cNvCnPr>
                          <a:cxnSpLocks noChangeShapeType="1"/>
                        </wps:cNvCnPr>
                        <wps:spPr bwMode="auto">
                          <a:xfrm>
                            <a:off x="2707" y="4927"/>
                            <a:ext cx="338" cy="0"/>
                          </a:xfrm>
                          <a:prstGeom prst="line">
                            <a:avLst/>
                          </a:prstGeom>
                          <a:noFill/>
                          <a:ln w="12700">
                            <a:solidFill>
                              <a:srgbClr val="0000C8"/>
                            </a:solidFill>
                            <a:round/>
                          </a:ln>
                        </wps:spPr>
                        <wps:bodyPr/>
                      </wps:wsp>
                      <wps:wsp>
                        <wps:cNvPr id="286940" name="Line 2545"/>
                        <wps:cNvCnPr>
                          <a:cxnSpLocks noChangeShapeType="1"/>
                        </wps:cNvCnPr>
                        <wps:spPr bwMode="auto">
                          <a:xfrm>
                            <a:off x="2707" y="3262"/>
                            <a:ext cx="338" cy="0"/>
                          </a:xfrm>
                          <a:prstGeom prst="line">
                            <a:avLst/>
                          </a:prstGeom>
                          <a:noFill/>
                          <a:ln w="12700">
                            <a:solidFill>
                              <a:srgbClr val="0000C8"/>
                            </a:solidFill>
                            <a:round/>
                          </a:ln>
                        </wps:spPr>
                        <wps:bodyPr/>
                      </wps:wsp>
                      <wps:wsp>
                        <wps:cNvPr id="286941" name="Line 2546"/>
                        <wps:cNvCnPr>
                          <a:cxnSpLocks noChangeShapeType="1"/>
                        </wps:cNvCnPr>
                        <wps:spPr bwMode="auto">
                          <a:xfrm flipV="1">
                            <a:off x="2496" y="3111"/>
                            <a:ext cx="211" cy="0"/>
                          </a:xfrm>
                          <a:prstGeom prst="line">
                            <a:avLst/>
                          </a:prstGeom>
                          <a:noFill/>
                          <a:ln w="12700">
                            <a:solidFill>
                              <a:srgbClr val="0000C8"/>
                            </a:solidFill>
                            <a:round/>
                          </a:ln>
                        </wps:spPr>
                        <wps:bodyPr/>
                      </wps:wsp>
                      <wps:wsp>
                        <wps:cNvPr id="286942" name="Line 2547"/>
                        <wps:cNvCnPr>
                          <a:cxnSpLocks noChangeShapeType="1"/>
                        </wps:cNvCnPr>
                        <wps:spPr bwMode="auto">
                          <a:xfrm flipV="1">
                            <a:off x="5578" y="171"/>
                            <a:ext cx="1200" cy="0"/>
                          </a:xfrm>
                          <a:prstGeom prst="line">
                            <a:avLst/>
                          </a:prstGeom>
                          <a:noFill/>
                          <a:ln w="12700">
                            <a:solidFill>
                              <a:srgbClr val="0000C8"/>
                            </a:solidFill>
                            <a:round/>
                          </a:ln>
                        </wps:spPr>
                        <wps:bodyPr/>
                      </wps:wsp>
                      <wps:wsp>
                        <wps:cNvPr id="286943" name="Line 2548"/>
                        <wps:cNvCnPr>
                          <a:cxnSpLocks noChangeShapeType="1"/>
                        </wps:cNvCnPr>
                        <wps:spPr bwMode="auto">
                          <a:xfrm>
                            <a:off x="5578" y="605"/>
                            <a:ext cx="1205" cy="0"/>
                          </a:xfrm>
                          <a:prstGeom prst="line">
                            <a:avLst/>
                          </a:prstGeom>
                          <a:noFill/>
                          <a:ln w="12700">
                            <a:solidFill>
                              <a:srgbClr val="0000C8"/>
                            </a:solidFill>
                            <a:round/>
                          </a:ln>
                        </wps:spPr>
                        <wps:bodyPr/>
                      </wps:wsp>
                      <wps:wsp>
                        <wps:cNvPr id="286944" name="Line 2549"/>
                        <wps:cNvCnPr>
                          <a:cxnSpLocks noChangeShapeType="1"/>
                        </wps:cNvCnPr>
                        <wps:spPr bwMode="auto">
                          <a:xfrm>
                            <a:off x="5573" y="1142"/>
                            <a:ext cx="1372" cy="0"/>
                          </a:xfrm>
                          <a:prstGeom prst="line">
                            <a:avLst/>
                          </a:prstGeom>
                          <a:noFill/>
                          <a:ln w="12700">
                            <a:solidFill>
                              <a:srgbClr val="0000C8"/>
                            </a:solidFill>
                            <a:round/>
                          </a:ln>
                        </wps:spPr>
                        <wps:bodyPr/>
                      </wps:wsp>
                      <wps:wsp>
                        <wps:cNvPr id="286945" name="Line 2550"/>
                        <wps:cNvCnPr>
                          <a:cxnSpLocks noChangeShapeType="1"/>
                        </wps:cNvCnPr>
                        <wps:spPr bwMode="auto">
                          <a:xfrm>
                            <a:off x="6435" y="1659"/>
                            <a:ext cx="338" cy="0"/>
                          </a:xfrm>
                          <a:prstGeom prst="line">
                            <a:avLst/>
                          </a:prstGeom>
                          <a:noFill/>
                          <a:ln w="12700">
                            <a:solidFill>
                              <a:srgbClr val="0000C8"/>
                            </a:solidFill>
                            <a:round/>
                          </a:ln>
                        </wps:spPr>
                        <wps:bodyPr/>
                      </wps:wsp>
                      <wps:wsp>
                        <wps:cNvPr id="286946" name="Line 2551"/>
                        <wps:cNvCnPr>
                          <a:cxnSpLocks noChangeShapeType="1"/>
                        </wps:cNvCnPr>
                        <wps:spPr bwMode="auto">
                          <a:xfrm>
                            <a:off x="6440" y="2039"/>
                            <a:ext cx="495" cy="0"/>
                          </a:xfrm>
                          <a:prstGeom prst="line">
                            <a:avLst/>
                          </a:prstGeom>
                          <a:noFill/>
                          <a:ln w="12700">
                            <a:solidFill>
                              <a:srgbClr val="0000C8"/>
                            </a:solidFill>
                            <a:round/>
                          </a:ln>
                        </wps:spPr>
                        <wps:bodyPr/>
                      </wps:wsp>
                      <wps:wsp>
                        <wps:cNvPr id="286947" name="Line 2552"/>
                        <wps:cNvCnPr>
                          <a:cxnSpLocks noChangeShapeType="1"/>
                        </wps:cNvCnPr>
                        <wps:spPr bwMode="auto">
                          <a:xfrm>
                            <a:off x="6435" y="2438"/>
                            <a:ext cx="338" cy="0"/>
                          </a:xfrm>
                          <a:prstGeom prst="line">
                            <a:avLst/>
                          </a:prstGeom>
                          <a:noFill/>
                          <a:ln w="12700">
                            <a:solidFill>
                              <a:srgbClr val="0000C8"/>
                            </a:solidFill>
                            <a:round/>
                          </a:ln>
                        </wps:spPr>
                        <wps:bodyPr/>
                      </wps:wsp>
                      <wps:wsp>
                        <wps:cNvPr id="286948" name="Line 2553"/>
                        <wps:cNvCnPr>
                          <a:cxnSpLocks noChangeShapeType="1"/>
                        </wps:cNvCnPr>
                        <wps:spPr bwMode="auto">
                          <a:xfrm>
                            <a:off x="6773" y="1659"/>
                            <a:ext cx="0" cy="779"/>
                          </a:xfrm>
                          <a:prstGeom prst="line">
                            <a:avLst/>
                          </a:prstGeom>
                          <a:noFill/>
                          <a:ln w="12700">
                            <a:solidFill>
                              <a:srgbClr val="0000C8"/>
                            </a:solidFill>
                            <a:round/>
                          </a:ln>
                        </wps:spPr>
                        <wps:bodyPr/>
                      </wps:wsp>
                      <wps:wsp>
                        <wps:cNvPr id="286949" name="Line 2554"/>
                        <wps:cNvCnPr>
                          <a:cxnSpLocks noChangeShapeType="1"/>
                        </wps:cNvCnPr>
                        <wps:spPr bwMode="auto">
                          <a:xfrm>
                            <a:off x="6435" y="2883"/>
                            <a:ext cx="338" cy="0"/>
                          </a:xfrm>
                          <a:prstGeom prst="line">
                            <a:avLst/>
                          </a:prstGeom>
                          <a:noFill/>
                          <a:ln w="12700">
                            <a:solidFill>
                              <a:srgbClr val="0000C8"/>
                            </a:solidFill>
                            <a:round/>
                          </a:ln>
                        </wps:spPr>
                        <wps:bodyPr/>
                      </wps:wsp>
                      <wps:wsp>
                        <wps:cNvPr id="286950" name="Line 2555"/>
                        <wps:cNvCnPr>
                          <a:cxnSpLocks noChangeShapeType="1"/>
                        </wps:cNvCnPr>
                        <wps:spPr bwMode="auto">
                          <a:xfrm>
                            <a:off x="6440" y="3262"/>
                            <a:ext cx="338" cy="0"/>
                          </a:xfrm>
                          <a:prstGeom prst="line">
                            <a:avLst/>
                          </a:prstGeom>
                          <a:noFill/>
                          <a:ln w="12700">
                            <a:solidFill>
                              <a:srgbClr val="0000C8"/>
                            </a:solidFill>
                            <a:round/>
                          </a:ln>
                        </wps:spPr>
                        <wps:bodyPr/>
                      </wps:wsp>
                      <wps:wsp>
                        <wps:cNvPr id="286951" name="Line 2556"/>
                        <wps:cNvCnPr>
                          <a:cxnSpLocks noChangeShapeType="1"/>
                        </wps:cNvCnPr>
                        <wps:spPr bwMode="auto">
                          <a:xfrm>
                            <a:off x="6783" y="2883"/>
                            <a:ext cx="0" cy="379"/>
                          </a:xfrm>
                          <a:prstGeom prst="line">
                            <a:avLst/>
                          </a:prstGeom>
                          <a:noFill/>
                          <a:ln w="12700">
                            <a:solidFill>
                              <a:srgbClr val="0000C8"/>
                            </a:solidFill>
                            <a:round/>
                          </a:ln>
                        </wps:spPr>
                        <wps:bodyPr/>
                      </wps:wsp>
                      <wps:wsp>
                        <wps:cNvPr id="286952" name="Line 2557"/>
                        <wps:cNvCnPr>
                          <a:cxnSpLocks noChangeShapeType="1"/>
                        </wps:cNvCnPr>
                        <wps:spPr bwMode="auto">
                          <a:xfrm>
                            <a:off x="6783" y="3057"/>
                            <a:ext cx="152" cy="0"/>
                          </a:xfrm>
                          <a:prstGeom prst="line">
                            <a:avLst/>
                          </a:prstGeom>
                          <a:noFill/>
                          <a:ln w="12700">
                            <a:solidFill>
                              <a:srgbClr val="0000C8"/>
                            </a:solidFill>
                            <a:round/>
                          </a:ln>
                        </wps:spPr>
                        <wps:bodyPr/>
                      </wps:wsp>
                      <wps:wsp>
                        <wps:cNvPr id="286953" name="Line 2558"/>
                        <wps:cNvCnPr>
                          <a:cxnSpLocks noChangeShapeType="1"/>
                        </wps:cNvCnPr>
                        <wps:spPr bwMode="auto">
                          <a:xfrm>
                            <a:off x="6783" y="171"/>
                            <a:ext cx="0" cy="434"/>
                          </a:xfrm>
                          <a:prstGeom prst="line">
                            <a:avLst/>
                          </a:prstGeom>
                          <a:noFill/>
                          <a:ln w="12700">
                            <a:solidFill>
                              <a:srgbClr val="0000C8"/>
                            </a:solidFill>
                            <a:round/>
                          </a:ln>
                        </wps:spPr>
                        <wps:bodyPr/>
                      </wps:wsp>
                      <wps:wsp>
                        <wps:cNvPr id="286954" name="Line 2559"/>
                        <wps:cNvCnPr>
                          <a:cxnSpLocks noChangeShapeType="1"/>
                        </wps:cNvCnPr>
                        <wps:spPr bwMode="auto">
                          <a:xfrm>
                            <a:off x="6783" y="407"/>
                            <a:ext cx="162" cy="0"/>
                          </a:xfrm>
                          <a:prstGeom prst="line">
                            <a:avLst/>
                          </a:prstGeom>
                          <a:noFill/>
                          <a:ln w="12700">
                            <a:solidFill>
                              <a:srgbClr val="0000C8"/>
                            </a:solidFill>
                            <a:round/>
                          </a:ln>
                        </wps:spPr>
                        <wps:bodyPr/>
                      </wps:wsp>
                      <wps:wsp>
                        <wps:cNvPr id="286955" name="Line 2560"/>
                        <wps:cNvCnPr>
                          <a:cxnSpLocks noChangeShapeType="1"/>
                        </wps:cNvCnPr>
                        <wps:spPr bwMode="auto">
                          <a:xfrm>
                            <a:off x="6102" y="3747"/>
                            <a:ext cx="654" cy="0"/>
                          </a:xfrm>
                          <a:prstGeom prst="line">
                            <a:avLst/>
                          </a:prstGeom>
                          <a:noFill/>
                          <a:ln w="12700">
                            <a:solidFill>
                              <a:srgbClr val="0000C8"/>
                            </a:solidFill>
                            <a:round/>
                          </a:ln>
                        </wps:spPr>
                        <wps:bodyPr/>
                      </wps:wsp>
                      <wps:wsp>
                        <wps:cNvPr id="286956" name="Line 2561"/>
                        <wps:cNvCnPr>
                          <a:cxnSpLocks noChangeShapeType="1"/>
                        </wps:cNvCnPr>
                        <wps:spPr bwMode="auto">
                          <a:xfrm>
                            <a:off x="6085" y="4125"/>
                            <a:ext cx="671" cy="0"/>
                          </a:xfrm>
                          <a:prstGeom prst="line">
                            <a:avLst/>
                          </a:prstGeom>
                          <a:noFill/>
                          <a:ln w="12700">
                            <a:solidFill>
                              <a:srgbClr val="0000C8"/>
                            </a:solidFill>
                            <a:round/>
                          </a:ln>
                        </wps:spPr>
                        <wps:bodyPr/>
                      </wps:wsp>
                      <wps:wsp>
                        <wps:cNvPr id="286957" name="Line 2562"/>
                        <wps:cNvCnPr>
                          <a:cxnSpLocks noChangeShapeType="1"/>
                        </wps:cNvCnPr>
                        <wps:spPr bwMode="auto">
                          <a:xfrm>
                            <a:off x="6085" y="4504"/>
                            <a:ext cx="671" cy="0"/>
                          </a:xfrm>
                          <a:prstGeom prst="line">
                            <a:avLst/>
                          </a:prstGeom>
                          <a:noFill/>
                          <a:ln w="12700">
                            <a:solidFill>
                              <a:srgbClr val="0000C8"/>
                            </a:solidFill>
                            <a:round/>
                          </a:ln>
                        </wps:spPr>
                        <wps:bodyPr/>
                      </wps:wsp>
                      <wps:wsp>
                        <wps:cNvPr id="286958" name="Line 2563"/>
                        <wps:cNvCnPr>
                          <a:cxnSpLocks noChangeShapeType="1"/>
                        </wps:cNvCnPr>
                        <wps:spPr bwMode="auto">
                          <a:xfrm>
                            <a:off x="6085" y="4927"/>
                            <a:ext cx="671" cy="0"/>
                          </a:xfrm>
                          <a:prstGeom prst="line">
                            <a:avLst/>
                          </a:prstGeom>
                          <a:noFill/>
                          <a:ln w="12700">
                            <a:solidFill>
                              <a:srgbClr val="0000C8"/>
                            </a:solidFill>
                            <a:round/>
                          </a:ln>
                        </wps:spPr>
                        <wps:bodyPr/>
                      </wps:wsp>
                      <wps:wsp>
                        <wps:cNvPr id="286959" name="Line 2564"/>
                        <wps:cNvCnPr>
                          <a:cxnSpLocks noChangeShapeType="1"/>
                        </wps:cNvCnPr>
                        <wps:spPr bwMode="auto">
                          <a:xfrm>
                            <a:off x="6756" y="3747"/>
                            <a:ext cx="0" cy="1180"/>
                          </a:xfrm>
                          <a:prstGeom prst="line">
                            <a:avLst/>
                          </a:prstGeom>
                          <a:noFill/>
                          <a:ln w="12700">
                            <a:solidFill>
                              <a:srgbClr val="0000C8"/>
                            </a:solidFill>
                            <a:round/>
                          </a:ln>
                        </wps:spPr>
                        <wps:bodyPr/>
                      </wps:wsp>
                      <wps:wsp>
                        <wps:cNvPr id="286960" name="Line 2565"/>
                        <wps:cNvCnPr>
                          <a:cxnSpLocks noChangeShapeType="1"/>
                        </wps:cNvCnPr>
                        <wps:spPr bwMode="auto">
                          <a:xfrm>
                            <a:off x="6756" y="4353"/>
                            <a:ext cx="189" cy="0"/>
                          </a:xfrm>
                          <a:prstGeom prst="line">
                            <a:avLst/>
                          </a:prstGeom>
                          <a:noFill/>
                          <a:ln w="12700">
                            <a:solidFill>
                              <a:srgbClr val="0000C8"/>
                            </a:solidFill>
                            <a:round/>
                          </a:ln>
                        </wps:spPr>
                        <wps:bodyPr/>
                      </wps:wsp>
                      <wps:wsp>
                        <wps:cNvPr id="286961" name="Line 2566"/>
                        <wps:cNvCnPr>
                          <a:cxnSpLocks noChangeShapeType="1"/>
                        </wps:cNvCnPr>
                        <wps:spPr bwMode="auto">
                          <a:xfrm>
                            <a:off x="6945" y="407"/>
                            <a:ext cx="0" cy="3946"/>
                          </a:xfrm>
                          <a:prstGeom prst="line">
                            <a:avLst/>
                          </a:prstGeom>
                          <a:noFill/>
                          <a:ln w="12700">
                            <a:solidFill>
                              <a:srgbClr val="0000C8"/>
                            </a:solidFill>
                            <a:round/>
                          </a:ln>
                        </wps:spPr>
                        <wps:bodyPr/>
                      </wps:wsp>
                      <wps:wsp>
                        <wps:cNvPr id="286962" name="Line 2567"/>
                        <wps:cNvCnPr>
                          <a:cxnSpLocks noChangeShapeType="1"/>
                        </wps:cNvCnPr>
                        <wps:spPr bwMode="auto">
                          <a:xfrm>
                            <a:off x="6945" y="2438"/>
                            <a:ext cx="152" cy="0"/>
                          </a:xfrm>
                          <a:prstGeom prst="line">
                            <a:avLst/>
                          </a:prstGeom>
                          <a:noFill/>
                          <a:ln w="12700">
                            <a:solidFill>
                              <a:srgbClr val="0000C8"/>
                            </a:solidFill>
                            <a:round/>
                          </a:ln>
                        </wps:spPr>
                        <wps:bodyPr/>
                      </wps:wsp>
                      <wps:wsp>
                        <wps:cNvPr id="286963" name="Text Box 2568"/>
                        <wps:cNvSpPr txBox="1">
                          <a:spLocks noChangeArrowheads="1"/>
                        </wps:cNvSpPr>
                        <wps:spPr bwMode="auto">
                          <a:xfrm>
                            <a:off x="7097" y="1324"/>
                            <a:ext cx="804" cy="2272"/>
                          </a:xfrm>
                          <a:prstGeom prst="rect">
                            <a:avLst/>
                          </a:prstGeom>
                          <a:solidFill>
                            <a:schemeClr val="accent6">
                              <a:lumMod val="40000"/>
                              <a:lumOff val="60000"/>
                            </a:schemeClr>
                          </a:solidFill>
                          <a:ln w="12700">
                            <a:solidFill>
                              <a:srgbClr val="0000C8"/>
                            </a:solidFill>
                            <a:miter lim="800000"/>
                          </a:ln>
                        </wps:spPr>
                        <wps:txbx>
                          <w:txbxContent>
                            <w:p w14:paraId="7C4CBD63">
                              <w:pPr>
                                <w:pStyle w:val="55"/>
                                <w:rPr>
                                  <w:rFonts w:hint="eastAsia"/>
                                  <w:lang w:val="en-US" w:eastAsia="zh-CN"/>
                                </w:rPr>
                              </w:pPr>
                              <w:r>
                                <w:rPr>
                                  <w:rFonts w:hint="eastAsia"/>
                                  <w:lang w:val="en-US" w:eastAsia="zh-CN"/>
                                </w:rPr>
                                <w:t>绿色</w:t>
                              </w:r>
                            </w:p>
                            <w:p w14:paraId="746D668F">
                              <w:pPr>
                                <w:pStyle w:val="55"/>
                                <w:rPr>
                                  <w:rFonts w:hint="eastAsia"/>
                                </w:rPr>
                              </w:pPr>
                              <w:r>
                                <w:rPr>
                                  <w:rFonts w:hint="eastAsia"/>
                                </w:rPr>
                                <w:t>施工</w:t>
                              </w:r>
                            </w:p>
                            <w:p w14:paraId="7BD70BA3">
                              <w:pPr>
                                <w:pStyle w:val="55"/>
                              </w:pPr>
                              <w:r>
                                <w:rPr>
                                  <w:rFonts w:hint="eastAsia"/>
                                </w:rPr>
                                <w:t>达标</w:t>
                              </w:r>
                            </w:p>
                          </w:txbxContent>
                        </wps:txbx>
                        <wps:bodyPr rot="0" vert="horz" wrap="square" lIns="0" tIns="0" rIns="0" bIns="0" anchor="ctr" anchorCtr="0" upright="1">
                          <a:noAutofit/>
                        </wps:bodyPr>
                      </wps:wsp>
                    </wpg:wgp>
                  </a:graphicData>
                </a:graphic>
              </wp:inline>
            </w:drawing>
          </mc:Choice>
          <mc:Fallback>
            <w:pict>
              <v:group id="Group 2503" o:spid="_x0000_s1026" o:spt="203" style="height:356.35pt;width:382.3pt;" coordsize="7901,5079" o:gfxdata="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">
                <o:lock v:ext="edit" aspectratio="f"/>
                <v:shape id="Text Box 2504" o:spid="_x0000_s1026" o:spt="202" type="#_x0000_t202" style="position:absolute;left:0;top:1142;height:2272;width:804;v-text-anchor:middle;" fillcolor="#C5E0B4 [1305]" filled="t" stroked="t" coordsize="21600,21600" o:gfxdata="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Zt7k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653F702">
                        <w:pPr>
                          <w:pStyle w:val="55"/>
                          <w:rPr>
                            <w:rFonts w:hint="eastAsia"/>
                            <w:lang w:val="en-US" w:eastAsia="zh-CN"/>
                          </w:rPr>
                        </w:pPr>
                        <w:r>
                          <w:rPr>
                            <w:rFonts w:hint="eastAsia"/>
                            <w:lang w:val="en-US" w:eastAsia="zh-CN"/>
                          </w:rPr>
                          <w:t>绿色</w:t>
                        </w:r>
                      </w:p>
                      <w:p w14:paraId="2B3EC0DC">
                        <w:pPr>
                          <w:pStyle w:val="55"/>
                        </w:pPr>
                        <w:r>
                          <w:rPr>
                            <w:rFonts w:hint="eastAsia"/>
                          </w:rPr>
                          <w:t>施工</w:t>
                        </w:r>
                      </w:p>
                      <w:p w14:paraId="39EC98D8">
                        <w:pPr>
                          <w:pStyle w:val="55"/>
                        </w:pPr>
                        <w:r>
                          <w:rPr>
                            <w:rFonts w:hint="eastAsia"/>
                          </w:rPr>
                          <w:t>保证</w:t>
                        </w:r>
                      </w:p>
                      <w:p w14:paraId="2442F07C">
                        <w:pPr>
                          <w:pStyle w:val="55"/>
                        </w:pPr>
                        <w:r>
                          <w:rPr>
                            <w:rFonts w:hint="eastAsia"/>
                          </w:rPr>
                          <w:t>体系</w:t>
                        </w:r>
                      </w:p>
                    </w:txbxContent>
                  </v:textbox>
                </v:shape>
                <v:line id="Line 2505" o:spid="_x0000_s1026" o:spt="20" style="position:absolute;left:806;top:2267;height:0;width:195;" filled="f" stroked="t" coordsize="21600,21600" o:gfxdata="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42OO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06" o:spid="_x0000_s1026" o:spt="20" style="position:absolute;left:1001;top:385;height:3740;width:0;" filled="f" stroked="t" coordsize="21600,21600" o:gfxdata="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ydMkb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line id="Line 2507" o:spid="_x0000_s1026" o:spt="20" style="position:absolute;left:1001;top:385;height:0;width:214;" filled="f" stroked="t" coordsize="21600,21600" o:gfxdata="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r6Qq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08" o:spid="_x0000_s1026" o:spt="202" type="#_x0000_t202" style="position:absolute;left:1215;top:233;height:303;width:1351;v-text-anchor:middle;" fillcolor="#C5E0B4 [1305]" filled="t" stroked="t" coordsize="21600,21600" o:gfxdata="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11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F2A6A99">
                        <w:pPr>
                          <w:pStyle w:val="55"/>
                        </w:pPr>
                        <w:r>
                          <w:rPr>
                            <w:rFonts w:hint="eastAsia"/>
                          </w:rPr>
                          <w:t>思想保证</w:t>
                        </w:r>
                      </w:p>
                    </w:txbxContent>
                  </v:textbox>
                </v:shape>
                <v:line id="Line 2509" o:spid="_x0000_s1026" o:spt="20" style="position:absolute;left:1002;top:1142;height:0;width:214;" filled="f" stroked="t" coordsize="21600,21600" o:gfxdata="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Ec9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10" o:spid="_x0000_s1026" o:spt="202" type="#_x0000_t202" style="position:absolute;left:1215;top:990;height:303;width:1351;v-text-anchor:middle;" fillcolor="#C5E0B4 [1305]" filled="t" stroked="t" coordsize="21600,21600" o:gfxdata="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E46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0DF620B">
                        <w:pPr>
                          <w:pStyle w:val="55"/>
                        </w:pPr>
                        <w:r>
                          <w:rPr>
                            <w:rFonts w:hint="eastAsia"/>
                          </w:rPr>
                          <w:t>组织保证</w:t>
                        </w:r>
                      </w:p>
                    </w:txbxContent>
                  </v:textbox>
                </v:shape>
                <v:line id="Line 2511" o:spid="_x0000_s1026" o:spt="20" style="position:absolute;left:2566;top:1142;height:0;width:479;" filled="f" stroked="t" coordsize="21600,21600" o:gfxdata="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aSD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12" o:spid="_x0000_s1026" o:spt="202" type="#_x0000_t202" style="position:absolute;left:3045;top:990;height:303;width:2533;v-text-anchor:middle;" fillcolor="#C5E0B4 [1305]" filled="t" stroked="t" coordsize="21600,21600" o:gfxdata="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0aG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5388B81E">
                        <w:pPr>
                          <w:pStyle w:val="55"/>
                        </w:pPr>
                        <w:r>
                          <w:rPr>
                            <w:rFonts w:hint="eastAsia"/>
                          </w:rPr>
                          <w:t>成立</w:t>
                        </w:r>
                        <w:r>
                          <w:rPr>
                            <w:rFonts w:hint="eastAsia"/>
                            <w:lang w:val="en-US" w:eastAsia="zh-CN"/>
                          </w:rPr>
                          <w:t>绿色施工</w:t>
                        </w:r>
                        <w:r>
                          <w:rPr>
                            <w:rFonts w:hint="eastAsia"/>
                          </w:rPr>
                          <w:t>领导小组</w:t>
                        </w:r>
                      </w:p>
                    </w:txbxContent>
                  </v:textbox>
                </v:shape>
                <v:shape id="Text Box 2513" o:spid="_x0000_s1026" o:spt="202" type="#_x0000_t202" style="position:absolute;left:3045;top:0;height:302;width:2533;v-text-anchor:middle;" fillcolor="#C5E0B4 [1305]" filled="t" stroked="t" coordsize="21600,21600" o:gfxdata="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M3x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3mm,0mm,0mm,0mm">
                    <w:txbxContent>
                      <w:p w14:paraId="2F287673">
                        <w:pPr>
                          <w:pStyle w:val="55"/>
                        </w:pPr>
                        <w:r>
                          <w:rPr>
                            <w:rFonts w:hint="eastAsia"/>
                            <w:lang w:val="en-US" w:eastAsia="zh-CN"/>
                          </w:rPr>
                          <w:t>环保节能</w:t>
                        </w:r>
                        <w:r>
                          <w:rPr>
                            <w:rFonts w:hint="eastAsia"/>
                          </w:rPr>
                          <w:t>知识宣传教育</w:t>
                        </w:r>
                      </w:p>
                    </w:txbxContent>
                  </v:textbox>
                </v:shape>
                <v:shape id="Text Box 2514" o:spid="_x0000_s1026" o:spt="202" type="#_x0000_t202" style="position:absolute;left:3045;top:453;height:303;width:2533;v-text-anchor:middle;" fillcolor="#C5E0B4 [1305]" filled="t" stroked="t" coordsize="21600,21600" o:gfxdata="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qU4a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205954D5">
                        <w:pPr>
                          <w:pStyle w:val="55"/>
                          <w:spacing w:line="240" w:lineRule="auto"/>
                        </w:pPr>
                        <w:r>
                          <w:rPr>
                            <w:rFonts w:hint="eastAsia"/>
                          </w:rPr>
                          <w:t>制定目标责任制</w:t>
                        </w:r>
                      </w:p>
                      <w:p w14:paraId="41FB3821">
                        <w:pPr>
                          <w:pStyle w:val="55"/>
                        </w:pPr>
                      </w:p>
                    </w:txbxContent>
                  </v:textbox>
                </v:shape>
                <v:line id="Line 2515" o:spid="_x0000_s1026" o:spt="20" style="position:absolute;left:2707;top:158;height:447;width:0;" filled="f" stroked="t" coordsize="21600,21600" o:gfxdata="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hTj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16" o:spid="_x0000_s1026" o:spt="20" style="position:absolute;left:2707;top:158;height:0;width:338;" filled="f" stroked="t" coordsize="21600,21600" o:gfxdata="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r+2ky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7" o:spid="_x0000_s1026" o:spt="20" style="position:absolute;left:2707;top:605;height:0;width:338;" filled="f" stroked="t" coordsize="21600,21600" o:gfxdata="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yf9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18" o:spid="_x0000_s1026" o:spt="20" style="position:absolute;left:1001;top:2039;height:0;width:143;" filled="f" stroked="t" coordsize="21600,21600" o:gfxdata="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OpT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19" o:spid="_x0000_s1026" o:spt="202" type="#_x0000_t202" style="position:absolute;left:1144;top:1887;height:303;width:1352;v-text-anchor:middle;" fillcolor="#C5E0B4 [1305]" filled="t" stroked="t" coordsize="21600,21600" o:gfxdata="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KMw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3BE9033C">
                        <w:pPr>
                          <w:pStyle w:val="55"/>
                        </w:pPr>
                        <w:r>
                          <w:rPr>
                            <w:rFonts w:hint="eastAsia"/>
                          </w:rPr>
                          <w:t>技术保证</w:t>
                        </w:r>
                      </w:p>
                    </w:txbxContent>
                  </v:textbox>
                </v:shape>
                <v:line id="Line 2520" o:spid="_x0000_s1026" o:spt="20" style="position:absolute;left:2496;top:2039;height:0;width:549;" filled="f" stroked="t" coordsize="21600,21600" o:gfxdata="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bvk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21" o:spid="_x0000_s1026" o:spt="202" type="#_x0000_t202" style="position:absolute;left:3045;top:1887;height:303;width:3390;v-text-anchor:middle;" fillcolor="#C5E0B4 [1305]" filled="t" stroked="t" coordsize="21600,21600" o:gfxdata="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V2QC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50C5CED0">
                        <w:pPr>
                          <w:pStyle w:val="55"/>
                          <w:rPr>
                            <w:rFonts w:hint="eastAsia" w:eastAsia="宋体"/>
                            <w:lang w:eastAsia="zh-CN"/>
                          </w:rPr>
                        </w:pPr>
                        <w:r>
                          <w:rPr>
                            <w:rFonts w:hint="eastAsia"/>
                          </w:rPr>
                          <w:t>制定实施</w:t>
                        </w:r>
                        <w:r>
                          <w:rPr>
                            <w:rFonts w:hint="eastAsia"/>
                            <w:lang w:val="en-US" w:eastAsia="zh-CN"/>
                          </w:rPr>
                          <w:t>性绿色施工措施</w:t>
                        </w:r>
                      </w:p>
                    </w:txbxContent>
                  </v:textbox>
                </v:shape>
                <v:shape id="Text Box 2522" o:spid="_x0000_s1026" o:spt="202" type="#_x0000_t202" style="position:absolute;left:3045;top:1510;height:303;width:3390;v-text-anchor:middle;" fillcolor="#C5E0B4 [1305]" filled="t" stroked="t" coordsize="21600,21600" o:gfxdata="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8pNcrgAAADc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3mm,0mm,0mm,0mm">
                    <w:txbxContent>
                      <w:p w14:paraId="728CD31B">
                        <w:pPr>
                          <w:pStyle w:val="55"/>
                        </w:pPr>
                        <w:r>
                          <w:rPr>
                            <w:rFonts w:hint="eastAsia"/>
                            <w:lang w:val="en-US" w:eastAsia="zh-CN"/>
                          </w:rPr>
                          <w:t>组织</w:t>
                        </w:r>
                        <w:r>
                          <w:rPr>
                            <w:rFonts w:hint="eastAsia"/>
                          </w:rPr>
                          <w:t>员工培训</w:t>
                        </w:r>
                      </w:p>
                    </w:txbxContent>
                  </v:textbox>
                </v:shape>
                <v:line id="Line 2523" o:spid="_x0000_s1026" o:spt="20" style="position:absolute;left:2707;top:1659;height:767;width:0;" filled="f" stroked="t" coordsize="21600,21600" o:gfxdata="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AVDK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24" o:spid="_x0000_s1026" o:spt="20" style="position:absolute;left:2707;top:1659;height:0;width:338;" filled="f" stroked="t" coordsize="21600,21600" o:gfxdata="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ib4q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5" o:spid="_x0000_s1026" o:spt="20" style="position:absolute;left:1001;top:3110;height:0;width:143;" filled="f" stroked="t" coordsize="21600,21600" o:gfxdata="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uyh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26" o:spid="_x0000_s1026" o:spt="202" type="#_x0000_t202" style="position:absolute;left:1144;top:2959;height:303;width:1352;v-text-anchor:middle;" fillcolor="#C5E0B4 [1305]" filled="t" stroked="t" coordsize="21600,21600" o:gfxdata="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7vf6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3BA69FC5">
                        <w:pPr>
                          <w:pStyle w:val="55"/>
                        </w:pPr>
                        <w:r>
                          <w:rPr>
                            <w:rFonts w:hint="eastAsia"/>
                          </w:rPr>
                          <w:t>制度保证</w:t>
                        </w:r>
                      </w:p>
                    </w:txbxContent>
                  </v:textbox>
                </v:shape>
                <v:shape id="Text Box 2527" o:spid="_x0000_s1026" o:spt="202" type="#_x0000_t202" style="position:absolute;left:3045;top:3111;height:303;width:3390;v-text-anchor:middle;" fillcolor="#C5E0B4 [1305]" filled="t" stroked="t" coordsize="21600,21600" o:gfxdata="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3Sd6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192F0B52">
                        <w:pPr>
                          <w:pStyle w:val="55"/>
                        </w:pPr>
                        <w:r>
                          <w:rPr>
                            <w:rFonts w:hint="eastAsia"/>
                          </w:rPr>
                          <w:t>公司、项目部相关规章制度</w:t>
                        </w:r>
                      </w:p>
                    </w:txbxContent>
                  </v:textbox>
                </v:shape>
                <v:shape id="Text Box 2528" o:spid="_x0000_s1026" o:spt="202" type="#_x0000_t202" style="position:absolute;left:3045;top:2734;height:303;width:3390;v-text-anchor:middle;" fillcolor="#C5E0B4 [1305]" filled="t" stroked="t" coordsize="21600,21600" o:gfxdata="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e0a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2FC5EA5F">
                        <w:pPr>
                          <w:pStyle w:val="55"/>
                        </w:pPr>
                        <w:r>
                          <w:rPr>
                            <w:rFonts w:hint="eastAsia"/>
                          </w:rPr>
                          <w:t>国家、相关部委相关法律、法规</w:t>
                        </w:r>
                      </w:p>
                    </w:txbxContent>
                  </v:textbox>
                </v:shape>
                <v:line id="Line 2529" o:spid="_x0000_s1026" o:spt="20" style="position:absolute;left:2707;top:2883;height:379;width:0;" filled="f" stroked="t" coordsize="21600,21600" o:gfxdata="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BxEE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0" o:spid="_x0000_s1026" o:spt="20" style="position:absolute;left:2707;top:2883;height:0;width:338;" filled="f" stroked="t" coordsize="21600,21600" o:gfxdata="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yiG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1" o:spid="_x0000_s1026" o:spt="20" style="position:absolute;left:1001;top:4125;height:0;width:143;" filled="f" stroked="t" coordsize="21600,21600" o:gfxdata="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140d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32" o:spid="_x0000_s1026" o:spt="202" type="#_x0000_t202" style="position:absolute;left:1144;top:3973;height:304;width:1352;v-text-anchor:middle;" fillcolor="#C5E0B4 [1305]" filled="t" stroked="t" coordsize="21600,21600" o:gfxdata="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wQh9&#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0mm,0mm,0mm,0mm">
                    <w:txbxContent>
                      <w:p w14:paraId="72B0B6B3">
                        <w:pPr>
                          <w:pStyle w:val="55"/>
                        </w:pPr>
                        <w:r>
                          <w:rPr>
                            <w:rFonts w:hint="eastAsia"/>
                          </w:rPr>
                          <w:t>施工保证</w:t>
                        </w:r>
                      </w:p>
                    </w:txbxContent>
                  </v:textbox>
                </v:shape>
                <v:line id="Line 2533" o:spid="_x0000_s1026" o:spt="20" style="position:absolute;left:2496;top:4125;height:0;width:549;" filled="f" stroked="t" coordsize="21600,21600" o:gfxdata="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indW8AAAA&#10;3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34" o:spid="_x0000_s1026" o:spt="202" type="#_x0000_t202" style="position:absolute;left:3045;top:3973;height:304;width:3040;v-text-anchor:middle;" fillcolor="#C5E0B4 [1305]" filled="t" stroked="t" coordsize="21600,21600" o:gfxdata="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CXGX&#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3mm,0mm,0mm,0mm">
                    <w:txbxContent>
                      <w:p w14:paraId="498948D0">
                        <w:pPr>
                          <w:pStyle w:val="55"/>
                        </w:pPr>
                        <w:r>
                          <w:rPr>
                            <w:rFonts w:hint="eastAsia"/>
                            <w:lang w:val="en-US" w:eastAsia="zh-CN"/>
                          </w:rPr>
                          <w:t>绿色</w:t>
                        </w:r>
                        <w:r>
                          <w:rPr>
                            <w:rFonts w:hint="eastAsia"/>
                          </w:rPr>
                          <w:t>施工工艺保证</w:t>
                        </w:r>
                      </w:p>
                    </w:txbxContent>
                  </v:textbox>
                </v:shape>
                <v:shape id="Text Box 2535" o:spid="_x0000_s1026" o:spt="202" type="#_x0000_t202" style="position:absolute;left:3045;top:3596;height:303;width:3040;v-text-anchor:middle;" fillcolor="#C5E0B4 [1305]" filled="t" stroked="t" coordsize="21600,21600" o:gfxdata="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pO174A&#10;AADf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3mm,0mm,0mm,0mm">
                    <w:txbxContent>
                      <w:p w14:paraId="26605DA4">
                        <w:pPr>
                          <w:pStyle w:val="55"/>
                        </w:pPr>
                        <w:r>
                          <w:rPr>
                            <w:rFonts w:hint="eastAsia"/>
                          </w:rPr>
                          <w:t>落实岗位责任制</w:t>
                        </w:r>
                      </w:p>
                    </w:txbxContent>
                  </v:textbox>
                </v:shape>
                <v:shape id="Text Box 2536" o:spid="_x0000_s1026" o:spt="202" type="#_x0000_t202" style="position:absolute;left:3045;top:4353;height:302;width:3040;v-text-anchor:middle;" fillcolor="#C5E0B4 [1305]" filled="t" stroked="t" coordsize="21600,21600" o:gfxdata="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m60y/&#10;AAAA3wAAAA8AAAAAAAAAAQAgAAAAIgAAAGRycy9kb3ducmV2LnhtbFBLAQIUABQAAAAIAIdO4kAz&#10;LwWeOwAAADkAAAAQAAAAAAAAAAEAIAAAAA4BAABkcnMvc2hhcGV4bWwueG1sUEsFBgAAAAAGAAYA&#10;WwEAALgDAAAAAA==&#10;">
                  <v:fill on="t" focussize="0,0"/>
                  <v:stroke weight="1pt" color="#0000C8" miterlimit="8" joinstyle="miter"/>
                  <v:imagedata o:title=""/>
                  <o:lock v:ext="edit" aspectratio="f"/>
                  <v:textbox inset="3mm,0mm,0mm,0mm">
                    <w:txbxContent>
                      <w:p w14:paraId="59662101">
                        <w:pPr>
                          <w:pStyle w:val="55"/>
                        </w:pPr>
                        <w:r>
                          <w:rPr>
                            <w:rFonts w:hint="eastAsia"/>
                          </w:rPr>
                          <w:t>物资设备保证</w:t>
                        </w:r>
                      </w:p>
                    </w:txbxContent>
                  </v:textbox>
                </v:shape>
                <v:line id="Line 2537" o:spid="_x0000_s1026" o:spt="20" style="position:absolute;left:2707;top:3747;height:1180;width:0;" filled="f" stroked="t" coordsize="21600,21600" o:gfxdata="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TPOK/&#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38" o:spid="_x0000_s1026" o:spt="20" style="position:absolute;left:2707;top:3747;height:0;width:338;" filled="f" stroked="t" coordsize="21600,21600" o:gfxdata="UEsDBAoAAAAAAIdO4kAAAAAAAAAAAAAAAAAEAAAAZHJzL1BLAwQUAAAACACHTuJAUV+Zeb8AAADf&#10;AAAADwAAAGRycy9kb3ducmV2LnhtbEWPQWsCMRSE70L/Q3iF3jS7K4j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fmXm/&#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39" o:spid="_x0000_s1026" o:spt="20" style="position:absolute;left:2707;top:4504;height:0;width:338;" filled="f" stroked="t" coordsize="21600,21600" o:gfxdata="UEsDBAoAAAAAAIdO4kAAAAAAAAAAAAAAAAAEAAAAZHJzL1BLAwQUAAAACACHTuJA3rYBDcAAAADf&#10;AAAADwAAAGRycy9kb3ducmV2LnhtbEWPQWsCMRSE70L/Q3iF3jS72yJ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tgEN&#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0" o:spid="_x0000_s1026" o:spt="20" style="position:absolute;left:2566;top:358;height:0;width:141;" filled="f" stroked="t" coordsize="21600,21600" o:gfxdata="UEsDBAoAAAAAAIdO4kAAAAAAAAAAAAAAAAAEAAAAZHJzL1BLAwQUAAAACACHTuJAsfqklsAAAADf&#10;AAAADwAAAGRycy9kb3ducmV2LnhtbEWPQWsCMRSE70L/Q3iF3jS7Wyp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qSW&#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shape id="Text Box 2541" o:spid="_x0000_s1026" o:spt="202" type="#_x0000_t202" style="position:absolute;left:3045;top:2276;height:303;width:3390;v-text-anchor:middle;" fillcolor="#C5E0B4 [1305]" filled="t" stroked="t" coordsize="21600,21600" o:gfxdata="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T3M4&#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3mm,0mm,0mm,0mm">
                    <w:txbxContent>
                      <w:p w14:paraId="0136C8F0">
                        <w:pPr>
                          <w:pStyle w:val="55"/>
                          <w:rPr>
                            <w:rFonts w:hint="default" w:eastAsia="宋体"/>
                            <w:lang w:val="en-US" w:eastAsia="zh-CN"/>
                          </w:rPr>
                        </w:pPr>
                        <w:r>
                          <w:rPr>
                            <w:rFonts w:hint="eastAsia"/>
                            <w:lang w:val="en-US" w:eastAsia="zh-CN"/>
                          </w:rPr>
                          <w:t>按照设计和施组内容进行落实</w:t>
                        </w:r>
                      </w:p>
                    </w:txbxContent>
                  </v:textbox>
                </v:shape>
                <v:line id="Line 2542" o:spid="_x0000_s1026" o:spt="20" style="position:absolute;left:2707;top:2426;height:0;width:338;" filled="f" stroked="t" coordsize="21600,21600" o:gfxdata="UEsDBAoAAAAAAIdO4kAAAAAAAAAAAAAAAAAEAAAAZHJzL1BLAwQUAAAACACHTuJALmSfesAAAADf&#10;AAAADwAAAGRycy9kb3ducmV2LnhtbEWPQWsCMRSE70L/Q3iF3jS7W1C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ZJ96&#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shape id="Text Box 2543" o:spid="_x0000_s1026" o:spt="202" type="#_x0000_t202" style="position:absolute;left:3045;top:4776;height:303;width:3040;v-text-anchor:middle;" fillcolor="#C5E0B4 [1305]" filled="t" stroked="t" coordsize="21600,21600" o:gfxdata="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cQtG8AAAA&#10;3w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6D1F5B1C">
                        <w:pPr>
                          <w:pStyle w:val="55"/>
                        </w:pPr>
                        <w:r>
                          <w:rPr>
                            <w:rFonts w:hint="eastAsia"/>
                          </w:rPr>
                          <w:t>监督、检查、改进</w:t>
                        </w:r>
                      </w:p>
                    </w:txbxContent>
                  </v:textbox>
                </v:shape>
                <v:line id="Line 2544" o:spid="_x0000_s1026" o:spt="20" style="position:absolute;left:2707;top:4927;height:0;width:338;" filled="f" stroked="t" coordsize="21600,21600" o:gfxdata="UEsDBAoAAAAAAIdO4kAAAAAAAAAAAAAAAAAEAAAAZHJzL1BLAwQUAAAACACHTuJAMLeuk78AAADf&#10;AAAADwAAAGRycy9kb3ducmV2LnhtbEWPQWsCMRSE74L/ITyhN83uFkR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3rp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45" o:spid="_x0000_s1026" o:spt="20" style="position:absolute;left:2707;top:3262;height:0;width:338;" filled="f" stroked="t" coordsize="21600,21600" o:gfxdata="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LdH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46" o:spid="_x0000_s1026" o:spt="20" style="position:absolute;left:2496;top:3111;flip:y;height:0;width:211;" filled="f" stroked="t" coordsize="21600,21600" o:gfxdata="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8NNc&#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7" o:spid="_x0000_s1026" o:spt="20" style="position:absolute;left:5578;top:171;flip:y;height:0;width:1200;" filled="f" stroked="t" coordsize="21600,21600" o:gfxdata="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Ik0r&#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8" o:spid="_x0000_s1026" o:spt="20" style="position:absolute;left:5578;top:605;height:0;width:1205;" filled="f" stroked="t" coordsize="21600,21600" o:gfxdata="UEsDBAoAAAAAAIdO4kAAAAAAAAAAAAAAAAAEAAAAZHJzL1BLAwQUAAAACACHTuJACVnqBMAAAADf&#10;AAAADwAAAGRycy9kb3ducmV2LnhtbEWPQWsCMRSE70L/Q3iF3jS72yJ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eoE&#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9" o:spid="_x0000_s1026" o:spt="20" style="position:absolute;left:5573;top:1142;height:0;width:1372;" filled="f" stroked="t" coordsize="21600,21600" o:gfxdata="UEsDBAoAAAAAAIdO4kAAAAAAAAAAAAAAAAAEAAAAZHJzL1BLAwQUAAAACACHTuJAhrBycL8AAADf&#10;AAAADwAAAGRycy9kb3ducmV2LnhtbEWPQWsCMRSE70L/Q3iF3jS7i4j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wcnC/&#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0" o:spid="_x0000_s1026" o:spt="20" style="position:absolute;left:6435;top:1659;height:0;width:338;" filled="f" stroked="t" coordsize="21600,21600" o:gfxdata="UEsDBAoAAAAAAIdO4kAAAAAAAAAAAAAAAAAEAAAAZHJzL1BLAwQUAAAACACHTuJA6fzX68AAAADf&#10;AAAADwAAAGRycy9kb3ducmV2LnhtbEWPQWsCMRSE70L/Q3iF3jS7Syt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Nfr&#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1" o:spid="_x0000_s1026" o:spt="20" style="position:absolute;left:6440;top:2039;height:0;width:495;" filled="f" stroked="t" coordsize="21600,21600" o:gfxdata="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Lkmc&#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2" o:spid="_x0000_s1026" o:spt="20" style="position:absolute;left:6435;top:2438;height:0;width:338;" filled="f" stroked="t" coordsize="21600,21600" o:gfxdata="UEsDBAoAAAAAAIdO4kAAAAAAAAAAAAAAAAAEAAAAZHJzL1BLAwQUAAAACACHTuJAdmLsB8AAAADf&#10;AAAADwAAAGRycy9kb3ducmV2LnhtbEWPQWsCMRSE70L/Q3iF3jS7S1G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YuwH&#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3" o:spid="_x0000_s1026" o:spt="20" style="position:absolute;left:6773;top:1659;height:779;width:0;" filled="f" stroked="t" coordsize="21600,21600" o:gfxdata="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Xh1vQAA&#10;AN8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54" o:spid="_x0000_s1026" o:spt="20" style="position:absolute;left:6435;top:2883;height:0;width:338;" filled="f" stroked="t" coordsize="21600,21600" o:gfxdata="UEsDBAoAAAAAAIdO4kAAAAAAAAAAAAAAAAAEAAAAZHJzL1BLAwQUAAAACACHTuJAaLHd7r8AAADf&#10;AAAADwAAAGRycy9kb3ducmV2LnhtbEWPQWsCMRSE74L/ITyhN83uUkR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x3e6/&#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5" o:spid="_x0000_s1026" o:spt="20" style="position:absolute;left:6440;top:3262;height:0;width:338;" filled="f" stroked="t" coordsize="21600,21600" o:gfxdata="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S4q6/&#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6" o:spid="_x0000_s1026" o:spt="20" style="position:absolute;left:6783;top:2883;height:379;width:0;" filled="f" stroked="t" coordsize="21600,21600" o:gfxdata="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eRzW/&#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7" o:spid="_x0000_s1026" o:spt="20" style="position:absolute;left:6783;top:3057;height:0;width:152;" filled="f" stroked="t" coordsize="21600,21600" o:gfxdata="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M2UK/&#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8" o:spid="_x0000_s1026" o:spt="20" style="position:absolute;left:6783;top:171;height:434;width:0;" filled="f" stroked="t" coordsize="21600,21600" o:gfxdata="UEsDBAoAAAAAAIdO4kAAAAAAAAAAAAAAAAAEAAAAZHJzL1BLAwQUAAAACACHTuJAjIB82cAAAADf&#10;AAAADwAAAGRycy9kb3ducmV2LnhtbEWPQWsCMRSE70L/Q3iF3jS7Wyp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gHzZ&#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9" o:spid="_x0000_s1026" o:spt="20" style="position:absolute;left:6783;top:407;height:0;width:162;" filled="f" stroked="t" coordsize="21600,21600" o:gfxdata="UEsDBAoAAAAAAIdO4kAAAAAAAAAAAAAAAAAEAAAAZHJzL1BLAwQUAAAACACHTuJAA2nkrcAAAADf&#10;AAAADwAAAGRycy9kb3ducmV2LnhtbEWPQWsCMRSE70L/Q3iF3jS7Syt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aeSt&#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0" o:spid="_x0000_s1026" o:spt="20" style="position:absolute;left:6102;top:3747;height:0;width:654;" filled="f" stroked="t" coordsize="21600,21600" o:gfxdata="UEsDBAoAAAAAAIdO4kAAAAAAAAAAAAAAAAAEAAAAZHJzL1BLAwQUAAAACACHTuJAbCVBNr8AAADf&#10;AAAADwAAAGRycy9kb3ducmV2LnhtbEWPQWsCMRSE70L/Q3iF3jS7C4r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lQTa/&#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1" o:spid="_x0000_s1026" o:spt="20" style="position:absolute;left:6085;top:4125;height:0;width:671;" filled="f" stroked="t" coordsize="21600,21600" o:gfxdata="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999B&#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2" o:spid="_x0000_s1026" o:spt="20" style="position:absolute;left:6085;top:4504;height:0;width:671;" filled="f" stroked="t" coordsize="21600,21600" o:gfxdata="UEsDBAoAAAAAAIdO4kAAAAAAAAAAAAAAAAAEAAAAZHJzL1BLAwQUAAAACACHTuJA87t62sAAAADf&#10;AAAADwAAAGRycy9kb3ducmV2LnhtbEWPQWsCMRSE70L/Q3iF3jS7C1W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u3ra&#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3" o:spid="_x0000_s1026" o:spt="20" style="position:absolute;left:6085;top:4927;height:0;width:671;" filled="f" stroked="t" coordsize="21600,21600" o:gfxdata="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O6ovQAA&#10;AN8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4" o:spid="_x0000_s1026" o:spt="20" style="position:absolute;left:6756;top:3747;height:1180;width:0;" filled="f" stroked="t" coordsize="21600,21600" o:gfxdata="UEsDBAoAAAAAAIdO4kAAAAAAAAAAAAAAAAAEAAAAZHJzL1BLAwQUAAAACACHTuJA7WhLM78AAADf&#10;AAAADwAAAGRycy9kb3ducmV2LnhtbEWPQWsCMRSE74L/ITyhN83uQkV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oSz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5" o:spid="_x0000_s1026" o:spt="20" style="position:absolute;left:6756;top:4353;height:0;width:189;" filled="f" stroked="t" coordsize="21600,21600" o:gfxdata="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4oE74A&#10;AADfAAAADwAAAAAAAAABACAAAAAiAAAAZHJzL2Rvd25yZXYueG1sUEsBAhQAFAAAAAgAh07iQDMv&#10;BZ47AAAAOQAAABAAAAAAAAAAAQAgAAAADQEAAGRycy9zaGFwZXhtbC54bWxQSwUGAAAAAAYABgBb&#10;AQAAtwMAAAAA&#10;">
                  <v:fill on="f" focussize="0,0"/>
                  <v:stroke weight="1pt" color="#0000C8" joinstyle="round"/>
                  <v:imagedata o:title=""/>
                  <o:lock v:ext="edit" aspectratio="f"/>
                </v:line>
                <v:line id="Line 2566" o:spid="_x0000_s1026" o:spt="20" style="position:absolute;left:6945;top:407;height:3946;width:0;" filled="f" stroked="t" coordsize="21600,21600" o:gfxdata="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yjYi/&#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7" o:spid="_x0000_s1026" o:spt="20" style="position:absolute;left:6945;top:2438;height:0;width:152;" filled="f" stroked="t" coordsize="21600,21600" o:gfxdata="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gE/+/&#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shape id="Text Box 2568" o:spid="_x0000_s1026" o:spt="202" type="#_x0000_t202" style="position:absolute;left:7097;top:1324;height:2272;width:804;v-text-anchor:middle;" fillcolor="#C5E0B4 [1305]" filled="t" stroked="t" coordsize="21600,21600" o:gfxdata="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Le+&#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0mm,0mm,0mm,0mm">
                    <w:txbxContent>
                      <w:p w14:paraId="7C4CBD63">
                        <w:pPr>
                          <w:pStyle w:val="55"/>
                          <w:rPr>
                            <w:rFonts w:hint="eastAsia"/>
                            <w:lang w:val="en-US" w:eastAsia="zh-CN"/>
                          </w:rPr>
                        </w:pPr>
                        <w:r>
                          <w:rPr>
                            <w:rFonts w:hint="eastAsia"/>
                            <w:lang w:val="en-US" w:eastAsia="zh-CN"/>
                          </w:rPr>
                          <w:t>绿色</w:t>
                        </w:r>
                      </w:p>
                      <w:p w14:paraId="746D668F">
                        <w:pPr>
                          <w:pStyle w:val="55"/>
                          <w:rPr>
                            <w:rFonts w:hint="eastAsia"/>
                          </w:rPr>
                        </w:pPr>
                        <w:r>
                          <w:rPr>
                            <w:rFonts w:hint="eastAsia"/>
                          </w:rPr>
                          <w:t>施工</w:t>
                        </w:r>
                      </w:p>
                      <w:p w14:paraId="7BD70BA3">
                        <w:pPr>
                          <w:pStyle w:val="55"/>
                        </w:pPr>
                        <w:r>
                          <w:rPr>
                            <w:rFonts w:hint="eastAsia"/>
                          </w:rPr>
                          <w:t>达标</w:t>
                        </w:r>
                      </w:p>
                    </w:txbxContent>
                  </v:textbox>
                </v:shape>
                <w10:wrap type="none"/>
                <w10:anchorlock/>
              </v:group>
            </w:pict>
          </mc:Fallback>
        </mc:AlternateContent>
      </w:r>
    </w:p>
    <w:p w14:paraId="60CD81EA">
      <w:pPr>
        <w:pStyle w:val="41"/>
        <w:bidi w:val="0"/>
        <w:rPr>
          <w:rFonts w:hint="eastAsia"/>
          <w:highlight w:val="none"/>
        </w:rPr>
      </w:pPr>
      <w:r>
        <w:rPr>
          <w:rFonts w:hint="eastAsia"/>
          <w:highlight w:val="none"/>
          <w:lang w:val="en-US" w:eastAsia="zh-CN"/>
        </w:rPr>
        <w:t>图10-2 绿色施工</w:t>
      </w:r>
      <w:r>
        <w:rPr>
          <w:rFonts w:hint="eastAsia"/>
          <w:highlight w:val="none"/>
        </w:rPr>
        <w:t>保证体系图</w:t>
      </w:r>
    </w:p>
    <w:p w14:paraId="3B646797">
      <w:pPr>
        <w:bidi w:val="0"/>
        <w:ind w:firstLine="480" w:firstLineChars="200"/>
        <w:rPr>
          <w:rFonts w:hint="eastAsia"/>
          <w:highlight w:val="none"/>
          <w:lang w:val="en-US" w:eastAsia="zh-CN"/>
        </w:rPr>
      </w:pPr>
      <w:r>
        <w:rPr>
          <w:rFonts w:hint="eastAsia"/>
          <w:highlight w:val="none"/>
          <w:lang w:val="en-US" w:eastAsia="zh-CN"/>
        </w:rPr>
        <w:t>（2）</w:t>
      </w:r>
      <w:r>
        <w:rPr>
          <w:highlight w:val="none"/>
        </w:rPr>
        <w:t>临时设施环境保护</w:t>
      </w:r>
      <w:r>
        <w:rPr>
          <w:rFonts w:hint="eastAsia"/>
          <w:highlight w:val="none"/>
          <w:lang w:val="en-US" w:eastAsia="zh-CN"/>
        </w:rPr>
        <w:t>措施</w:t>
      </w:r>
    </w:p>
    <w:p w14:paraId="7EF81F60">
      <w:pPr>
        <w:bidi w:val="0"/>
        <w:ind w:firstLine="480" w:firstLineChars="200"/>
        <w:rPr>
          <w:highlight w:val="none"/>
        </w:rPr>
      </w:pPr>
      <w:r>
        <w:rPr>
          <w:highlight w:val="none"/>
        </w:rPr>
        <w:t>便道、砼搅拌站、</w:t>
      </w:r>
      <w:r>
        <w:rPr>
          <w:rFonts w:hint="eastAsia"/>
          <w:highlight w:val="none"/>
          <w:lang w:val="en-US" w:eastAsia="zh-CN"/>
        </w:rPr>
        <w:t>钢筋加工场</w:t>
      </w:r>
      <w:r>
        <w:rPr>
          <w:highlight w:val="none"/>
        </w:rPr>
        <w:t>及施工营地的设置，要合理、紧凑，严禁随意搭建，尽量减少对植被的损坏，不占用乡村道路、阻碍交通。搅拌站等高</w:t>
      </w:r>
      <w:r>
        <w:rPr>
          <w:rFonts w:hint="eastAsia"/>
          <w:highlight w:val="none"/>
          <w:lang w:eastAsia="zh-CN"/>
        </w:rPr>
        <w:t>噪声</w:t>
      </w:r>
      <w:r>
        <w:rPr>
          <w:highlight w:val="none"/>
        </w:rPr>
        <w:t>生产设施 尽可能远离居民区或采取限时作业措施。施工场地周围预先开挖排水沟，做到排 水畅通，场内不得积水、积污，应充分考虑其对原地面排水的影响，以免阻挡地 表径流的排泄，影响当地居民的生产生活。</w:t>
      </w:r>
    </w:p>
    <w:p w14:paraId="0E06D3A8">
      <w:pPr>
        <w:bidi w:val="0"/>
        <w:ind w:firstLine="480" w:firstLineChars="200"/>
        <w:rPr>
          <w:rFonts w:hint="eastAsia"/>
          <w:highlight w:val="none"/>
          <w:lang w:val="en-US" w:eastAsia="zh-CN"/>
        </w:rPr>
      </w:pPr>
      <w:r>
        <w:rPr>
          <w:rFonts w:hint="eastAsia"/>
          <w:highlight w:val="none"/>
          <w:lang w:val="en-US" w:eastAsia="zh-CN"/>
        </w:rPr>
        <w:t>（3）</w:t>
      </w:r>
      <w:r>
        <w:rPr>
          <w:highlight w:val="none"/>
        </w:rPr>
        <w:t>施工中的环保措施</w:t>
      </w:r>
    </w:p>
    <w:p w14:paraId="38AC6365">
      <w:pPr>
        <w:bidi w:val="0"/>
        <w:ind w:firstLine="480" w:firstLineChars="200"/>
        <w:rPr>
          <w:highlight w:val="none"/>
        </w:rPr>
      </w:pPr>
      <w:r>
        <w:rPr>
          <w:highlight w:val="none"/>
        </w:rPr>
        <w:t>做好当地水系、植被的保护工作，在施工时对路基边坡及时进行防护与植被 绿化，施工车辆不得越界行驶，以免碾坏植被、庄稼、乡村道路等。</w:t>
      </w:r>
    </w:p>
    <w:p w14:paraId="5BD22C41">
      <w:pPr>
        <w:bidi w:val="0"/>
        <w:rPr>
          <w:rFonts w:hint="eastAsia"/>
          <w:highlight w:val="none"/>
          <w:lang w:val="en-US" w:eastAsia="zh-CN"/>
        </w:rPr>
      </w:pPr>
      <w:r>
        <w:rPr>
          <w:highlight w:val="none"/>
        </w:rPr>
        <w:t>场地</w:t>
      </w:r>
      <w:r>
        <w:rPr>
          <w:rFonts w:hint="eastAsia"/>
          <w:highlight w:val="none"/>
          <w:lang w:eastAsia="zh-CN"/>
        </w:rPr>
        <w:t>及时</w:t>
      </w:r>
      <w:r>
        <w:rPr>
          <w:highlight w:val="none"/>
        </w:rPr>
        <w:t>进行清扫，以防粉尘被风吹扬。凡对环境有污染的废物,如挖方弃 土、建筑垃圾、生产垃圾、废弃材料等，</w:t>
      </w:r>
      <w:r>
        <w:rPr>
          <w:rFonts w:hint="eastAsia"/>
          <w:highlight w:val="none"/>
          <w:lang w:eastAsia="zh-CN"/>
        </w:rPr>
        <w:t>并</w:t>
      </w:r>
      <w:r>
        <w:rPr>
          <w:highlight w:val="none"/>
        </w:rPr>
        <w:t>在指定地点处理。在桥涵施工时各种 材料、机械不得随意堆放，破坏植被。</w:t>
      </w:r>
    </w:p>
    <w:p w14:paraId="64670EBE">
      <w:pPr>
        <w:bidi w:val="0"/>
        <w:ind w:firstLine="480" w:firstLineChars="200"/>
        <w:rPr>
          <w:rFonts w:hint="eastAsia"/>
          <w:highlight w:val="none"/>
          <w:lang w:val="en-US" w:eastAsia="zh-CN"/>
        </w:rPr>
      </w:pPr>
      <w:r>
        <w:rPr>
          <w:rFonts w:hint="eastAsia"/>
          <w:highlight w:val="none"/>
          <w:lang w:val="en-US" w:eastAsia="zh-CN"/>
        </w:rPr>
        <w:t>（4）</w:t>
      </w:r>
      <w:r>
        <w:rPr>
          <w:highlight w:val="none"/>
        </w:rPr>
        <w:t>防止大气、噪声、水污染的措施</w:t>
      </w:r>
    </w:p>
    <w:p w14:paraId="19CDFCD5">
      <w:pPr>
        <w:bidi w:val="0"/>
        <w:ind w:firstLine="480" w:firstLineChars="200"/>
        <w:rPr>
          <w:highlight w:val="none"/>
        </w:rPr>
      </w:pPr>
      <w:r>
        <w:rPr>
          <w:rFonts w:hint="eastAsia"/>
          <w:highlight w:val="none"/>
          <w:lang w:val="en-US" w:eastAsia="zh-CN"/>
        </w:rPr>
        <w:t>1）</w:t>
      </w:r>
      <w:r>
        <w:rPr>
          <w:highlight w:val="none"/>
        </w:rPr>
        <w:t>防止大气污染措施</w:t>
      </w:r>
    </w:p>
    <w:p w14:paraId="3E6ED31B">
      <w:pPr>
        <w:bidi w:val="0"/>
        <w:ind w:firstLine="480" w:firstLineChars="200"/>
        <w:rPr>
          <w:highlight w:val="none"/>
        </w:rPr>
      </w:pPr>
      <w:r>
        <w:rPr>
          <w:highlight w:val="none"/>
        </w:rPr>
        <w:t>临时运输道路经常洒水湿润，减少道路扬尘。对产生尘埃运输车辆加以覆盖，</w:t>
      </w:r>
    </w:p>
    <w:p w14:paraId="33869607">
      <w:pPr>
        <w:bidi w:val="0"/>
        <w:rPr>
          <w:highlight w:val="none"/>
        </w:rPr>
      </w:pPr>
      <w:r>
        <w:rPr>
          <w:highlight w:val="none"/>
        </w:rPr>
        <w:t>减少对空气污染，生产及生活垃圾定期、专人处理。严禁焚烧有毒废料。</w:t>
      </w:r>
    </w:p>
    <w:p w14:paraId="5A856372">
      <w:pPr>
        <w:bidi w:val="0"/>
        <w:ind w:firstLine="480" w:firstLineChars="200"/>
        <w:rPr>
          <w:highlight w:val="none"/>
        </w:rPr>
      </w:pPr>
      <w:r>
        <w:rPr>
          <w:rFonts w:hint="eastAsia"/>
          <w:highlight w:val="none"/>
          <w:lang w:val="en-US" w:eastAsia="zh-CN"/>
        </w:rPr>
        <w:t>2）</w:t>
      </w:r>
      <w:r>
        <w:rPr>
          <w:highlight w:val="none"/>
        </w:rPr>
        <w:t>防止噪声的措施</w:t>
      </w:r>
    </w:p>
    <w:p w14:paraId="1A0C1DBD">
      <w:pPr>
        <w:bidi w:val="0"/>
        <w:ind w:firstLine="480" w:firstLineChars="200"/>
        <w:rPr>
          <w:highlight w:val="none"/>
        </w:rPr>
      </w:pPr>
      <w:r>
        <w:rPr>
          <w:highlight w:val="none"/>
        </w:rPr>
        <w:t>施工噪声主要包括施工现场、机械作业时和车辆运输时产生的噪声。为减少 噪声影响，机械设备选型配套时优先考虑低噪声设备，尽可能采取液压设备和摩 擦设备代替振动式设备，并采取消声、隔音、安装防震底座等措施。加强机械设 备的维修保养，保证机械设备的完好率，确保施工噪声达到环境保护标准要求。</w:t>
      </w:r>
    </w:p>
    <w:p w14:paraId="656FD694">
      <w:pPr>
        <w:bidi w:val="0"/>
        <w:ind w:firstLine="480" w:firstLineChars="200"/>
        <w:rPr>
          <w:highlight w:val="none"/>
        </w:rPr>
      </w:pPr>
      <w:r>
        <w:rPr>
          <w:highlight w:val="none"/>
        </w:rPr>
        <w:t>合理布置施工和生活区域。进入施工现场的机械车辆少鸣笛、不急刹、不带故障运行，减少噪声。</w:t>
      </w:r>
    </w:p>
    <w:p w14:paraId="544157AD">
      <w:pPr>
        <w:bidi w:val="0"/>
        <w:ind w:firstLine="480" w:firstLineChars="200"/>
        <w:rPr>
          <w:highlight w:val="none"/>
        </w:rPr>
      </w:pPr>
      <w:r>
        <w:rPr>
          <w:rFonts w:hint="eastAsia"/>
          <w:highlight w:val="none"/>
          <w:lang w:val="en-US" w:eastAsia="zh-CN"/>
        </w:rPr>
        <w:t>3）</w:t>
      </w:r>
      <w:r>
        <w:rPr>
          <w:highlight w:val="none"/>
        </w:rPr>
        <w:t>防止水污染的措施</w:t>
      </w:r>
    </w:p>
    <w:p w14:paraId="68D67A74">
      <w:pPr>
        <w:bidi w:val="0"/>
        <w:ind w:firstLine="480" w:firstLineChars="200"/>
        <w:rPr>
          <w:highlight w:val="none"/>
        </w:rPr>
      </w:pPr>
      <w:r>
        <w:rPr>
          <w:highlight w:val="none"/>
        </w:rPr>
        <w:t>施工及生活废水的排放遵循清污分流、雨污分流的原则，各种施工废油、废 液集中储积，集中处理，严禁乱流乱淌，防止污染水源，破坏环境。</w:t>
      </w:r>
    </w:p>
    <w:p w14:paraId="77E4D46D">
      <w:pPr>
        <w:bidi w:val="0"/>
        <w:ind w:firstLine="480" w:firstLineChars="200"/>
        <w:rPr>
          <w:highlight w:val="none"/>
        </w:rPr>
      </w:pPr>
      <w:r>
        <w:rPr>
          <w:highlight w:val="none"/>
        </w:rPr>
        <w:t>施工作业产生的污水必须经过沉淀池沉淀，并经净化处理，符合要求后排放。</w:t>
      </w:r>
    </w:p>
    <w:p w14:paraId="1D9E2253">
      <w:pPr>
        <w:bidi w:val="0"/>
        <w:ind w:firstLine="480" w:firstLineChars="200"/>
        <w:rPr>
          <w:highlight w:val="none"/>
        </w:rPr>
      </w:pPr>
      <w:r>
        <w:rPr>
          <w:highlight w:val="none"/>
        </w:rPr>
        <w:t>食堂的废水处理应设置隔油池，定期清理油污，污水经过必要的处理后排入 污水管道，施工、生活污水严禁排入农田和水源。</w:t>
      </w:r>
    </w:p>
    <w:p w14:paraId="3983D840">
      <w:pPr>
        <w:bidi w:val="0"/>
        <w:ind w:firstLine="480" w:firstLineChars="200"/>
        <w:rPr>
          <w:rFonts w:hint="eastAsia"/>
          <w:highlight w:val="none"/>
          <w:lang w:val="en-US" w:eastAsia="zh-CN"/>
        </w:rPr>
      </w:pPr>
      <w:r>
        <w:rPr>
          <w:highlight w:val="none"/>
        </w:rPr>
        <w:t>废弃物中不得含有有毒有害物质，避免雨水冲刷后对地表、地下水造成污染。</w:t>
      </w:r>
    </w:p>
    <w:p w14:paraId="725FCD51">
      <w:pPr>
        <w:pStyle w:val="5"/>
        <w:bidi w:val="0"/>
        <w:ind w:left="864" w:leftChars="0" w:hanging="864" w:firstLineChars="0"/>
        <w:rPr>
          <w:rFonts w:hint="default"/>
          <w:lang w:val="en-US" w:eastAsia="zh-CN"/>
        </w:rPr>
      </w:pPr>
      <w:r>
        <w:rPr>
          <w:rFonts w:hint="eastAsia"/>
          <w:lang w:val="en-US" w:eastAsia="zh-CN"/>
        </w:rPr>
        <w:t>节能减排措施</w:t>
      </w:r>
    </w:p>
    <w:p w14:paraId="302846B7">
      <w:pPr>
        <w:bidi w:val="0"/>
        <w:ind w:firstLine="480" w:firstLineChars="200"/>
        <w:rPr>
          <w:highlight w:val="none"/>
        </w:rPr>
      </w:pPr>
      <w:r>
        <w:rPr>
          <w:rFonts w:hint="eastAsia"/>
          <w:highlight w:val="none"/>
          <w:lang w:val="en-US" w:eastAsia="zh-CN"/>
        </w:rPr>
        <w:t>（1）</w:t>
      </w:r>
      <w:r>
        <w:rPr>
          <w:rFonts w:hint="eastAsia"/>
          <w:highlight w:val="none"/>
        </w:rPr>
        <w:t>节材措施</w:t>
      </w:r>
    </w:p>
    <w:p w14:paraId="6C70AE3F">
      <w:pPr>
        <w:bidi w:val="0"/>
        <w:ind w:firstLine="480" w:firstLineChars="200"/>
        <w:rPr>
          <w:highlight w:val="none"/>
        </w:rPr>
      </w:pPr>
      <w:r>
        <w:rPr>
          <w:highlight w:val="none"/>
          <w:lang w:val="en-US" w:eastAsia="zh-CN"/>
        </w:rPr>
        <w:t>1）加强混凝土浇筑过程中方量的动态复核，每一次混凝土浇筑尽可能做到不超</w:t>
      </w:r>
      <w:r>
        <w:rPr>
          <w:rFonts w:hint="default"/>
          <w:highlight w:val="none"/>
          <w:lang w:val="en-US" w:eastAsia="zh-CN"/>
        </w:rPr>
        <w:t xml:space="preserve">方，若出现超方现象，则多余混凝土用于便道修筑或者其他临时结构施工，减少资源消耗。 </w:t>
      </w:r>
    </w:p>
    <w:p w14:paraId="01D58740">
      <w:pPr>
        <w:bidi w:val="0"/>
        <w:ind w:firstLine="480" w:firstLineChars="200"/>
        <w:rPr>
          <w:highlight w:val="none"/>
        </w:rPr>
      </w:pPr>
      <w:r>
        <w:rPr>
          <w:rFonts w:hint="default"/>
          <w:highlight w:val="none"/>
          <w:lang w:val="en-US" w:eastAsia="zh-CN"/>
        </w:rPr>
        <w:t>2）推广钢筋专业化加工和配送，钢筋制作前应对下料单及样品进行复核，无误后方可批量下料。</w:t>
      </w:r>
    </w:p>
    <w:p w14:paraId="7A8C8E1C">
      <w:pPr>
        <w:bidi w:val="0"/>
        <w:ind w:firstLine="480" w:firstLineChars="200"/>
        <w:rPr>
          <w:rFonts w:hint="eastAsia"/>
          <w:highlight w:val="none"/>
        </w:rPr>
      </w:pPr>
      <w:r>
        <w:rPr>
          <w:rFonts w:hint="eastAsia"/>
          <w:highlight w:val="none"/>
          <w:lang w:val="en-US" w:eastAsia="zh-CN"/>
        </w:rPr>
        <w:t>（2）</w:t>
      </w:r>
      <w:r>
        <w:rPr>
          <w:rFonts w:hint="eastAsia"/>
          <w:highlight w:val="none"/>
        </w:rPr>
        <w:t>节水措施</w:t>
      </w:r>
    </w:p>
    <w:p w14:paraId="4D39B6C9">
      <w:pPr>
        <w:pStyle w:val="159"/>
        <w:ind w:firstLine="480"/>
        <w:rPr>
          <w:rFonts w:hint="eastAsia"/>
          <w:highlight w:val="none"/>
        </w:rPr>
      </w:pPr>
      <w:bookmarkStart w:id="447" w:name="bookMark940"/>
      <w:bookmarkEnd w:id="447"/>
      <w:r>
        <w:rPr>
          <w:rFonts w:hint="eastAsia"/>
          <w:highlight w:val="none"/>
        </w:rPr>
        <w:t>1）现场搅拌用水、养护用水采取有效的节水措施，严禁无措施浇水养护混凝土。</w:t>
      </w:r>
    </w:p>
    <w:p w14:paraId="043D543A">
      <w:pPr>
        <w:pStyle w:val="159"/>
        <w:ind w:firstLine="480"/>
        <w:rPr>
          <w:rFonts w:hint="eastAsia" w:ascii="宋体"/>
          <w:szCs w:val="24"/>
          <w:highlight w:val="none"/>
        </w:rPr>
      </w:pPr>
      <w:r>
        <w:rPr>
          <w:rFonts w:hint="eastAsia" w:ascii="宋体"/>
          <w:szCs w:val="24"/>
          <w:highlight w:val="none"/>
        </w:rPr>
        <w:t>2）现场机具、设备、车辆冲洗用水设立循环用水装置。施工现场办公区、生活区的生活用水采用节水系统和节水器具，提高节水器具配置比率。</w:t>
      </w:r>
    </w:p>
    <w:p w14:paraId="1DC61E23">
      <w:pPr>
        <w:pStyle w:val="159"/>
        <w:ind w:firstLine="480"/>
        <w:rPr>
          <w:rFonts w:hint="eastAsia" w:ascii="宋体"/>
          <w:szCs w:val="24"/>
          <w:highlight w:val="none"/>
        </w:rPr>
      </w:pPr>
      <w:r>
        <w:rPr>
          <w:rFonts w:hint="eastAsia" w:ascii="宋体"/>
          <w:szCs w:val="24"/>
          <w:highlight w:val="none"/>
        </w:rPr>
        <w:t>3）施工现场建立可再利用水的收集处理系统，使水资源得到梯级循环利用。</w:t>
      </w:r>
    </w:p>
    <w:p w14:paraId="58295841">
      <w:pPr>
        <w:pStyle w:val="159"/>
        <w:ind w:firstLine="480"/>
        <w:rPr>
          <w:rFonts w:hint="eastAsia" w:ascii="宋体"/>
          <w:szCs w:val="24"/>
          <w:highlight w:val="none"/>
        </w:rPr>
      </w:pPr>
      <w:r>
        <w:rPr>
          <w:rFonts w:hint="eastAsia" w:ascii="宋体"/>
          <w:szCs w:val="24"/>
          <w:highlight w:val="none"/>
        </w:rPr>
        <w:t>4）施工现场分别对生活用水与工程用水确定用水定额指标，并分别计量管理。</w:t>
      </w:r>
    </w:p>
    <w:p w14:paraId="5EEF93BD">
      <w:pPr>
        <w:bidi w:val="0"/>
        <w:ind w:firstLine="480" w:firstLineChars="200"/>
        <w:rPr>
          <w:rFonts w:hint="eastAsia"/>
          <w:highlight w:val="none"/>
          <w:lang w:val="en-US" w:eastAsia="zh-CN"/>
        </w:rPr>
      </w:pPr>
      <w:r>
        <w:rPr>
          <w:rFonts w:hint="eastAsia" w:ascii="宋体"/>
          <w:szCs w:val="24"/>
          <w:highlight w:val="none"/>
          <w:lang w:val="en-US" w:eastAsia="zh-CN"/>
        </w:rPr>
        <w:t>5</w:t>
      </w:r>
      <w:r>
        <w:rPr>
          <w:rFonts w:hint="eastAsia" w:ascii="宋体"/>
          <w:szCs w:val="24"/>
          <w:highlight w:val="none"/>
        </w:rPr>
        <w:t>）对混凝土搅拌站点等用水集中的区域和工艺点进行专项计量考核。</w:t>
      </w:r>
    </w:p>
    <w:p w14:paraId="506BF31D">
      <w:pPr>
        <w:bidi w:val="0"/>
        <w:ind w:firstLine="480" w:firstLineChars="200"/>
        <w:rPr>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节能措施</w:t>
      </w:r>
    </w:p>
    <w:p w14:paraId="1B04CCDD">
      <w:pPr>
        <w:bidi w:val="0"/>
        <w:ind w:firstLine="480" w:firstLineChars="200"/>
        <w:rPr>
          <w:highlight w:val="none"/>
        </w:rPr>
      </w:pPr>
      <w:r>
        <w:rPr>
          <w:highlight w:val="none"/>
          <w:lang w:val="en-US" w:eastAsia="zh-CN"/>
        </w:rPr>
        <w:t>1）建立施工机械设备管理制度，开展用电、用油计量，完善设备档案，及时做</w:t>
      </w:r>
      <w:r>
        <w:rPr>
          <w:rFonts w:hint="default"/>
          <w:highlight w:val="none"/>
          <w:lang w:val="en-US" w:eastAsia="zh-CN"/>
        </w:rPr>
        <w:t xml:space="preserve">好维修保养工作，使机械设备保持低耗、高效的状态。 </w:t>
      </w:r>
    </w:p>
    <w:p w14:paraId="050BFDC2">
      <w:pPr>
        <w:bidi w:val="0"/>
        <w:ind w:firstLine="480" w:firstLineChars="200"/>
        <w:rPr>
          <w:highlight w:val="none"/>
        </w:rPr>
      </w:pPr>
      <w:r>
        <w:rPr>
          <w:rFonts w:hint="default"/>
          <w:highlight w:val="none"/>
          <w:lang w:val="en-US" w:eastAsia="zh-CN"/>
        </w:rPr>
        <w:t xml:space="preserve">2）选择功率与负载相匹配的施工机械设备，避免大功率施工机械设备低负载长时间运行。机电安装可采用节电型机械设备，如逆变式电焊机和能耗低、效率高的手持电动工具等，以利节电。机械设备宜使用节能型油料添加剂，在可能的情况下，考虑回收利用，节约油量。 </w:t>
      </w:r>
    </w:p>
    <w:p w14:paraId="346E463B">
      <w:pPr>
        <w:bidi w:val="0"/>
        <w:ind w:firstLine="480" w:firstLineChars="200"/>
        <w:rPr>
          <w:highlight w:val="none"/>
        </w:rPr>
      </w:pPr>
      <w:r>
        <w:rPr>
          <w:rFonts w:hint="default"/>
          <w:highlight w:val="none"/>
          <w:lang w:val="en-US" w:eastAsia="zh-CN"/>
        </w:rPr>
        <w:t>3）合理安排工序，提高各种机械的使用率和满载率，降低各种设备的单位耗能。</w:t>
      </w:r>
    </w:p>
    <w:p w14:paraId="4E60704A">
      <w:pPr>
        <w:bidi w:val="0"/>
        <w:ind w:firstLine="480" w:firstLineChars="200"/>
        <w:rPr>
          <w:rFonts w:hint="eastAsia"/>
          <w:highlight w:val="none"/>
        </w:rPr>
      </w:pPr>
      <w:r>
        <w:rPr>
          <w:rFonts w:hint="eastAsia"/>
          <w:highlight w:val="none"/>
          <w:lang w:val="en-US" w:eastAsia="zh-CN"/>
        </w:rPr>
        <w:t>（4）</w:t>
      </w:r>
      <w:r>
        <w:rPr>
          <w:rFonts w:hint="eastAsia"/>
          <w:highlight w:val="none"/>
        </w:rPr>
        <w:t>节地与施工用地保护措施</w:t>
      </w:r>
    </w:p>
    <w:p w14:paraId="582F4229">
      <w:pPr>
        <w:keepNext w:val="0"/>
        <w:keepLines w:val="0"/>
        <w:widowControl/>
        <w:suppressLineNumbers w:val="0"/>
        <w:ind w:firstLine="480" w:firstLineChars="200"/>
        <w:jc w:val="left"/>
        <w:rPr>
          <w:rFonts w:hint="default" w:ascii="CIDFont" w:hAnsi="CIDFont" w:eastAsia="CIDFont" w:cs="CIDFont"/>
          <w:color w:val="000000"/>
          <w:kern w:val="0"/>
          <w:sz w:val="24"/>
          <w:szCs w:val="24"/>
          <w:highlight w:val="none"/>
          <w:lang w:val="en-US" w:eastAsia="zh-CN" w:bidi="ar"/>
        </w:rPr>
      </w:pPr>
      <w:bookmarkStart w:id="448" w:name="bookMark944"/>
      <w:bookmarkEnd w:id="448"/>
      <w:bookmarkStart w:id="449" w:name="_Toc16925"/>
      <w:r>
        <w:rPr>
          <w:rFonts w:ascii="CIDFont" w:hAnsi="CIDFont" w:eastAsia="CIDFont" w:cs="CIDFont"/>
          <w:color w:val="000000"/>
          <w:kern w:val="0"/>
          <w:sz w:val="24"/>
          <w:szCs w:val="24"/>
          <w:highlight w:val="none"/>
          <w:lang w:val="en-US" w:eastAsia="zh-CN" w:bidi="ar"/>
        </w:rPr>
        <w:t>挡土墙施工所需要的材料、设备均放置在红线范围内，减少临时用地使用，红线外</w:t>
      </w:r>
      <w:r>
        <w:rPr>
          <w:rFonts w:hint="default" w:ascii="CIDFont" w:hAnsi="CIDFont" w:eastAsia="CIDFont" w:cs="CIDFont"/>
          <w:color w:val="000000"/>
          <w:kern w:val="0"/>
          <w:sz w:val="24"/>
          <w:szCs w:val="24"/>
          <w:highlight w:val="none"/>
          <w:lang w:val="en-US" w:eastAsia="zh-CN" w:bidi="ar"/>
        </w:rPr>
        <w:t>临时占地应尽量使用荒地、废地，少占用农田和耕地，工程完工后，及时对红线外占地恢复原地形、地貌，使施工活动对周边环境的影响降至最低。</w:t>
      </w:r>
    </w:p>
    <w:p w14:paraId="5C0AFC14">
      <w:pPr>
        <w:pStyle w:val="5"/>
        <w:bidi w:val="0"/>
        <w:ind w:left="864" w:leftChars="0" w:hanging="864" w:firstLineChars="0"/>
        <w:rPr>
          <w:rFonts w:hint="default"/>
          <w:lang w:val="en-US" w:eastAsia="zh-CN"/>
        </w:rPr>
      </w:pPr>
      <w:bookmarkStart w:id="450" w:name="_Toc17393"/>
      <w:bookmarkStart w:id="451" w:name="_Toc24092"/>
      <w:bookmarkStart w:id="452" w:name="_Toc19095"/>
      <w:bookmarkStart w:id="453" w:name="_Toc10077"/>
      <w:bookmarkStart w:id="454" w:name="_Toc1240"/>
      <w:bookmarkStart w:id="455" w:name="_Toc17202"/>
      <w:r>
        <w:rPr>
          <w:rFonts w:hint="default"/>
          <w:lang w:val="en-US" w:eastAsia="zh-CN"/>
        </w:rPr>
        <w:t>环境保护管理</w:t>
      </w:r>
      <w:bookmarkEnd w:id="450"/>
      <w:bookmarkEnd w:id="451"/>
      <w:bookmarkEnd w:id="452"/>
      <w:bookmarkEnd w:id="453"/>
      <w:bookmarkEnd w:id="454"/>
      <w:bookmarkEnd w:id="455"/>
    </w:p>
    <w:p w14:paraId="3F939F41">
      <w:pPr>
        <w:rPr>
          <w:rFonts w:hint="default"/>
          <w:b/>
          <w:bCs/>
          <w:highlight w:val="none"/>
          <w:lang w:val="en-US" w:eastAsia="zh-CN"/>
        </w:rPr>
      </w:pPr>
      <w:r>
        <w:rPr>
          <w:rFonts w:hint="default"/>
          <w:b/>
          <w:bCs/>
          <w:highlight w:val="none"/>
          <w:lang w:val="en-US" w:eastAsia="zh-CN"/>
        </w:rPr>
        <w:t>1、自然生态环境保护措施</w:t>
      </w:r>
    </w:p>
    <w:p w14:paraId="23D779F1">
      <w:pPr>
        <w:rPr>
          <w:rFonts w:hint="default"/>
          <w:highlight w:val="none"/>
          <w:lang w:val="en-US" w:eastAsia="zh-CN"/>
        </w:rPr>
      </w:pPr>
      <w:r>
        <w:rPr>
          <w:rFonts w:hint="default"/>
          <w:highlight w:val="none"/>
          <w:lang w:val="en-US" w:eastAsia="zh-CN"/>
        </w:rPr>
        <w:t>（1）施工现场保护</w:t>
      </w:r>
    </w:p>
    <w:p w14:paraId="0706C11F">
      <w:pPr>
        <w:rPr>
          <w:rFonts w:hint="default"/>
          <w:highlight w:val="none"/>
          <w:lang w:val="en-US" w:eastAsia="zh-CN"/>
        </w:rPr>
      </w:pPr>
      <w:r>
        <w:rPr>
          <w:rFonts w:hint="default"/>
          <w:highlight w:val="none"/>
          <w:lang w:val="en-US" w:eastAsia="zh-CN"/>
        </w:rPr>
        <w:t>施工现场生产、生活房屋及生活设施、原材料堆放处和材料加工场均在规划的区域内进行。修建的施工便道，要结合地方长远规划，选择线路。弃土场必须做好防护工作，确保不发生水土流失情况，并进行弃土场绿化。</w:t>
      </w:r>
    </w:p>
    <w:p w14:paraId="4A67F175">
      <w:pPr>
        <w:rPr>
          <w:rFonts w:hint="default"/>
          <w:highlight w:val="none"/>
          <w:lang w:val="en-US" w:eastAsia="zh-CN"/>
        </w:rPr>
      </w:pPr>
      <w:r>
        <w:rPr>
          <w:rFonts w:hint="default"/>
          <w:highlight w:val="none"/>
          <w:lang w:val="en-US" w:eastAsia="zh-CN"/>
        </w:rPr>
        <w:t>（2）施工期间保护</w:t>
      </w:r>
    </w:p>
    <w:p w14:paraId="2263C97E">
      <w:pPr>
        <w:rPr>
          <w:rFonts w:hint="default"/>
          <w:highlight w:val="none"/>
          <w:lang w:val="en-US" w:eastAsia="zh-CN"/>
        </w:rPr>
      </w:pPr>
      <w:r>
        <w:rPr>
          <w:rFonts w:hint="default"/>
          <w:highlight w:val="none"/>
          <w:lang w:val="en-US" w:eastAsia="zh-CN"/>
        </w:rPr>
        <w:t>施工期间对施工人员加强保护自然资源及野生动植物的教育，严禁随意砍伐和偷猎，限制施工人员和车辆的活动范围。</w:t>
      </w:r>
    </w:p>
    <w:p w14:paraId="67F3379F">
      <w:pPr>
        <w:rPr>
          <w:rFonts w:hint="default"/>
          <w:highlight w:val="none"/>
          <w:lang w:val="en-US" w:eastAsia="zh-CN"/>
        </w:rPr>
      </w:pPr>
      <w:r>
        <w:rPr>
          <w:rFonts w:hint="default"/>
          <w:highlight w:val="none"/>
          <w:lang w:val="en-US" w:eastAsia="zh-CN"/>
        </w:rPr>
        <w:t>（3）临建选址保护</w:t>
      </w:r>
    </w:p>
    <w:p w14:paraId="2B3BBD78">
      <w:pPr>
        <w:rPr>
          <w:rFonts w:hint="default"/>
          <w:highlight w:val="none"/>
          <w:lang w:val="en-US" w:eastAsia="zh-CN"/>
        </w:rPr>
      </w:pPr>
      <w:r>
        <w:rPr>
          <w:rFonts w:hint="default"/>
          <w:highlight w:val="none"/>
          <w:lang w:val="en-US" w:eastAsia="zh-CN"/>
        </w:rPr>
        <w:t>施工便道选线、生活营地、大型临时设施场地选址尽量少占或绕避林地、耕地，保护原有植被。对合同规定的施工界限外的植物、树木等尽力维护，严禁超范围砍伐。工程完工后及时进行现场清理，复垦或绿化。</w:t>
      </w:r>
    </w:p>
    <w:p w14:paraId="359F86B1">
      <w:pPr>
        <w:rPr>
          <w:rFonts w:hint="default"/>
          <w:b/>
          <w:bCs/>
          <w:highlight w:val="none"/>
          <w:lang w:val="en-US" w:eastAsia="zh-CN"/>
        </w:rPr>
      </w:pPr>
      <w:bookmarkStart w:id="456" w:name="_Toc61441675"/>
      <w:bookmarkStart w:id="457" w:name="_Toc56438292"/>
      <w:r>
        <w:rPr>
          <w:rFonts w:hint="default"/>
          <w:b/>
          <w:bCs/>
          <w:highlight w:val="none"/>
          <w:lang w:val="en-US" w:eastAsia="zh-CN"/>
        </w:rPr>
        <w:t>2、防止大气污染措施</w:t>
      </w:r>
      <w:bookmarkEnd w:id="456"/>
      <w:bookmarkEnd w:id="457"/>
    </w:p>
    <w:p w14:paraId="569DD3DB">
      <w:pPr>
        <w:rPr>
          <w:rFonts w:hint="default"/>
          <w:highlight w:val="none"/>
          <w:lang w:val="en-US" w:eastAsia="zh-CN"/>
        </w:rPr>
      </w:pPr>
      <w:r>
        <w:rPr>
          <w:rFonts w:hint="default"/>
          <w:highlight w:val="none"/>
          <w:lang w:val="en-US" w:eastAsia="zh-CN"/>
        </w:rPr>
        <w:t>（1）洒水降尘</w:t>
      </w:r>
    </w:p>
    <w:p w14:paraId="5E82B1FB">
      <w:pPr>
        <w:rPr>
          <w:rFonts w:hint="default"/>
          <w:highlight w:val="none"/>
          <w:lang w:val="en-US" w:eastAsia="zh-CN"/>
        </w:rPr>
      </w:pPr>
      <w:r>
        <w:rPr>
          <w:rFonts w:hint="default"/>
          <w:highlight w:val="none"/>
          <w:lang w:val="en-US" w:eastAsia="zh-CN"/>
        </w:rPr>
        <w:t>临时运输道路经常洒水湿润，减少道路扬尘。对产生尘埃运输车辆加以覆盖，在居民区等人员密集区域附近采取喷雾降尘措施、配备降尘雾炮以有效避免周边大气的污染。</w:t>
      </w:r>
    </w:p>
    <w:p w14:paraId="0763EDC8">
      <w:pPr>
        <w:rPr>
          <w:rFonts w:hint="default"/>
          <w:highlight w:val="none"/>
          <w:lang w:val="en-US" w:eastAsia="zh-CN"/>
        </w:rPr>
      </w:pPr>
      <w:r>
        <w:rPr>
          <w:rFonts w:hint="default"/>
          <w:highlight w:val="none"/>
          <w:lang w:val="en-US" w:eastAsia="zh-CN"/>
        </w:rPr>
        <w:t>控制现场的各种粉尘、废气对环境的污染和危害，施工区域内的场内道路原则上应硬化处理，对不能进行硬化处理的临时施工便道，在晴天干燥环境时，应经常洒水予以养护和保护。</w:t>
      </w:r>
    </w:p>
    <w:p w14:paraId="5A95EDFC">
      <w:pPr>
        <w:rPr>
          <w:rFonts w:hint="default"/>
          <w:highlight w:val="none"/>
          <w:lang w:val="en-US" w:eastAsia="zh-CN"/>
        </w:rPr>
      </w:pPr>
      <w:r>
        <w:rPr>
          <w:rFonts w:hint="default"/>
          <w:highlight w:val="none"/>
          <w:lang w:val="en-US" w:eastAsia="zh-CN"/>
        </w:rPr>
        <w:t>（2）覆盖防尘</w:t>
      </w:r>
    </w:p>
    <w:p w14:paraId="78277D01">
      <w:pPr>
        <w:rPr>
          <w:rFonts w:hint="default"/>
          <w:highlight w:val="none"/>
          <w:lang w:val="en-US" w:eastAsia="zh-CN"/>
        </w:rPr>
      </w:pPr>
      <w:r>
        <w:rPr>
          <w:rFonts w:hint="default"/>
          <w:highlight w:val="none"/>
          <w:lang w:val="en-US" w:eastAsia="zh-CN"/>
        </w:rPr>
        <w:t>对施工现场裸露时间较长的土体进行绿化、对裸露时间较短的土体利用土工织物进行覆盖，避免在风力的作用下造成项目周边的空气扬尘。</w:t>
      </w:r>
    </w:p>
    <w:p w14:paraId="56264EBA">
      <w:pPr>
        <w:rPr>
          <w:rFonts w:hint="default"/>
          <w:highlight w:val="none"/>
          <w:lang w:val="en-US" w:eastAsia="zh-CN"/>
        </w:rPr>
      </w:pPr>
      <w:r>
        <w:rPr>
          <w:rFonts w:hint="default"/>
          <w:highlight w:val="none"/>
          <w:lang w:val="en-US" w:eastAsia="zh-CN"/>
        </w:rPr>
        <w:t>（3）材料运输防污染</w:t>
      </w:r>
    </w:p>
    <w:p w14:paraId="1A18D5BA">
      <w:pPr>
        <w:rPr>
          <w:rFonts w:hint="default"/>
          <w:highlight w:val="none"/>
          <w:lang w:val="en-US" w:eastAsia="zh-CN"/>
        </w:rPr>
      </w:pPr>
      <w:r>
        <w:rPr>
          <w:rFonts w:hint="default"/>
          <w:highlight w:val="none"/>
          <w:lang w:val="en-US" w:eastAsia="zh-CN"/>
        </w:rPr>
        <w:t>尽量缩短土石料的运输距离，汽车运输砂土、水泥、碎石等易起尘的物料要加盖蓬布、控制车速，防止物料洒落和产生扬尘，卸车时尽量减小落差。</w:t>
      </w:r>
    </w:p>
    <w:p w14:paraId="424A1E49">
      <w:pPr>
        <w:rPr>
          <w:rFonts w:hint="default"/>
          <w:b/>
          <w:bCs/>
          <w:highlight w:val="none"/>
          <w:lang w:val="en-US" w:eastAsia="zh-CN"/>
        </w:rPr>
      </w:pPr>
      <w:bookmarkStart w:id="458" w:name="_Toc61441676"/>
      <w:bookmarkStart w:id="459" w:name="_Toc56438293"/>
      <w:r>
        <w:rPr>
          <w:rFonts w:hint="default"/>
          <w:b/>
          <w:bCs/>
          <w:highlight w:val="none"/>
          <w:lang w:val="en-US" w:eastAsia="zh-CN"/>
        </w:rPr>
        <w:t>3、防止噪声的措施</w:t>
      </w:r>
      <w:bookmarkEnd w:id="458"/>
      <w:bookmarkEnd w:id="459"/>
    </w:p>
    <w:p w14:paraId="231A9EFF">
      <w:pPr>
        <w:rPr>
          <w:rFonts w:hint="default"/>
          <w:highlight w:val="none"/>
          <w:lang w:val="en-US" w:eastAsia="zh-CN"/>
        </w:rPr>
      </w:pPr>
      <w:r>
        <w:rPr>
          <w:rFonts w:hint="default"/>
          <w:highlight w:val="none"/>
          <w:lang w:val="en-US" w:eastAsia="zh-CN"/>
        </w:rPr>
        <w:t>施工噪声主要包括施工现场、机械作业时和车辆运输时产生的噪声。</w:t>
      </w:r>
    </w:p>
    <w:p w14:paraId="591B7930">
      <w:pPr>
        <w:rPr>
          <w:rFonts w:hint="default"/>
          <w:highlight w:val="none"/>
          <w:lang w:val="en-US" w:eastAsia="zh-CN"/>
        </w:rPr>
      </w:pPr>
      <w:r>
        <w:rPr>
          <w:rFonts w:hint="default"/>
          <w:highlight w:val="none"/>
          <w:lang w:val="en-US" w:eastAsia="zh-CN"/>
        </w:rPr>
        <w:t>（1）建立制度、提高意识</w:t>
      </w:r>
    </w:p>
    <w:p w14:paraId="60949270">
      <w:pPr>
        <w:rPr>
          <w:rFonts w:hint="default"/>
          <w:highlight w:val="none"/>
          <w:lang w:val="en-US" w:eastAsia="zh-CN"/>
        </w:rPr>
      </w:pPr>
      <w:r>
        <w:rPr>
          <w:rFonts w:hint="default"/>
          <w:highlight w:val="none"/>
          <w:lang w:val="en-US" w:eastAsia="zh-CN"/>
        </w:rPr>
        <w:t>施工现场提倡文明施工，建立健全控制人为噪声的管理制度。尽量减少人为的大声喧哗，增加全体施工人员防噪声扰民的自觉意识。</w:t>
      </w:r>
    </w:p>
    <w:p w14:paraId="1034ECC5">
      <w:pPr>
        <w:rPr>
          <w:rFonts w:hint="default"/>
          <w:highlight w:val="none"/>
          <w:lang w:val="en-US" w:eastAsia="zh-CN"/>
        </w:rPr>
      </w:pPr>
      <w:r>
        <w:rPr>
          <w:rFonts w:hint="default"/>
          <w:highlight w:val="none"/>
          <w:lang w:val="en-US" w:eastAsia="zh-CN"/>
        </w:rPr>
        <w:t>（2）选择低噪声机械</w:t>
      </w:r>
    </w:p>
    <w:p w14:paraId="5E3CC073">
      <w:pPr>
        <w:rPr>
          <w:rFonts w:hint="default"/>
          <w:highlight w:val="none"/>
          <w:lang w:val="en-US" w:eastAsia="zh-CN"/>
        </w:rPr>
      </w:pPr>
      <w:r>
        <w:rPr>
          <w:rFonts w:hint="default"/>
          <w:highlight w:val="none"/>
          <w:lang w:val="en-US" w:eastAsia="zh-CN"/>
        </w:rPr>
        <w:t>为减少噪声影响，机械设备选型配套时优先考虑低噪声设备，尽可能采取液压设备和摩擦设备代替振动式设备，并采取消声、隔音、安装防震底座等措施。加强机械设备的维修保养，保证机械设备的完好率，确保施工噪声达到环境保护标准要求。</w:t>
      </w:r>
    </w:p>
    <w:p w14:paraId="04BE98FE">
      <w:pPr>
        <w:rPr>
          <w:rFonts w:hint="default"/>
          <w:highlight w:val="none"/>
          <w:lang w:val="en-US" w:eastAsia="zh-CN"/>
        </w:rPr>
      </w:pPr>
      <w:r>
        <w:rPr>
          <w:rFonts w:hint="default"/>
          <w:highlight w:val="none"/>
          <w:lang w:val="en-US" w:eastAsia="zh-CN"/>
        </w:rPr>
        <w:t>（3）夜间施工降噪</w:t>
      </w:r>
    </w:p>
    <w:p w14:paraId="56BECE4B">
      <w:pPr>
        <w:rPr>
          <w:rFonts w:hint="default"/>
          <w:highlight w:val="none"/>
          <w:lang w:val="en-US" w:eastAsia="zh-CN"/>
        </w:rPr>
      </w:pPr>
      <w:r>
        <w:rPr>
          <w:rFonts w:hint="default"/>
          <w:highlight w:val="none"/>
          <w:lang w:val="en-US" w:eastAsia="zh-CN"/>
        </w:rPr>
        <w:t>进行强噪声作业的，严格控制作业时间，晚间作业不超过22时，早晨作业不早于6时，特殊情况需连续作业（或夜间作业）的，采取降噪措施，事先做好周围群众的工作，并报相关环保部门备案方可施工。</w:t>
      </w:r>
    </w:p>
    <w:p w14:paraId="73E7F520">
      <w:pPr>
        <w:rPr>
          <w:rFonts w:hint="default"/>
          <w:highlight w:val="none"/>
          <w:lang w:val="en-US" w:eastAsia="zh-CN"/>
        </w:rPr>
      </w:pPr>
      <w:r>
        <w:rPr>
          <w:rFonts w:hint="default"/>
          <w:highlight w:val="none"/>
          <w:lang w:val="en-US" w:eastAsia="zh-CN"/>
        </w:rPr>
        <w:t>（4）机械降噪措施</w:t>
      </w:r>
    </w:p>
    <w:p w14:paraId="469C18E4">
      <w:pPr>
        <w:rPr>
          <w:rFonts w:hint="default"/>
          <w:highlight w:val="none"/>
          <w:lang w:val="en-US" w:eastAsia="zh-CN"/>
        </w:rPr>
      </w:pPr>
      <w:r>
        <w:rPr>
          <w:rFonts w:hint="default"/>
          <w:highlight w:val="none"/>
          <w:lang w:val="en-US" w:eastAsia="zh-CN"/>
        </w:rPr>
        <w:t>①产生强噪声的成品、半成品加工、制作作业，应尽量在加工场区完成，减少因施工现场加工制作产生的噪声。</w:t>
      </w:r>
    </w:p>
    <w:p w14:paraId="090A728C">
      <w:pPr>
        <w:rPr>
          <w:rFonts w:hint="default"/>
          <w:highlight w:val="none"/>
          <w:lang w:val="en-US" w:eastAsia="zh-CN"/>
        </w:rPr>
      </w:pPr>
      <w:r>
        <w:rPr>
          <w:rFonts w:hint="default"/>
          <w:highlight w:val="none"/>
          <w:lang w:val="en-US" w:eastAsia="zh-CN"/>
        </w:rPr>
        <w:t>②尽量选用低噪声或备有消声降噪的机械棚，以减少强噪声的扩散。</w:t>
      </w:r>
    </w:p>
    <w:p w14:paraId="03543C0F">
      <w:pPr>
        <w:rPr>
          <w:rFonts w:hint="default"/>
          <w:b/>
          <w:bCs/>
          <w:highlight w:val="none"/>
          <w:lang w:val="en-US" w:eastAsia="zh-CN"/>
        </w:rPr>
      </w:pPr>
      <w:bookmarkStart w:id="460" w:name="_Toc61441677"/>
      <w:bookmarkStart w:id="461" w:name="_Toc56438294"/>
      <w:r>
        <w:rPr>
          <w:rFonts w:hint="default"/>
          <w:b/>
          <w:bCs/>
          <w:highlight w:val="none"/>
          <w:lang w:val="en-US" w:eastAsia="zh-CN"/>
        </w:rPr>
        <w:t>4、防止水污染的措施</w:t>
      </w:r>
      <w:bookmarkEnd w:id="460"/>
      <w:bookmarkEnd w:id="461"/>
    </w:p>
    <w:p w14:paraId="07D99D80">
      <w:pPr>
        <w:rPr>
          <w:rFonts w:hint="default"/>
          <w:highlight w:val="none"/>
          <w:lang w:val="en-US" w:eastAsia="zh-CN"/>
        </w:rPr>
      </w:pPr>
      <w:r>
        <w:rPr>
          <w:rFonts w:hint="default"/>
          <w:highlight w:val="none"/>
          <w:lang w:val="en-US" w:eastAsia="zh-CN"/>
        </w:rPr>
        <w:t>（1）施工过程当中对产生的裸土进行绿化或土工织物覆盖，以免在雨天造成水土流失，将土体冲入河流。</w:t>
      </w:r>
    </w:p>
    <w:p w14:paraId="1354BCBC">
      <w:pPr>
        <w:rPr>
          <w:rFonts w:hint="default"/>
          <w:highlight w:val="none"/>
          <w:lang w:val="en-US" w:eastAsia="zh-CN"/>
        </w:rPr>
      </w:pPr>
      <w:r>
        <w:rPr>
          <w:rFonts w:hint="default"/>
          <w:highlight w:val="none"/>
          <w:lang w:val="en-US" w:eastAsia="zh-CN"/>
        </w:rPr>
        <w:t>（2）施工作业产生的污水必须经过沉淀池沉淀，并经净化处理，符合要求后排放。</w:t>
      </w:r>
    </w:p>
    <w:p w14:paraId="02AE4344">
      <w:pPr>
        <w:rPr>
          <w:rFonts w:hint="default"/>
          <w:highlight w:val="none"/>
          <w:lang w:val="en-US" w:eastAsia="zh-CN"/>
        </w:rPr>
      </w:pPr>
      <w:r>
        <w:rPr>
          <w:rFonts w:hint="default"/>
          <w:highlight w:val="none"/>
          <w:lang w:val="en-US" w:eastAsia="zh-CN"/>
        </w:rPr>
        <w:t>（3）施工现场土方内利用土工织物或防水彩条布进行覆盖，避免造成周边的泥土对水体的污染。</w:t>
      </w:r>
    </w:p>
    <w:p w14:paraId="75BD7FB1">
      <w:pPr>
        <w:rPr>
          <w:rFonts w:hint="default"/>
          <w:b/>
          <w:bCs/>
          <w:highlight w:val="none"/>
          <w:lang w:val="en-US" w:eastAsia="zh-CN"/>
        </w:rPr>
      </w:pPr>
      <w:bookmarkStart w:id="462" w:name="_Toc56438295"/>
      <w:bookmarkStart w:id="463" w:name="_Toc61441678"/>
      <w:r>
        <w:rPr>
          <w:rFonts w:hint="default"/>
          <w:b/>
          <w:bCs/>
          <w:highlight w:val="none"/>
          <w:lang w:val="en-US" w:eastAsia="zh-CN"/>
        </w:rPr>
        <w:t>5、土壤防污染措施</w:t>
      </w:r>
      <w:bookmarkEnd w:id="462"/>
      <w:bookmarkEnd w:id="463"/>
    </w:p>
    <w:p w14:paraId="278C5AEF">
      <w:pPr>
        <w:rPr>
          <w:rFonts w:hint="default"/>
          <w:highlight w:val="none"/>
          <w:lang w:val="en-US" w:eastAsia="zh-CN"/>
        </w:rPr>
      </w:pPr>
      <w:r>
        <w:rPr>
          <w:rFonts w:hint="eastAsia"/>
          <w:highlight w:val="none"/>
          <w:lang w:val="en-US" w:eastAsia="zh-CN"/>
        </w:rPr>
        <w:t>（1）</w:t>
      </w:r>
      <w:r>
        <w:rPr>
          <w:rFonts w:hint="default"/>
          <w:highlight w:val="none"/>
          <w:lang w:val="en-US" w:eastAsia="zh-CN"/>
        </w:rPr>
        <w:t>尽量做到对施工过程中产生的建筑垃圾进行再利用，入无法利用，则要进行无害化处理后按照当地环保部门的批示在指定地点掩埋。</w:t>
      </w:r>
    </w:p>
    <w:p w14:paraId="7550B177">
      <w:pPr>
        <w:rPr>
          <w:rFonts w:hint="default"/>
          <w:highlight w:val="none"/>
          <w:lang w:val="en-US" w:eastAsia="zh-CN"/>
        </w:rPr>
      </w:pPr>
      <w:r>
        <w:rPr>
          <w:rFonts w:hint="eastAsia"/>
          <w:highlight w:val="none"/>
          <w:lang w:val="en-US" w:eastAsia="zh-CN"/>
        </w:rPr>
        <w:t>（2）</w:t>
      </w:r>
      <w:r>
        <w:rPr>
          <w:rFonts w:hint="default"/>
          <w:highlight w:val="none"/>
          <w:lang w:val="en-US" w:eastAsia="zh-CN"/>
        </w:rPr>
        <w:t>施工现场修建的油料存放场地需进行防渗、方漏处理，避免油料等的渗漏对周边土壤造成污染。若发生意外而导致对周边土壤造成污染时需要对被污染土壤进行清理。</w:t>
      </w:r>
    </w:p>
    <w:p w14:paraId="53D2703D">
      <w:pPr>
        <w:rPr>
          <w:rFonts w:hint="default"/>
          <w:highlight w:val="none"/>
          <w:lang w:val="en-US" w:eastAsia="zh-CN"/>
        </w:rPr>
      </w:pPr>
      <w:r>
        <w:rPr>
          <w:rFonts w:hint="eastAsia"/>
          <w:highlight w:val="none"/>
          <w:lang w:val="en-US" w:eastAsia="zh-CN"/>
        </w:rPr>
        <w:t>（3）</w:t>
      </w:r>
      <w:r>
        <w:rPr>
          <w:rFonts w:hint="default"/>
          <w:highlight w:val="none"/>
          <w:lang w:val="en-US" w:eastAsia="zh-CN"/>
        </w:rPr>
        <w:t>在驻地设垃圾池，分类收集，进行集中处理，可降解的实行降解措施，不可降解的集中掩埋，防止污染环境。</w:t>
      </w:r>
    </w:p>
    <w:p w14:paraId="482E518A">
      <w:pPr>
        <w:rPr>
          <w:rFonts w:hint="default"/>
          <w:highlight w:val="none"/>
          <w:lang w:val="en-US" w:eastAsia="zh-CN"/>
        </w:rPr>
      </w:pPr>
      <w:r>
        <w:rPr>
          <w:rFonts w:hint="eastAsia"/>
          <w:highlight w:val="none"/>
          <w:lang w:val="en-US" w:eastAsia="zh-CN"/>
        </w:rPr>
        <w:t>（4）</w:t>
      </w:r>
      <w:r>
        <w:rPr>
          <w:rFonts w:hint="default"/>
          <w:highlight w:val="none"/>
          <w:lang w:val="en-US" w:eastAsia="zh-CN"/>
        </w:rPr>
        <w:t>工程施工完成后，根据环保及设计要求，要对所有生活区、生产区临时设施所占用地进行复耕，拆除建筑物、铲除硬化地面及建筑垃圾。</w:t>
      </w:r>
    </w:p>
    <w:p w14:paraId="0E4EB05C">
      <w:pPr>
        <w:keepNext w:val="0"/>
        <w:keepLines w:val="0"/>
        <w:widowControl/>
        <w:suppressLineNumbers w:val="0"/>
        <w:ind w:firstLine="480" w:firstLineChars="200"/>
        <w:jc w:val="left"/>
        <w:rPr>
          <w:rFonts w:hint="default" w:ascii="CIDFont" w:hAnsi="CIDFont" w:eastAsia="CIDFont" w:cs="CIDFont"/>
          <w:color w:val="000000"/>
          <w:kern w:val="0"/>
          <w:sz w:val="24"/>
          <w:szCs w:val="24"/>
          <w:highlight w:val="none"/>
          <w:lang w:val="en-US" w:eastAsia="zh-CN" w:bidi="ar"/>
        </w:rPr>
      </w:pPr>
    </w:p>
    <w:p w14:paraId="0AAD9C7E">
      <w:pPr>
        <w:pStyle w:val="3"/>
        <w:bidi w:val="0"/>
        <w:ind w:left="575" w:leftChars="0" w:hanging="575" w:firstLineChars="0"/>
        <w:rPr>
          <w:rFonts w:hint="default"/>
          <w:lang w:val="en-US" w:eastAsia="zh-CN"/>
        </w:rPr>
      </w:pPr>
      <w:bookmarkStart w:id="464" w:name="_Toc2611"/>
      <w:bookmarkStart w:id="465" w:name="_Toc22401"/>
      <w:bookmarkStart w:id="466" w:name="_Toc15877"/>
      <w:bookmarkStart w:id="467" w:name="_Toc11178"/>
      <w:r>
        <w:rPr>
          <w:rFonts w:hint="eastAsia"/>
          <w:lang w:val="en-US" w:eastAsia="zh-CN"/>
        </w:rPr>
        <w:t>文明施工</w:t>
      </w:r>
      <w:bookmarkEnd w:id="449"/>
      <w:bookmarkEnd w:id="464"/>
      <w:bookmarkEnd w:id="465"/>
      <w:bookmarkEnd w:id="466"/>
      <w:bookmarkEnd w:id="467"/>
    </w:p>
    <w:p w14:paraId="09F3AC96">
      <w:pPr>
        <w:pStyle w:val="4"/>
        <w:bidi w:val="0"/>
        <w:ind w:left="720" w:leftChars="0" w:hanging="720" w:firstLineChars="0"/>
        <w:rPr>
          <w:rFonts w:hint="default"/>
          <w:lang w:val="en-US" w:eastAsia="zh-CN"/>
        </w:rPr>
      </w:pPr>
      <w:r>
        <w:rPr>
          <w:rFonts w:hint="eastAsia"/>
          <w:lang w:val="en-US" w:eastAsia="zh-CN"/>
        </w:rPr>
        <w:t>文明施工组织机构</w:t>
      </w:r>
    </w:p>
    <w:p w14:paraId="4DBA950F">
      <w:pPr>
        <w:bidi w:val="0"/>
        <w:ind w:firstLine="480" w:firstLineChars="200"/>
        <w:rPr>
          <w:rFonts w:hint="eastAsia" w:eastAsia="宋体"/>
          <w:highlight w:val="none"/>
          <w:lang w:eastAsia="zh-CN"/>
        </w:rPr>
      </w:pPr>
      <w:r>
        <w:rPr>
          <w:rFonts w:hint="eastAsia" w:ascii="仿宋" w:hAnsi="仿宋"/>
          <w:bCs/>
          <w:kern w:val="44"/>
          <w:szCs w:val="32"/>
          <w:highlight w:val="none"/>
          <w:lang w:val="en-US" w:eastAsia="zh-CN"/>
        </w:rPr>
        <w:t>为</w:t>
      </w:r>
      <w:r>
        <w:rPr>
          <w:rFonts w:hint="eastAsia" w:ascii="仿宋" w:hAnsi="仿宋"/>
          <w:bCs/>
          <w:kern w:val="44"/>
          <w:szCs w:val="32"/>
          <w:highlight w:val="none"/>
        </w:rPr>
        <w:t>实现项目施工标准化管理，规范现场管理，保障安全生产，促进文明施工，按照标准化建设要求，结合项目建设实际，特成立文明</w:t>
      </w:r>
      <w:r>
        <w:rPr>
          <w:rFonts w:hint="eastAsia" w:ascii="仿宋" w:hAnsi="仿宋"/>
          <w:bCs/>
          <w:kern w:val="44"/>
          <w:szCs w:val="32"/>
          <w:highlight w:val="none"/>
          <w:lang w:val="en-US" w:eastAsia="zh-CN"/>
        </w:rPr>
        <w:t>施工</w:t>
      </w:r>
      <w:r>
        <w:rPr>
          <w:rFonts w:hint="eastAsia" w:ascii="仿宋" w:hAnsi="仿宋"/>
          <w:bCs/>
          <w:kern w:val="44"/>
          <w:szCs w:val="32"/>
          <w:highlight w:val="none"/>
        </w:rPr>
        <w:t>领导小组</w:t>
      </w:r>
      <w:r>
        <w:rPr>
          <w:rFonts w:hint="eastAsia" w:ascii="仿宋" w:hAnsi="仿宋"/>
          <w:bCs/>
          <w:kern w:val="44"/>
          <w:szCs w:val="32"/>
          <w:highlight w:val="none"/>
          <w:lang w:eastAsia="zh-CN"/>
        </w:rPr>
        <w:t>。</w:t>
      </w:r>
    </w:p>
    <w:p w14:paraId="2741D9F9">
      <w:pPr>
        <w:bidi w:val="0"/>
        <w:jc w:val="center"/>
        <w:rPr>
          <w:rFonts w:hint="eastAsia" w:eastAsia="宋体"/>
          <w:highlight w:val="none"/>
          <w:lang w:eastAsia="zh-CN"/>
        </w:rPr>
      </w:pPr>
      <w:r>
        <w:rPr>
          <w:rFonts w:hint="eastAsia"/>
          <w:highlight w:val="none"/>
        </w:rPr>
        <w:drawing>
          <wp:inline distT="0" distB="0" distL="114300" distR="114300">
            <wp:extent cx="4884420" cy="3716655"/>
            <wp:effectExtent l="0" t="0" r="0" b="0"/>
            <wp:docPr id="41" name="图片 41" descr="组织流程图--(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组织流程图--(2)(3)"/>
                    <pic:cNvPicPr>
                      <a:picLocks noChangeAspect="1"/>
                    </pic:cNvPicPr>
                  </pic:nvPicPr>
                  <pic:blipFill>
                    <a:blip r:embed="rId69"/>
                    <a:stretch>
                      <a:fillRect/>
                    </a:stretch>
                  </pic:blipFill>
                  <pic:spPr>
                    <a:xfrm>
                      <a:off x="0" y="0"/>
                      <a:ext cx="4884420" cy="3716655"/>
                    </a:xfrm>
                    <a:prstGeom prst="rect">
                      <a:avLst/>
                    </a:prstGeom>
                  </pic:spPr>
                </pic:pic>
              </a:graphicData>
            </a:graphic>
          </wp:inline>
        </w:drawing>
      </w:r>
    </w:p>
    <w:p w14:paraId="4F7ADBA8">
      <w:pPr>
        <w:pStyle w:val="41"/>
        <w:bidi w:val="0"/>
        <w:rPr>
          <w:rFonts w:hint="default"/>
          <w:highlight w:val="none"/>
          <w:lang w:val="en-US" w:eastAsia="zh-CN"/>
        </w:rPr>
      </w:pPr>
      <w:r>
        <w:rPr>
          <w:rFonts w:hint="eastAsia"/>
          <w:highlight w:val="none"/>
          <w:lang w:val="en-US" w:eastAsia="zh-CN"/>
        </w:rPr>
        <w:t xml:space="preserve">图10-3 </w:t>
      </w:r>
      <w:r>
        <w:rPr>
          <w:rFonts w:hint="eastAsia"/>
          <w:highlight w:val="none"/>
        </w:rPr>
        <w:t>文明施工管理组织机构</w:t>
      </w:r>
    </w:p>
    <w:p w14:paraId="06D99A1C">
      <w:pPr>
        <w:pStyle w:val="4"/>
        <w:bidi w:val="0"/>
        <w:ind w:left="720" w:leftChars="0" w:hanging="720" w:firstLineChars="0"/>
        <w:rPr>
          <w:rFonts w:hint="default"/>
          <w:lang w:val="en-US" w:eastAsia="zh-CN"/>
        </w:rPr>
      </w:pPr>
      <w:r>
        <w:rPr>
          <w:rFonts w:hint="eastAsia"/>
        </w:rPr>
        <w:t>文明施工保证体系</w:t>
      </w:r>
    </w:p>
    <w:p w14:paraId="39896CCA">
      <w:pPr>
        <w:pStyle w:val="43"/>
        <w:rPr>
          <w:highlight w:val="none"/>
        </w:rPr>
      </w:pPr>
      <w:r>
        <w:rPr>
          <w:highlight w:val="none"/>
        </w:rPr>
        <mc:AlternateContent>
          <mc:Choice Requires="wpg">
            <w:drawing>
              <wp:inline distT="0" distB="0" distL="0" distR="0">
                <wp:extent cx="4109085" cy="3856355"/>
                <wp:effectExtent l="6350" t="6350" r="12065" b="10795"/>
                <wp:docPr id="42" name="Group 2503"/>
                <wp:cNvGraphicFramePr/>
                <a:graphic xmlns:a="http://schemas.openxmlformats.org/drawingml/2006/main">
                  <a:graphicData uri="http://schemas.microsoft.com/office/word/2010/wordprocessingGroup">
                    <wpg:wgp>
                      <wpg:cNvGrpSpPr/>
                      <wpg:grpSpPr>
                        <a:xfrm>
                          <a:off x="0" y="0"/>
                          <a:ext cx="4109085" cy="3856355"/>
                          <a:chOff x="0" y="0"/>
                          <a:chExt cx="7901" cy="5079"/>
                        </a:xfrm>
                      </wpg:grpSpPr>
                      <wps:wsp>
                        <wps:cNvPr id="43" name="Text Box 2504"/>
                        <wps:cNvSpPr txBox="1">
                          <a:spLocks noChangeArrowheads="1"/>
                        </wps:cNvSpPr>
                        <wps:spPr bwMode="auto">
                          <a:xfrm>
                            <a:off x="0" y="1142"/>
                            <a:ext cx="804" cy="2272"/>
                          </a:xfrm>
                          <a:prstGeom prst="rect">
                            <a:avLst/>
                          </a:prstGeom>
                          <a:solidFill>
                            <a:schemeClr val="accent6">
                              <a:lumMod val="40000"/>
                              <a:lumOff val="60000"/>
                            </a:schemeClr>
                          </a:solidFill>
                          <a:ln w="12700">
                            <a:solidFill>
                              <a:srgbClr val="0000C8"/>
                            </a:solidFill>
                            <a:miter lim="800000"/>
                          </a:ln>
                        </wps:spPr>
                        <wps:txbx>
                          <w:txbxContent>
                            <w:p w14:paraId="209F85CE">
                              <w:pPr>
                                <w:pStyle w:val="55"/>
                              </w:pPr>
                              <w:r>
                                <w:rPr>
                                  <w:rFonts w:hint="eastAsia"/>
                                </w:rPr>
                                <w:t>文明</w:t>
                              </w:r>
                            </w:p>
                            <w:p w14:paraId="53BA0AD4">
                              <w:pPr>
                                <w:pStyle w:val="55"/>
                              </w:pPr>
                              <w:r>
                                <w:rPr>
                                  <w:rFonts w:hint="eastAsia"/>
                                </w:rPr>
                                <w:t>施工</w:t>
                              </w:r>
                            </w:p>
                            <w:p w14:paraId="77B72A2D">
                              <w:pPr>
                                <w:pStyle w:val="55"/>
                              </w:pPr>
                              <w:r>
                                <w:rPr>
                                  <w:rFonts w:hint="eastAsia"/>
                                </w:rPr>
                                <w:t>保证</w:t>
                              </w:r>
                            </w:p>
                            <w:p w14:paraId="519B8397">
                              <w:pPr>
                                <w:pStyle w:val="55"/>
                              </w:pPr>
                              <w:r>
                                <w:rPr>
                                  <w:rFonts w:hint="eastAsia"/>
                                </w:rPr>
                                <w:t>体系</w:t>
                              </w:r>
                            </w:p>
                          </w:txbxContent>
                        </wps:txbx>
                        <wps:bodyPr rot="0" vert="horz" wrap="square" lIns="0" tIns="0" rIns="0" bIns="0" anchor="ctr" anchorCtr="0" upright="1">
                          <a:noAutofit/>
                        </wps:bodyPr>
                      </wps:wsp>
                      <wps:wsp>
                        <wps:cNvPr id="45" name="Line 2505"/>
                        <wps:cNvCnPr>
                          <a:cxnSpLocks noChangeShapeType="1"/>
                        </wps:cNvCnPr>
                        <wps:spPr bwMode="auto">
                          <a:xfrm>
                            <a:off x="806" y="2267"/>
                            <a:ext cx="195" cy="0"/>
                          </a:xfrm>
                          <a:prstGeom prst="line">
                            <a:avLst/>
                          </a:prstGeom>
                          <a:noFill/>
                          <a:ln w="12700">
                            <a:solidFill>
                              <a:srgbClr val="0000C8"/>
                            </a:solidFill>
                            <a:round/>
                          </a:ln>
                        </wps:spPr>
                        <wps:bodyPr/>
                      </wps:wsp>
                      <wps:wsp>
                        <wps:cNvPr id="46" name="Line 2506"/>
                        <wps:cNvCnPr>
                          <a:cxnSpLocks noChangeShapeType="1"/>
                        </wps:cNvCnPr>
                        <wps:spPr bwMode="auto">
                          <a:xfrm>
                            <a:off x="1001" y="385"/>
                            <a:ext cx="0" cy="3740"/>
                          </a:xfrm>
                          <a:prstGeom prst="line">
                            <a:avLst/>
                          </a:prstGeom>
                          <a:noFill/>
                          <a:ln w="12700">
                            <a:solidFill>
                              <a:srgbClr val="0000C8"/>
                            </a:solidFill>
                            <a:round/>
                          </a:ln>
                        </wps:spPr>
                        <wps:bodyPr/>
                      </wps:wsp>
                      <wps:wsp>
                        <wps:cNvPr id="47" name="Line 2507"/>
                        <wps:cNvCnPr>
                          <a:cxnSpLocks noChangeShapeType="1"/>
                        </wps:cNvCnPr>
                        <wps:spPr bwMode="auto">
                          <a:xfrm>
                            <a:off x="1001" y="385"/>
                            <a:ext cx="214" cy="0"/>
                          </a:xfrm>
                          <a:prstGeom prst="line">
                            <a:avLst/>
                          </a:prstGeom>
                          <a:noFill/>
                          <a:ln w="12700">
                            <a:solidFill>
                              <a:srgbClr val="0000C8"/>
                            </a:solidFill>
                            <a:round/>
                          </a:ln>
                        </wps:spPr>
                        <wps:bodyPr/>
                      </wps:wsp>
                      <wps:wsp>
                        <wps:cNvPr id="60" name="Text Box 2508"/>
                        <wps:cNvSpPr txBox="1">
                          <a:spLocks noChangeArrowheads="1"/>
                        </wps:cNvSpPr>
                        <wps:spPr bwMode="auto">
                          <a:xfrm>
                            <a:off x="1215" y="233"/>
                            <a:ext cx="1351" cy="303"/>
                          </a:xfrm>
                          <a:prstGeom prst="rect">
                            <a:avLst/>
                          </a:prstGeom>
                          <a:solidFill>
                            <a:schemeClr val="accent6">
                              <a:lumMod val="40000"/>
                              <a:lumOff val="60000"/>
                            </a:schemeClr>
                          </a:solidFill>
                          <a:ln w="12700">
                            <a:solidFill>
                              <a:srgbClr val="0000C8"/>
                            </a:solidFill>
                            <a:miter lim="800000"/>
                          </a:ln>
                        </wps:spPr>
                        <wps:txbx>
                          <w:txbxContent>
                            <w:p w14:paraId="4EFF3C13">
                              <w:pPr>
                                <w:pStyle w:val="55"/>
                              </w:pPr>
                              <w:r>
                                <w:rPr>
                                  <w:rFonts w:hint="eastAsia"/>
                                </w:rPr>
                                <w:t>思想保证</w:t>
                              </w:r>
                            </w:p>
                          </w:txbxContent>
                        </wps:txbx>
                        <wps:bodyPr rot="0" vert="horz" wrap="square" lIns="0" tIns="0" rIns="0" bIns="0" anchor="ctr" anchorCtr="0" upright="1">
                          <a:noAutofit/>
                        </wps:bodyPr>
                      </wps:wsp>
                      <wps:wsp>
                        <wps:cNvPr id="61" name="Line 2509"/>
                        <wps:cNvCnPr>
                          <a:cxnSpLocks noChangeShapeType="1"/>
                        </wps:cNvCnPr>
                        <wps:spPr bwMode="auto">
                          <a:xfrm>
                            <a:off x="1002" y="1142"/>
                            <a:ext cx="214" cy="0"/>
                          </a:xfrm>
                          <a:prstGeom prst="line">
                            <a:avLst/>
                          </a:prstGeom>
                          <a:noFill/>
                          <a:ln w="12700">
                            <a:solidFill>
                              <a:srgbClr val="0000C8"/>
                            </a:solidFill>
                            <a:round/>
                          </a:ln>
                        </wps:spPr>
                        <wps:bodyPr/>
                      </wps:wsp>
                      <wps:wsp>
                        <wps:cNvPr id="111" name="Text Box 2510"/>
                        <wps:cNvSpPr txBox="1">
                          <a:spLocks noChangeArrowheads="1"/>
                        </wps:cNvSpPr>
                        <wps:spPr bwMode="auto">
                          <a:xfrm>
                            <a:off x="1215" y="990"/>
                            <a:ext cx="1351" cy="303"/>
                          </a:xfrm>
                          <a:prstGeom prst="rect">
                            <a:avLst/>
                          </a:prstGeom>
                          <a:solidFill>
                            <a:schemeClr val="accent6">
                              <a:lumMod val="40000"/>
                              <a:lumOff val="60000"/>
                            </a:schemeClr>
                          </a:solidFill>
                          <a:ln w="12700">
                            <a:solidFill>
                              <a:srgbClr val="0000C8"/>
                            </a:solidFill>
                            <a:miter lim="800000"/>
                          </a:ln>
                        </wps:spPr>
                        <wps:txbx>
                          <w:txbxContent>
                            <w:p w14:paraId="15F6CE71">
                              <w:pPr>
                                <w:pStyle w:val="55"/>
                              </w:pPr>
                              <w:r>
                                <w:rPr>
                                  <w:rFonts w:hint="eastAsia"/>
                                </w:rPr>
                                <w:t>组织保证</w:t>
                              </w:r>
                            </w:p>
                          </w:txbxContent>
                        </wps:txbx>
                        <wps:bodyPr rot="0" vert="horz" wrap="square" lIns="0" tIns="0" rIns="0" bIns="0" anchor="ctr" anchorCtr="0" upright="1">
                          <a:noAutofit/>
                        </wps:bodyPr>
                      </wps:wsp>
                      <wps:wsp>
                        <wps:cNvPr id="62" name="Line 2511"/>
                        <wps:cNvCnPr>
                          <a:cxnSpLocks noChangeShapeType="1"/>
                        </wps:cNvCnPr>
                        <wps:spPr bwMode="auto">
                          <a:xfrm>
                            <a:off x="2566" y="1142"/>
                            <a:ext cx="479" cy="0"/>
                          </a:xfrm>
                          <a:prstGeom prst="line">
                            <a:avLst/>
                          </a:prstGeom>
                          <a:noFill/>
                          <a:ln w="12700">
                            <a:solidFill>
                              <a:srgbClr val="0000C8"/>
                            </a:solidFill>
                            <a:round/>
                          </a:ln>
                        </wps:spPr>
                        <wps:bodyPr/>
                      </wps:wsp>
                      <wps:wsp>
                        <wps:cNvPr id="63" name="Text Box 2512"/>
                        <wps:cNvSpPr txBox="1">
                          <a:spLocks noChangeArrowheads="1"/>
                        </wps:cNvSpPr>
                        <wps:spPr bwMode="auto">
                          <a:xfrm>
                            <a:off x="3045" y="990"/>
                            <a:ext cx="2533" cy="303"/>
                          </a:xfrm>
                          <a:prstGeom prst="rect">
                            <a:avLst/>
                          </a:prstGeom>
                          <a:solidFill>
                            <a:schemeClr val="accent6">
                              <a:lumMod val="40000"/>
                              <a:lumOff val="60000"/>
                            </a:schemeClr>
                          </a:solidFill>
                          <a:ln w="12700">
                            <a:solidFill>
                              <a:srgbClr val="0000C8"/>
                            </a:solidFill>
                            <a:miter lim="800000"/>
                          </a:ln>
                        </wps:spPr>
                        <wps:txbx>
                          <w:txbxContent>
                            <w:p w14:paraId="4A0724CE">
                              <w:pPr>
                                <w:pStyle w:val="55"/>
                              </w:pPr>
                              <w:r>
                                <w:rPr>
                                  <w:rFonts w:hint="eastAsia"/>
                                </w:rPr>
                                <w:t>成立</w:t>
                              </w:r>
                              <w:r>
                                <w:rPr>
                                  <w:rFonts w:hint="eastAsia"/>
                                  <w:lang w:val="en-US" w:eastAsia="zh-CN"/>
                                </w:rPr>
                                <w:t>文明施工</w:t>
                              </w:r>
                              <w:r>
                                <w:rPr>
                                  <w:rFonts w:hint="eastAsia"/>
                                </w:rPr>
                                <w:t>领导小组</w:t>
                              </w:r>
                            </w:p>
                          </w:txbxContent>
                        </wps:txbx>
                        <wps:bodyPr rot="0" vert="horz" wrap="square" lIns="108000" tIns="0" rIns="0" bIns="0" anchor="ctr" anchorCtr="0" upright="1">
                          <a:noAutofit/>
                        </wps:bodyPr>
                      </wps:wsp>
                      <wps:wsp>
                        <wps:cNvPr id="66" name="Text Box 2513"/>
                        <wps:cNvSpPr txBox="1">
                          <a:spLocks noChangeArrowheads="1"/>
                        </wps:cNvSpPr>
                        <wps:spPr bwMode="auto">
                          <a:xfrm>
                            <a:off x="3045" y="0"/>
                            <a:ext cx="2533" cy="302"/>
                          </a:xfrm>
                          <a:prstGeom prst="rect">
                            <a:avLst/>
                          </a:prstGeom>
                          <a:solidFill>
                            <a:schemeClr val="accent6">
                              <a:lumMod val="40000"/>
                              <a:lumOff val="60000"/>
                            </a:schemeClr>
                          </a:solidFill>
                          <a:ln w="12700">
                            <a:solidFill>
                              <a:srgbClr val="0000C8"/>
                            </a:solidFill>
                            <a:miter lim="800000"/>
                          </a:ln>
                        </wps:spPr>
                        <wps:txbx>
                          <w:txbxContent>
                            <w:p w14:paraId="37ABD7C1">
                              <w:pPr>
                                <w:pStyle w:val="55"/>
                              </w:pPr>
                              <w:r>
                                <w:rPr>
                                  <w:rFonts w:hint="eastAsia"/>
                                  <w:lang w:val="en-US" w:eastAsia="zh-CN"/>
                                </w:rPr>
                                <w:t>文明施工</w:t>
                              </w:r>
                              <w:r>
                                <w:rPr>
                                  <w:rFonts w:hint="eastAsia"/>
                                </w:rPr>
                                <w:t>知识宣传教育</w:t>
                              </w:r>
                            </w:p>
                          </w:txbxContent>
                        </wps:txbx>
                        <wps:bodyPr rot="0" vert="horz" wrap="square" lIns="108000" tIns="0" rIns="0" bIns="0" anchor="ctr" anchorCtr="0" upright="1">
                          <a:noAutofit/>
                        </wps:bodyPr>
                      </wps:wsp>
                      <wps:wsp>
                        <wps:cNvPr id="85" name="Text Box 2514"/>
                        <wps:cNvSpPr txBox="1">
                          <a:spLocks noChangeArrowheads="1"/>
                        </wps:cNvSpPr>
                        <wps:spPr bwMode="auto">
                          <a:xfrm>
                            <a:off x="3045" y="453"/>
                            <a:ext cx="2533" cy="303"/>
                          </a:xfrm>
                          <a:prstGeom prst="rect">
                            <a:avLst/>
                          </a:prstGeom>
                          <a:solidFill>
                            <a:schemeClr val="accent6">
                              <a:lumMod val="40000"/>
                              <a:lumOff val="60000"/>
                            </a:schemeClr>
                          </a:solidFill>
                          <a:ln w="12700">
                            <a:solidFill>
                              <a:srgbClr val="0000C8"/>
                            </a:solidFill>
                            <a:miter lim="800000"/>
                          </a:ln>
                        </wps:spPr>
                        <wps:txbx>
                          <w:txbxContent>
                            <w:p w14:paraId="0F55C4E5">
                              <w:pPr>
                                <w:pStyle w:val="55"/>
                              </w:pPr>
                              <w:r>
                                <w:rPr>
                                  <w:rFonts w:hint="eastAsia"/>
                                </w:rPr>
                                <w:t>制定目标责任制</w:t>
                              </w:r>
                            </w:p>
                            <w:p w14:paraId="5E4A9E50">
                              <w:pPr>
                                <w:pStyle w:val="55"/>
                              </w:pPr>
                            </w:p>
                          </w:txbxContent>
                        </wps:txbx>
                        <wps:bodyPr rot="0" vert="horz" wrap="square" lIns="108000" tIns="0" rIns="0" bIns="0" anchor="ctr" anchorCtr="0" upright="1">
                          <a:noAutofit/>
                        </wps:bodyPr>
                      </wps:wsp>
                      <wps:wsp>
                        <wps:cNvPr id="117" name="Line 2515"/>
                        <wps:cNvCnPr>
                          <a:cxnSpLocks noChangeShapeType="1"/>
                        </wps:cNvCnPr>
                        <wps:spPr bwMode="auto">
                          <a:xfrm>
                            <a:off x="2707" y="158"/>
                            <a:ext cx="0" cy="447"/>
                          </a:xfrm>
                          <a:prstGeom prst="line">
                            <a:avLst/>
                          </a:prstGeom>
                          <a:noFill/>
                          <a:ln w="12700">
                            <a:solidFill>
                              <a:srgbClr val="0000C8"/>
                            </a:solidFill>
                            <a:round/>
                          </a:ln>
                        </wps:spPr>
                        <wps:bodyPr/>
                      </wps:wsp>
                      <wps:wsp>
                        <wps:cNvPr id="86" name="Line 2516"/>
                        <wps:cNvCnPr>
                          <a:cxnSpLocks noChangeShapeType="1"/>
                        </wps:cNvCnPr>
                        <wps:spPr bwMode="auto">
                          <a:xfrm>
                            <a:off x="2707" y="158"/>
                            <a:ext cx="338" cy="0"/>
                          </a:xfrm>
                          <a:prstGeom prst="line">
                            <a:avLst/>
                          </a:prstGeom>
                          <a:noFill/>
                          <a:ln w="12700">
                            <a:solidFill>
                              <a:srgbClr val="0000C8"/>
                            </a:solidFill>
                            <a:round/>
                          </a:ln>
                        </wps:spPr>
                        <wps:bodyPr/>
                      </wps:wsp>
                      <wps:wsp>
                        <wps:cNvPr id="119" name="Line 2517"/>
                        <wps:cNvCnPr>
                          <a:cxnSpLocks noChangeShapeType="1"/>
                        </wps:cNvCnPr>
                        <wps:spPr bwMode="auto">
                          <a:xfrm>
                            <a:off x="2707" y="605"/>
                            <a:ext cx="338" cy="0"/>
                          </a:xfrm>
                          <a:prstGeom prst="line">
                            <a:avLst/>
                          </a:prstGeom>
                          <a:noFill/>
                          <a:ln w="12700">
                            <a:solidFill>
                              <a:srgbClr val="0000C8"/>
                            </a:solidFill>
                            <a:round/>
                          </a:ln>
                        </wps:spPr>
                        <wps:bodyPr/>
                      </wps:wsp>
                      <wps:wsp>
                        <wps:cNvPr id="87" name="Line 2518"/>
                        <wps:cNvCnPr>
                          <a:cxnSpLocks noChangeShapeType="1"/>
                        </wps:cNvCnPr>
                        <wps:spPr bwMode="auto">
                          <a:xfrm>
                            <a:off x="1001" y="2039"/>
                            <a:ext cx="143" cy="0"/>
                          </a:xfrm>
                          <a:prstGeom prst="line">
                            <a:avLst/>
                          </a:prstGeom>
                          <a:noFill/>
                          <a:ln w="12700">
                            <a:solidFill>
                              <a:srgbClr val="0000C8"/>
                            </a:solidFill>
                            <a:round/>
                          </a:ln>
                        </wps:spPr>
                        <wps:bodyPr/>
                      </wps:wsp>
                      <wps:wsp>
                        <wps:cNvPr id="122" name="Text Box 2519"/>
                        <wps:cNvSpPr txBox="1">
                          <a:spLocks noChangeArrowheads="1"/>
                        </wps:cNvSpPr>
                        <wps:spPr bwMode="auto">
                          <a:xfrm>
                            <a:off x="1144" y="1887"/>
                            <a:ext cx="1352" cy="303"/>
                          </a:xfrm>
                          <a:prstGeom prst="rect">
                            <a:avLst/>
                          </a:prstGeom>
                          <a:solidFill>
                            <a:schemeClr val="accent6">
                              <a:lumMod val="40000"/>
                              <a:lumOff val="60000"/>
                            </a:schemeClr>
                          </a:solidFill>
                          <a:ln w="12700">
                            <a:solidFill>
                              <a:srgbClr val="0000C8"/>
                            </a:solidFill>
                            <a:miter lim="800000"/>
                          </a:ln>
                        </wps:spPr>
                        <wps:txbx>
                          <w:txbxContent>
                            <w:p w14:paraId="7225D39B">
                              <w:pPr>
                                <w:pStyle w:val="55"/>
                              </w:pPr>
                              <w:r>
                                <w:rPr>
                                  <w:rFonts w:hint="eastAsia"/>
                                </w:rPr>
                                <w:t>技术保证</w:t>
                              </w:r>
                            </w:p>
                          </w:txbxContent>
                        </wps:txbx>
                        <wps:bodyPr rot="0" vert="horz" wrap="square" lIns="0" tIns="0" rIns="0" bIns="0" anchor="ctr" anchorCtr="0" upright="1">
                          <a:noAutofit/>
                        </wps:bodyPr>
                      </wps:wsp>
                      <wps:wsp>
                        <wps:cNvPr id="123" name="Line 2520"/>
                        <wps:cNvCnPr>
                          <a:cxnSpLocks noChangeShapeType="1"/>
                        </wps:cNvCnPr>
                        <wps:spPr bwMode="auto">
                          <a:xfrm>
                            <a:off x="2496" y="2039"/>
                            <a:ext cx="549" cy="0"/>
                          </a:xfrm>
                          <a:prstGeom prst="line">
                            <a:avLst/>
                          </a:prstGeom>
                          <a:noFill/>
                          <a:ln w="12700">
                            <a:solidFill>
                              <a:srgbClr val="0000C8"/>
                            </a:solidFill>
                            <a:round/>
                          </a:ln>
                        </wps:spPr>
                        <wps:bodyPr/>
                      </wps:wsp>
                      <wps:wsp>
                        <wps:cNvPr id="125" name="Text Box 2521"/>
                        <wps:cNvSpPr txBox="1">
                          <a:spLocks noChangeArrowheads="1"/>
                        </wps:cNvSpPr>
                        <wps:spPr bwMode="auto">
                          <a:xfrm>
                            <a:off x="3045" y="1887"/>
                            <a:ext cx="3390" cy="303"/>
                          </a:xfrm>
                          <a:prstGeom prst="rect">
                            <a:avLst/>
                          </a:prstGeom>
                          <a:solidFill>
                            <a:schemeClr val="accent6">
                              <a:lumMod val="40000"/>
                              <a:lumOff val="60000"/>
                            </a:schemeClr>
                          </a:solidFill>
                          <a:ln w="12700">
                            <a:solidFill>
                              <a:srgbClr val="0000C8"/>
                            </a:solidFill>
                            <a:miter lim="800000"/>
                          </a:ln>
                        </wps:spPr>
                        <wps:txbx>
                          <w:txbxContent>
                            <w:p w14:paraId="2133FD85">
                              <w:pPr>
                                <w:pStyle w:val="55"/>
                              </w:pPr>
                              <w:r>
                                <w:rPr>
                                  <w:rFonts w:hint="eastAsia"/>
                                </w:rPr>
                                <w:t>制定</w:t>
                              </w:r>
                              <w:r>
                                <w:rPr>
                                  <w:rFonts w:hint="eastAsia"/>
                                  <w:lang w:val="en-US" w:eastAsia="zh-CN"/>
                                </w:rPr>
                                <w:t>文明施工</w:t>
                              </w:r>
                              <w:r>
                                <w:rPr>
                                  <w:rFonts w:hint="eastAsia"/>
                                </w:rPr>
                                <w:t>实施方案</w:t>
                              </w:r>
                            </w:p>
                          </w:txbxContent>
                        </wps:txbx>
                        <wps:bodyPr rot="0" vert="horz" wrap="square" lIns="108000" tIns="0" rIns="0" bIns="0" anchor="ctr" anchorCtr="0" upright="1">
                          <a:noAutofit/>
                        </wps:bodyPr>
                      </wps:wsp>
                      <wps:wsp>
                        <wps:cNvPr id="129" name="Text Box 2522"/>
                        <wps:cNvSpPr txBox="1">
                          <a:spLocks noChangeArrowheads="1"/>
                        </wps:cNvSpPr>
                        <wps:spPr bwMode="auto">
                          <a:xfrm>
                            <a:off x="3045" y="1510"/>
                            <a:ext cx="3390" cy="303"/>
                          </a:xfrm>
                          <a:prstGeom prst="rect">
                            <a:avLst/>
                          </a:prstGeom>
                          <a:solidFill>
                            <a:schemeClr val="accent6">
                              <a:lumMod val="40000"/>
                              <a:lumOff val="60000"/>
                            </a:schemeClr>
                          </a:solidFill>
                          <a:ln w="12700">
                            <a:solidFill>
                              <a:srgbClr val="0000C8"/>
                            </a:solidFill>
                            <a:miter lim="800000"/>
                          </a:ln>
                        </wps:spPr>
                        <wps:txbx>
                          <w:txbxContent>
                            <w:p w14:paraId="576668E2">
                              <w:pPr>
                                <w:pStyle w:val="55"/>
                              </w:pPr>
                              <w:r>
                                <w:rPr>
                                  <w:rFonts w:hint="eastAsia"/>
                                  <w:lang w:val="en-US" w:eastAsia="zh-CN"/>
                                </w:rPr>
                                <w:t>组织</w:t>
                              </w:r>
                              <w:r>
                                <w:rPr>
                                  <w:rFonts w:hint="eastAsia"/>
                                </w:rPr>
                                <w:t>员工培训</w:t>
                              </w:r>
                            </w:p>
                          </w:txbxContent>
                        </wps:txbx>
                        <wps:bodyPr rot="0" vert="horz" wrap="square" lIns="108000" tIns="0" rIns="0" bIns="0" anchor="ctr" anchorCtr="0" upright="1">
                          <a:noAutofit/>
                        </wps:bodyPr>
                      </wps:wsp>
                      <wps:wsp>
                        <wps:cNvPr id="131" name="Line 2523"/>
                        <wps:cNvCnPr>
                          <a:cxnSpLocks noChangeShapeType="1"/>
                        </wps:cNvCnPr>
                        <wps:spPr bwMode="auto">
                          <a:xfrm>
                            <a:off x="2707" y="1659"/>
                            <a:ext cx="0" cy="767"/>
                          </a:xfrm>
                          <a:prstGeom prst="line">
                            <a:avLst/>
                          </a:prstGeom>
                          <a:noFill/>
                          <a:ln w="12700">
                            <a:solidFill>
                              <a:srgbClr val="0000C8"/>
                            </a:solidFill>
                            <a:round/>
                          </a:ln>
                        </wps:spPr>
                        <wps:bodyPr/>
                      </wps:wsp>
                      <wps:wsp>
                        <wps:cNvPr id="133" name="Line 2524"/>
                        <wps:cNvCnPr>
                          <a:cxnSpLocks noChangeShapeType="1"/>
                        </wps:cNvCnPr>
                        <wps:spPr bwMode="auto">
                          <a:xfrm>
                            <a:off x="2707" y="1659"/>
                            <a:ext cx="338" cy="0"/>
                          </a:xfrm>
                          <a:prstGeom prst="line">
                            <a:avLst/>
                          </a:prstGeom>
                          <a:noFill/>
                          <a:ln w="12700">
                            <a:solidFill>
                              <a:srgbClr val="0000C8"/>
                            </a:solidFill>
                            <a:round/>
                          </a:ln>
                        </wps:spPr>
                        <wps:bodyPr/>
                      </wps:wsp>
                      <wps:wsp>
                        <wps:cNvPr id="134" name="Line 2525"/>
                        <wps:cNvCnPr>
                          <a:cxnSpLocks noChangeShapeType="1"/>
                        </wps:cNvCnPr>
                        <wps:spPr bwMode="auto">
                          <a:xfrm>
                            <a:off x="1001" y="3110"/>
                            <a:ext cx="143" cy="0"/>
                          </a:xfrm>
                          <a:prstGeom prst="line">
                            <a:avLst/>
                          </a:prstGeom>
                          <a:noFill/>
                          <a:ln w="12700">
                            <a:solidFill>
                              <a:srgbClr val="0000C8"/>
                            </a:solidFill>
                            <a:round/>
                          </a:ln>
                        </wps:spPr>
                        <wps:bodyPr/>
                      </wps:wsp>
                      <wps:wsp>
                        <wps:cNvPr id="135" name="Text Box 2526"/>
                        <wps:cNvSpPr txBox="1">
                          <a:spLocks noChangeArrowheads="1"/>
                        </wps:cNvSpPr>
                        <wps:spPr bwMode="auto">
                          <a:xfrm>
                            <a:off x="1144" y="2959"/>
                            <a:ext cx="1352" cy="303"/>
                          </a:xfrm>
                          <a:prstGeom prst="rect">
                            <a:avLst/>
                          </a:prstGeom>
                          <a:solidFill>
                            <a:schemeClr val="accent6">
                              <a:lumMod val="40000"/>
                              <a:lumOff val="60000"/>
                            </a:schemeClr>
                          </a:solidFill>
                          <a:ln w="12700">
                            <a:solidFill>
                              <a:srgbClr val="0000C8"/>
                            </a:solidFill>
                            <a:miter lim="800000"/>
                          </a:ln>
                        </wps:spPr>
                        <wps:txbx>
                          <w:txbxContent>
                            <w:p w14:paraId="1AE9498B">
                              <w:pPr>
                                <w:pStyle w:val="55"/>
                              </w:pPr>
                              <w:r>
                                <w:rPr>
                                  <w:rFonts w:hint="eastAsia"/>
                                </w:rPr>
                                <w:t>制度保证</w:t>
                              </w:r>
                            </w:p>
                          </w:txbxContent>
                        </wps:txbx>
                        <wps:bodyPr rot="0" vert="horz" wrap="square" lIns="0" tIns="0" rIns="0" bIns="0" anchor="ctr" anchorCtr="0" upright="1">
                          <a:noAutofit/>
                        </wps:bodyPr>
                      </wps:wsp>
                      <wps:wsp>
                        <wps:cNvPr id="136" name="Text Box 2527"/>
                        <wps:cNvSpPr txBox="1">
                          <a:spLocks noChangeArrowheads="1"/>
                        </wps:cNvSpPr>
                        <wps:spPr bwMode="auto">
                          <a:xfrm>
                            <a:off x="3045" y="3111"/>
                            <a:ext cx="3390" cy="303"/>
                          </a:xfrm>
                          <a:prstGeom prst="rect">
                            <a:avLst/>
                          </a:prstGeom>
                          <a:solidFill>
                            <a:schemeClr val="accent6">
                              <a:lumMod val="40000"/>
                              <a:lumOff val="60000"/>
                            </a:schemeClr>
                          </a:solidFill>
                          <a:ln w="12700">
                            <a:solidFill>
                              <a:srgbClr val="0000C8"/>
                            </a:solidFill>
                            <a:miter lim="800000"/>
                          </a:ln>
                        </wps:spPr>
                        <wps:txbx>
                          <w:txbxContent>
                            <w:p w14:paraId="165EE4CD">
                              <w:pPr>
                                <w:pStyle w:val="55"/>
                              </w:pPr>
                              <w:r>
                                <w:rPr>
                                  <w:rFonts w:hint="eastAsia"/>
                                </w:rPr>
                                <w:t>公司、项目部相关规章制度</w:t>
                              </w:r>
                            </w:p>
                          </w:txbxContent>
                        </wps:txbx>
                        <wps:bodyPr rot="0" vert="horz" wrap="square" lIns="108000" tIns="0" rIns="0" bIns="0" anchor="ctr" anchorCtr="0" upright="1">
                          <a:noAutofit/>
                        </wps:bodyPr>
                      </wps:wsp>
                      <wps:wsp>
                        <wps:cNvPr id="137" name="Text Box 2528"/>
                        <wps:cNvSpPr txBox="1">
                          <a:spLocks noChangeArrowheads="1"/>
                        </wps:cNvSpPr>
                        <wps:spPr bwMode="auto">
                          <a:xfrm>
                            <a:off x="3045" y="2734"/>
                            <a:ext cx="3390" cy="303"/>
                          </a:xfrm>
                          <a:prstGeom prst="rect">
                            <a:avLst/>
                          </a:prstGeom>
                          <a:solidFill>
                            <a:schemeClr val="accent6">
                              <a:lumMod val="40000"/>
                              <a:lumOff val="60000"/>
                            </a:schemeClr>
                          </a:solidFill>
                          <a:ln w="12700">
                            <a:solidFill>
                              <a:srgbClr val="0000C8"/>
                            </a:solidFill>
                            <a:miter lim="800000"/>
                          </a:ln>
                        </wps:spPr>
                        <wps:txbx>
                          <w:txbxContent>
                            <w:p w14:paraId="7D045E22">
                              <w:pPr>
                                <w:pStyle w:val="55"/>
                              </w:pPr>
                              <w:r>
                                <w:rPr>
                                  <w:rFonts w:hint="eastAsia"/>
                                </w:rPr>
                                <w:t>国家、相关部委相关法律、法规</w:t>
                              </w:r>
                            </w:p>
                          </w:txbxContent>
                        </wps:txbx>
                        <wps:bodyPr rot="0" vert="horz" wrap="square" lIns="108000" tIns="0" rIns="0" bIns="0" anchor="ctr" anchorCtr="0" upright="1">
                          <a:noAutofit/>
                        </wps:bodyPr>
                      </wps:wsp>
                      <wps:wsp>
                        <wps:cNvPr id="138" name="Line 2529"/>
                        <wps:cNvCnPr>
                          <a:cxnSpLocks noChangeShapeType="1"/>
                        </wps:cNvCnPr>
                        <wps:spPr bwMode="auto">
                          <a:xfrm>
                            <a:off x="2707" y="2883"/>
                            <a:ext cx="0" cy="379"/>
                          </a:xfrm>
                          <a:prstGeom prst="line">
                            <a:avLst/>
                          </a:prstGeom>
                          <a:noFill/>
                          <a:ln w="12700">
                            <a:solidFill>
                              <a:srgbClr val="0000C8"/>
                            </a:solidFill>
                            <a:round/>
                          </a:ln>
                        </wps:spPr>
                        <wps:bodyPr/>
                      </wps:wsp>
                      <wps:wsp>
                        <wps:cNvPr id="139" name="Line 2530"/>
                        <wps:cNvCnPr>
                          <a:cxnSpLocks noChangeShapeType="1"/>
                        </wps:cNvCnPr>
                        <wps:spPr bwMode="auto">
                          <a:xfrm>
                            <a:off x="2707" y="2883"/>
                            <a:ext cx="338" cy="0"/>
                          </a:xfrm>
                          <a:prstGeom prst="line">
                            <a:avLst/>
                          </a:prstGeom>
                          <a:noFill/>
                          <a:ln w="12700">
                            <a:solidFill>
                              <a:srgbClr val="0000C8"/>
                            </a:solidFill>
                            <a:round/>
                          </a:ln>
                        </wps:spPr>
                        <wps:bodyPr/>
                      </wps:wsp>
                      <wps:wsp>
                        <wps:cNvPr id="140" name="Line 2531"/>
                        <wps:cNvCnPr>
                          <a:cxnSpLocks noChangeShapeType="1"/>
                        </wps:cNvCnPr>
                        <wps:spPr bwMode="auto">
                          <a:xfrm>
                            <a:off x="1001" y="4125"/>
                            <a:ext cx="143" cy="0"/>
                          </a:xfrm>
                          <a:prstGeom prst="line">
                            <a:avLst/>
                          </a:prstGeom>
                          <a:noFill/>
                          <a:ln w="12700">
                            <a:solidFill>
                              <a:srgbClr val="0000C8"/>
                            </a:solidFill>
                            <a:round/>
                          </a:ln>
                        </wps:spPr>
                        <wps:bodyPr/>
                      </wps:wsp>
                      <wps:wsp>
                        <wps:cNvPr id="145" name="Text Box 2532"/>
                        <wps:cNvSpPr txBox="1">
                          <a:spLocks noChangeArrowheads="1"/>
                        </wps:cNvSpPr>
                        <wps:spPr bwMode="auto">
                          <a:xfrm>
                            <a:off x="1144" y="3973"/>
                            <a:ext cx="1352" cy="304"/>
                          </a:xfrm>
                          <a:prstGeom prst="rect">
                            <a:avLst/>
                          </a:prstGeom>
                          <a:solidFill>
                            <a:schemeClr val="accent6">
                              <a:lumMod val="40000"/>
                              <a:lumOff val="60000"/>
                            </a:schemeClr>
                          </a:solidFill>
                          <a:ln w="12700">
                            <a:solidFill>
                              <a:srgbClr val="0000C8"/>
                            </a:solidFill>
                            <a:miter lim="800000"/>
                          </a:ln>
                        </wps:spPr>
                        <wps:txbx>
                          <w:txbxContent>
                            <w:p w14:paraId="1F87DEFE">
                              <w:pPr>
                                <w:pStyle w:val="55"/>
                              </w:pPr>
                              <w:r>
                                <w:rPr>
                                  <w:rFonts w:hint="eastAsia"/>
                                </w:rPr>
                                <w:t>施工保证</w:t>
                              </w:r>
                            </w:p>
                          </w:txbxContent>
                        </wps:txbx>
                        <wps:bodyPr rot="0" vert="horz" wrap="square" lIns="0" tIns="0" rIns="0" bIns="0" anchor="ctr" anchorCtr="0" upright="1">
                          <a:noAutofit/>
                        </wps:bodyPr>
                      </wps:wsp>
                      <wps:wsp>
                        <wps:cNvPr id="141" name="Line 2533"/>
                        <wps:cNvCnPr>
                          <a:cxnSpLocks noChangeShapeType="1"/>
                        </wps:cNvCnPr>
                        <wps:spPr bwMode="auto">
                          <a:xfrm>
                            <a:off x="2496" y="4125"/>
                            <a:ext cx="549" cy="0"/>
                          </a:xfrm>
                          <a:prstGeom prst="line">
                            <a:avLst/>
                          </a:prstGeom>
                          <a:noFill/>
                          <a:ln w="12700">
                            <a:solidFill>
                              <a:srgbClr val="0000C8"/>
                            </a:solidFill>
                            <a:round/>
                          </a:ln>
                        </wps:spPr>
                        <wps:bodyPr/>
                      </wps:wsp>
                      <wps:wsp>
                        <wps:cNvPr id="149" name="Text Box 2534"/>
                        <wps:cNvSpPr txBox="1">
                          <a:spLocks noChangeArrowheads="1"/>
                        </wps:cNvSpPr>
                        <wps:spPr bwMode="auto">
                          <a:xfrm>
                            <a:off x="3045" y="3973"/>
                            <a:ext cx="3040" cy="304"/>
                          </a:xfrm>
                          <a:prstGeom prst="rect">
                            <a:avLst/>
                          </a:prstGeom>
                          <a:solidFill>
                            <a:schemeClr val="accent6">
                              <a:lumMod val="40000"/>
                              <a:lumOff val="60000"/>
                            </a:schemeClr>
                          </a:solidFill>
                          <a:ln w="12700">
                            <a:solidFill>
                              <a:srgbClr val="0000C8"/>
                            </a:solidFill>
                            <a:miter lim="800000"/>
                          </a:ln>
                        </wps:spPr>
                        <wps:txbx>
                          <w:txbxContent>
                            <w:p w14:paraId="682983E1">
                              <w:pPr>
                                <w:pStyle w:val="55"/>
                              </w:pPr>
                              <w:r>
                                <w:rPr>
                                  <w:rFonts w:hint="eastAsia"/>
                                  <w:lang w:val="en-US" w:eastAsia="zh-CN"/>
                                </w:rPr>
                                <w:t>文明</w:t>
                              </w:r>
                              <w:r>
                                <w:rPr>
                                  <w:rFonts w:hint="eastAsia"/>
                                </w:rPr>
                                <w:t>施工工艺保证</w:t>
                              </w:r>
                            </w:p>
                          </w:txbxContent>
                        </wps:txbx>
                        <wps:bodyPr rot="0" vert="horz" wrap="square" lIns="108000" tIns="0" rIns="0" bIns="0" anchor="ctr" anchorCtr="0" upright="1">
                          <a:noAutofit/>
                        </wps:bodyPr>
                      </wps:wsp>
                      <wps:wsp>
                        <wps:cNvPr id="150" name="Text Box 2535"/>
                        <wps:cNvSpPr txBox="1">
                          <a:spLocks noChangeArrowheads="1"/>
                        </wps:cNvSpPr>
                        <wps:spPr bwMode="auto">
                          <a:xfrm>
                            <a:off x="3045" y="3596"/>
                            <a:ext cx="3040" cy="303"/>
                          </a:xfrm>
                          <a:prstGeom prst="rect">
                            <a:avLst/>
                          </a:prstGeom>
                          <a:solidFill>
                            <a:schemeClr val="accent6">
                              <a:lumMod val="40000"/>
                              <a:lumOff val="60000"/>
                            </a:schemeClr>
                          </a:solidFill>
                          <a:ln w="12700">
                            <a:solidFill>
                              <a:srgbClr val="0000C8"/>
                            </a:solidFill>
                            <a:miter lim="800000"/>
                          </a:ln>
                        </wps:spPr>
                        <wps:txbx>
                          <w:txbxContent>
                            <w:p w14:paraId="4ADEEA52">
                              <w:pPr>
                                <w:pStyle w:val="55"/>
                              </w:pPr>
                              <w:r>
                                <w:rPr>
                                  <w:rFonts w:hint="eastAsia"/>
                                </w:rPr>
                                <w:t>落实岗位责任制</w:t>
                              </w:r>
                            </w:p>
                          </w:txbxContent>
                        </wps:txbx>
                        <wps:bodyPr rot="0" vert="horz" wrap="square" lIns="108000" tIns="0" rIns="0" bIns="0" anchor="ctr" anchorCtr="0" upright="1">
                          <a:noAutofit/>
                        </wps:bodyPr>
                      </wps:wsp>
                      <wps:wsp>
                        <wps:cNvPr id="151" name="Text Box 2536"/>
                        <wps:cNvSpPr txBox="1">
                          <a:spLocks noChangeArrowheads="1"/>
                        </wps:cNvSpPr>
                        <wps:spPr bwMode="auto">
                          <a:xfrm>
                            <a:off x="3045" y="4342"/>
                            <a:ext cx="3040" cy="302"/>
                          </a:xfrm>
                          <a:prstGeom prst="rect">
                            <a:avLst/>
                          </a:prstGeom>
                          <a:solidFill>
                            <a:schemeClr val="accent6">
                              <a:lumMod val="40000"/>
                              <a:lumOff val="60000"/>
                            </a:schemeClr>
                          </a:solidFill>
                          <a:ln w="12700">
                            <a:solidFill>
                              <a:srgbClr val="0000C8"/>
                            </a:solidFill>
                            <a:miter lim="800000"/>
                          </a:ln>
                        </wps:spPr>
                        <wps:txbx>
                          <w:txbxContent>
                            <w:p w14:paraId="2B6A1FF6">
                              <w:pPr>
                                <w:pStyle w:val="55"/>
                              </w:pPr>
                              <w:r>
                                <w:rPr>
                                  <w:rFonts w:hint="eastAsia"/>
                                </w:rPr>
                                <w:t>物资设备保证</w:t>
                              </w:r>
                            </w:p>
                          </w:txbxContent>
                        </wps:txbx>
                        <wps:bodyPr rot="0" vert="horz" wrap="square" lIns="108000" tIns="0" rIns="0" bIns="0" anchor="ctr" anchorCtr="0" upright="1">
                          <a:noAutofit/>
                        </wps:bodyPr>
                      </wps:wsp>
                      <wps:wsp>
                        <wps:cNvPr id="152" name="Line 2537"/>
                        <wps:cNvCnPr>
                          <a:cxnSpLocks noChangeShapeType="1"/>
                        </wps:cNvCnPr>
                        <wps:spPr bwMode="auto">
                          <a:xfrm>
                            <a:off x="2707" y="3747"/>
                            <a:ext cx="0" cy="1180"/>
                          </a:xfrm>
                          <a:prstGeom prst="line">
                            <a:avLst/>
                          </a:prstGeom>
                          <a:noFill/>
                          <a:ln w="12700">
                            <a:solidFill>
                              <a:srgbClr val="0000C8"/>
                            </a:solidFill>
                            <a:round/>
                          </a:ln>
                        </wps:spPr>
                        <wps:bodyPr/>
                      </wps:wsp>
                      <wps:wsp>
                        <wps:cNvPr id="153" name="Line 2538"/>
                        <wps:cNvCnPr>
                          <a:cxnSpLocks noChangeShapeType="1"/>
                        </wps:cNvCnPr>
                        <wps:spPr bwMode="auto">
                          <a:xfrm>
                            <a:off x="2707" y="3747"/>
                            <a:ext cx="338" cy="0"/>
                          </a:xfrm>
                          <a:prstGeom prst="line">
                            <a:avLst/>
                          </a:prstGeom>
                          <a:noFill/>
                          <a:ln w="12700">
                            <a:solidFill>
                              <a:srgbClr val="0000C8"/>
                            </a:solidFill>
                            <a:round/>
                          </a:ln>
                        </wps:spPr>
                        <wps:bodyPr/>
                      </wps:wsp>
                      <wps:wsp>
                        <wps:cNvPr id="154" name="Line 2539"/>
                        <wps:cNvCnPr>
                          <a:cxnSpLocks noChangeShapeType="1"/>
                        </wps:cNvCnPr>
                        <wps:spPr bwMode="auto">
                          <a:xfrm>
                            <a:off x="2707" y="4504"/>
                            <a:ext cx="338" cy="0"/>
                          </a:xfrm>
                          <a:prstGeom prst="line">
                            <a:avLst/>
                          </a:prstGeom>
                          <a:noFill/>
                          <a:ln w="12700">
                            <a:solidFill>
                              <a:srgbClr val="0000C8"/>
                            </a:solidFill>
                            <a:round/>
                          </a:ln>
                        </wps:spPr>
                        <wps:bodyPr/>
                      </wps:wsp>
                      <wps:wsp>
                        <wps:cNvPr id="155" name="Line 2540"/>
                        <wps:cNvCnPr>
                          <a:cxnSpLocks noChangeShapeType="1"/>
                        </wps:cNvCnPr>
                        <wps:spPr bwMode="auto">
                          <a:xfrm>
                            <a:off x="2566" y="358"/>
                            <a:ext cx="141" cy="0"/>
                          </a:xfrm>
                          <a:prstGeom prst="line">
                            <a:avLst/>
                          </a:prstGeom>
                          <a:noFill/>
                          <a:ln w="12700">
                            <a:solidFill>
                              <a:srgbClr val="0000C8"/>
                            </a:solidFill>
                            <a:round/>
                          </a:ln>
                        </wps:spPr>
                        <wps:bodyPr/>
                      </wps:wsp>
                      <wps:wsp>
                        <wps:cNvPr id="156" name="Text Box 2541"/>
                        <wps:cNvSpPr txBox="1">
                          <a:spLocks noChangeArrowheads="1"/>
                        </wps:cNvSpPr>
                        <wps:spPr bwMode="auto">
                          <a:xfrm>
                            <a:off x="3045" y="2276"/>
                            <a:ext cx="3390" cy="303"/>
                          </a:xfrm>
                          <a:prstGeom prst="rect">
                            <a:avLst/>
                          </a:prstGeom>
                          <a:solidFill>
                            <a:schemeClr val="accent6">
                              <a:lumMod val="40000"/>
                              <a:lumOff val="60000"/>
                            </a:schemeClr>
                          </a:solidFill>
                          <a:ln w="12700">
                            <a:solidFill>
                              <a:srgbClr val="0000C8"/>
                            </a:solidFill>
                            <a:miter lim="800000"/>
                          </a:ln>
                        </wps:spPr>
                        <wps:txbx>
                          <w:txbxContent>
                            <w:p w14:paraId="06439A43">
                              <w:pPr>
                                <w:pStyle w:val="55"/>
                              </w:pPr>
                              <w:r>
                                <w:rPr>
                                  <w:rFonts w:hint="eastAsia"/>
                                </w:rPr>
                                <w:t>制定</w:t>
                              </w:r>
                              <w:r>
                                <w:rPr>
                                  <w:rFonts w:hint="eastAsia"/>
                                  <w:lang w:val="en-US" w:eastAsia="zh-CN"/>
                                </w:rPr>
                                <w:t>文明施工</w:t>
                              </w:r>
                              <w:r>
                                <w:rPr>
                                  <w:rFonts w:hint="eastAsia"/>
                                </w:rPr>
                                <w:t>技术措施</w:t>
                              </w:r>
                            </w:p>
                          </w:txbxContent>
                        </wps:txbx>
                        <wps:bodyPr rot="0" vert="horz" wrap="square" lIns="108000" tIns="0" rIns="0" bIns="0" anchor="ctr" anchorCtr="0" upright="1">
                          <a:noAutofit/>
                        </wps:bodyPr>
                      </wps:wsp>
                      <wps:wsp>
                        <wps:cNvPr id="157" name="Line 2542"/>
                        <wps:cNvCnPr>
                          <a:cxnSpLocks noChangeShapeType="1"/>
                        </wps:cNvCnPr>
                        <wps:spPr bwMode="auto">
                          <a:xfrm>
                            <a:off x="2707" y="2426"/>
                            <a:ext cx="338" cy="0"/>
                          </a:xfrm>
                          <a:prstGeom prst="line">
                            <a:avLst/>
                          </a:prstGeom>
                          <a:noFill/>
                          <a:ln w="12700">
                            <a:solidFill>
                              <a:srgbClr val="0000C8"/>
                            </a:solidFill>
                            <a:round/>
                          </a:ln>
                        </wps:spPr>
                        <wps:bodyPr/>
                      </wps:wsp>
                      <wps:wsp>
                        <wps:cNvPr id="158" name="Text Box 2543"/>
                        <wps:cNvSpPr txBox="1">
                          <a:spLocks noChangeArrowheads="1"/>
                        </wps:cNvSpPr>
                        <wps:spPr bwMode="auto">
                          <a:xfrm>
                            <a:off x="3045" y="4776"/>
                            <a:ext cx="3040" cy="303"/>
                          </a:xfrm>
                          <a:prstGeom prst="rect">
                            <a:avLst/>
                          </a:prstGeom>
                          <a:solidFill>
                            <a:schemeClr val="accent6">
                              <a:lumMod val="40000"/>
                              <a:lumOff val="60000"/>
                            </a:schemeClr>
                          </a:solidFill>
                          <a:ln w="12700">
                            <a:solidFill>
                              <a:srgbClr val="0000C8"/>
                            </a:solidFill>
                            <a:miter lim="800000"/>
                          </a:ln>
                        </wps:spPr>
                        <wps:txbx>
                          <w:txbxContent>
                            <w:p w14:paraId="60F04E3E">
                              <w:pPr>
                                <w:pStyle w:val="55"/>
                              </w:pPr>
                              <w:r>
                                <w:rPr>
                                  <w:rFonts w:hint="eastAsia"/>
                                </w:rPr>
                                <w:t>监督、检查、改进</w:t>
                              </w:r>
                            </w:p>
                          </w:txbxContent>
                        </wps:txbx>
                        <wps:bodyPr rot="0" vert="horz" wrap="square" lIns="108000" tIns="0" rIns="0" bIns="0" anchor="ctr" anchorCtr="0" upright="1">
                          <a:noAutofit/>
                        </wps:bodyPr>
                      </wps:wsp>
                      <wps:wsp>
                        <wps:cNvPr id="142" name="Line 2544"/>
                        <wps:cNvCnPr>
                          <a:cxnSpLocks noChangeShapeType="1"/>
                        </wps:cNvCnPr>
                        <wps:spPr bwMode="auto">
                          <a:xfrm>
                            <a:off x="2707" y="4927"/>
                            <a:ext cx="338" cy="0"/>
                          </a:xfrm>
                          <a:prstGeom prst="line">
                            <a:avLst/>
                          </a:prstGeom>
                          <a:noFill/>
                          <a:ln w="12700">
                            <a:solidFill>
                              <a:srgbClr val="0000C8"/>
                            </a:solidFill>
                            <a:round/>
                          </a:ln>
                        </wps:spPr>
                        <wps:bodyPr/>
                      </wps:wsp>
                      <wps:wsp>
                        <wps:cNvPr id="143" name="Line 2545"/>
                        <wps:cNvCnPr>
                          <a:cxnSpLocks noChangeShapeType="1"/>
                        </wps:cNvCnPr>
                        <wps:spPr bwMode="auto">
                          <a:xfrm>
                            <a:off x="2707" y="3262"/>
                            <a:ext cx="338" cy="0"/>
                          </a:xfrm>
                          <a:prstGeom prst="line">
                            <a:avLst/>
                          </a:prstGeom>
                          <a:noFill/>
                          <a:ln w="12700">
                            <a:solidFill>
                              <a:srgbClr val="0000C8"/>
                            </a:solidFill>
                            <a:round/>
                          </a:ln>
                        </wps:spPr>
                        <wps:bodyPr/>
                      </wps:wsp>
                      <wps:wsp>
                        <wps:cNvPr id="144" name="Line 2546"/>
                        <wps:cNvCnPr>
                          <a:cxnSpLocks noChangeShapeType="1"/>
                        </wps:cNvCnPr>
                        <wps:spPr bwMode="auto">
                          <a:xfrm flipV="1">
                            <a:off x="2496" y="3111"/>
                            <a:ext cx="211" cy="0"/>
                          </a:xfrm>
                          <a:prstGeom prst="line">
                            <a:avLst/>
                          </a:prstGeom>
                          <a:noFill/>
                          <a:ln w="12700">
                            <a:solidFill>
                              <a:srgbClr val="0000C8"/>
                            </a:solidFill>
                            <a:round/>
                          </a:ln>
                        </wps:spPr>
                        <wps:bodyPr/>
                      </wps:wsp>
                      <wps:wsp>
                        <wps:cNvPr id="146" name="Line 2547"/>
                        <wps:cNvCnPr>
                          <a:cxnSpLocks noChangeShapeType="1"/>
                        </wps:cNvCnPr>
                        <wps:spPr bwMode="auto">
                          <a:xfrm flipV="1">
                            <a:off x="5578" y="171"/>
                            <a:ext cx="1200" cy="0"/>
                          </a:xfrm>
                          <a:prstGeom prst="line">
                            <a:avLst/>
                          </a:prstGeom>
                          <a:noFill/>
                          <a:ln w="12700">
                            <a:solidFill>
                              <a:srgbClr val="0000C8"/>
                            </a:solidFill>
                            <a:round/>
                          </a:ln>
                        </wps:spPr>
                        <wps:bodyPr/>
                      </wps:wsp>
                      <wps:wsp>
                        <wps:cNvPr id="163" name="Line 2548"/>
                        <wps:cNvCnPr>
                          <a:cxnSpLocks noChangeShapeType="1"/>
                        </wps:cNvCnPr>
                        <wps:spPr bwMode="auto">
                          <a:xfrm>
                            <a:off x="5578" y="605"/>
                            <a:ext cx="1205" cy="0"/>
                          </a:xfrm>
                          <a:prstGeom prst="line">
                            <a:avLst/>
                          </a:prstGeom>
                          <a:noFill/>
                          <a:ln w="12700">
                            <a:solidFill>
                              <a:srgbClr val="0000C8"/>
                            </a:solidFill>
                            <a:round/>
                          </a:ln>
                        </wps:spPr>
                        <wps:bodyPr/>
                      </wps:wsp>
                      <wps:wsp>
                        <wps:cNvPr id="164" name="Line 2549"/>
                        <wps:cNvCnPr>
                          <a:cxnSpLocks noChangeShapeType="1"/>
                        </wps:cNvCnPr>
                        <wps:spPr bwMode="auto">
                          <a:xfrm>
                            <a:off x="5573" y="1142"/>
                            <a:ext cx="1372" cy="0"/>
                          </a:xfrm>
                          <a:prstGeom prst="line">
                            <a:avLst/>
                          </a:prstGeom>
                          <a:noFill/>
                          <a:ln w="12700">
                            <a:solidFill>
                              <a:srgbClr val="0000C8"/>
                            </a:solidFill>
                            <a:round/>
                          </a:ln>
                        </wps:spPr>
                        <wps:bodyPr/>
                      </wps:wsp>
                      <wps:wsp>
                        <wps:cNvPr id="165" name="Line 2550"/>
                        <wps:cNvCnPr>
                          <a:cxnSpLocks noChangeShapeType="1"/>
                        </wps:cNvCnPr>
                        <wps:spPr bwMode="auto">
                          <a:xfrm>
                            <a:off x="6435" y="1659"/>
                            <a:ext cx="338" cy="0"/>
                          </a:xfrm>
                          <a:prstGeom prst="line">
                            <a:avLst/>
                          </a:prstGeom>
                          <a:noFill/>
                          <a:ln w="12700">
                            <a:solidFill>
                              <a:srgbClr val="0000C8"/>
                            </a:solidFill>
                            <a:round/>
                          </a:ln>
                        </wps:spPr>
                        <wps:bodyPr/>
                      </wps:wsp>
                      <wps:wsp>
                        <wps:cNvPr id="147" name="Line 2551"/>
                        <wps:cNvCnPr>
                          <a:cxnSpLocks noChangeShapeType="1"/>
                        </wps:cNvCnPr>
                        <wps:spPr bwMode="auto">
                          <a:xfrm>
                            <a:off x="6440" y="2039"/>
                            <a:ext cx="495" cy="0"/>
                          </a:xfrm>
                          <a:prstGeom prst="line">
                            <a:avLst/>
                          </a:prstGeom>
                          <a:noFill/>
                          <a:ln w="12700">
                            <a:solidFill>
                              <a:srgbClr val="0000C8"/>
                            </a:solidFill>
                            <a:round/>
                          </a:ln>
                        </wps:spPr>
                        <wps:bodyPr/>
                      </wps:wsp>
                      <wps:wsp>
                        <wps:cNvPr id="148" name="Line 2552"/>
                        <wps:cNvCnPr>
                          <a:cxnSpLocks noChangeShapeType="1"/>
                        </wps:cNvCnPr>
                        <wps:spPr bwMode="auto">
                          <a:xfrm>
                            <a:off x="6435" y="2438"/>
                            <a:ext cx="338" cy="0"/>
                          </a:xfrm>
                          <a:prstGeom prst="line">
                            <a:avLst/>
                          </a:prstGeom>
                          <a:noFill/>
                          <a:ln w="12700">
                            <a:solidFill>
                              <a:srgbClr val="0000C8"/>
                            </a:solidFill>
                            <a:round/>
                          </a:ln>
                        </wps:spPr>
                        <wps:bodyPr/>
                      </wps:wsp>
                      <wps:wsp>
                        <wps:cNvPr id="171" name="Line 2553"/>
                        <wps:cNvCnPr>
                          <a:cxnSpLocks noChangeShapeType="1"/>
                        </wps:cNvCnPr>
                        <wps:spPr bwMode="auto">
                          <a:xfrm>
                            <a:off x="6773" y="1659"/>
                            <a:ext cx="0" cy="779"/>
                          </a:xfrm>
                          <a:prstGeom prst="line">
                            <a:avLst/>
                          </a:prstGeom>
                          <a:noFill/>
                          <a:ln w="12700">
                            <a:solidFill>
                              <a:srgbClr val="0000C8"/>
                            </a:solidFill>
                            <a:round/>
                          </a:ln>
                        </wps:spPr>
                        <wps:bodyPr/>
                      </wps:wsp>
                      <wps:wsp>
                        <wps:cNvPr id="172" name="Line 2554"/>
                        <wps:cNvCnPr>
                          <a:cxnSpLocks noChangeShapeType="1"/>
                        </wps:cNvCnPr>
                        <wps:spPr bwMode="auto">
                          <a:xfrm>
                            <a:off x="6435" y="2883"/>
                            <a:ext cx="338" cy="0"/>
                          </a:xfrm>
                          <a:prstGeom prst="line">
                            <a:avLst/>
                          </a:prstGeom>
                          <a:noFill/>
                          <a:ln w="12700">
                            <a:solidFill>
                              <a:srgbClr val="0000C8"/>
                            </a:solidFill>
                            <a:round/>
                          </a:ln>
                        </wps:spPr>
                        <wps:bodyPr/>
                      </wps:wsp>
                      <wps:wsp>
                        <wps:cNvPr id="173" name="Line 2555"/>
                        <wps:cNvCnPr>
                          <a:cxnSpLocks noChangeShapeType="1"/>
                        </wps:cNvCnPr>
                        <wps:spPr bwMode="auto">
                          <a:xfrm>
                            <a:off x="6440" y="3262"/>
                            <a:ext cx="338" cy="0"/>
                          </a:xfrm>
                          <a:prstGeom prst="line">
                            <a:avLst/>
                          </a:prstGeom>
                          <a:noFill/>
                          <a:ln w="12700">
                            <a:solidFill>
                              <a:srgbClr val="0000C8"/>
                            </a:solidFill>
                            <a:round/>
                          </a:ln>
                        </wps:spPr>
                        <wps:bodyPr/>
                      </wps:wsp>
                      <wps:wsp>
                        <wps:cNvPr id="174" name="Line 2556"/>
                        <wps:cNvCnPr>
                          <a:cxnSpLocks noChangeShapeType="1"/>
                        </wps:cNvCnPr>
                        <wps:spPr bwMode="auto">
                          <a:xfrm>
                            <a:off x="6783" y="2883"/>
                            <a:ext cx="0" cy="379"/>
                          </a:xfrm>
                          <a:prstGeom prst="line">
                            <a:avLst/>
                          </a:prstGeom>
                          <a:noFill/>
                          <a:ln w="12700">
                            <a:solidFill>
                              <a:srgbClr val="0000C8"/>
                            </a:solidFill>
                            <a:round/>
                          </a:ln>
                        </wps:spPr>
                        <wps:bodyPr/>
                      </wps:wsp>
                      <wps:wsp>
                        <wps:cNvPr id="175" name="Line 2557"/>
                        <wps:cNvCnPr>
                          <a:cxnSpLocks noChangeShapeType="1"/>
                        </wps:cNvCnPr>
                        <wps:spPr bwMode="auto">
                          <a:xfrm>
                            <a:off x="6783" y="3057"/>
                            <a:ext cx="152" cy="0"/>
                          </a:xfrm>
                          <a:prstGeom prst="line">
                            <a:avLst/>
                          </a:prstGeom>
                          <a:noFill/>
                          <a:ln w="12700">
                            <a:solidFill>
                              <a:srgbClr val="0000C8"/>
                            </a:solidFill>
                            <a:round/>
                          </a:ln>
                        </wps:spPr>
                        <wps:bodyPr/>
                      </wps:wsp>
                      <wps:wsp>
                        <wps:cNvPr id="176" name="Line 2558"/>
                        <wps:cNvCnPr>
                          <a:cxnSpLocks noChangeShapeType="1"/>
                        </wps:cNvCnPr>
                        <wps:spPr bwMode="auto">
                          <a:xfrm>
                            <a:off x="6783" y="171"/>
                            <a:ext cx="0" cy="434"/>
                          </a:xfrm>
                          <a:prstGeom prst="line">
                            <a:avLst/>
                          </a:prstGeom>
                          <a:noFill/>
                          <a:ln w="12700">
                            <a:solidFill>
                              <a:srgbClr val="0000C8"/>
                            </a:solidFill>
                            <a:round/>
                          </a:ln>
                        </wps:spPr>
                        <wps:bodyPr/>
                      </wps:wsp>
                      <wps:wsp>
                        <wps:cNvPr id="177" name="Line 2559"/>
                        <wps:cNvCnPr>
                          <a:cxnSpLocks noChangeShapeType="1"/>
                        </wps:cNvCnPr>
                        <wps:spPr bwMode="auto">
                          <a:xfrm>
                            <a:off x="6783" y="407"/>
                            <a:ext cx="162" cy="0"/>
                          </a:xfrm>
                          <a:prstGeom prst="line">
                            <a:avLst/>
                          </a:prstGeom>
                          <a:noFill/>
                          <a:ln w="12700">
                            <a:solidFill>
                              <a:srgbClr val="0000C8"/>
                            </a:solidFill>
                            <a:round/>
                          </a:ln>
                        </wps:spPr>
                        <wps:bodyPr/>
                      </wps:wsp>
                      <wps:wsp>
                        <wps:cNvPr id="178" name="Line 2560"/>
                        <wps:cNvCnPr>
                          <a:cxnSpLocks noChangeShapeType="1"/>
                        </wps:cNvCnPr>
                        <wps:spPr bwMode="auto">
                          <a:xfrm>
                            <a:off x="6102" y="3747"/>
                            <a:ext cx="654" cy="0"/>
                          </a:xfrm>
                          <a:prstGeom prst="line">
                            <a:avLst/>
                          </a:prstGeom>
                          <a:noFill/>
                          <a:ln w="12700">
                            <a:solidFill>
                              <a:srgbClr val="0000C8"/>
                            </a:solidFill>
                            <a:round/>
                          </a:ln>
                        </wps:spPr>
                        <wps:bodyPr/>
                      </wps:wsp>
                      <wps:wsp>
                        <wps:cNvPr id="179" name="Line 2561"/>
                        <wps:cNvCnPr>
                          <a:cxnSpLocks noChangeShapeType="1"/>
                        </wps:cNvCnPr>
                        <wps:spPr bwMode="auto">
                          <a:xfrm>
                            <a:off x="6085" y="4125"/>
                            <a:ext cx="671" cy="0"/>
                          </a:xfrm>
                          <a:prstGeom prst="line">
                            <a:avLst/>
                          </a:prstGeom>
                          <a:noFill/>
                          <a:ln w="12700">
                            <a:solidFill>
                              <a:srgbClr val="0000C8"/>
                            </a:solidFill>
                            <a:round/>
                          </a:ln>
                        </wps:spPr>
                        <wps:bodyPr/>
                      </wps:wsp>
                      <wps:wsp>
                        <wps:cNvPr id="182" name="Line 2562"/>
                        <wps:cNvCnPr>
                          <a:cxnSpLocks noChangeShapeType="1"/>
                        </wps:cNvCnPr>
                        <wps:spPr bwMode="auto">
                          <a:xfrm>
                            <a:off x="6085" y="4504"/>
                            <a:ext cx="671" cy="0"/>
                          </a:xfrm>
                          <a:prstGeom prst="line">
                            <a:avLst/>
                          </a:prstGeom>
                          <a:noFill/>
                          <a:ln w="12700">
                            <a:solidFill>
                              <a:srgbClr val="0000C8"/>
                            </a:solidFill>
                            <a:round/>
                          </a:ln>
                        </wps:spPr>
                        <wps:bodyPr/>
                      </wps:wsp>
                      <wps:wsp>
                        <wps:cNvPr id="183" name="Line 2563"/>
                        <wps:cNvCnPr>
                          <a:cxnSpLocks noChangeShapeType="1"/>
                        </wps:cNvCnPr>
                        <wps:spPr bwMode="auto">
                          <a:xfrm>
                            <a:off x="6085" y="4927"/>
                            <a:ext cx="671" cy="0"/>
                          </a:xfrm>
                          <a:prstGeom prst="line">
                            <a:avLst/>
                          </a:prstGeom>
                          <a:noFill/>
                          <a:ln w="12700">
                            <a:solidFill>
                              <a:srgbClr val="0000C8"/>
                            </a:solidFill>
                            <a:round/>
                          </a:ln>
                        </wps:spPr>
                        <wps:bodyPr/>
                      </wps:wsp>
                      <wps:wsp>
                        <wps:cNvPr id="184" name="Line 2564"/>
                        <wps:cNvCnPr>
                          <a:cxnSpLocks noChangeShapeType="1"/>
                        </wps:cNvCnPr>
                        <wps:spPr bwMode="auto">
                          <a:xfrm>
                            <a:off x="6756" y="3747"/>
                            <a:ext cx="0" cy="1180"/>
                          </a:xfrm>
                          <a:prstGeom prst="line">
                            <a:avLst/>
                          </a:prstGeom>
                          <a:noFill/>
                          <a:ln w="12700">
                            <a:solidFill>
                              <a:srgbClr val="0000C8"/>
                            </a:solidFill>
                            <a:round/>
                          </a:ln>
                        </wps:spPr>
                        <wps:bodyPr/>
                      </wps:wsp>
                      <wps:wsp>
                        <wps:cNvPr id="180" name="Line 2565"/>
                        <wps:cNvCnPr>
                          <a:cxnSpLocks noChangeShapeType="1"/>
                        </wps:cNvCnPr>
                        <wps:spPr bwMode="auto">
                          <a:xfrm>
                            <a:off x="6756" y="4353"/>
                            <a:ext cx="189" cy="0"/>
                          </a:xfrm>
                          <a:prstGeom prst="line">
                            <a:avLst/>
                          </a:prstGeom>
                          <a:noFill/>
                          <a:ln w="12700">
                            <a:solidFill>
                              <a:srgbClr val="0000C8"/>
                            </a:solidFill>
                            <a:round/>
                          </a:ln>
                        </wps:spPr>
                        <wps:bodyPr/>
                      </wps:wsp>
                      <wps:wsp>
                        <wps:cNvPr id="186" name="Line 2566"/>
                        <wps:cNvCnPr>
                          <a:cxnSpLocks noChangeShapeType="1"/>
                        </wps:cNvCnPr>
                        <wps:spPr bwMode="auto">
                          <a:xfrm>
                            <a:off x="6945" y="407"/>
                            <a:ext cx="0" cy="3946"/>
                          </a:xfrm>
                          <a:prstGeom prst="line">
                            <a:avLst/>
                          </a:prstGeom>
                          <a:noFill/>
                          <a:ln w="12700">
                            <a:solidFill>
                              <a:srgbClr val="0000C8"/>
                            </a:solidFill>
                            <a:round/>
                          </a:ln>
                        </wps:spPr>
                        <wps:bodyPr/>
                      </wps:wsp>
                      <wps:wsp>
                        <wps:cNvPr id="185" name="Line 2567"/>
                        <wps:cNvCnPr>
                          <a:cxnSpLocks noChangeShapeType="1"/>
                        </wps:cNvCnPr>
                        <wps:spPr bwMode="auto">
                          <a:xfrm>
                            <a:off x="6945" y="2438"/>
                            <a:ext cx="152" cy="0"/>
                          </a:xfrm>
                          <a:prstGeom prst="line">
                            <a:avLst/>
                          </a:prstGeom>
                          <a:noFill/>
                          <a:ln w="12700">
                            <a:solidFill>
                              <a:srgbClr val="0000C8"/>
                            </a:solidFill>
                            <a:round/>
                          </a:ln>
                        </wps:spPr>
                        <wps:bodyPr/>
                      </wps:wsp>
                      <wps:wsp>
                        <wps:cNvPr id="188" name="Text Box 2568"/>
                        <wps:cNvSpPr txBox="1">
                          <a:spLocks noChangeArrowheads="1"/>
                        </wps:cNvSpPr>
                        <wps:spPr bwMode="auto">
                          <a:xfrm>
                            <a:off x="7097" y="1324"/>
                            <a:ext cx="804" cy="2272"/>
                          </a:xfrm>
                          <a:prstGeom prst="rect">
                            <a:avLst/>
                          </a:prstGeom>
                          <a:solidFill>
                            <a:schemeClr val="accent6">
                              <a:lumMod val="40000"/>
                              <a:lumOff val="60000"/>
                            </a:schemeClr>
                          </a:solidFill>
                          <a:ln w="12700">
                            <a:solidFill>
                              <a:srgbClr val="0000C8"/>
                            </a:solidFill>
                            <a:miter lim="800000"/>
                          </a:ln>
                        </wps:spPr>
                        <wps:txbx>
                          <w:txbxContent>
                            <w:p w14:paraId="1D013502">
                              <w:pPr>
                                <w:pStyle w:val="55"/>
                              </w:pPr>
                              <w:r>
                                <w:rPr>
                                  <w:rFonts w:hint="eastAsia"/>
                                </w:rPr>
                                <w:t>文明</w:t>
                              </w:r>
                            </w:p>
                            <w:p w14:paraId="773A69BC">
                              <w:pPr>
                                <w:pStyle w:val="55"/>
                              </w:pPr>
                              <w:r>
                                <w:rPr>
                                  <w:rFonts w:hint="eastAsia"/>
                                </w:rPr>
                                <w:t>施工</w:t>
                              </w:r>
                            </w:p>
                            <w:p w14:paraId="14511A43">
                              <w:pPr>
                                <w:pStyle w:val="55"/>
                              </w:pPr>
                              <w:r>
                                <w:rPr>
                                  <w:rFonts w:hint="eastAsia"/>
                                </w:rPr>
                                <w:t>达标</w:t>
                              </w:r>
                            </w:p>
                          </w:txbxContent>
                        </wps:txbx>
                        <wps:bodyPr rot="0" vert="horz" wrap="square" lIns="0" tIns="0" rIns="0" bIns="0" anchor="ctr" anchorCtr="0" upright="1">
                          <a:noAutofit/>
                        </wps:bodyPr>
                      </wps:wsp>
                    </wpg:wgp>
                  </a:graphicData>
                </a:graphic>
              </wp:inline>
            </w:drawing>
          </mc:Choice>
          <mc:Fallback>
            <w:pict>
              <v:group id="Group 2503" o:spid="_x0000_s1026" o:spt="203" style="height:303.65pt;width:323.55pt;" coordsize="7901,5079" o:gfxdata="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">
                <o:lock v:ext="edit" aspectratio="f"/>
                <v:shape id="Text Box 2504" o:spid="_x0000_s1026" o:spt="202" type="#_x0000_t202" style="position:absolute;left:0;top:1142;height:2272;width:804;v-text-anchor:middle;" fillcolor="#C5E0B4 [1305]" filled="t" stroked="t" coordsize="21600,21600" o:gfxdata="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0onwvQAA&#10;ANs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09F85CE">
                        <w:pPr>
                          <w:pStyle w:val="55"/>
                        </w:pPr>
                        <w:r>
                          <w:rPr>
                            <w:rFonts w:hint="eastAsia"/>
                          </w:rPr>
                          <w:t>文明</w:t>
                        </w:r>
                      </w:p>
                      <w:p w14:paraId="53BA0AD4">
                        <w:pPr>
                          <w:pStyle w:val="55"/>
                        </w:pPr>
                        <w:r>
                          <w:rPr>
                            <w:rFonts w:hint="eastAsia"/>
                          </w:rPr>
                          <w:t>施工</w:t>
                        </w:r>
                      </w:p>
                      <w:p w14:paraId="77B72A2D">
                        <w:pPr>
                          <w:pStyle w:val="55"/>
                        </w:pPr>
                        <w:r>
                          <w:rPr>
                            <w:rFonts w:hint="eastAsia"/>
                          </w:rPr>
                          <w:t>保证</w:t>
                        </w:r>
                      </w:p>
                      <w:p w14:paraId="519B8397">
                        <w:pPr>
                          <w:pStyle w:val="55"/>
                        </w:pPr>
                        <w:r>
                          <w:rPr>
                            <w:rFonts w:hint="eastAsia"/>
                          </w:rPr>
                          <w:t>体系</w:t>
                        </w:r>
                      </w:p>
                    </w:txbxContent>
                  </v:textbox>
                </v:shape>
                <v:line id="Line 2505" o:spid="_x0000_s1026" o:spt="20" style="position:absolute;left:806;top:2267;height:0;width:195;" filled="f" stroked="t" coordsize="21600,21600" o:gfxdata="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3ILW8AAAA&#10;2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06" o:spid="_x0000_s1026" o:spt="20" style="position:absolute;left:1001;top:385;height:3740;width:0;" filled="f" stroked="t" coordsize="21600,21600" o:gfxdata="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W+wr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07" o:spid="_x0000_s1026" o:spt="20" style="position:absolute;left:1001;top:385;height:0;width:214;" filled="f" stroked="t" coordsize="21600,21600" o:gfxdata="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pG1m8AAAA&#10;2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08" o:spid="_x0000_s1026" o:spt="202" type="#_x0000_t202" style="position:absolute;left:1215;top:233;height:303;width:1351;v-text-anchor:middle;" fillcolor="#C5E0B4 [1305]" filled="t" stroked="t" coordsize="21600,21600" o:gfxdata="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rVL57gAAADb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0mm,0mm,0mm,0mm">
                    <w:txbxContent>
                      <w:p w14:paraId="4EFF3C13">
                        <w:pPr>
                          <w:pStyle w:val="55"/>
                        </w:pPr>
                        <w:r>
                          <w:rPr>
                            <w:rFonts w:hint="eastAsia"/>
                          </w:rPr>
                          <w:t>思想保证</w:t>
                        </w:r>
                      </w:p>
                    </w:txbxContent>
                  </v:textbox>
                </v:shape>
                <v:line id="Line 2509" o:spid="_x0000_s1026" o:spt="20" style="position:absolute;left:1002;top:1142;height:0;width:214;" filled="f" stroked="t" coordsize="21600,21600" o:gfxdata="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l61r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0" o:spid="_x0000_s1026" o:spt="202" type="#_x0000_t202" style="position:absolute;left:1215;top:990;height:303;width:1351;v-text-anchor:middle;" fillcolor="#C5E0B4 [1305]" filled="t" stroked="t" coordsize="21600,21600" o:gfxdata="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lBS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5F6CE71">
                        <w:pPr>
                          <w:pStyle w:val="55"/>
                        </w:pPr>
                        <w:r>
                          <w:rPr>
                            <w:rFonts w:hint="eastAsia"/>
                          </w:rPr>
                          <w:t>组织保证</w:t>
                        </w:r>
                      </w:p>
                    </w:txbxContent>
                  </v:textbox>
                </v:shape>
                <v:line id="Line 2511" o:spid="_x0000_s1026" o:spt="20" style="position:absolute;left:2566;top:1142;height:0;width:479;" filled="f" stroked="t" coordsize="21600,21600" o:gfxdata="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vkob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2" o:spid="_x0000_s1026" o:spt="202" type="#_x0000_t202" style="position:absolute;left:3045;top:990;height:303;width:2533;v-text-anchor:middle;" fillcolor="#C5E0B4 [1305]" filled="t" stroked="t" coordsize="21600,21600" o:gfxdata="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OoVu8AAAA&#10;2w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4A0724CE">
                        <w:pPr>
                          <w:pStyle w:val="55"/>
                        </w:pPr>
                        <w:r>
                          <w:rPr>
                            <w:rFonts w:hint="eastAsia"/>
                          </w:rPr>
                          <w:t>成立</w:t>
                        </w:r>
                        <w:r>
                          <w:rPr>
                            <w:rFonts w:hint="eastAsia"/>
                            <w:lang w:val="en-US" w:eastAsia="zh-CN"/>
                          </w:rPr>
                          <w:t>文明施工</w:t>
                        </w:r>
                        <w:r>
                          <w:rPr>
                            <w:rFonts w:hint="eastAsia"/>
                          </w:rPr>
                          <w:t>领导小组</w:t>
                        </w:r>
                      </w:p>
                    </w:txbxContent>
                  </v:textbox>
                </v:shape>
                <v:shape id="Text Box 2513" o:spid="_x0000_s1026" o:spt="202" type="#_x0000_t202" style="position:absolute;left:3045;top:0;height:302;width:2533;v-text-anchor:middle;" fillcolor="#C5E0B4 [1305]" filled="t" stroked="t" coordsize="21600,21600" o:gfxdata="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fkCw7sAAADb&#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37ABD7C1">
                        <w:pPr>
                          <w:pStyle w:val="55"/>
                        </w:pPr>
                        <w:r>
                          <w:rPr>
                            <w:rFonts w:hint="eastAsia"/>
                            <w:lang w:val="en-US" w:eastAsia="zh-CN"/>
                          </w:rPr>
                          <w:t>文明施工</w:t>
                        </w:r>
                        <w:r>
                          <w:rPr>
                            <w:rFonts w:hint="eastAsia"/>
                          </w:rPr>
                          <w:t>知识宣传教育</w:t>
                        </w:r>
                      </w:p>
                    </w:txbxContent>
                  </v:textbox>
                </v:shape>
                <v:shape id="Text Box 2514" o:spid="_x0000_s1026" o:spt="202" type="#_x0000_t202" style="position:absolute;left:3045;top:453;height:303;width:2533;v-text-anchor:middle;" fillcolor="#C5E0B4 [1305]" filled="t" stroked="t" coordsize="21600,21600" o:gfxdata="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d6TrsAAADb&#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0F55C4E5">
                        <w:pPr>
                          <w:pStyle w:val="55"/>
                        </w:pPr>
                        <w:r>
                          <w:rPr>
                            <w:rFonts w:hint="eastAsia"/>
                          </w:rPr>
                          <w:t>制定目标责任制</w:t>
                        </w:r>
                      </w:p>
                      <w:p w14:paraId="5E4A9E50">
                        <w:pPr>
                          <w:pStyle w:val="55"/>
                        </w:pPr>
                      </w:p>
                    </w:txbxContent>
                  </v:textbox>
                </v:shape>
                <v:line id="Line 2515" o:spid="_x0000_s1026" o:spt="20" style="position:absolute;left:2707;top:158;height:447;width:0;" filled="f" stroked="t" coordsize="21600,21600" o:gfxdata="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3z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6" o:spid="_x0000_s1026" o:spt="20" style="position:absolute;left:2707;top:158;height:0;width:338;" filled="f" stroked="t" coordsize="21600,21600" o:gfxdata="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wEWL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17" o:spid="_x0000_s1026" o:spt="20" style="position:absolute;left:2707;top:605;height:0;width:338;" filled="f" stroked="t" coordsize="21600,21600" o:gfxdata="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t7tK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8" o:spid="_x0000_s1026" o:spt="20" style="position:absolute;left:1001;top:2039;height:0;width:143;" filled="f" stroked="t" coordsize="21600,21600" o:gfxdata="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hw7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9" o:spid="_x0000_s1026" o:spt="202" type="#_x0000_t202" style="position:absolute;left:1144;top:1887;height:303;width:1352;v-text-anchor:middle;" fillcolor="#C5E0B4 [1305]" filled="t" stroked="t" coordsize="21600,21600" o:gfxdata="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9xWC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7225D39B">
                        <w:pPr>
                          <w:pStyle w:val="55"/>
                        </w:pPr>
                        <w:r>
                          <w:rPr>
                            <w:rFonts w:hint="eastAsia"/>
                          </w:rPr>
                          <w:t>技术保证</w:t>
                        </w:r>
                      </w:p>
                    </w:txbxContent>
                  </v:textbox>
                </v:shape>
                <v:line id="Line 2520" o:spid="_x0000_s1026" o:spt="20" style="position:absolute;left:2496;top:2039;height:0;width:549;" filled="f" stroked="t" coordsize="21600,21600" o:gfxdata="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KROF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shape id="Text Box 2521" o:spid="_x0000_s1026" o:spt="202" type="#_x0000_t202" style="position:absolute;left:3045;top:1887;height:303;width:3390;v-text-anchor:middle;" fillcolor="#C5E0B4 [1305]" filled="t" stroked="t" coordsize="21600,21600" o:gfxdata="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C5ZJ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2133FD85">
                        <w:pPr>
                          <w:pStyle w:val="55"/>
                        </w:pPr>
                        <w:r>
                          <w:rPr>
                            <w:rFonts w:hint="eastAsia"/>
                          </w:rPr>
                          <w:t>制定</w:t>
                        </w:r>
                        <w:r>
                          <w:rPr>
                            <w:rFonts w:hint="eastAsia"/>
                            <w:lang w:val="en-US" w:eastAsia="zh-CN"/>
                          </w:rPr>
                          <w:t>文明施工</w:t>
                        </w:r>
                        <w:r>
                          <w:rPr>
                            <w:rFonts w:hint="eastAsia"/>
                          </w:rPr>
                          <w:t>实施方案</w:t>
                        </w:r>
                      </w:p>
                    </w:txbxContent>
                  </v:textbox>
                </v:shape>
                <v:shape id="Text Box 2522" o:spid="_x0000_s1026" o:spt="202" type="#_x0000_t202" style="position:absolute;left:3045;top:1510;height:303;width:3390;v-text-anchor:middle;" fillcolor="#C5E0B4 [1305]" filled="t" stroked="t" coordsize="21600,21600" o:gfxdata="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RpxM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576668E2">
                        <w:pPr>
                          <w:pStyle w:val="55"/>
                        </w:pPr>
                        <w:r>
                          <w:rPr>
                            <w:rFonts w:hint="eastAsia"/>
                            <w:lang w:val="en-US" w:eastAsia="zh-CN"/>
                          </w:rPr>
                          <w:t>组织</w:t>
                        </w:r>
                        <w:r>
                          <w:rPr>
                            <w:rFonts w:hint="eastAsia"/>
                          </w:rPr>
                          <w:t>员工培训</w:t>
                        </w:r>
                      </w:p>
                    </w:txbxContent>
                  </v:textbox>
                </v:shape>
                <v:line id="Line 2523" o:spid="_x0000_s1026" o:spt="20" style="position:absolute;left:2707;top:1659;height:767;width:0;" filled="f" stroked="t" coordsize="21600,21600" o:gfxdata="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uvr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4" o:spid="_x0000_s1026" o:spt="20" style="position:absolute;left:2707;top:1659;height:0;width:338;" filled="f" stroked="t" coordsize="21600,21600" o:gfxdata="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whVi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5" o:spid="_x0000_s1026" o:spt="20" style="position:absolute;left:1001;top:3110;height:0;width:143;" filled="f" stroked="t" coordsize="21600,21600" o:gfxdata="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kdL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26" o:spid="_x0000_s1026" o:spt="202" type="#_x0000_t202" style="position:absolute;left:1144;top:2959;height:303;width:1352;v-text-anchor:middle;" fillcolor="#C5E0B4 [1305]" filled="t" stroked="t" coordsize="21600,21600" o:gfxdata="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cbK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AE9498B">
                        <w:pPr>
                          <w:pStyle w:val="55"/>
                        </w:pPr>
                        <w:r>
                          <w:rPr>
                            <w:rFonts w:hint="eastAsia"/>
                          </w:rPr>
                          <w:t>制度保证</w:t>
                        </w:r>
                      </w:p>
                    </w:txbxContent>
                  </v:textbox>
                </v:shape>
                <v:shape id="Text Box 2527" o:spid="_x0000_s1026" o:spt="202" type="#_x0000_t202" style="position:absolute;left:3045;top:3111;height:303;width:3390;v-text-anchor:middle;" fillcolor="#C5E0B4 [1305]" filled="t" stroked="t" coordsize="21600,21600" o:gfxdata="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Ce4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165EE4CD">
                        <w:pPr>
                          <w:pStyle w:val="55"/>
                        </w:pPr>
                        <w:r>
                          <w:rPr>
                            <w:rFonts w:hint="eastAsia"/>
                          </w:rPr>
                          <w:t>公司、项目部相关规章制度</w:t>
                        </w:r>
                      </w:p>
                    </w:txbxContent>
                  </v:textbox>
                </v:shape>
                <v:shape id="Text Box 2528" o:spid="_x0000_s1026" o:spt="202" type="#_x0000_t202" style="position:absolute;left:3045;top:2734;height:303;width:3390;v-text-anchor:middle;" fillcolor="#C5E0B4 [1305]" filled="t" stroked="t" coordsize="21600,21600" o:gfxdata="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w7e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7D045E22">
                        <w:pPr>
                          <w:pStyle w:val="55"/>
                        </w:pPr>
                        <w:r>
                          <w:rPr>
                            <w:rFonts w:hint="eastAsia"/>
                          </w:rPr>
                          <w:t>国家、相关部委相关法律、法规</w:t>
                        </w:r>
                      </w:p>
                    </w:txbxContent>
                  </v:textbox>
                </v:shape>
                <v:line id="Line 2529" o:spid="_x0000_s1026" o:spt="20" style="position:absolute;left:2707;top:2883;height:379;width:0;" filled="f" stroked="t" coordsize="21600,21600" o:gfxdata="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Bcp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0" o:spid="_x0000_s1026" o:spt="20" style="position:absolute;left:2707;top:2883;height:0;width:338;" filled="f" stroked="t" coordsize="21600,21600" o:gfxdata="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iys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31" o:spid="_x0000_s1026" o:spt="20" style="position:absolute;left:1001;top:4125;height:0;width:143;" filled="f" stroked="t" coordsize="21600,21600" o:gfxdata="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JGhS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32" o:spid="_x0000_s1026" o:spt="202" type="#_x0000_t202" style="position:absolute;left:1144;top:3973;height:304;width:1352;v-text-anchor:middle;" fillcolor="#C5E0B4 [1305]" filled="t" stroked="t" coordsize="21600,21600" o:gfxdata="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FoV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F87DEFE">
                        <w:pPr>
                          <w:pStyle w:val="55"/>
                        </w:pPr>
                        <w:r>
                          <w:rPr>
                            <w:rFonts w:hint="eastAsia"/>
                          </w:rPr>
                          <w:t>施工保证</w:t>
                        </w:r>
                      </w:p>
                    </w:txbxContent>
                  </v:textbox>
                </v:shape>
                <v:line id="Line 2533" o:spid="_x0000_s1026" o:spt="20" style="position:absolute;left:2496;top:4125;height:0;width:549;" filled="f" stroked="t" coordsize="21600,21600" o:gfxdata="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ozcm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34" o:spid="_x0000_s1026" o:spt="202" type="#_x0000_t202" style="position:absolute;left:3045;top:3973;height:304;width:3040;v-text-anchor:middle;" fillcolor="#C5E0B4 [1305]" filled="t" stroked="t" coordsize="21600,21600" o:gfxdata="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l57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682983E1">
                        <w:pPr>
                          <w:pStyle w:val="55"/>
                        </w:pPr>
                        <w:r>
                          <w:rPr>
                            <w:rFonts w:hint="eastAsia"/>
                            <w:lang w:val="en-US" w:eastAsia="zh-CN"/>
                          </w:rPr>
                          <w:t>文明</w:t>
                        </w:r>
                        <w:r>
                          <w:rPr>
                            <w:rFonts w:hint="eastAsia"/>
                          </w:rPr>
                          <w:t>施工工艺保证</w:t>
                        </w:r>
                      </w:p>
                    </w:txbxContent>
                  </v:textbox>
                </v:shape>
                <v:shape id="Text Box 2535" o:spid="_x0000_s1026" o:spt="202" type="#_x0000_t202" style="position:absolute;left:3045;top:3596;height:303;width:3040;v-text-anchor:middle;" fillcolor="#C5E0B4 [1305]" filled="t" stroked="t" coordsize="21600,21600" o:gfxdata="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6Rqy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4ADEEA52">
                        <w:pPr>
                          <w:pStyle w:val="55"/>
                        </w:pPr>
                        <w:r>
                          <w:rPr>
                            <w:rFonts w:hint="eastAsia"/>
                          </w:rPr>
                          <w:t>落实岗位责任制</w:t>
                        </w:r>
                      </w:p>
                    </w:txbxContent>
                  </v:textbox>
                </v:shape>
                <v:shape id="Text Box 2536" o:spid="_x0000_s1026" o:spt="202" type="#_x0000_t202" style="position:absolute;left:3045;top:4342;height:302;width:3040;v-text-anchor:middle;" fillcolor="#C5E0B4 [1305]" filled="t" stroked="t" coordsize="21600,21600" o:gfxdata="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NuM3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2B6A1FF6">
                        <w:pPr>
                          <w:pStyle w:val="55"/>
                        </w:pPr>
                        <w:r>
                          <w:rPr>
                            <w:rFonts w:hint="eastAsia"/>
                          </w:rPr>
                          <w:t>物资设备保证</w:t>
                        </w:r>
                      </w:p>
                    </w:txbxContent>
                  </v:textbox>
                </v:shape>
                <v:line id="Line 2537" o:spid="_x0000_s1026" o:spt="20" style="position:absolute;left:2707;top:3747;height:1180;width:0;" filled="f" stroked="t" coordsize="21600,21600" o:gfxdata="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Y8Vj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38" o:spid="_x0000_s1026" o:spt="20" style="position:absolute;left:2707;top:3747;height:0;width:338;" filled="f" stroked="t" coordsize="21600,21600" o:gfxdata="UEsDBAoAAAAAAIdO4kAAAAAAAAAAAAAAAAAEAAAAZHJzL1BLAwQUAAAACACHTuJAuS9g+LsAAADc&#10;AAAADwAAAGRycy9kb3ducmV2LnhtbEVPTWsCMRC9F/ofwhR6q9m1KL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9g+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39" o:spid="_x0000_s1026" o:spt="20" style="position:absolute;left:2707;top:4504;height:0;width:338;" filled="f" stroked="t" coordsize="21600,21600" o:gfxdata="UEsDBAoAAAAAAIdO4kAAAAAAAAAAAAAAAAAEAAAAZHJzL1BLAwQUAAAACACHTuJANsb4jLsAAADc&#10;AAAADwAAAGRycy9kb3ducmV2LnhtbEVPTWsCMRC9F/ofwhR6q9mVKr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b4j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40" o:spid="_x0000_s1026" o:spt="20" style="position:absolute;left:2566;top:358;height:0;width:141;" filled="f" stroked="t" coordsize="21600,21600" o:gfxdata="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KXR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41" o:spid="_x0000_s1026" o:spt="202" type="#_x0000_t202" style="position:absolute;left:3045;top:2276;height:303;width:3390;v-text-anchor:middle;" fillcolor="#C5E0B4 [1305]" filled="t" stroked="t" coordsize="21600,21600" o:gfxdata="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3tD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06439A43">
                        <w:pPr>
                          <w:pStyle w:val="55"/>
                        </w:pPr>
                        <w:r>
                          <w:rPr>
                            <w:rFonts w:hint="eastAsia"/>
                          </w:rPr>
                          <w:t>制定</w:t>
                        </w:r>
                        <w:r>
                          <w:rPr>
                            <w:rFonts w:hint="eastAsia"/>
                            <w:lang w:val="en-US" w:eastAsia="zh-CN"/>
                          </w:rPr>
                          <w:t>文明施工</w:t>
                        </w:r>
                        <w:r>
                          <w:rPr>
                            <w:rFonts w:hint="eastAsia"/>
                          </w:rPr>
                          <w:t>技术措施</w:t>
                        </w:r>
                      </w:p>
                    </w:txbxContent>
                  </v:textbox>
                </v:shape>
                <v:line id="Line 2542" o:spid="_x0000_s1026" o:spt="20" style="position:absolute;left:2707;top:2426;height:0;width:338;" filled="f" stroked="t" coordsize="21600,21600" o:gfxdata="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Rm+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43" o:spid="_x0000_s1026" o:spt="202" type="#_x0000_t202" style="position:absolute;left:3045;top:4776;height:303;width:3040;v-text-anchor:middle;" fillcolor="#C5E0B4 [1305]" filled="t" stroked="t" coordsize="21600,21600" o:gfxdata="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MSq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60F04E3E">
                        <w:pPr>
                          <w:pStyle w:val="55"/>
                        </w:pPr>
                        <w:r>
                          <w:rPr>
                            <w:rFonts w:hint="eastAsia"/>
                          </w:rPr>
                          <w:t>监督、检查、改进</w:t>
                        </w:r>
                      </w:p>
                    </w:txbxContent>
                  </v:textbox>
                </v:shape>
                <v:line id="Line 2544" o:spid="_x0000_s1026" o:spt="20" style="position:absolute;left:2707;top:4927;height:0;width:338;" filled="f" stroked="t" coordsize="21600,21600" o:gfxdata="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ulO+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45" o:spid="_x0000_s1026" o:spt="20" style="position:absolute;left:2707;top:3262;height:0;width:338;" filled="f" stroked="t" coordsize="21600,21600" o:gfxdata="UEsDBAoAAAAAAIdO4kAAAAAAAAAAAAAAAAAEAAAAZHJzL1BLAwQUAAAACACHTuJAPPb2JbsAAADc&#10;AAAADwAAAGRycy9kb3ducmV2LnhtbEVPTWsCMRC9F/ofwhR6q9m1Ir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b2Jb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46" o:spid="_x0000_s1026" o:spt="20" style="position:absolute;left:2496;top:3111;flip:y;height:0;width:211;" filled="f" stroked="t" coordsize="21600,21600" o:gfxdata="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Ov3O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47" o:spid="_x0000_s1026" o:spt="20" style="position:absolute;left:5578;top:171;flip:y;height:0;width:1200;" filled="f" stroked="t" coordsize="21600,21600" o:gfxdata="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QhJ+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48" o:spid="_x0000_s1026" o:spt="20" style="position:absolute;left:5578;top:605;height:0;width:1205;" filled="f" stroked="t" coordsize="21600,21600" o:gfxdata="UEsDBAoAAAAAAIdO4kAAAAAAAAAAAAAAAAAEAAAAZHJzL1BLAwQUAAAACACHTuJAd0OqRbkAAADc&#10;AAAADwAAAGRycy9kb3ducmV2LnhtbEVPTYvCMBC9C/sfwizsTdO6IN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DqkW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49" o:spid="_x0000_s1026" o:spt="20" style="position:absolute;left:5573;top:1142;height:0;width:1372;" filled="f" stroked="t" coordsize="21600,21600" o:gfxdata="UEsDBAoAAAAAAIdO4kAAAAAAAAAAAAAAAAAEAAAAZHJzL1BLAwQUAAAACACHTuJA+KoyMbkAAADc&#10;AAAADwAAAGRycy9kb3ducmV2LnhtbEVPTYvCMBC9C/sfwizsTdPKIt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qMjG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0" o:spid="_x0000_s1026" o:spt="20" style="position:absolute;left:6435;top:1659;height:0;width:338;" filled="f" stroked="t" coordsize="21600,21600" o:gfxdata="UEsDBAoAAAAAAIdO4kAAAAAAAAAAAAAAAAAEAAAAZHJzL1BLAwQUAAAACACHTuJAl+aXqrkAAADc&#10;AAAADwAAAGRycy9kb3ducmV2LnhtbEVPTYvCMBC9C/sfwizsTdMKK9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ml6q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1" o:spid="_x0000_s1026" o:spt="20" style="position:absolute;left:6440;top:2039;height:0;width:495;" filled="f" stroked="t" coordsize="21600,21600" o:gfxdata="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3wJ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2" o:spid="_x0000_s1026" o:spt="20" style="position:absolute;left:6435;top:2438;height:0;width:338;" filled="f" stroked="t" coordsize="21600,21600" o:gfxdata="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UmRU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53" o:spid="_x0000_s1026" o:spt="20" style="position:absolute;left:6773;top:1659;height:779;width:0;" filled="f" stroked="t" coordsize="21600,21600" o:gfxdata="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0EB3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4" o:spid="_x0000_s1026" o:spt="20" style="position:absolute;left:6435;top:2883;height:0;width:338;" filled="f" stroked="t" coordsize="21600,21600" o:gfxdata="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aZA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5" o:spid="_x0000_s1026" o:spt="20" style="position:absolute;left:6440;top:3262;height:0;width:338;" filled="f" stroked="t" coordsize="21600,21600" o:gfxdata="UEsDBAoAAAAAAIdO4kAAAAAAAAAAAAAAAAAEAAAAZHJzL1BLAwQUAAAACACHTuJA8po8mLsAAADc&#10;AAAADwAAAGRycy9kb3ducmV2LnhtbEVPTWsCMRC9F/ofwhR6q9m1oL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o8m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6" o:spid="_x0000_s1026" o:spt="20" style="position:absolute;left:6783;top:2883;height:379;width:0;" filled="f" stroked="t" coordsize="21600,21600" o:gfxdata="UEsDBAoAAAAAAIdO4kAAAAAAAAAAAAAAAAAEAAAAZHJzL1BLAwQUAAAACACHTuJAfXOk7LsAAADc&#10;AAAADwAAAGRycy9kb3ducmV2LnhtbEVPTWsCMRC9F/ofwhR6q9mVor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Ok7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7" o:spid="_x0000_s1026" o:spt="20" style="position:absolute;left:6783;top:3057;height:0;width:152;" filled="f" stroked="t" coordsize="21600,21600" o:gfxdata="UEsDBAoAAAAAAIdO4kAAAAAAAAAAAAAAAAAEAAAAZHJzL1BLAwQUAAAACACHTuJAEj8Bd7sAAADc&#10;AAAADwAAAGRycy9kb3ducmV2LnhtbEVPTWsCMRC9F/ofwhR6q9kVqr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8Bd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8" o:spid="_x0000_s1026" o:spt="20" style="position:absolute;left:6783;top:171;height:434;width:0;" filled="f" stroked="t" coordsize="21600,21600" o:gfxdata="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7Z8A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59" o:spid="_x0000_s1026" o:spt="20" style="position:absolute;left:6783;top:407;height:0;width:162;" filled="f" stroked="t" coordsize="21600,21600" o:gfxdata="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oTqb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60" o:spid="_x0000_s1026" o:spt="20" style="position:absolute;left:6102;top:3747;height:0;width:654;" filled="f" stroked="t" coordsize="21600,21600" o:gfxdata="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q7p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1" o:spid="_x0000_s1026" o:spt="20" style="position:absolute;left:6085;top:4125;height:0;width:671;" filled="f" stroked="t" coordsize="21600,21600" o:gfxdata="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ILc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62" o:spid="_x0000_s1026" o:spt="20" style="position:absolute;left:6085;top:4504;height:0;width:671;" filled="f" stroked="t" coordsize="21600,21600" o:gfxdata="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D6S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3" o:spid="_x0000_s1026" o:spt="20" style="position:absolute;left:6085;top:4927;height:0;width:671;" filled="f" stroked="t" coordsize="21600,21600" o:gfxdata="UEsDBAoAAAAAAIdO4kAAAAAAAAAAAAAAAAAEAAAAZHJzL1BLAwQUAAAACACHTuJAx09Mv7kAAADc&#10;AAAADwAAAGRycy9kb3ducmV2LnhtbEVPTYvCMBC9C/sfwizsTdO6IN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PTL+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4" o:spid="_x0000_s1026" o:spt="20" style="position:absolute;left:6756;top:3747;height:1180;width:0;" filled="f" stroked="t" coordsize="21600,21600" o:gfxdata="UEsDBAoAAAAAAIdO4kAAAAAAAAAAAAAAAAAEAAAAZHJzL1BLAwQUAAAACACHTuJASKbUy7kAAADc&#10;AAAADwAAAGRycy9kb3ducmV2LnhtbEVPTYvCMBC9C/sfwizsTdPKIt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m1M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5" o:spid="_x0000_s1026" o:spt="20" style="position:absolute;left:6756;top:4353;height:0;width:189;" filled="f" stroked="t" coordsize="21600,21600" o:gfxdata="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ndL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6" o:spid="_x0000_s1026" o:spt="20" style="position:absolute;left:6945;top:407;height:3946;width:0;" filled="f" stroked="t" coordsize="21600,21600" o:gfxdata="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47y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7" o:spid="_x0000_s1026" o:spt="20" style="position:absolute;left:6945;top:2438;height:0;width:152;" filled="f" stroked="t" coordsize="21600,21600" o:gfxdata="UEsDBAoAAAAAAIdO4kAAAAAAAAAAAAAAAAAEAAAAZHJzL1BLAwQUAAAACACHTuJAJ+pxULkAAADc&#10;AAAADwAAAGRycy9kb3ducmV2LnhtbEVPTYvCMBC9C/sfwizsTdMKK9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fqcVC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68" o:spid="_x0000_s1026" o:spt="202" type="#_x0000_t202" style="position:absolute;left:7097;top:1324;height:2272;width:804;v-text-anchor:middle;" fillcolor="#C5E0B4 [1305]" filled="t" stroked="t" coordsize="21600,21600" o:gfxdata="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X1S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D013502">
                        <w:pPr>
                          <w:pStyle w:val="55"/>
                        </w:pPr>
                        <w:r>
                          <w:rPr>
                            <w:rFonts w:hint="eastAsia"/>
                          </w:rPr>
                          <w:t>文明</w:t>
                        </w:r>
                      </w:p>
                      <w:p w14:paraId="773A69BC">
                        <w:pPr>
                          <w:pStyle w:val="55"/>
                        </w:pPr>
                        <w:r>
                          <w:rPr>
                            <w:rFonts w:hint="eastAsia"/>
                          </w:rPr>
                          <w:t>施工</w:t>
                        </w:r>
                      </w:p>
                      <w:p w14:paraId="14511A43">
                        <w:pPr>
                          <w:pStyle w:val="55"/>
                        </w:pPr>
                        <w:r>
                          <w:rPr>
                            <w:rFonts w:hint="eastAsia"/>
                          </w:rPr>
                          <w:t>达标</w:t>
                        </w:r>
                      </w:p>
                    </w:txbxContent>
                  </v:textbox>
                </v:shape>
                <w10:wrap type="none"/>
                <w10:anchorlock/>
              </v:group>
            </w:pict>
          </mc:Fallback>
        </mc:AlternateContent>
      </w:r>
    </w:p>
    <w:p w14:paraId="4BC59E55">
      <w:pPr>
        <w:pStyle w:val="41"/>
        <w:bidi w:val="0"/>
        <w:rPr>
          <w:highlight w:val="none"/>
        </w:rPr>
      </w:pPr>
      <w:r>
        <w:rPr>
          <w:rFonts w:hint="eastAsia"/>
          <w:highlight w:val="none"/>
        </w:rPr>
        <w:t>图</w:t>
      </w:r>
      <w:r>
        <w:rPr>
          <w:rFonts w:hint="eastAsia"/>
          <w:highlight w:val="none"/>
          <w:lang w:val="en-US" w:eastAsia="zh-CN"/>
        </w:rPr>
        <w:t>10</w:t>
      </w:r>
      <w:r>
        <w:rPr>
          <w:rFonts w:hint="eastAsia"/>
          <w:highlight w:val="none"/>
        </w:rPr>
        <w:t>-</w:t>
      </w:r>
      <w:r>
        <w:rPr>
          <w:rFonts w:hint="eastAsia"/>
          <w:highlight w:val="none"/>
          <w:lang w:val="en-US" w:eastAsia="zh-CN"/>
        </w:rPr>
        <w:t>4</w:t>
      </w:r>
      <w:r>
        <w:rPr>
          <w:rFonts w:hint="eastAsia"/>
          <w:highlight w:val="none"/>
        </w:rPr>
        <w:t>文明施工保证体系框图</w:t>
      </w:r>
    </w:p>
    <w:p w14:paraId="4395DCEE">
      <w:pPr>
        <w:pStyle w:val="4"/>
        <w:bidi w:val="0"/>
        <w:ind w:left="720" w:leftChars="0" w:hanging="720" w:firstLineChars="0"/>
        <w:rPr>
          <w:rFonts w:hint="default"/>
          <w:lang w:val="en-US" w:eastAsia="zh-CN"/>
        </w:rPr>
      </w:pPr>
      <w:r>
        <w:rPr>
          <w:rFonts w:hint="eastAsia"/>
          <w:lang w:val="en-US" w:eastAsia="zh-CN"/>
        </w:rPr>
        <w:t>文明施工保证措施</w:t>
      </w:r>
    </w:p>
    <w:p w14:paraId="04C24F97">
      <w:pPr>
        <w:pStyle w:val="5"/>
        <w:bidi w:val="0"/>
        <w:ind w:left="864" w:leftChars="0" w:hanging="864" w:firstLineChars="0"/>
      </w:pPr>
      <w:r>
        <w:t>施工驻地文明施工保证措施</w:t>
      </w:r>
    </w:p>
    <w:p w14:paraId="3C40D638">
      <w:pPr>
        <w:pStyle w:val="42"/>
        <w:bidi w:val="0"/>
        <w:rPr>
          <w:rFonts w:hint="eastAsia"/>
          <w:highlight w:val="none"/>
          <w:lang w:val="en-US" w:eastAsia="zh-CN"/>
        </w:rPr>
      </w:pPr>
      <w:r>
        <w:rPr>
          <w:rFonts w:hint="eastAsia"/>
          <w:highlight w:val="none"/>
        </w:rPr>
        <w:t>表</w:t>
      </w:r>
      <w:r>
        <w:rPr>
          <w:rFonts w:hint="eastAsia"/>
          <w:highlight w:val="none"/>
          <w:lang w:val="en-US" w:eastAsia="zh-CN"/>
        </w:rPr>
        <w:t>10</w:t>
      </w:r>
      <w:r>
        <w:rPr>
          <w:rFonts w:hint="eastAsia"/>
          <w:highlight w:val="none"/>
        </w:rPr>
        <w:t>-1施工驻地文明施工保证措施</w:t>
      </w:r>
    </w:p>
    <w:tbl>
      <w:tblPr>
        <w:tblStyle w:val="136"/>
        <w:tblpPr w:leftFromText="180" w:rightFromText="180" w:vertAnchor="text" w:tblpXSpec="center" w:tblpY="1"/>
        <w:tblW w:w="8369"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570"/>
        <w:gridCol w:w="945"/>
        <w:gridCol w:w="6854"/>
      </w:tblGrid>
      <w:tr w14:paraId="72F2627A">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tblHeader/>
          <w:jc w:val="center"/>
        </w:trPr>
        <w:tc>
          <w:tcPr>
            <w:tcW w:w="570" w:type="dxa"/>
            <w:shd w:val="clear" w:color="auto" w:fill="auto"/>
            <w:vAlign w:val="center"/>
          </w:tcPr>
          <w:p w14:paraId="5075286C">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945" w:type="dxa"/>
            <w:shd w:val="clear" w:color="auto" w:fill="auto"/>
            <w:vAlign w:val="center"/>
          </w:tcPr>
          <w:p w14:paraId="47E73C7A">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项目</w:t>
            </w:r>
          </w:p>
          <w:p w14:paraId="720E8608">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区域</w:t>
            </w:r>
          </w:p>
        </w:tc>
        <w:tc>
          <w:tcPr>
            <w:tcW w:w="6854" w:type="dxa"/>
            <w:shd w:val="clear" w:color="auto" w:fill="auto"/>
            <w:vAlign w:val="center"/>
          </w:tcPr>
          <w:p w14:paraId="49116402">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3B87D96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570" w:type="dxa"/>
            <w:shd w:val="clear" w:color="auto" w:fill="auto"/>
            <w:vAlign w:val="center"/>
          </w:tcPr>
          <w:p w14:paraId="10139590">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945" w:type="dxa"/>
            <w:shd w:val="clear" w:color="auto" w:fill="auto"/>
            <w:vAlign w:val="center"/>
          </w:tcPr>
          <w:p w14:paraId="6D040025">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生活区</w:t>
            </w:r>
          </w:p>
        </w:tc>
        <w:tc>
          <w:tcPr>
            <w:tcW w:w="6854" w:type="dxa"/>
            <w:shd w:val="clear" w:color="auto" w:fill="auto"/>
            <w:vAlign w:val="center"/>
          </w:tcPr>
          <w:p w14:paraId="7674E63B">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修建宿舍、食堂、开水房、淋浴间、厕所、卫生室、文体活动场所、封闭式垃圾站、污水处理站、消防通道等生活区临建设施，合理布局，做到生活设施规范化、标准化、人性化。</w:t>
            </w:r>
          </w:p>
          <w:p w14:paraId="7CD74C4C">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生活区入口处设置门楼，并设置生活区指示牌、路牌指示牌；宿舍区设宣传教育栏、住宿人员一览表，切实起到教育、表扬先进、促进后进的作用；在生活区临建设施处设相对应的规章制度及标识标牌；在生活区周围插设宣传旗。</w:t>
            </w:r>
          </w:p>
          <w:p w14:paraId="0666BF47">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做好生活区场地硬化、绿化；按规范要求建设专项生活办公区水电供应设施及排水设施，严禁电线私拉乱接、使用大功率用电设备，严禁乱排污水；做好安全消防设施。</w:t>
            </w:r>
          </w:p>
          <w:p w14:paraId="0C288839">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活区设施设专人维护，生活区（宿舍、食堂、厕所等）由专人清洁。宿舍整洁、物品有序；保持食堂通风、卫生、清洁；室外环境清洁，无污物、污水；垃圾密封存放，及时清运；厕所定期喷药，无异味，清洁卫生等。</w:t>
            </w:r>
          </w:p>
          <w:p w14:paraId="1E4C9C2D">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定期进行生活区文明施工检查，开展文明施工宣传。在宣传教育栏中对生活区文明情况进行奖罚公告、督促整改，创造一个和谐、有序、文明的生活环境。</w:t>
            </w:r>
          </w:p>
        </w:tc>
      </w:tr>
      <w:tr w14:paraId="2D26C08A">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570" w:type="dxa"/>
            <w:shd w:val="clear" w:color="auto" w:fill="auto"/>
            <w:vAlign w:val="center"/>
          </w:tcPr>
          <w:p w14:paraId="7E292366">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945" w:type="dxa"/>
            <w:shd w:val="clear" w:color="auto" w:fill="auto"/>
            <w:vAlign w:val="center"/>
          </w:tcPr>
          <w:p w14:paraId="3EC2BF27">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办公区</w:t>
            </w:r>
          </w:p>
        </w:tc>
        <w:tc>
          <w:tcPr>
            <w:tcW w:w="6854" w:type="dxa"/>
            <w:shd w:val="clear" w:color="auto" w:fill="auto"/>
            <w:vAlign w:val="center"/>
          </w:tcPr>
          <w:p w14:paraId="462D7AC2">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按批准的施工组织设计平面布置图，建设规范化、标准化的项目部大门、门卫、围墙、围挡、旗杆、旗帜、宣传教育栏、洗车台、停车场、门厅、会议室、办公室等办公区临建设施。</w:t>
            </w:r>
          </w:p>
          <w:p w14:paraId="495019A4">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在大门入口处，设置周正醒目的“七牌一图”，即工程概况牌、工程责任人牌、安全制度牌、消防保卫制度牌、环境保护制度牌、文明施工牌、工程创优牌、施工总平面布置图。</w:t>
            </w:r>
          </w:p>
          <w:p w14:paraId="6610BE81">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在门厅设立宣传教育栏、办公区平面布置图及其它标识标牌，在办公区周围插设宣传旗，切实起到教育、宣传作用。</w:t>
            </w:r>
          </w:p>
          <w:p w14:paraId="3C670F8C">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办公室或值班室，墙面悬挂现场总平面布置图、施工形象进度图、组织机构、工作职责、工作制度。</w:t>
            </w:r>
          </w:p>
          <w:p w14:paraId="713E1536">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办公区设施设专人维护，办公区（办公室、会议室、门厅等）由专人清洁，做到办公室整洁、物品有序，给员工提供一个良好的办公环境。</w:t>
            </w:r>
          </w:p>
          <w:p w14:paraId="20DB0BB6">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门卫室做好外来人员、车辆登记，并做到车辆停放规范。</w:t>
            </w:r>
          </w:p>
          <w:p w14:paraId="47186CCE">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文明施工管理员每天对办公区进行检查，并在宣传教育栏中进行奖罚公告、督促整改，创造一个和谐、有序办公环境。</w:t>
            </w:r>
          </w:p>
          <w:p w14:paraId="30A43D0A">
            <w:pPr>
              <w:pStyle w:val="55"/>
              <w:spacing w:line="240" w:lineRule="auto"/>
              <w:jc w:val="left"/>
              <w:rPr>
                <w:rFonts w:hint="eastAsia" w:ascii="宋体" w:hAnsi="宋体" w:eastAsia="宋体" w:cs="宋体"/>
                <w:b w:val="0"/>
                <w:bCs/>
                <w:spacing w:val="-6"/>
                <w:kern w:val="0"/>
                <w:sz w:val="20"/>
                <w:szCs w:val="20"/>
                <w:highlight w:val="none"/>
              </w:rPr>
            </w:pPr>
            <w:r>
              <w:rPr>
                <w:rFonts w:hint="eastAsia" w:ascii="宋体" w:hAnsi="宋体" w:eastAsia="宋体" w:cs="宋体"/>
                <w:b w:val="0"/>
                <w:bCs/>
                <w:kern w:val="0"/>
                <w:sz w:val="20"/>
                <w:szCs w:val="20"/>
                <w:highlight w:val="none"/>
              </w:rPr>
              <w:t>做好办公区场地硬化、绿化，按规范要求建设专项生活办公区水电供应设施及排水设施，严禁电线私拉乱接、使用大功率用电设备，严禁乱排污水；做好安全消防设施。</w:t>
            </w:r>
          </w:p>
        </w:tc>
      </w:tr>
    </w:tbl>
    <w:p w14:paraId="6A032F74">
      <w:pPr>
        <w:pStyle w:val="5"/>
        <w:bidi w:val="0"/>
        <w:ind w:left="864" w:leftChars="0" w:hanging="864" w:firstLineChars="0"/>
        <w:rPr>
          <w:rFonts w:hint="default"/>
          <w:lang w:val="en-US" w:eastAsia="zh-CN"/>
        </w:rPr>
      </w:pPr>
      <w:r>
        <w:rPr>
          <w:rFonts w:hint="eastAsia"/>
        </w:rPr>
        <w:t>施工现场文明施工措施</w:t>
      </w:r>
    </w:p>
    <w:p w14:paraId="4526F4C7">
      <w:pPr>
        <w:pStyle w:val="42"/>
        <w:bidi w:val="0"/>
        <w:rPr>
          <w:highlight w:val="none"/>
        </w:rPr>
      </w:pPr>
      <w:r>
        <w:rPr>
          <w:rFonts w:hint="eastAsia"/>
          <w:highlight w:val="none"/>
        </w:rPr>
        <w:t>表</w:t>
      </w:r>
      <w:r>
        <w:rPr>
          <w:rFonts w:hint="eastAsia"/>
          <w:highlight w:val="none"/>
          <w:lang w:val="en-US" w:eastAsia="zh-CN"/>
        </w:rPr>
        <w:t>10</w:t>
      </w:r>
      <w:r>
        <w:rPr>
          <w:rFonts w:hint="eastAsia"/>
          <w:highlight w:val="none"/>
        </w:rPr>
        <w:t>-</w:t>
      </w:r>
      <w:r>
        <w:rPr>
          <w:rFonts w:hint="eastAsia"/>
          <w:highlight w:val="none"/>
          <w:lang w:val="en-US" w:eastAsia="zh-CN"/>
        </w:rPr>
        <w:t>2</w:t>
      </w:r>
      <w:r>
        <w:rPr>
          <w:rFonts w:hint="eastAsia"/>
          <w:highlight w:val="none"/>
        </w:rPr>
        <w:t>施工现场文明施工保证措施</w:t>
      </w:r>
    </w:p>
    <w:tbl>
      <w:tblPr>
        <w:tblStyle w:val="136"/>
        <w:tblpPr w:leftFromText="180" w:rightFromText="180" w:vertAnchor="text" w:tblpXSpec="center" w:tblpY="1"/>
        <w:tblW w:w="8590"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643"/>
        <w:gridCol w:w="872"/>
        <w:gridCol w:w="7075"/>
      </w:tblGrid>
      <w:tr w14:paraId="0E9A433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360" w:hRule="atLeast"/>
          <w:tblHeader/>
          <w:jc w:val="center"/>
        </w:trPr>
        <w:tc>
          <w:tcPr>
            <w:tcW w:w="643" w:type="dxa"/>
            <w:shd w:val="clear" w:color="auto" w:fill="auto"/>
            <w:vAlign w:val="center"/>
          </w:tcPr>
          <w:p w14:paraId="1F08AF7C">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872" w:type="dxa"/>
            <w:shd w:val="clear" w:color="auto" w:fill="auto"/>
            <w:vAlign w:val="center"/>
          </w:tcPr>
          <w:p w14:paraId="69EF7DC5">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项目</w:t>
            </w:r>
          </w:p>
          <w:p w14:paraId="14E7B7BF">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区域</w:t>
            </w:r>
          </w:p>
        </w:tc>
        <w:tc>
          <w:tcPr>
            <w:tcW w:w="7075" w:type="dxa"/>
            <w:shd w:val="clear" w:color="auto" w:fill="auto"/>
            <w:vAlign w:val="center"/>
          </w:tcPr>
          <w:p w14:paraId="13B8259F">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248472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643" w:type="dxa"/>
            <w:shd w:val="clear" w:color="auto" w:fill="auto"/>
            <w:vAlign w:val="center"/>
          </w:tcPr>
          <w:p w14:paraId="2465F933">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872" w:type="dxa"/>
            <w:shd w:val="clear" w:color="auto" w:fill="auto"/>
            <w:vAlign w:val="center"/>
          </w:tcPr>
          <w:p w14:paraId="14578205">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生产区</w:t>
            </w:r>
          </w:p>
        </w:tc>
        <w:tc>
          <w:tcPr>
            <w:tcW w:w="7075" w:type="dxa"/>
            <w:shd w:val="clear" w:color="auto" w:fill="auto"/>
            <w:vAlign w:val="center"/>
          </w:tcPr>
          <w:p w14:paraId="6BA12412">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规范化、标准化的生产区工地大门、洗车台、钢筋加工区、混凝土生产区、仓库、钢结构及模板加工区、材料堆放区、设备维修车间、试验室、消防通道等临建设施，合理规划设置垃圾箱、废料分类区、吸烟区、流动厕所、饮水休息区。</w:t>
            </w:r>
          </w:p>
          <w:p w14:paraId="54366B4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在大门入口处，设置周正醒目的“七牌一图”，即工程概况牌、工程责任人牌、安全制度牌、消防保卫制度牌、环境保护制度牌、文明施工牌、工程创优牌、施工总平面布置图。</w:t>
            </w:r>
          </w:p>
          <w:p w14:paraId="3CEFE6A5">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建立文明施工责任区，划分区域明确责任人，挂牌监督。</w:t>
            </w:r>
          </w:p>
          <w:p w14:paraId="18DCFCA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每天设专职文明施工管理员进行巡逻检查，督促日常文明施工工作。</w:t>
            </w:r>
          </w:p>
          <w:p w14:paraId="76897655">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每月组织开展各项文明施工活动，并进行文明施工检查、考核，督促整改，落实文明施工各项规章制度及各项措施。</w:t>
            </w:r>
          </w:p>
          <w:p w14:paraId="3A554959">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每月召开文明施工例会，对现场文明施工问题及整改落实情况进行通报，并进行各区域的奖罚通告，同时讨论研究下个月文明施工改进措施、实施细则等。</w:t>
            </w:r>
          </w:p>
          <w:p w14:paraId="616C074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生产区现场做好文明施工宣传标识牌、安全警示标志标语布置，所有标识标牌要按照规定的材料、式样、颜色、内容等标准格式统一加工制作。</w:t>
            </w:r>
          </w:p>
          <w:p w14:paraId="356604B7">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对进场的材料、机具、标识标牌、配电箱、消防器材等严格按布置图位置进行堆放、设置，堆放设置要做到整齐有序。</w:t>
            </w:r>
          </w:p>
          <w:p w14:paraId="7762AC10">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材料挂设标识牌，注明名称、品种、规格、检验状态，检验合格与不合格材料分别堆放，不合格不入库；半成品、成品要整齐堆放，分别挂设标识牌，注明名称、品种、规格、使用部位、图形等，做好防雨防潮。每天由专职文明施工管理员负责检查。</w:t>
            </w:r>
          </w:p>
          <w:p w14:paraId="6A61BD72">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装运建筑材料、土石方、建筑垃圾过程中，采取覆盖措施，以免发生洒漏；混凝土、砂浆运输车辆要做好封闭工作，以免发生洒漏。</w:t>
            </w:r>
          </w:p>
          <w:p w14:paraId="23DA370D">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生产加工产生的废物材料、建筑垃圾要分类堆放，及时清运到指定地点，不随意倾倒，工具杂物要做到“人走场清”。</w:t>
            </w:r>
          </w:p>
          <w:p w14:paraId="5C1E5C61">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规范要求建设生产区水电供应设施及排水设施：做到管线统一规划、合理布设、整齐美观、做到管线平、顺、直、牢；配电房封闭管理，一机一闸，严禁电线私拉乱接、使用不规范的用电设备；电缆、通讯线路埋地或架空敷设，规范统一，不随意敷设；照明线路等严禁设在钢构件和易燃易爆、化学物件上；供水排水管路布置合理，严禁乱排污水；完善安全消防设施；设专人进行管线设施维护。</w:t>
            </w:r>
          </w:p>
          <w:p w14:paraId="3B0FA117">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做好生产区场地硬化、绿化；作业场地内无积水，废水处理须规范，油、污水未经处理不排放；设专人清洁生产区，保证道路晴天不扬尘，雨天不泥泞。</w:t>
            </w:r>
          </w:p>
          <w:p w14:paraId="3C2A6723">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浇筑混凝土、钻孔桩施工、锚碇施工等过程中，采取相应的措施，减少</w:t>
            </w:r>
            <w:r>
              <w:rPr>
                <w:rFonts w:hint="eastAsia" w:cs="宋体"/>
                <w:b w:val="0"/>
                <w:bCs/>
                <w:kern w:val="0"/>
                <w:sz w:val="20"/>
                <w:szCs w:val="20"/>
                <w:highlight w:val="none"/>
                <w:lang w:eastAsia="zh-CN"/>
              </w:rPr>
              <w:t>噪声</w:t>
            </w:r>
            <w:r>
              <w:rPr>
                <w:rFonts w:hint="eastAsia" w:ascii="宋体" w:hAnsi="宋体" w:eastAsia="宋体" w:cs="宋体"/>
                <w:b w:val="0"/>
                <w:bCs/>
                <w:kern w:val="0"/>
                <w:sz w:val="20"/>
                <w:szCs w:val="20"/>
                <w:highlight w:val="none"/>
              </w:rPr>
              <w:t>、扬尘，减少对周边居民及生态环境的影响。</w:t>
            </w:r>
          </w:p>
          <w:p w14:paraId="497ADEF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国家现行有关规定合理规划化学物品库和易燃易爆物品库，保证化学物品和易燃易爆物品合理存放，严格管理，以免污染环境；化学物品和易燃易爆物品领用时做好登记手续，搬运、装卸、使用时必须符合国家现行有关规定的要求。</w:t>
            </w:r>
          </w:p>
        </w:tc>
      </w:tr>
      <w:tr w14:paraId="23DA566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643" w:type="dxa"/>
            <w:shd w:val="clear" w:color="auto" w:fill="auto"/>
            <w:vAlign w:val="center"/>
          </w:tcPr>
          <w:p w14:paraId="42A3B489">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872" w:type="dxa"/>
            <w:shd w:val="clear" w:color="auto" w:fill="auto"/>
            <w:vAlign w:val="center"/>
          </w:tcPr>
          <w:p w14:paraId="71FC245E">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施工区</w:t>
            </w:r>
          </w:p>
        </w:tc>
        <w:tc>
          <w:tcPr>
            <w:tcW w:w="7075" w:type="dxa"/>
            <w:shd w:val="clear" w:color="auto" w:fill="auto"/>
            <w:vAlign w:val="center"/>
          </w:tcPr>
          <w:p w14:paraId="341165C0">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按批准的施工组织设计平面布置图，建设施工便桥、操作平台，合理规划设置垃圾箱、废料堆积区、吸烟区、流动厕所、饮水休息区。</w:t>
            </w:r>
          </w:p>
          <w:p w14:paraId="0525476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在施工现场设置周正醒目标牌，即工程概况牌、工程责任人牌、安全制度牌、消防保卫制度牌、环境保护制度牌、文明施工牌、工艺流程图。</w:t>
            </w:r>
          </w:p>
          <w:p w14:paraId="4C8CDF19">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施工便桥、周围安装安全警示灯，布置安全警示标识；</w:t>
            </w:r>
          </w:p>
          <w:p w14:paraId="7A66B95F">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生产加工产生的废物材料要分类堆放处理，泥浆、混凝土、土石方等建筑垃圾要及时清运到指定地点，不随意倾倒，工具杂物要做到“人走场清”。</w:t>
            </w:r>
          </w:p>
          <w:p w14:paraId="6DCB2DE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装运建筑垃圾过程中，采取覆盖措施，以免发生洒漏；混凝土、砂浆、泥浆运输车辆要做好封闭工作，以免发生洒漏。</w:t>
            </w:r>
          </w:p>
          <w:p w14:paraId="7DEF5941">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施工便桥设置专人维护、洒水、清洁，确保便桥整洁、不扬尘；采取相应的措施，减少</w:t>
            </w:r>
            <w:r>
              <w:rPr>
                <w:rFonts w:hint="eastAsia" w:cs="宋体"/>
                <w:b w:val="0"/>
                <w:bCs/>
                <w:kern w:val="0"/>
                <w:sz w:val="20"/>
                <w:szCs w:val="20"/>
                <w:highlight w:val="none"/>
                <w:lang w:eastAsia="zh-CN"/>
              </w:rPr>
              <w:t>噪声</w:t>
            </w:r>
            <w:r>
              <w:rPr>
                <w:rFonts w:hint="eastAsia" w:ascii="宋体" w:hAnsi="宋体" w:eastAsia="宋体" w:cs="宋体"/>
                <w:b w:val="0"/>
                <w:bCs/>
                <w:kern w:val="0"/>
                <w:sz w:val="20"/>
                <w:szCs w:val="20"/>
                <w:highlight w:val="none"/>
              </w:rPr>
              <w:t>污染，减少对周边生态环境的影响。</w:t>
            </w:r>
          </w:p>
          <w:p w14:paraId="5B5E6D44">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现场做好文明施工宣传标识牌、安全警示标志标语布置，标识牌布置要齐全、美观、整齐，所有标识标牌要按照规定的材料、式样、颜色、内容等标准格式统一加工制作。</w:t>
            </w:r>
          </w:p>
          <w:p w14:paraId="513CE333">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按国家现行有关规定做好现场化学物品和易燃易爆物品的存放、管理工作，以免污染环境；化学物品和易燃易爆物品领用时做好登记手续，搬运、装卸、使用时必须符合国家现行有关规定的要求。</w:t>
            </w:r>
          </w:p>
          <w:p w14:paraId="477E733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明确该区域文明施工责任人，挂牌监督；每天设专职文明施工管理员进行巡逻检查，督促日常文明施工工作。</w:t>
            </w:r>
          </w:p>
          <w:p w14:paraId="2962A2D9">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每月组织开展各项文明施工活动，并进行文明施工检查、考核，督促整改，落实文明施工各项规章制度及各项措施。</w:t>
            </w:r>
          </w:p>
          <w:p w14:paraId="4946719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每月召开文明施工例会，对现场文明施工问题及整改落实情况进行通报，并进行各区域的奖罚通告，同时讨论研究下个月文明施工工作细则、实施细则等。</w:t>
            </w:r>
          </w:p>
          <w:p w14:paraId="3B77494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规范要求建设水电供应设施及排水设施：做到管线统一规划、合理布设、整齐美观、做到管线平、顺、直、牢；配电房封闭管理，一机一闸，严禁电线私拉乱接、使用不规范的用电设备；电缆、通讯线路埋地或架空敷设，规范统一，不随意敷设；照明线路等严禁设在钢构件和易燃易爆、化学物件上；供水排水管路布置合理，做到给水不漏，排水顺畅，严禁乱排污水；完善安全消防设施；设专人进行管线设施维护。</w:t>
            </w:r>
          </w:p>
        </w:tc>
      </w:tr>
    </w:tbl>
    <w:p w14:paraId="7F9A171E">
      <w:pPr>
        <w:pStyle w:val="5"/>
        <w:bidi w:val="0"/>
        <w:ind w:left="864" w:leftChars="0" w:hanging="864" w:firstLineChars="0"/>
        <w:rPr>
          <w:rFonts w:hint="default"/>
          <w:lang w:val="en-US" w:eastAsia="zh-CN"/>
        </w:rPr>
      </w:pPr>
      <w:r>
        <w:rPr>
          <w:rFonts w:hint="eastAsia"/>
        </w:rPr>
        <w:t>现场机械文明施工措施</w:t>
      </w:r>
    </w:p>
    <w:p w14:paraId="22E152E0">
      <w:pPr>
        <w:pStyle w:val="42"/>
        <w:bidi w:val="0"/>
        <w:rPr>
          <w:highlight w:val="none"/>
        </w:rPr>
      </w:pPr>
      <w:r>
        <w:rPr>
          <w:rFonts w:hint="eastAsia"/>
          <w:highlight w:val="none"/>
        </w:rPr>
        <w:t>表</w:t>
      </w:r>
      <w:r>
        <w:rPr>
          <w:rFonts w:hint="eastAsia"/>
          <w:highlight w:val="none"/>
          <w:lang w:val="en-US" w:eastAsia="zh-CN"/>
        </w:rPr>
        <w:t>10</w:t>
      </w:r>
      <w:r>
        <w:rPr>
          <w:rFonts w:hint="eastAsia"/>
          <w:highlight w:val="none"/>
        </w:rPr>
        <w:t>-</w:t>
      </w:r>
      <w:r>
        <w:rPr>
          <w:rFonts w:hint="eastAsia"/>
          <w:highlight w:val="none"/>
          <w:lang w:val="en-US" w:eastAsia="zh-CN"/>
        </w:rPr>
        <w:t>3</w:t>
      </w:r>
      <w:r>
        <w:rPr>
          <w:rFonts w:hint="eastAsia"/>
          <w:highlight w:val="none"/>
        </w:rPr>
        <w:t>现场机械文明施工保证措施</w:t>
      </w:r>
    </w:p>
    <w:tbl>
      <w:tblPr>
        <w:tblStyle w:val="136"/>
        <w:tblpPr w:leftFromText="180" w:rightFromText="180" w:vertAnchor="text" w:tblpXSpec="center" w:tblpY="1"/>
        <w:tblW w:w="8469"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645"/>
        <w:gridCol w:w="7824"/>
      </w:tblGrid>
      <w:tr w14:paraId="07311F6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08" w:hRule="atLeast"/>
          <w:jc w:val="center"/>
        </w:trPr>
        <w:tc>
          <w:tcPr>
            <w:tcW w:w="645" w:type="dxa"/>
            <w:shd w:val="clear" w:color="auto" w:fill="auto"/>
            <w:vAlign w:val="center"/>
          </w:tcPr>
          <w:p w14:paraId="670701C8">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7824" w:type="dxa"/>
            <w:shd w:val="clear" w:color="auto" w:fill="auto"/>
            <w:vAlign w:val="center"/>
          </w:tcPr>
          <w:p w14:paraId="7CF9AF5B">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7CA72C2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48D488A6">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7824" w:type="dxa"/>
            <w:shd w:val="clear" w:color="auto" w:fill="auto"/>
            <w:vAlign w:val="center"/>
          </w:tcPr>
          <w:p w14:paraId="65827205">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配备专职的车辆、机械管理员，负责现场的车辆、机械的管理及调度；</w:t>
            </w:r>
          </w:p>
          <w:p w14:paraId="3809EC9A">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配备专业人员，负责现场的车辆、机械的维修、保养，使车辆、机械保持良好的状况。</w:t>
            </w:r>
          </w:p>
        </w:tc>
      </w:tr>
      <w:tr w14:paraId="1312CCC7">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7F45C911">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7824" w:type="dxa"/>
            <w:shd w:val="clear" w:color="auto" w:fill="auto"/>
            <w:vAlign w:val="center"/>
          </w:tcPr>
          <w:p w14:paraId="5FF2B1A8">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统一车辆、机械的颜色、标记、标识，并制定相应的机械操作规程。</w:t>
            </w:r>
          </w:p>
        </w:tc>
      </w:tr>
      <w:tr w14:paraId="3F6AEF3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05F40B72">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3</w:t>
            </w:r>
          </w:p>
        </w:tc>
        <w:tc>
          <w:tcPr>
            <w:tcW w:w="7824" w:type="dxa"/>
            <w:shd w:val="clear" w:color="auto" w:fill="auto"/>
            <w:vAlign w:val="center"/>
          </w:tcPr>
          <w:p w14:paraId="5275D9F3">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车辆、机械经常清洗，停放有序；</w:t>
            </w:r>
          </w:p>
          <w:p w14:paraId="2A597C90">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定期对驾驶人员进行遵章守纪、交通法规、文明施工教育，保证文明行驶，礼让三先，确保交通安全。</w:t>
            </w:r>
          </w:p>
        </w:tc>
      </w:tr>
      <w:tr w14:paraId="4219135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03B23CF4">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4</w:t>
            </w:r>
          </w:p>
        </w:tc>
        <w:tc>
          <w:tcPr>
            <w:tcW w:w="7824" w:type="dxa"/>
            <w:shd w:val="clear" w:color="auto" w:fill="auto"/>
            <w:vAlign w:val="center"/>
          </w:tcPr>
          <w:p w14:paraId="0BC76CF3">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清洗车辆机械排出的污水有排放措施，不随地流淌；</w:t>
            </w:r>
          </w:p>
          <w:p w14:paraId="6C862B9E">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机械应防止严重漏油，运行中产生的油污水不随意污染道路及水源。</w:t>
            </w:r>
          </w:p>
        </w:tc>
      </w:tr>
      <w:tr w14:paraId="1106D8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2387FC4D">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5</w:t>
            </w:r>
          </w:p>
        </w:tc>
        <w:tc>
          <w:tcPr>
            <w:tcW w:w="7824" w:type="dxa"/>
            <w:shd w:val="clear" w:color="auto" w:fill="auto"/>
            <w:vAlign w:val="center"/>
          </w:tcPr>
          <w:p w14:paraId="18E5F5E1">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拌和站、砂浆机等机械须配备防尘装置，在拌和站旁设置沉淀池，不将污水直接排放。</w:t>
            </w:r>
          </w:p>
        </w:tc>
      </w:tr>
      <w:tr w14:paraId="73F9508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12206ECF">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6</w:t>
            </w:r>
          </w:p>
        </w:tc>
        <w:tc>
          <w:tcPr>
            <w:tcW w:w="7824" w:type="dxa"/>
            <w:shd w:val="clear" w:color="auto" w:fill="auto"/>
            <w:vAlign w:val="center"/>
          </w:tcPr>
          <w:p w14:paraId="14D2736B">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合理规划使用施工场地内各种车辆、机械、设备，减少噪音累加，尽量采用</w:t>
            </w:r>
            <w:r>
              <w:rPr>
                <w:rFonts w:hint="eastAsia" w:cs="宋体"/>
                <w:b w:val="0"/>
                <w:bCs/>
                <w:kern w:val="0"/>
                <w:sz w:val="20"/>
                <w:szCs w:val="20"/>
                <w:highlight w:val="none"/>
                <w:lang w:eastAsia="zh-CN"/>
              </w:rPr>
              <w:t>低噪音</w:t>
            </w:r>
            <w:r>
              <w:rPr>
                <w:rFonts w:hint="eastAsia" w:ascii="宋体" w:hAnsi="宋体" w:eastAsia="宋体" w:cs="宋体"/>
                <w:b w:val="0"/>
                <w:bCs/>
                <w:kern w:val="0"/>
                <w:sz w:val="20"/>
                <w:szCs w:val="20"/>
                <w:highlight w:val="none"/>
              </w:rPr>
              <w:t>设备，控制噪音污染。</w:t>
            </w:r>
          </w:p>
        </w:tc>
      </w:tr>
      <w:tr w14:paraId="76A0C93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6465B5ED">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7</w:t>
            </w:r>
          </w:p>
        </w:tc>
        <w:tc>
          <w:tcPr>
            <w:tcW w:w="7824" w:type="dxa"/>
            <w:shd w:val="clear" w:color="auto" w:fill="auto"/>
            <w:vAlign w:val="center"/>
          </w:tcPr>
          <w:p w14:paraId="72D26CF9">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装运材料、土石方、垃圾等车辆，采取覆盖措施，确保行驶途中不污染道路和环境；</w:t>
            </w:r>
          </w:p>
          <w:p w14:paraId="3DF494C1">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混凝土、砂浆运输车辆要做好封闭工作，以免发生洒漏；</w:t>
            </w:r>
          </w:p>
          <w:p w14:paraId="29D64C0A">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装运材料、垃圾时，应做好覆盖或封闭工作，确保不污染防城港市地域环境。</w:t>
            </w:r>
          </w:p>
        </w:tc>
      </w:tr>
    </w:tbl>
    <w:p w14:paraId="304BBEDD">
      <w:pPr>
        <w:pStyle w:val="5"/>
        <w:bidi w:val="0"/>
        <w:ind w:left="864" w:leftChars="0" w:hanging="864" w:firstLineChars="0"/>
        <w:rPr>
          <w:rFonts w:hint="default"/>
          <w:lang w:val="en-US" w:eastAsia="zh-CN"/>
        </w:rPr>
      </w:pPr>
      <w:bookmarkStart w:id="468" w:name="_Toc27527"/>
      <w:bookmarkStart w:id="469" w:name="_Toc502086831"/>
      <w:bookmarkStart w:id="470" w:name="_Toc492222637"/>
      <w:bookmarkStart w:id="471" w:name="_Toc6274"/>
      <w:bookmarkStart w:id="472" w:name="_Toc26763"/>
      <w:r>
        <w:rPr>
          <w:rFonts w:hint="eastAsia"/>
        </w:rPr>
        <w:t>施工人员文明施工措施</w:t>
      </w:r>
      <w:bookmarkEnd w:id="468"/>
      <w:bookmarkEnd w:id="469"/>
      <w:bookmarkEnd w:id="470"/>
      <w:bookmarkEnd w:id="471"/>
      <w:bookmarkEnd w:id="472"/>
    </w:p>
    <w:p w14:paraId="05987A57">
      <w:pPr>
        <w:pStyle w:val="42"/>
        <w:bidi w:val="0"/>
        <w:rPr>
          <w:highlight w:val="none"/>
        </w:rPr>
      </w:pPr>
      <w:r>
        <w:rPr>
          <w:rFonts w:hint="eastAsia"/>
          <w:highlight w:val="none"/>
        </w:rPr>
        <w:t>表</w:t>
      </w:r>
      <w:r>
        <w:rPr>
          <w:rFonts w:hint="eastAsia"/>
          <w:highlight w:val="none"/>
          <w:lang w:val="en-US" w:eastAsia="zh-CN"/>
        </w:rPr>
        <w:t xml:space="preserve">10-4 </w:t>
      </w:r>
      <w:r>
        <w:rPr>
          <w:rFonts w:hint="eastAsia"/>
          <w:highlight w:val="none"/>
        </w:rPr>
        <w:t>施工人员文明施工保证措施</w:t>
      </w:r>
    </w:p>
    <w:tbl>
      <w:tblPr>
        <w:tblStyle w:val="136"/>
        <w:tblpPr w:leftFromText="180" w:rightFromText="180" w:vertAnchor="text" w:tblpXSpec="center" w:tblpY="1"/>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autofit"/>
        <w:tblCellMar>
          <w:top w:w="0" w:type="dxa"/>
          <w:left w:w="108" w:type="dxa"/>
          <w:bottom w:w="0" w:type="dxa"/>
          <w:right w:w="108" w:type="dxa"/>
        </w:tblCellMar>
      </w:tblPr>
      <w:tblGrid>
        <w:gridCol w:w="634"/>
        <w:gridCol w:w="7886"/>
      </w:tblGrid>
      <w:tr w14:paraId="5C80159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70" w:hRule="atLeast"/>
          <w:jc w:val="center"/>
        </w:trPr>
        <w:tc>
          <w:tcPr>
            <w:tcW w:w="372" w:type="pct"/>
            <w:shd w:val="clear" w:color="auto" w:fill="auto"/>
            <w:vAlign w:val="center"/>
          </w:tcPr>
          <w:p w14:paraId="3D4D0724">
            <w:pPr>
              <w:pStyle w:val="55"/>
              <w:rPr>
                <w:b w:val="0"/>
                <w:bCs/>
                <w:kern w:val="0"/>
                <w:highlight w:val="none"/>
              </w:rPr>
            </w:pPr>
            <w:r>
              <w:rPr>
                <w:rFonts w:hint="eastAsia"/>
                <w:b w:val="0"/>
                <w:bCs/>
                <w:kern w:val="0"/>
                <w:highlight w:val="none"/>
              </w:rPr>
              <w:t>序号</w:t>
            </w:r>
          </w:p>
        </w:tc>
        <w:tc>
          <w:tcPr>
            <w:tcW w:w="4627" w:type="pct"/>
            <w:shd w:val="clear" w:color="auto" w:fill="auto"/>
            <w:vAlign w:val="center"/>
          </w:tcPr>
          <w:p w14:paraId="6B9FFE8A">
            <w:pPr>
              <w:pStyle w:val="55"/>
              <w:rPr>
                <w:b w:val="0"/>
                <w:bCs/>
                <w:kern w:val="0"/>
                <w:highlight w:val="none"/>
              </w:rPr>
            </w:pPr>
            <w:r>
              <w:rPr>
                <w:rFonts w:hint="eastAsia"/>
                <w:b w:val="0"/>
                <w:bCs/>
                <w:kern w:val="0"/>
                <w:highlight w:val="none"/>
              </w:rPr>
              <w:t>主要保证措施</w:t>
            </w:r>
          </w:p>
        </w:tc>
      </w:tr>
      <w:tr w14:paraId="2F7A6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0E4E6664">
            <w:pPr>
              <w:pStyle w:val="55"/>
              <w:rPr>
                <w:b w:val="0"/>
                <w:bCs/>
                <w:kern w:val="0"/>
                <w:highlight w:val="none"/>
              </w:rPr>
            </w:pPr>
            <w:r>
              <w:rPr>
                <w:rFonts w:hint="eastAsia"/>
                <w:b w:val="0"/>
                <w:bCs/>
                <w:kern w:val="0"/>
                <w:highlight w:val="none"/>
              </w:rPr>
              <w:t>1</w:t>
            </w:r>
          </w:p>
        </w:tc>
        <w:tc>
          <w:tcPr>
            <w:tcW w:w="4627" w:type="pct"/>
            <w:shd w:val="clear" w:color="auto" w:fill="auto"/>
            <w:vAlign w:val="center"/>
          </w:tcPr>
          <w:p w14:paraId="2BEF12BA">
            <w:pPr>
              <w:pStyle w:val="55"/>
              <w:jc w:val="left"/>
              <w:rPr>
                <w:b w:val="0"/>
                <w:bCs/>
                <w:kern w:val="0"/>
                <w:highlight w:val="none"/>
              </w:rPr>
            </w:pPr>
            <w:r>
              <w:rPr>
                <w:rFonts w:hint="eastAsia"/>
                <w:b w:val="0"/>
                <w:bCs/>
                <w:kern w:val="0"/>
                <w:highlight w:val="none"/>
              </w:rPr>
              <w:t>施工人员应按要求分类着装，佩戴安全帽；</w:t>
            </w:r>
          </w:p>
          <w:p w14:paraId="5543A50A">
            <w:pPr>
              <w:pStyle w:val="55"/>
              <w:jc w:val="left"/>
              <w:rPr>
                <w:b w:val="0"/>
                <w:bCs/>
                <w:kern w:val="0"/>
                <w:highlight w:val="none"/>
              </w:rPr>
            </w:pPr>
            <w:r>
              <w:rPr>
                <w:rFonts w:hint="eastAsia"/>
                <w:b w:val="0"/>
                <w:bCs/>
                <w:kern w:val="0"/>
                <w:highlight w:val="none"/>
              </w:rPr>
              <w:t>各种岗位人员佩戴胸卡，质量检查人员、安全监督人员佩戴红色袖标；</w:t>
            </w:r>
          </w:p>
          <w:p w14:paraId="617AB4EB">
            <w:pPr>
              <w:pStyle w:val="55"/>
              <w:jc w:val="left"/>
              <w:rPr>
                <w:b w:val="0"/>
                <w:bCs/>
                <w:kern w:val="0"/>
                <w:highlight w:val="none"/>
              </w:rPr>
            </w:pPr>
            <w:r>
              <w:rPr>
                <w:rFonts w:hint="eastAsia"/>
                <w:b w:val="0"/>
                <w:bCs/>
                <w:kern w:val="0"/>
                <w:highlight w:val="none"/>
              </w:rPr>
              <w:t>坚守岗位，职责清楚。</w:t>
            </w:r>
          </w:p>
        </w:tc>
      </w:tr>
      <w:tr w14:paraId="28E9939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4521A28E">
            <w:pPr>
              <w:pStyle w:val="55"/>
              <w:rPr>
                <w:b w:val="0"/>
                <w:bCs/>
                <w:kern w:val="0"/>
                <w:highlight w:val="none"/>
              </w:rPr>
            </w:pPr>
            <w:r>
              <w:rPr>
                <w:rFonts w:hint="eastAsia"/>
                <w:b w:val="0"/>
                <w:bCs/>
                <w:kern w:val="0"/>
                <w:highlight w:val="none"/>
              </w:rPr>
              <w:t>2</w:t>
            </w:r>
          </w:p>
        </w:tc>
        <w:tc>
          <w:tcPr>
            <w:tcW w:w="4627" w:type="pct"/>
            <w:shd w:val="clear" w:color="auto" w:fill="auto"/>
            <w:vAlign w:val="center"/>
          </w:tcPr>
          <w:p w14:paraId="1221220A">
            <w:pPr>
              <w:pStyle w:val="55"/>
              <w:jc w:val="left"/>
              <w:rPr>
                <w:b w:val="0"/>
                <w:bCs/>
                <w:kern w:val="0"/>
                <w:highlight w:val="none"/>
              </w:rPr>
            </w:pPr>
            <w:r>
              <w:rPr>
                <w:rFonts w:hint="eastAsia"/>
                <w:b w:val="0"/>
                <w:bCs/>
                <w:kern w:val="0"/>
                <w:highlight w:val="none"/>
              </w:rPr>
              <w:t>进入场区人员在区域内活动要举止大方、</w:t>
            </w:r>
            <w:r>
              <w:rPr>
                <w:rFonts w:hint="eastAsia"/>
                <w:b w:val="0"/>
                <w:bCs/>
                <w:kern w:val="0"/>
                <w:highlight w:val="none"/>
                <w:lang w:eastAsia="zh-CN"/>
              </w:rPr>
              <w:t>仪容</w:t>
            </w:r>
            <w:r>
              <w:rPr>
                <w:rFonts w:hint="eastAsia"/>
                <w:b w:val="0"/>
                <w:bCs/>
                <w:kern w:val="0"/>
                <w:highlight w:val="none"/>
              </w:rPr>
              <w:t>整洁、文明礼貌；</w:t>
            </w:r>
          </w:p>
          <w:p w14:paraId="77562C54">
            <w:pPr>
              <w:pStyle w:val="55"/>
              <w:jc w:val="left"/>
              <w:rPr>
                <w:b w:val="0"/>
                <w:bCs/>
                <w:kern w:val="0"/>
                <w:highlight w:val="none"/>
              </w:rPr>
            </w:pPr>
            <w:r>
              <w:rPr>
                <w:rFonts w:hint="eastAsia"/>
                <w:b w:val="0"/>
                <w:bCs/>
                <w:kern w:val="0"/>
                <w:highlight w:val="none"/>
              </w:rPr>
              <w:t>定期对全体施工人员进行法律、法规教育，严格遵守社会公德、职业道德、职业纪律；</w:t>
            </w:r>
          </w:p>
          <w:p w14:paraId="3DFE9117">
            <w:pPr>
              <w:pStyle w:val="55"/>
              <w:jc w:val="left"/>
              <w:rPr>
                <w:b w:val="0"/>
                <w:bCs/>
                <w:kern w:val="0"/>
                <w:highlight w:val="none"/>
              </w:rPr>
            </w:pPr>
            <w:r>
              <w:rPr>
                <w:rFonts w:hint="eastAsia"/>
                <w:b w:val="0"/>
                <w:bCs/>
                <w:kern w:val="0"/>
                <w:highlight w:val="none"/>
              </w:rPr>
              <w:t>设专人协调处理好周边的公共关系，发生纠纷按程序逐级追究解决，杜绝打架斗殴。</w:t>
            </w:r>
          </w:p>
        </w:tc>
      </w:tr>
      <w:tr w14:paraId="44BDCD7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46BC3256">
            <w:pPr>
              <w:pStyle w:val="55"/>
              <w:rPr>
                <w:b w:val="0"/>
                <w:bCs/>
                <w:kern w:val="0"/>
                <w:highlight w:val="none"/>
              </w:rPr>
            </w:pPr>
            <w:r>
              <w:rPr>
                <w:rFonts w:hint="eastAsia"/>
                <w:b w:val="0"/>
                <w:bCs/>
                <w:kern w:val="0"/>
                <w:highlight w:val="none"/>
              </w:rPr>
              <w:t>3</w:t>
            </w:r>
          </w:p>
        </w:tc>
        <w:tc>
          <w:tcPr>
            <w:tcW w:w="4627" w:type="pct"/>
            <w:shd w:val="clear" w:color="auto" w:fill="auto"/>
            <w:vAlign w:val="center"/>
          </w:tcPr>
          <w:p w14:paraId="7A3254A0">
            <w:pPr>
              <w:pStyle w:val="55"/>
              <w:jc w:val="left"/>
              <w:rPr>
                <w:b w:val="0"/>
                <w:bCs/>
                <w:kern w:val="0"/>
                <w:highlight w:val="none"/>
              </w:rPr>
            </w:pPr>
            <w:r>
              <w:rPr>
                <w:rFonts w:hint="eastAsia"/>
                <w:b w:val="0"/>
                <w:bCs/>
                <w:kern w:val="0"/>
                <w:highlight w:val="none"/>
              </w:rPr>
              <w:t>工人在上岗前必须经过文明施工教育培训，未经培训的工人，不得使用；</w:t>
            </w:r>
          </w:p>
          <w:p w14:paraId="07BF3903">
            <w:pPr>
              <w:pStyle w:val="55"/>
              <w:jc w:val="left"/>
              <w:rPr>
                <w:b w:val="0"/>
                <w:bCs/>
                <w:kern w:val="0"/>
                <w:highlight w:val="none"/>
              </w:rPr>
            </w:pPr>
            <w:r>
              <w:rPr>
                <w:rFonts w:hint="eastAsia"/>
                <w:b w:val="0"/>
                <w:bCs/>
                <w:kern w:val="0"/>
                <w:highlight w:val="none"/>
              </w:rPr>
              <w:t>所有施工人员每月需要进行施工安全、法纪和文明施工教育，增强文明施工意识，养成良好的作业习惯，如不在吸烟室以外场所吸烟，严禁穿拖鞋、短袖，不酒后作业等。</w:t>
            </w:r>
          </w:p>
        </w:tc>
      </w:tr>
      <w:tr w14:paraId="64B8A10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068FC4BE">
            <w:pPr>
              <w:pStyle w:val="55"/>
              <w:rPr>
                <w:b w:val="0"/>
                <w:bCs/>
                <w:kern w:val="0"/>
                <w:highlight w:val="none"/>
              </w:rPr>
            </w:pPr>
            <w:r>
              <w:rPr>
                <w:rFonts w:hint="eastAsia"/>
                <w:b w:val="0"/>
                <w:bCs/>
                <w:kern w:val="0"/>
                <w:highlight w:val="none"/>
              </w:rPr>
              <w:t>4</w:t>
            </w:r>
          </w:p>
        </w:tc>
        <w:tc>
          <w:tcPr>
            <w:tcW w:w="4627" w:type="pct"/>
            <w:shd w:val="clear" w:color="auto" w:fill="auto"/>
            <w:vAlign w:val="center"/>
          </w:tcPr>
          <w:p w14:paraId="2FAD6DC3">
            <w:pPr>
              <w:pStyle w:val="55"/>
              <w:jc w:val="left"/>
              <w:rPr>
                <w:b w:val="0"/>
                <w:bCs/>
                <w:kern w:val="0"/>
                <w:highlight w:val="none"/>
              </w:rPr>
            </w:pPr>
            <w:r>
              <w:rPr>
                <w:rFonts w:hint="eastAsia"/>
                <w:b w:val="0"/>
                <w:bCs/>
                <w:kern w:val="0"/>
                <w:highlight w:val="none"/>
              </w:rPr>
              <w:t>施工中有计划组织职工学习有关文明施工的规定，争做文明人民；</w:t>
            </w:r>
          </w:p>
          <w:p w14:paraId="0784AAA3">
            <w:pPr>
              <w:pStyle w:val="55"/>
              <w:jc w:val="left"/>
              <w:rPr>
                <w:b w:val="0"/>
                <w:bCs/>
                <w:kern w:val="0"/>
                <w:highlight w:val="none"/>
              </w:rPr>
            </w:pPr>
            <w:r>
              <w:rPr>
                <w:rFonts w:hint="eastAsia"/>
                <w:b w:val="0"/>
                <w:bCs/>
                <w:kern w:val="0"/>
                <w:highlight w:val="none"/>
              </w:rPr>
              <w:t>加强员工文明施工行为考评，并将考评结果纳为月度绩效考核指标。</w:t>
            </w:r>
          </w:p>
        </w:tc>
      </w:tr>
      <w:tr w14:paraId="2801309C">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2C69228F">
            <w:pPr>
              <w:pStyle w:val="55"/>
              <w:rPr>
                <w:b w:val="0"/>
                <w:bCs/>
                <w:kern w:val="0"/>
                <w:highlight w:val="none"/>
              </w:rPr>
            </w:pPr>
            <w:r>
              <w:rPr>
                <w:rFonts w:hint="eastAsia"/>
                <w:b w:val="0"/>
                <w:bCs/>
                <w:kern w:val="0"/>
                <w:highlight w:val="none"/>
              </w:rPr>
              <w:t>5</w:t>
            </w:r>
          </w:p>
        </w:tc>
        <w:tc>
          <w:tcPr>
            <w:tcW w:w="4627" w:type="pct"/>
            <w:shd w:val="clear" w:color="auto" w:fill="auto"/>
            <w:vAlign w:val="center"/>
          </w:tcPr>
          <w:p w14:paraId="5ABDF829">
            <w:pPr>
              <w:pStyle w:val="55"/>
              <w:jc w:val="left"/>
              <w:rPr>
                <w:b w:val="0"/>
                <w:bCs/>
                <w:kern w:val="0"/>
                <w:highlight w:val="none"/>
              </w:rPr>
            </w:pPr>
            <w:r>
              <w:rPr>
                <w:rFonts w:hint="eastAsia"/>
                <w:b w:val="0"/>
                <w:bCs/>
                <w:kern w:val="0"/>
                <w:highlight w:val="none"/>
              </w:rPr>
              <w:t>建立文明施工档案，做好文明施工宣传，对违反文明施工人员进行教育、纠偏、处罚，严重者清除出场；在文明施工中表现优秀的给予褒奖。</w:t>
            </w:r>
          </w:p>
        </w:tc>
      </w:tr>
    </w:tbl>
    <w:p w14:paraId="00A9E778">
      <w:pPr>
        <w:pStyle w:val="5"/>
        <w:bidi w:val="0"/>
        <w:ind w:left="864" w:leftChars="0" w:hanging="864" w:firstLineChars="0"/>
        <w:rPr>
          <w:rFonts w:hint="default"/>
          <w:lang w:val="en-US" w:eastAsia="zh-CN"/>
        </w:rPr>
      </w:pPr>
      <w:r>
        <w:rPr>
          <w:rFonts w:hint="eastAsia"/>
        </w:rPr>
        <w:t>卫生保洁文明施工措施</w:t>
      </w:r>
    </w:p>
    <w:p w14:paraId="08DC96EB">
      <w:pPr>
        <w:bidi w:val="0"/>
        <w:ind w:firstLine="480" w:firstLineChars="200"/>
        <w:rPr>
          <w:highlight w:val="none"/>
        </w:rPr>
      </w:pPr>
      <w:r>
        <w:rPr>
          <w:highlight w:val="none"/>
        </w:rPr>
        <w:t>1</w:t>
      </w:r>
      <w:r>
        <w:rPr>
          <w:rFonts w:hint="eastAsia"/>
          <w:highlight w:val="none"/>
          <w:lang w:eastAsia="zh-CN"/>
        </w:rPr>
        <w:t>、</w:t>
      </w:r>
      <w:r>
        <w:rPr>
          <w:rFonts w:hint="eastAsia"/>
          <w:highlight w:val="none"/>
        </w:rPr>
        <w:t>保洁人员配置及职责</w:t>
      </w:r>
    </w:p>
    <w:p w14:paraId="30DB7157">
      <w:pPr>
        <w:ind w:firstLine="480"/>
        <w:rPr>
          <w:highlight w:val="none"/>
        </w:rPr>
      </w:pPr>
      <w:r>
        <w:rPr>
          <w:rFonts w:hint="eastAsia"/>
          <w:highlight w:val="none"/>
        </w:rPr>
        <w:t>（1）人员配置：建筑施工现场统一配备专职保洁员，明确卫生职责、健全卫生奖惩体系，实现建筑施工现场“制度健全、设施完备、人员到位、清扫及时”的目标</w:t>
      </w:r>
    </w:p>
    <w:p w14:paraId="6F771A5E">
      <w:pPr>
        <w:ind w:firstLine="480"/>
        <w:rPr>
          <w:highlight w:val="none"/>
        </w:rPr>
      </w:pPr>
      <w:r>
        <w:rPr>
          <w:rFonts w:hint="eastAsia"/>
          <w:highlight w:val="none"/>
        </w:rPr>
        <w:t>（2）主要职责：</w:t>
      </w:r>
    </w:p>
    <w:p w14:paraId="05CAFB85">
      <w:pPr>
        <w:ind w:firstLine="480"/>
        <w:rPr>
          <w:highlight w:val="none"/>
        </w:rPr>
      </w:pPr>
      <w:r>
        <w:rPr>
          <w:rFonts w:hint="eastAsia"/>
          <w:highlight w:val="none"/>
        </w:rPr>
        <w:t>①确保施工现场围墙外5米内以及围墙内场地平整，无积水、无生活垃圾、杂草，废弃物；</w:t>
      </w:r>
    </w:p>
    <w:p w14:paraId="13E15E8B">
      <w:pPr>
        <w:ind w:firstLine="480"/>
        <w:rPr>
          <w:highlight w:val="none"/>
        </w:rPr>
      </w:pPr>
      <w:r>
        <w:rPr>
          <w:rFonts w:hint="eastAsia"/>
          <w:highlight w:val="none"/>
        </w:rPr>
        <w:t>②确保办公区走廊、楼梯、栏杆、楼道、痰盂、垃圾桶清洁，无灰尘、烟头、痰迹、无卫生死角；</w:t>
      </w:r>
    </w:p>
    <w:p w14:paraId="73147760">
      <w:pPr>
        <w:ind w:firstLine="480"/>
        <w:rPr>
          <w:highlight w:val="none"/>
        </w:rPr>
      </w:pPr>
      <w:r>
        <w:rPr>
          <w:rFonts w:hint="eastAsia"/>
          <w:highlight w:val="none"/>
        </w:rPr>
        <w:t>③确保生活区清洁卫生，生活垃圾日产日清；</w:t>
      </w:r>
    </w:p>
    <w:p w14:paraId="443AD20D">
      <w:pPr>
        <w:ind w:firstLine="480"/>
        <w:rPr>
          <w:highlight w:val="none"/>
        </w:rPr>
      </w:pPr>
      <w:r>
        <w:rPr>
          <w:rFonts w:hint="eastAsia"/>
          <w:highlight w:val="none"/>
        </w:rPr>
        <w:t>④确保施工区材料堆放整齐、粉状材料覆盖、建筑垃圾及时清理，无卫生死角；</w:t>
      </w:r>
    </w:p>
    <w:p w14:paraId="63AF7C9A">
      <w:pPr>
        <w:ind w:firstLine="480"/>
        <w:rPr>
          <w:highlight w:val="none"/>
        </w:rPr>
      </w:pPr>
      <w:r>
        <w:rPr>
          <w:rFonts w:hint="eastAsia"/>
          <w:highlight w:val="none"/>
        </w:rPr>
        <w:t>⑤确保宿舍周围干净整洁，无污水、生活垃圾、杂物、无卫生死角。宿舍内物品摆放整齐有序、干净整洁；</w:t>
      </w:r>
    </w:p>
    <w:p w14:paraId="5B214A78">
      <w:pPr>
        <w:ind w:firstLine="480"/>
        <w:rPr>
          <w:highlight w:val="none"/>
        </w:rPr>
      </w:pPr>
      <w:r>
        <w:rPr>
          <w:rFonts w:hint="eastAsia"/>
          <w:highlight w:val="none"/>
        </w:rPr>
        <w:t>⑥确保食堂灶台、室内</w:t>
      </w:r>
      <w:r>
        <w:rPr>
          <w:rFonts w:hint="eastAsia"/>
          <w:highlight w:val="none"/>
          <w:lang w:eastAsia="zh-CN"/>
        </w:rPr>
        <w:t>墙面</w:t>
      </w:r>
      <w:r>
        <w:rPr>
          <w:rFonts w:hint="eastAsia"/>
          <w:highlight w:val="none"/>
        </w:rPr>
        <w:t>瓷砖无油垢，通风口、泔水桶加盖、密闭，泔水桶内外清洁，周边无杂物、积水，餐桌、椅保持整洁，地面保持清洁；</w:t>
      </w:r>
    </w:p>
    <w:p w14:paraId="2E301DE8">
      <w:pPr>
        <w:bidi w:val="0"/>
        <w:ind w:firstLine="480" w:firstLineChars="200"/>
        <w:rPr>
          <w:highlight w:val="none"/>
        </w:rPr>
      </w:pPr>
      <w:r>
        <w:rPr>
          <w:rFonts w:hint="eastAsia"/>
          <w:highlight w:val="none"/>
        </w:rPr>
        <w:t>⑦确保厕所洗手池、地面、便池清洁干净，定期消毒，喷洒药物，厕所内无积水、无尿碱、无污垢、无异味，无蚊蝇、无卫生死角。</w:t>
      </w:r>
    </w:p>
    <w:p w14:paraId="2B3AE8B5">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饮食卫生保障措施</w:t>
      </w:r>
    </w:p>
    <w:p w14:paraId="4EA5B17B">
      <w:pPr>
        <w:ind w:firstLine="480"/>
        <w:rPr>
          <w:highlight w:val="none"/>
        </w:rPr>
      </w:pPr>
      <w:r>
        <w:rPr>
          <w:highlight w:val="none"/>
        </w:rPr>
        <w:t>1</w:t>
      </w:r>
      <w:r>
        <w:rPr>
          <w:rFonts w:hint="eastAsia"/>
          <w:highlight w:val="none"/>
        </w:rPr>
        <w:t>）采购运输</w:t>
      </w:r>
    </w:p>
    <w:p w14:paraId="781FC644">
      <w:pPr>
        <w:ind w:firstLine="480"/>
        <w:rPr>
          <w:highlight w:val="none"/>
        </w:rPr>
      </w:pPr>
      <w:r>
        <w:rPr>
          <w:rFonts w:hint="eastAsia"/>
          <w:highlight w:val="none"/>
        </w:rPr>
        <w:t>①采购外地食品应向供货单位索取县以上食品卫生监督机构开具的检验合格证或检验单。认为必要时，请当地食品卫生监督机构进行复验。</w:t>
      </w:r>
    </w:p>
    <w:p w14:paraId="713F77AA">
      <w:pPr>
        <w:ind w:firstLine="480"/>
        <w:rPr>
          <w:highlight w:val="none"/>
        </w:rPr>
      </w:pPr>
      <w:r>
        <w:rPr>
          <w:rFonts w:hint="eastAsia"/>
          <w:highlight w:val="none"/>
        </w:rPr>
        <w:t>②采购食品用的车辆，容器要清洁卫生，做到生熟分开，防尘、防蝇、防潮。</w:t>
      </w:r>
    </w:p>
    <w:p w14:paraId="54DC30F3">
      <w:pPr>
        <w:ind w:firstLine="480"/>
        <w:rPr>
          <w:highlight w:val="none"/>
        </w:rPr>
      </w:pPr>
      <w:r>
        <w:rPr>
          <w:rFonts w:hint="eastAsia"/>
          <w:highlight w:val="none"/>
        </w:rPr>
        <w:t>③不得采购制售腐败变质、霉变、生虫、有异味或《食品卫生法》规定禁止生产经营的食品。</w:t>
      </w:r>
    </w:p>
    <w:p w14:paraId="11181CA6">
      <w:pPr>
        <w:ind w:firstLine="480"/>
        <w:rPr>
          <w:highlight w:val="none"/>
        </w:rPr>
      </w:pPr>
      <w:r>
        <w:rPr>
          <w:highlight w:val="none"/>
        </w:rPr>
        <w:t>2</w:t>
      </w:r>
      <w:r>
        <w:rPr>
          <w:rFonts w:hint="eastAsia"/>
          <w:highlight w:val="none"/>
        </w:rPr>
        <w:t>）储存、保管</w:t>
      </w:r>
    </w:p>
    <w:p w14:paraId="3BCFDB6D">
      <w:pPr>
        <w:ind w:firstLine="480"/>
        <w:rPr>
          <w:highlight w:val="none"/>
        </w:rPr>
      </w:pPr>
      <w:r>
        <w:rPr>
          <w:rFonts w:hint="eastAsia"/>
          <w:highlight w:val="none"/>
        </w:rPr>
        <w:t>①根据《食品卫生法》的规定，食品不得接触有毒物，不洁物。建筑上用的防冻盐等有害物质，个施工单位要设专人专库存放，严禁防冻盐和食用盐同仓共贮，要建立健全管理制度。</w:t>
      </w:r>
    </w:p>
    <w:p w14:paraId="10BF63B9">
      <w:pPr>
        <w:ind w:firstLine="480"/>
        <w:rPr>
          <w:highlight w:val="none"/>
        </w:rPr>
      </w:pPr>
      <w:r>
        <w:rPr>
          <w:rFonts w:hint="eastAsia"/>
          <w:highlight w:val="none"/>
        </w:rPr>
        <w:t>②贮存食品要隔墙、离地，注意做到通风、防潮、防虫、防鼠，有条件的单位应设冷藏设备。主副食品、原料、半成品、成品要分开存放。</w:t>
      </w:r>
    </w:p>
    <w:p w14:paraId="59DEE388">
      <w:pPr>
        <w:ind w:firstLine="480"/>
        <w:rPr>
          <w:highlight w:val="none"/>
        </w:rPr>
      </w:pPr>
      <w:r>
        <w:rPr>
          <w:rFonts w:hint="eastAsia"/>
          <w:highlight w:val="none"/>
        </w:rPr>
        <w:t>③盛放酱油、盐等副食调料要做到容器物见本色，加盖存放，清洁卫生。</w:t>
      </w:r>
    </w:p>
    <w:p w14:paraId="0E2EA10D">
      <w:pPr>
        <w:ind w:firstLine="480"/>
        <w:rPr>
          <w:highlight w:val="none"/>
        </w:rPr>
      </w:pPr>
      <w:r>
        <w:rPr>
          <w:highlight w:val="none"/>
        </w:rPr>
        <w:t>3</w:t>
      </w:r>
      <w:r>
        <w:rPr>
          <w:rFonts w:hint="eastAsia"/>
          <w:highlight w:val="none"/>
        </w:rPr>
        <w:t>）制售过程卫生</w:t>
      </w:r>
    </w:p>
    <w:p w14:paraId="66095C77">
      <w:pPr>
        <w:ind w:firstLine="480"/>
        <w:rPr>
          <w:highlight w:val="none"/>
        </w:rPr>
      </w:pPr>
      <w:r>
        <w:rPr>
          <w:rFonts w:hint="eastAsia"/>
          <w:highlight w:val="none"/>
        </w:rPr>
        <w:t>①制作食品的原料要新鲜卫生，认真做到不用、不卖腐败变质的食品，各种食品要烧熟煮透，以免食物中毒的发生。</w:t>
      </w:r>
    </w:p>
    <w:p w14:paraId="16356F32">
      <w:pPr>
        <w:ind w:firstLine="480"/>
        <w:rPr>
          <w:highlight w:val="none"/>
        </w:rPr>
      </w:pPr>
      <w:r>
        <w:rPr>
          <w:rFonts w:hint="eastAsia"/>
          <w:highlight w:val="none"/>
        </w:rPr>
        <w:t>②制售过程及刀、墩、案板、盆、筐、水池子、抹布和冰箱等工具要严格做到生熟分开，售饭时要用工具销售直接入口食品，饭票要消毒。</w:t>
      </w:r>
    </w:p>
    <w:p w14:paraId="114AA444">
      <w:pPr>
        <w:ind w:firstLine="480"/>
        <w:rPr>
          <w:highlight w:val="none"/>
        </w:rPr>
      </w:pPr>
      <w:r>
        <w:rPr>
          <w:rFonts w:hint="eastAsia"/>
          <w:highlight w:val="none"/>
        </w:rPr>
        <w:t>③生吃凉拌菜必须洗净消毒，剩饭、菜要回锅彻底加热再食用，一旦发现变质，不得食用。</w:t>
      </w:r>
    </w:p>
    <w:p w14:paraId="54E9F5D1">
      <w:pPr>
        <w:ind w:firstLine="480"/>
        <w:rPr>
          <w:highlight w:val="none"/>
        </w:rPr>
      </w:pPr>
      <w:r>
        <w:rPr>
          <w:rFonts w:hint="eastAsia"/>
          <w:highlight w:val="none"/>
        </w:rPr>
        <w:t>④公共</w:t>
      </w:r>
      <w:r>
        <w:rPr>
          <w:rFonts w:hint="eastAsia"/>
          <w:highlight w:val="none"/>
          <w:lang w:eastAsia="zh-CN"/>
        </w:rPr>
        <w:t>餐具</w:t>
      </w:r>
      <w:r>
        <w:rPr>
          <w:rFonts w:hint="eastAsia"/>
          <w:highlight w:val="none"/>
        </w:rPr>
        <w:t>要消毒洗净，应有上下水洗手和餐具洗涤设备。</w:t>
      </w:r>
    </w:p>
    <w:p w14:paraId="39964736">
      <w:pPr>
        <w:bidi w:val="0"/>
        <w:ind w:firstLine="480" w:firstLineChars="200"/>
        <w:rPr>
          <w:highlight w:val="none"/>
        </w:rPr>
      </w:pPr>
      <w:r>
        <w:rPr>
          <w:rFonts w:hint="eastAsia"/>
          <w:highlight w:val="none"/>
          <w:lang w:val="en-US" w:eastAsia="zh-CN"/>
        </w:rPr>
        <w:t>4）</w:t>
      </w:r>
      <w:r>
        <w:rPr>
          <w:rFonts w:hint="eastAsia"/>
          <w:highlight w:val="none"/>
        </w:rPr>
        <w:t>个人卫生</w:t>
      </w:r>
    </w:p>
    <w:p w14:paraId="54C2EEAC">
      <w:pPr>
        <w:ind w:firstLine="480"/>
        <w:rPr>
          <w:highlight w:val="none"/>
        </w:rPr>
      </w:pPr>
      <w:r>
        <w:rPr>
          <w:rFonts w:hint="eastAsia"/>
          <w:highlight w:val="none"/>
        </w:rPr>
        <w:t>①炊管人员每年要进行一次健康检查，持有健康合格证及卫生知识培训后，方可上岗。凡患有痢疾、肝炎、伤寒、活动性肺结核、渗出性皮肤病及其它有碍食品卫生的疾病，不得参加接触直接入口食品的制售及食品洗涤工作。</w:t>
      </w:r>
    </w:p>
    <w:p w14:paraId="14C3ACAF">
      <w:pPr>
        <w:ind w:firstLine="480"/>
        <w:rPr>
          <w:highlight w:val="none"/>
        </w:rPr>
      </w:pPr>
      <w:r>
        <w:rPr>
          <w:rFonts w:hint="eastAsia"/>
          <w:highlight w:val="none"/>
        </w:rPr>
        <w:t>②炊管人员操作时必须穿戴好工作服、发帽，并保持清洁整齐，做到文明生产，不赤背，不光脚，禁止随地吐痰。</w:t>
      </w:r>
    </w:p>
    <w:p w14:paraId="6C69DF2D">
      <w:pPr>
        <w:ind w:firstLine="480"/>
        <w:rPr>
          <w:highlight w:val="none"/>
        </w:rPr>
      </w:pPr>
      <w:r>
        <w:rPr>
          <w:rFonts w:hint="eastAsia"/>
          <w:highlight w:val="none"/>
        </w:rPr>
        <w:t>③炊管人员必须做好个人卫生，要坚持做到四勤（勤理发、勤洗澡、勤换衣、勤剪指甲）。</w:t>
      </w:r>
    </w:p>
    <w:p w14:paraId="751A141E">
      <w:pPr>
        <w:pStyle w:val="5"/>
        <w:bidi w:val="0"/>
        <w:ind w:left="864" w:leftChars="0" w:hanging="864" w:firstLineChars="0"/>
        <w:rPr>
          <w:rFonts w:hint="default"/>
          <w:lang w:val="en-US" w:eastAsia="zh-CN"/>
        </w:rPr>
      </w:pPr>
      <w:r>
        <w:rPr>
          <w:rFonts w:hint="eastAsia"/>
        </w:rPr>
        <w:t>便民措施</w:t>
      </w:r>
    </w:p>
    <w:p w14:paraId="6F3317E0">
      <w:pPr>
        <w:pStyle w:val="13"/>
        <w:rPr>
          <w:rFonts w:hint="default"/>
          <w:highlight w:val="none"/>
          <w:lang w:val="en-US" w:eastAsia="zh-CN"/>
        </w:rPr>
      </w:pPr>
      <w:r>
        <w:rPr>
          <w:rFonts w:hint="eastAsia"/>
          <w:highlight w:val="none"/>
        </w:rPr>
        <w:t>在本工程的建设中我</w:t>
      </w:r>
      <w:r>
        <w:rPr>
          <w:rFonts w:hint="eastAsia"/>
          <w:highlight w:val="none"/>
          <w:lang w:val="en-US" w:eastAsia="zh-CN"/>
        </w:rPr>
        <w:t>部</w:t>
      </w:r>
      <w:r>
        <w:rPr>
          <w:rFonts w:hint="eastAsia"/>
          <w:highlight w:val="none"/>
        </w:rPr>
        <w:t>将自觉遵守百姓的监督</w:t>
      </w:r>
      <w:r>
        <w:rPr>
          <w:rFonts w:hint="eastAsia"/>
          <w:highlight w:val="none"/>
          <w:lang w:eastAsia="zh-CN"/>
        </w:rPr>
        <w:t>，</w:t>
      </w:r>
      <w:r>
        <w:rPr>
          <w:rFonts w:hint="eastAsia"/>
          <w:highlight w:val="none"/>
        </w:rPr>
        <w:t>加强与百姓的联系是确保工程施工顺利进行的关键因素；同时也是文明施工，提升</w:t>
      </w:r>
      <w:r>
        <w:rPr>
          <w:rFonts w:hint="eastAsia"/>
          <w:highlight w:val="none"/>
          <w:lang w:val="en-US" w:eastAsia="zh-CN"/>
        </w:rPr>
        <w:t>项目</w:t>
      </w:r>
      <w:r>
        <w:rPr>
          <w:rFonts w:hint="eastAsia"/>
          <w:highlight w:val="none"/>
        </w:rPr>
        <w:t>形象的关键。</w:t>
      </w:r>
    </w:p>
    <w:p w14:paraId="48C86C87">
      <w:pPr>
        <w:bidi w:val="0"/>
        <w:ind w:firstLine="480" w:firstLineChars="200"/>
        <w:rPr>
          <w:highlight w:val="none"/>
        </w:rPr>
      </w:pPr>
      <w:r>
        <w:rPr>
          <w:highlight w:val="none"/>
        </w:rPr>
        <w:t>1</w:t>
      </w:r>
      <w:r>
        <w:rPr>
          <w:rFonts w:hint="eastAsia"/>
          <w:highlight w:val="none"/>
          <w:lang w:eastAsia="zh-CN"/>
        </w:rPr>
        <w:t>、</w:t>
      </w:r>
      <w:r>
        <w:rPr>
          <w:rFonts w:hint="eastAsia"/>
          <w:highlight w:val="none"/>
        </w:rPr>
        <w:t>与周边单位、群众的协调措施</w:t>
      </w:r>
    </w:p>
    <w:p w14:paraId="236496E5">
      <w:pPr>
        <w:ind w:firstLine="480"/>
        <w:rPr>
          <w:highlight w:val="none"/>
        </w:rPr>
      </w:pPr>
      <w:r>
        <w:rPr>
          <w:rFonts w:hint="eastAsia"/>
          <w:highlight w:val="none"/>
        </w:rPr>
        <w:t>（1）客观正确对待地方政府和群众的要求；</w:t>
      </w:r>
    </w:p>
    <w:p w14:paraId="120AA8E3">
      <w:pPr>
        <w:ind w:firstLine="480"/>
        <w:rPr>
          <w:rFonts w:hint="eastAsia"/>
          <w:highlight w:val="none"/>
        </w:rPr>
      </w:pPr>
      <w:r>
        <w:rPr>
          <w:rFonts w:hint="eastAsia"/>
          <w:highlight w:val="none"/>
        </w:rPr>
        <w:t>（</w:t>
      </w:r>
      <w:r>
        <w:rPr>
          <w:rFonts w:hint="eastAsia"/>
          <w:highlight w:val="none"/>
          <w:lang w:val="en-US" w:eastAsia="zh-CN"/>
        </w:rPr>
        <w:t>2</w:t>
      </w:r>
      <w:r>
        <w:rPr>
          <w:rFonts w:hint="eastAsia"/>
          <w:highlight w:val="none"/>
        </w:rPr>
        <w:t>）尊重当地风俗习惯。要入乡随俗，在施工前要派人搞好社情、乡俗调查，主动搞好与地方的关系，增进团结。</w:t>
      </w:r>
    </w:p>
    <w:p w14:paraId="5EEACAD6">
      <w:pPr>
        <w:ind w:firstLine="480"/>
        <w:rPr>
          <w:highlight w:val="none"/>
        </w:rPr>
      </w:pPr>
      <w:r>
        <w:rPr>
          <w:rFonts w:hint="eastAsia"/>
          <w:highlight w:val="none"/>
        </w:rPr>
        <w:t>（</w:t>
      </w:r>
      <w:r>
        <w:rPr>
          <w:rFonts w:hint="eastAsia"/>
          <w:highlight w:val="none"/>
          <w:lang w:val="en-US" w:eastAsia="zh-CN"/>
        </w:rPr>
        <w:t>3</w:t>
      </w:r>
      <w:r>
        <w:rPr>
          <w:rFonts w:hint="eastAsia"/>
          <w:highlight w:val="none"/>
        </w:rPr>
        <w:t>）关心当地群众利益。关心体谅当地群众，我</w:t>
      </w:r>
      <w:r>
        <w:rPr>
          <w:rFonts w:hint="eastAsia"/>
          <w:highlight w:val="none"/>
          <w:lang w:val="en-US" w:eastAsia="zh-CN"/>
        </w:rPr>
        <w:t>部</w:t>
      </w:r>
      <w:r>
        <w:rPr>
          <w:rFonts w:hint="eastAsia"/>
          <w:highlight w:val="none"/>
        </w:rPr>
        <w:t>能办到的尽量办；对办不到的事情和无法满足的要求在说明情况的同时，要通过一些必要的形式，利用乡镇、村委和执法人员，沟通和当地群众的关系，创造相互理解的气氛。</w:t>
      </w:r>
    </w:p>
    <w:p w14:paraId="543C6C2D">
      <w:pPr>
        <w:ind w:firstLine="480"/>
        <w:rPr>
          <w:highlight w:val="none"/>
        </w:rPr>
      </w:pPr>
      <w:r>
        <w:rPr>
          <w:rFonts w:hint="eastAsia"/>
          <w:highlight w:val="none"/>
        </w:rPr>
        <w:t>（</w:t>
      </w:r>
      <w:r>
        <w:rPr>
          <w:rFonts w:hint="eastAsia"/>
          <w:highlight w:val="none"/>
          <w:lang w:val="en-US" w:eastAsia="zh-CN"/>
        </w:rPr>
        <w:t>4</w:t>
      </w:r>
      <w:r>
        <w:rPr>
          <w:rFonts w:hint="eastAsia"/>
          <w:highlight w:val="none"/>
        </w:rPr>
        <w:t>）尽量减少施工扰民。在项目</w:t>
      </w:r>
      <w:r>
        <w:rPr>
          <w:rFonts w:hint="eastAsia"/>
          <w:highlight w:val="none"/>
          <w:lang w:val="en-US" w:eastAsia="zh-CN"/>
        </w:rPr>
        <w:t>施工</w:t>
      </w:r>
      <w:r>
        <w:rPr>
          <w:rFonts w:hint="eastAsia"/>
          <w:highlight w:val="none"/>
        </w:rPr>
        <w:t>中，要充分考虑到扰民问题，从源头上减少施工扰民。</w:t>
      </w:r>
    </w:p>
    <w:p w14:paraId="4C84D9C5">
      <w:pPr>
        <w:ind w:firstLine="480"/>
        <w:rPr>
          <w:highlight w:val="none"/>
        </w:rPr>
      </w:pPr>
      <w:r>
        <w:rPr>
          <w:rFonts w:hint="eastAsia"/>
          <w:highlight w:val="none"/>
        </w:rPr>
        <w:t>（</w:t>
      </w:r>
      <w:r>
        <w:rPr>
          <w:rFonts w:hint="eastAsia"/>
          <w:highlight w:val="none"/>
          <w:lang w:val="en-US" w:eastAsia="zh-CN"/>
        </w:rPr>
        <w:t>5</w:t>
      </w:r>
      <w:r>
        <w:rPr>
          <w:rFonts w:hint="eastAsia"/>
          <w:highlight w:val="none"/>
        </w:rPr>
        <w:t>）尊重、相信、依靠政府。要掌握当地政策规定，主动服从各级政府的指导，理解地方政府工作，坚持经常性的走访，建立良好的往来关系；遇事多同政府联系协商，相信和依靠政府帮助，协调解决矛盾；多提建议，多反映情况，促使政府部门、当地村委主动介入其中，针对难点解决问题，促其目标一致，才能顺利实现施工单位计划。</w:t>
      </w:r>
    </w:p>
    <w:p w14:paraId="3E5A3859">
      <w:pPr>
        <w:bidi w:val="0"/>
        <w:ind w:firstLine="480" w:firstLineChars="200"/>
        <w:rPr>
          <w:highlight w:val="none"/>
        </w:rPr>
      </w:pPr>
      <w:bookmarkStart w:id="473" w:name="_Toc502086837"/>
      <w:r>
        <w:rPr>
          <w:rFonts w:hint="eastAsia"/>
          <w:highlight w:val="none"/>
          <w:lang w:val="en-US" w:eastAsia="zh-CN"/>
        </w:rPr>
        <w:t>2、</w:t>
      </w:r>
      <w:r>
        <w:rPr>
          <w:rFonts w:hint="eastAsia"/>
          <w:highlight w:val="none"/>
        </w:rPr>
        <w:t>方便居民措施</w:t>
      </w:r>
      <w:bookmarkEnd w:id="473"/>
    </w:p>
    <w:p w14:paraId="55D92F8D">
      <w:pPr>
        <w:ind w:firstLine="480"/>
        <w:rPr>
          <w:highlight w:val="none"/>
        </w:rPr>
      </w:pPr>
      <w:r>
        <w:rPr>
          <w:rFonts w:hint="eastAsia"/>
          <w:highlight w:val="none"/>
        </w:rPr>
        <w:t>（1）安民宣传。施工前3至5天搞好安民宣传：公布工程性质、施工工期、安全措施，发放宣传材料，向周围的居民做好解释工作。</w:t>
      </w:r>
    </w:p>
    <w:p w14:paraId="25CAC5A2">
      <w:pPr>
        <w:ind w:firstLine="480"/>
        <w:rPr>
          <w:highlight w:val="none"/>
        </w:rPr>
      </w:pPr>
      <w:r>
        <w:rPr>
          <w:rFonts w:hint="eastAsia"/>
          <w:highlight w:val="none"/>
        </w:rPr>
        <w:t>（2）亮牌施工。进行施工位置要设宣传牌，公示本项目部工地负责人、开工竣工日期、联系电话等，方便群众有扰民现象便于联系。</w:t>
      </w:r>
    </w:p>
    <w:p w14:paraId="2EC2CCB3">
      <w:pPr>
        <w:ind w:firstLine="480"/>
        <w:rPr>
          <w:highlight w:val="none"/>
        </w:rPr>
      </w:pPr>
      <w:r>
        <w:rPr>
          <w:rFonts w:hint="eastAsia"/>
          <w:highlight w:val="none"/>
        </w:rPr>
        <w:t>（3）净场作业。工地渣土、淤泥随挖随运，现场用料随用随进，不得在施工现场搅拌灰土、水泥，以减少扬尘。</w:t>
      </w:r>
    </w:p>
    <w:p w14:paraId="061250AC">
      <w:pPr>
        <w:ind w:firstLine="480"/>
        <w:rPr>
          <w:highlight w:val="none"/>
        </w:rPr>
      </w:pPr>
      <w:r>
        <w:rPr>
          <w:rFonts w:hint="eastAsia"/>
          <w:highlight w:val="none"/>
        </w:rPr>
        <w:t>（</w:t>
      </w:r>
      <w:r>
        <w:rPr>
          <w:rFonts w:hint="eastAsia"/>
          <w:highlight w:val="none"/>
          <w:lang w:val="en-US" w:eastAsia="zh-CN"/>
        </w:rPr>
        <w:t>4</w:t>
      </w:r>
      <w:r>
        <w:rPr>
          <w:rFonts w:hint="eastAsia"/>
          <w:highlight w:val="none"/>
        </w:rPr>
        <w:t>）规范占用。施工现场临时占用及临时驻处设活动板房和简易卫生设施，现场堆放做到条块状物料成垛、粉屑状物料成方、机具整齐有序。</w:t>
      </w:r>
    </w:p>
    <w:p w14:paraId="2163FCD9">
      <w:pPr>
        <w:ind w:firstLine="480"/>
        <w:rPr>
          <w:highlight w:val="none"/>
        </w:rPr>
      </w:pPr>
      <w:r>
        <w:rPr>
          <w:rFonts w:hint="eastAsia"/>
          <w:highlight w:val="none"/>
        </w:rPr>
        <w:t>（</w:t>
      </w:r>
      <w:r>
        <w:rPr>
          <w:rFonts w:hint="eastAsia"/>
          <w:highlight w:val="none"/>
          <w:lang w:val="en-US" w:eastAsia="zh-CN"/>
        </w:rPr>
        <w:t>5</w:t>
      </w:r>
      <w:r>
        <w:rPr>
          <w:rFonts w:hint="eastAsia"/>
          <w:highlight w:val="none"/>
        </w:rPr>
        <w:t>）准时竣工。严格按审批时限完工，竣工后3天内清理完现场。</w:t>
      </w:r>
    </w:p>
    <w:p w14:paraId="5D6F92D1">
      <w:pPr>
        <w:ind w:firstLine="480"/>
        <w:rPr>
          <w:highlight w:val="none"/>
        </w:rPr>
      </w:pPr>
      <w:r>
        <w:rPr>
          <w:rFonts w:hint="eastAsia"/>
          <w:highlight w:val="none"/>
        </w:rPr>
        <w:t>（</w:t>
      </w:r>
      <w:r>
        <w:rPr>
          <w:rFonts w:hint="eastAsia"/>
          <w:highlight w:val="none"/>
          <w:lang w:val="en-US" w:eastAsia="zh-CN"/>
        </w:rPr>
        <w:t>6</w:t>
      </w:r>
      <w:r>
        <w:rPr>
          <w:rFonts w:hint="eastAsia"/>
          <w:highlight w:val="none"/>
        </w:rPr>
        <w:t>）当工程施工可能会对道路交通产生干扰时，在醒目位置设警告信号。</w:t>
      </w:r>
    </w:p>
    <w:p w14:paraId="742BF180">
      <w:pPr>
        <w:ind w:firstLine="480"/>
        <w:rPr>
          <w:highlight w:val="none"/>
        </w:rPr>
      </w:pPr>
      <w:r>
        <w:rPr>
          <w:rFonts w:hint="eastAsia"/>
          <w:highlight w:val="none"/>
        </w:rPr>
        <w:t>（</w:t>
      </w:r>
      <w:r>
        <w:rPr>
          <w:rFonts w:hint="eastAsia"/>
          <w:highlight w:val="none"/>
          <w:lang w:val="en-US" w:eastAsia="zh-CN"/>
        </w:rPr>
        <w:t>7</w:t>
      </w:r>
      <w:r>
        <w:rPr>
          <w:rFonts w:hint="eastAsia"/>
          <w:highlight w:val="none"/>
        </w:rPr>
        <w:t>）施工区域架设临时照明线路，照明灯具使用磨砂玻璃罩，沟槽基坑旁边设置警示标志，保证居民出行安全。</w:t>
      </w:r>
    </w:p>
    <w:p w14:paraId="370C509F">
      <w:pPr>
        <w:bidi w:val="0"/>
        <w:ind w:firstLine="480" w:firstLineChars="200"/>
        <w:rPr>
          <w:highlight w:val="none"/>
        </w:rPr>
      </w:pPr>
      <w:bookmarkStart w:id="474" w:name="_Toc502086838"/>
      <w:r>
        <w:rPr>
          <w:rFonts w:hint="eastAsia"/>
          <w:highlight w:val="none"/>
          <w:lang w:val="en-US" w:eastAsia="zh-CN"/>
        </w:rPr>
        <w:t>3、</w:t>
      </w:r>
      <w:r>
        <w:rPr>
          <w:rFonts w:hint="eastAsia"/>
          <w:highlight w:val="none"/>
        </w:rPr>
        <w:t>减少扰民措施</w:t>
      </w:r>
      <w:bookmarkEnd w:id="474"/>
    </w:p>
    <w:p w14:paraId="7874F353">
      <w:pPr>
        <w:ind w:firstLine="480"/>
        <w:rPr>
          <w:highlight w:val="none"/>
        </w:rPr>
      </w:pPr>
      <w:r>
        <w:rPr>
          <w:rFonts w:hint="eastAsia"/>
          <w:highlight w:val="none"/>
        </w:rPr>
        <w:t>（</w:t>
      </w:r>
      <w:r>
        <w:rPr>
          <w:highlight w:val="none"/>
        </w:rPr>
        <w:t>1</w:t>
      </w:r>
      <w:r>
        <w:rPr>
          <w:rFonts w:hint="eastAsia"/>
          <w:highlight w:val="none"/>
        </w:rPr>
        <w:t>）从声源上控制噪声是防止噪声扰民的最根本的措施。控制使用强噪声、强振动的施工机具，尽量采用低噪声的设备和工艺代替高噪声的设备和工艺，如低噪声振捣器、风机、电动空压机等。</w:t>
      </w:r>
    </w:p>
    <w:p w14:paraId="36D0510B">
      <w:pPr>
        <w:ind w:firstLine="480"/>
        <w:rPr>
          <w:highlight w:val="none"/>
        </w:rPr>
      </w:pPr>
      <w:r>
        <w:rPr>
          <w:rFonts w:hint="eastAsia"/>
          <w:highlight w:val="none"/>
        </w:rPr>
        <w:t>（2）严格控制人为噪声：进入施工现场不得高声喊叫、无故甩打模板、乱吹哨，最大限度地减少扰民噪音。</w:t>
      </w:r>
    </w:p>
    <w:p w14:paraId="2E13F040">
      <w:pPr>
        <w:ind w:firstLine="480"/>
        <w:rPr>
          <w:highlight w:val="none"/>
        </w:rPr>
      </w:pPr>
      <w:r>
        <w:rPr>
          <w:rFonts w:hint="eastAsia"/>
          <w:highlight w:val="none"/>
        </w:rPr>
        <w:t>（3）施工中尽可能避免晚10点到次日早6点之间施工，确系特殊情况必须昼夜施工时将尽量采取降低噪声措施，如确因工期或施工技术要求需要夜间施工的，会同建设单位办理有关许可手续，并告知周边单位、居民，求得群众谅解，并建立友好的睦邻关系。</w:t>
      </w:r>
    </w:p>
    <w:p w14:paraId="5BC56CD6">
      <w:pPr>
        <w:ind w:firstLine="480"/>
        <w:rPr>
          <w:highlight w:val="none"/>
        </w:rPr>
      </w:pPr>
      <w:r>
        <w:rPr>
          <w:rFonts w:hint="eastAsia"/>
          <w:highlight w:val="none"/>
        </w:rPr>
        <w:t>（4）施工作业中环保小组有专人负责对沿线进行保洁，运输车辆必须按规定的行驶路线运输作业，路过居民区时应慢速行驶，尽可能的避免震动和噪声，车辆上面要进行覆盖，保持清洁上路，符合不撒、不漏标准，轮胎要清扫冲洗干净。对沿线道路进行洒水，防止尘土飞扬造成对周围环境的污染。</w:t>
      </w:r>
    </w:p>
    <w:p w14:paraId="1A741A53">
      <w:pPr>
        <w:ind w:firstLine="480" w:firstLineChars="200"/>
        <w:rPr>
          <w:rFonts w:hint="eastAsia"/>
          <w:highlight w:val="none"/>
        </w:rPr>
      </w:pPr>
      <w:r>
        <w:rPr>
          <w:rFonts w:hint="eastAsia"/>
          <w:highlight w:val="none"/>
        </w:rPr>
        <w:t>（5）对发电机等机械要采取简易的防噪措施。机动车在工地行驶通过限速等措施避免产生灰尘，通过经常洒水减少扬尘。现场易生粉尘的细料存放及运输要加以遮盖。</w:t>
      </w:r>
    </w:p>
    <w:p w14:paraId="686F6011">
      <w:pPr>
        <w:pStyle w:val="4"/>
        <w:bidi w:val="0"/>
        <w:ind w:left="720" w:leftChars="0" w:hanging="720" w:firstLineChars="0"/>
        <w:rPr>
          <w:rFonts w:hint="eastAsia"/>
          <w:lang w:val="en-US" w:eastAsia="zh-CN"/>
        </w:rPr>
      </w:pPr>
      <w:r>
        <w:rPr>
          <w:rFonts w:hint="eastAsia"/>
          <w:lang w:val="en-US" w:eastAsia="zh-CN"/>
        </w:rPr>
        <w:t>7S管理</w:t>
      </w:r>
    </w:p>
    <w:p w14:paraId="7742943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开展“7S”管理活动进行项目质量、安全文明施工的有效控制，总结实践经验，提出创新思路，为项目质量、安全文明施工系统化、标准化的管理服务，提升企业形象与社会效益。</w:t>
      </w:r>
    </w:p>
    <w:p w14:paraId="6D9D0A8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7S管理要素的实施要求：</w:t>
      </w:r>
    </w:p>
    <w:p w14:paraId="4B0D93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整理</w:t>
      </w:r>
    </w:p>
    <w:p w14:paraId="587C65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整理规则：对施工现场摆放的物品、材料及机械进行分类，从而区分出使用等级。不常用的物品、材料及机械应及时清理出现场或划定区域临时放置。</w:t>
      </w:r>
    </w:p>
    <w:p w14:paraId="7691D3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整顿</w:t>
      </w:r>
    </w:p>
    <w:p w14:paraId="0005FDB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顿规则：将施工现场要保留下的物品、材料及机械按照“三定原则”进行科学合理的布置和摆放，并设置明确、有效的标识。（三定原则。定物：就是选择需要的物品、材料保留下来，而将大部分不需要的物品、材料转入库房或进行废弃处理。定位：根据物品、材料的使用频率和使用便利性，决定物品、材料所放置的场地。定量：确定保留在施工场地或其附近的物品、材料的数量。）</w:t>
      </w:r>
    </w:p>
    <w:p w14:paraId="2619D7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3、清扫</w:t>
      </w:r>
    </w:p>
    <w:p w14:paraId="6013767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清扫规则：对施工现场进行彻底的清扫，杜绝污染源，及时维修异常的设备将不需要的物品、材料清除掉，或者标识出来放在仓库中。每日清扫时间不少于5~15分钟，每2周至少安排一个清扫日，清扫1小时。</w:t>
      </w:r>
    </w:p>
    <w:p w14:paraId="1B3C8CF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4、清洁</w:t>
      </w:r>
    </w:p>
    <w:p w14:paraId="2CE01B4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清洁规则：在整理、整顿、清扫之后进行认真的维护，重复不间断地保持整理、整顿和清扫，使其制度化。</w:t>
      </w:r>
    </w:p>
    <w:p w14:paraId="0025622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5、安全</w:t>
      </w:r>
    </w:p>
    <w:p w14:paraId="43AD714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安全规则：将工作目标充分分解到各部门、各班组、各个人，加强施工组织设计、文明施工、定期安全检查、抽查、安全教育、生产安全施工应急预案的演练、严格落实红袖章三级管控制度和班前五分钟教育培训。</w:t>
      </w:r>
    </w:p>
    <w:p w14:paraId="7687A3D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6、节约</w:t>
      </w:r>
    </w:p>
    <w:p w14:paraId="74E8AB3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节约规则：提倡节能减排，绿色建筑，推广使用节能材料、设备设施与有利于节能的新工艺、新技术的应用。</w:t>
      </w:r>
    </w:p>
    <w:p w14:paraId="3DB55A4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7、素养</w:t>
      </w:r>
    </w:p>
    <w:p w14:paraId="22D2F7D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素养规则：通过持续开展以上6S的活动，让每个员工都自觉遵守现场文明施工相关管理要求，养成良好的工作习惯、安全意识和爱岗敬业的职业道德。</w:t>
      </w:r>
    </w:p>
    <w:p w14:paraId="29FA1711">
      <w:pPr>
        <w:rPr>
          <w:rFonts w:hint="eastAsia"/>
          <w:highlight w:val="none"/>
        </w:rPr>
      </w:pPr>
      <w:r>
        <w:rPr>
          <w:rFonts w:hint="eastAsia"/>
          <w:highlight w:val="none"/>
        </w:rPr>
        <w:br w:type="page"/>
      </w:r>
    </w:p>
    <w:p w14:paraId="2747FD9E">
      <w:pPr>
        <w:pStyle w:val="2"/>
        <w:bidi w:val="0"/>
        <w:ind w:left="432" w:leftChars="0" w:hanging="432" w:firstLineChars="0"/>
        <w:rPr>
          <w:rFonts w:hint="default" w:ascii="宋体" w:hAnsi="宋体" w:eastAsia="宋体" w:cs="Times New Roman"/>
          <w:lang w:val="en-US"/>
        </w:rPr>
      </w:pPr>
      <w:bookmarkStart w:id="475" w:name="_Toc19891"/>
      <w:bookmarkStart w:id="476" w:name="_Toc4800"/>
      <w:r>
        <w:rPr>
          <w:rFonts w:hint="eastAsia" w:ascii="宋体" w:hAnsi="宋体" w:eastAsia="宋体" w:cs="Times New Roman"/>
          <w:lang w:val="en-US" w:eastAsia="zh-CN"/>
        </w:rPr>
        <w:t>11相关附件</w:t>
      </w:r>
      <w:bookmarkEnd w:id="475"/>
      <w:bookmarkEnd w:id="476"/>
    </w:p>
    <w:p w14:paraId="4A42B81E">
      <w:pPr>
        <w:pStyle w:val="3"/>
        <w:numPr>
          <w:ilvl w:val="1"/>
          <w:numId w:val="0"/>
        </w:numPr>
        <w:bidi w:val="0"/>
        <w:ind w:leftChars="0"/>
        <w:rPr>
          <w:rFonts w:hint="default"/>
          <w:lang w:val="en-US" w:eastAsia="zh-CN"/>
        </w:rPr>
      </w:pPr>
      <w:bookmarkStart w:id="477" w:name="_Toc7495"/>
      <w:bookmarkStart w:id="478" w:name="_Toc21583"/>
      <w:bookmarkStart w:id="479" w:name="_Toc1594"/>
      <w:r>
        <w:rPr>
          <w:rFonts w:hint="eastAsia"/>
          <w:lang w:val="en-US" w:eastAsia="zh-CN"/>
        </w:rPr>
        <w:t>附件1：XGT7022-10S塔机立面图</w:t>
      </w:r>
      <w:bookmarkEnd w:id="477"/>
      <w:bookmarkEnd w:id="478"/>
      <w:bookmarkEnd w:id="479"/>
    </w:p>
    <w:p w14:paraId="75EAB625">
      <w:pPr>
        <w:keepNext w:val="0"/>
        <w:keepLines w:val="0"/>
        <w:widowControl/>
        <w:suppressLineNumbers w:val="0"/>
        <w:jc w:val="center"/>
      </w:pPr>
      <w:r>
        <w:drawing>
          <wp:inline distT="0" distB="0" distL="114300" distR="114300">
            <wp:extent cx="3348355" cy="3980180"/>
            <wp:effectExtent l="0" t="0" r="4445" b="127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1"/>
                    <a:stretch>
                      <a:fillRect/>
                    </a:stretch>
                  </pic:blipFill>
                  <pic:spPr>
                    <a:xfrm>
                      <a:off x="0" y="0"/>
                      <a:ext cx="3348355" cy="3980180"/>
                    </a:xfrm>
                    <a:prstGeom prst="rect">
                      <a:avLst/>
                    </a:prstGeom>
                    <a:noFill/>
                    <a:ln>
                      <a:noFill/>
                    </a:ln>
                  </pic:spPr>
                </pic:pic>
              </a:graphicData>
            </a:graphic>
          </wp:inline>
        </w:drawing>
      </w:r>
    </w:p>
    <w:p w14:paraId="10CCC1B1">
      <w:pPr>
        <w:pStyle w:val="15"/>
        <w:bidi w:val="0"/>
        <w:rPr>
          <w:rFonts w:hint="eastAsia"/>
          <w:highlight w:val="none"/>
          <w:lang w:val="en-US" w:eastAsia="zh-CN"/>
        </w:rPr>
      </w:pPr>
      <w:r>
        <w:t xml:space="preserve">图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塔式起重机立面布置示意图</w:t>
      </w:r>
    </w:p>
    <w:p w14:paraId="3D160343">
      <w:pPr>
        <w:pStyle w:val="15"/>
      </w:pPr>
    </w:p>
    <w:p w14:paraId="0AFDC0C0">
      <w:pPr>
        <w:rPr>
          <w:highlight w:val="none"/>
        </w:rPr>
      </w:pPr>
    </w:p>
    <w:p w14:paraId="09711EF7">
      <w:pPr>
        <w:jc w:val="center"/>
        <w:rPr>
          <w:rFonts w:hint="default" w:eastAsia="宋体"/>
          <w:highlight w:val="none"/>
          <w:lang w:val="en-US" w:eastAsia="zh-CN"/>
        </w:rPr>
      </w:pPr>
      <w:r>
        <w:rPr>
          <w:rFonts w:hint="eastAsia" w:ascii="Times New Roman"/>
          <w:highlight w:val="none"/>
          <w:lang w:val="en-US" w:eastAsia="zh-CN"/>
        </w:rPr>
        <w:t>新渡坪左幅7#</w:t>
      </w:r>
      <w:r>
        <w:rPr>
          <w:rFonts w:hint="eastAsia" w:ascii="Times New Roman" w:eastAsia="宋体"/>
          <w:highlight w:val="none"/>
          <w:lang w:val="en-US" w:eastAsia="zh-CN"/>
        </w:rPr>
        <w:t>塔机立面图</w:t>
      </w:r>
    </w:p>
    <w:p w14:paraId="62DFE800">
      <w:pPr>
        <w:rPr>
          <w:rFonts w:hint="eastAsia"/>
          <w:highlight w:val="none"/>
          <w:lang w:val="en-US" w:eastAsia="zh-CN"/>
        </w:rPr>
      </w:pPr>
    </w:p>
    <w:p w14:paraId="484E24DF">
      <w:pPr>
        <w:pStyle w:val="3"/>
        <w:numPr>
          <w:ilvl w:val="1"/>
          <w:numId w:val="0"/>
        </w:numPr>
        <w:bidi w:val="0"/>
        <w:ind w:leftChars="0"/>
        <w:rPr>
          <w:rFonts w:hint="default"/>
          <w:lang w:val="en-US" w:eastAsia="zh-CN"/>
        </w:rPr>
      </w:pPr>
      <w:bookmarkStart w:id="480" w:name="_Toc533"/>
      <w:bookmarkStart w:id="481" w:name="_Toc31404"/>
      <w:bookmarkStart w:id="482" w:name="_Toc24394"/>
      <w:r>
        <w:rPr>
          <w:rFonts w:hint="eastAsia"/>
          <w:lang w:val="en-US" w:eastAsia="zh-CN"/>
        </w:rPr>
        <w:t>附件2：XGT7022-10S型塔机平面布置示意图</w:t>
      </w:r>
      <w:bookmarkEnd w:id="480"/>
      <w:bookmarkEnd w:id="481"/>
      <w:bookmarkEnd w:id="482"/>
    </w:p>
    <w:p w14:paraId="1B1A39F0">
      <w:pPr>
        <w:ind w:left="0" w:leftChars="0" w:firstLine="0" w:firstLineChars="0"/>
        <w:jc w:val="center"/>
        <w:rPr>
          <w:highlight w:val="none"/>
        </w:rPr>
      </w:pPr>
      <w:r>
        <w:drawing>
          <wp:inline distT="0" distB="0" distL="114300" distR="114300">
            <wp:extent cx="4531995" cy="3937635"/>
            <wp:effectExtent l="0" t="0" r="1905" b="5715"/>
            <wp:docPr id="1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
                    <pic:cNvPicPr>
                      <a:picLocks noChangeAspect="1"/>
                    </pic:cNvPicPr>
                  </pic:nvPicPr>
                  <pic:blipFill>
                    <a:blip r:embed="rId12"/>
                    <a:stretch>
                      <a:fillRect/>
                    </a:stretch>
                  </pic:blipFill>
                  <pic:spPr>
                    <a:xfrm>
                      <a:off x="0" y="0"/>
                      <a:ext cx="4531995" cy="3937635"/>
                    </a:xfrm>
                    <a:prstGeom prst="rect">
                      <a:avLst/>
                    </a:prstGeom>
                    <a:noFill/>
                    <a:ln>
                      <a:noFill/>
                    </a:ln>
                  </pic:spPr>
                </pic:pic>
              </a:graphicData>
            </a:graphic>
          </wp:inline>
        </w:drawing>
      </w:r>
    </w:p>
    <w:p w14:paraId="705DD6D6">
      <w:pPr>
        <w:pStyle w:val="15"/>
        <w:bidi w:val="0"/>
        <w:rPr>
          <w:rFonts w:hint="eastAsia"/>
          <w:highlight w:val="none"/>
          <w:lang w:val="en-US" w:eastAsia="zh-CN"/>
        </w:rPr>
      </w:pPr>
      <w:r>
        <w:rPr>
          <w:rFonts w:hint="eastAsia"/>
          <w:highlight w:val="none"/>
          <w:lang w:val="en-US" w:eastAsia="zh-CN"/>
        </w:rPr>
        <w:t>新渡坪左幅7#塔机</w:t>
      </w:r>
      <w:r>
        <w:rPr>
          <w:rFonts w:hint="eastAsia"/>
          <w:b w:val="0"/>
          <w:bCs w:val="0"/>
          <w:i w:val="0"/>
          <w:iCs w:val="0"/>
          <w:highlight w:val="none"/>
          <w:lang w:val="en-US" w:eastAsia="zh-CN"/>
        </w:rPr>
        <w:t>施工平面布置示</w:t>
      </w:r>
      <w:r>
        <w:rPr>
          <w:rFonts w:hint="eastAsia"/>
          <w:highlight w:val="none"/>
          <w:lang w:val="en-US" w:eastAsia="zh-CN"/>
        </w:rPr>
        <w:t>意图</w:t>
      </w:r>
    </w:p>
    <w:p w14:paraId="075CF2F7">
      <w:pPr>
        <w:spacing w:line="360" w:lineRule="auto"/>
        <w:ind w:firstLine="480" w:firstLineChars="200"/>
        <w:rPr>
          <w:rFonts w:hint="eastAsia" w:eastAsia="宋体"/>
          <w:lang w:eastAsia="zh-CN"/>
        </w:rPr>
      </w:pPr>
      <w:bookmarkStart w:id="483" w:name="_Toc7530"/>
    </w:p>
    <w:bookmarkEnd w:id="483"/>
    <w:p w14:paraId="0540584F">
      <w:pPr>
        <w:bidi w:val="0"/>
        <w:rPr>
          <w:rFonts w:hint="eastAsia"/>
          <w:lang w:val="en-US" w:eastAsia="zh-CN"/>
        </w:rPr>
      </w:pPr>
    </w:p>
    <w:p w14:paraId="421EC6F9">
      <w:pPr>
        <w:bidi w:val="0"/>
        <w:rPr>
          <w:rFonts w:hint="eastAsia"/>
          <w:lang w:val="en-US" w:eastAsia="zh-CN"/>
        </w:rPr>
      </w:pPr>
    </w:p>
    <w:p w14:paraId="21FF632E">
      <w:pPr>
        <w:bidi w:val="0"/>
      </w:pPr>
    </w:p>
    <w:sectPr>
      <w:head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Impact">
    <w:panose1 w:val="020B0806030902050204"/>
    <w:charset w:val="00"/>
    <w:family w:val="swiss"/>
    <w:pitch w:val="default"/>
    <w:sig w:usb0="00000287" w:usb1="00000000" w:usb2="00000000" w:usb3="00000000" w:csb0="2000009F" w:csb1="DFD70000"/>
  </w:font>
  <w:font w:name="等线">
    <w:altName w:val="微软雅黑"/>
    <w:panose1 w:val="02010600030101010101"/>
    <w:charset w:val="86"/>
    <w:family w:val="auto"/>
    <w:pitch w:val="default"/>
    <w:sig w:usb0="00000000" w:usb1="00000000" w:usb2="00000016" w:usb3="00000000" w:csb0="0004000F" w:csb1="00000000"/>
  </w:font>
  <w:font w:name="Cambria Math">
    <w:panose1 w:val="02040503050406030204"/>
    <w:charset w:val="00"/>
    <w:family w:val="auto"/>
    <w:pitch w:val="default"/>
    <w:sig w:usb0="E00002FF" w:usb1="420024FF" w:usb2="00000000" w:usb3="00000000" w:csb0="2000019F" w:csb1="00000000"/>
  </w:font>
  <w:font w:name="SJQY">
    <w:altName w:val="Kingsoft UE"/>
    <w:panose1 w:val="02010600030101010101"/>
    <w:charset w:val="86"/>
    <w:family w:val="auto"/>
    <w:pitch w:val="default"/>
    <w:sig w:usb0="00000000" w:usb1="00000000" w:usb2="00000000" w:usb3="00000000" w:csb0="00040001" w:csb1="00000000"/>
  </w:font>
  <w:font w:name="Kingsoft UE">
    <w:panose1 w:val="02000100010000000000"/>
    <w:charset w:val="00"/>
    <w:family w:val="auto"/>
    <w:pitch w:val="default"/>
    <w:sig w:usb0="00000001" w:usb1="00004000" w:usb2="00000000" w:usb3="00000000" w:csb0="00000001" w:csb1="00000000"/>
  </w:font>
  <w:font w:name="仿宋_GB2312+3+5">
    <w:altName w:val="仿宋"/>
    <w:panose1 w:val="00000000000000000000"/>
    <w:charset w:val="86"/>
    <w:family w:val="auto"/>
    <w:pitch w:val="default"/>
    <w:sig w:usb0="00000000" w:usb1="00000000" w:usb2="00000010" w:usb3="00000000" w:csb0="00040000" w:csb1="00000000"/>
  </w:font>
  <w:font w:name="仿宋_GB2312+3+3">
    <w:altName w:val="黑体"/>
    <w:panose1 w:val="00000000000000000000"/>
    <w:charset w:val="86"/>
    <w:family w:val="auto"/>
    <w:pitch w:val="default"/>
    <w:sig w:usb0="00000000" w:usb1="00000000" w:usb2="00000010" w:usb3="00000000" w:csb0="00040000" w:csb1="00000000"/>
  </w:font>
  <w:font w:name="仿宋_GB2312+3+1">
    <w:altName w:val="黑体"/>
    <w:panose1 w:val="00000000000000000000"/>
    <w:charset w:val="86"/>
    <w:family w:val="auto"/>
    <w:pitch w:val="default"/>
    <w:sig w:usb0="00000000" w:usb1="00000000" w:usb2="00000010" w:usb3="00000000" w:csb0="00040000" w:csb1="00000000"/>
  </w:font>
  <w:font w:name="仿宋_GB2312+3+4">
    <w:altName w:val="黑体"/>
    <w:panose1 w:val="00000000000000000000"/>
    <w:charset w:val="86"/>
    <w:family w:val="auto"/>
    <w:pitch w:val="default"/>
    <w:sig w:usb0="00000000" w:usb1="00000000" w:usb2="00000010" w:usb3="00000000" w:csb0="00040000" w:csb1="00000000"/>
  </w:font>
  <w:font w:name="仿宋_GB2312+3+2">
    <w:altName w:val="黑体"/>
    <w:panose1 w:val="00000000000000000000"/>
    <w:charset w:val="86"/>
    <w:family w:val="auto"/>
    <w:pitch w:val="default"/>
    <w:sig w:usb0="00000000" w:usb1="00000000" w:usb2="00000010" w:usb3="00000000" w:csb0="00040000" w:csb1="00000000"/>
  </w:font>
  <w:font w:name="仿宋_GB2312+3+6">
    <w:altName w:val="仿宋"/>
    <w:panose1 w:val="00000000000000000000"/>
    <w:charset w:val="86"/>
    <w:family w:val="auto"/>
    <w:pitch w:val="default"/>
    <w:sig w:usb0="00000000" w:usb1="00000000" w:usb2="00000010" w:usb3="00000000" w:csb0="00040000" w:csb1="00000000"/>
  </w:font>
  <w:font w:name="仿宋_GB2312+3+7">
    <w:altName w:val="仿宋"/>
    <w:panose1 w:val="00000000000000000000"/>
    <w:charset w:val="86"/>
    <w:family w:val="auto"/>
    <w:pitch w:val="default"/>
    <w:sig w:usb0="00000000" w:usb1="00000000" w:usb2="00000010" w:usb3="00000000" w:csb0="00040000" w:csb1="00000000"/>
  </w:font>
  <w:font w:name="仿宋_GB2312+3+8">
    <w:altName w:val="仿宋"/>
    <w:panose1 w:val="00000000000000000000"/>
    <w:charset w:val="86"/>
    <w:family w:val="auto"/>
    <w:pitch w:val="default"/>
    <w:sig w:usb0="00000000" w:usb1="00000000" w:usb2="00000010" w:usb3="00000000" w:csb0="00040000" w:csb1="00000000"/>
  </w:font>
  <w:font w:name="仿宋_GB2312+3+9">
    <w:altName w:val="仿宋"/>
    <w:panose1 w:val="00000000000000000000"/>
    <w:charset w:val="86"/>
    <w:family w:val="auto"/>
    <w:pitch w:val="default"/>
    <w:sig w:usb0="00000000" w:usb1="00000000" w:usb2="00000010" w:usb3="00000000" w:csb0="00040000" w:csb1="00000000"/>
  </w:font>
  <w:font w:name="仿宋_GB2312+3+10">
    <w:altName w:val="仿宋"/>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ID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89F73">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CECC2">
                          <w:pPr>
                            <w:pStyle w:val="2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UHo8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tUHo8tAgAAVwQAAA4AAAAAAAAAAQAgAAAAHwEAAGRycy9lMm9Eb2MueG1sUEsFBgAAAAAG&#10;AAYAWQEAAL4FAAAAAA==&#10;">
              <v:fill on="f" focussize="0,0"/>
              <v:stroke on="f" weight="0.5pt"/>
              <v:imagedata o:title=""/>
              <o:lock v:ext="edit" aspectratio="f"/>
              <v:textbox inset="0mm,0mm,0mm,0mm" style="mso-fit-shape-to-text:t;">
                <w:txbxContent>
                  <w:p w14:paraId="3D1CECC2">
                    <w:pPr>
                      <w:pStyle w:val="2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6CA59">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w:t>
    </w:r>
    <w:r>
      <w:rPr>
        <w:rFonts w:hint="eastAsia" w:ascii="楷体" w:hAnsi="楷体" w:eastAsia="楷体" w:cs="楷体"/>
        <w:b/>
        <w:color w:val="0070C0"/>
        <w:sz w:val="20"/>
        <w:szCs w:val="20"/>
        <w:lang w:val="en-US" w:eastAsia="zh-CN"/>
      </w:rPr>
      <w:t>安装</w:t>
    </w:r>
    <w:r>
      <w:rPr>
        <w:rFonts w:hint="eastAsia" w:ascii="楷体" w:hAnsi="楷体" w:eastAsia="楷体" w:cs="楷体"/>
        <w:b/>
        <w:color w:val="0070C0"/>
        <w:sz w:val="20"/>
        <w:szCs w:val="20"/>
      </w:rPr>
      <w:t>专项施工方案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0183A">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塔式起重机安拆专项施工方案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D8651">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塔式起重机安拆专项施工方案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D585AB"/>
    <w:multiLevelType w:val="singleLevel"/>
    <w:tmpl w:val="84D585AB"/>
    <w:lvl w:ilvl="0" w:tentative="0">
      <w:start w:val="1"/>
      <w:numFmt w:val="decimal"/>
      <w:pStyle w:val="133"/>
      <w:suff w:val="nothing"/>
      <w:lvlText w:val="%1"/>
      <w:lvlJc w:val="left"/>
      <w:pPr>
        <w:tabs>
          <w:tab w:val="left" w:pos="0"/>
        </w:tabs>
        <w:ind w:left="0" w:firstLine="0"/>
      </w:pPr>
      <w:rPr>
        <w:rFonts w:hint="default"/>
      </w:rPr>
    </w:lvl>
  </w:abstractNum>
  <w:abstractNum w:abstractNumId="1">
    <w:nsid w:val="87433435"/>
    <w:multiLevelType w:val="multilevel"/>
    <w:tmpl w:val="87433435"/>
    <w:lvl w:ilvl="0" w:tentative="0">
      <w:start w:val="1"/>
      <w:numFmt w:val="decimal"/>
      <w:suff w:val="space"/>
      <w:lvlText w:val="%1)"/>
      <w:lvlJc w:val="left"/>
      <w:pPr>
        <w:ind w:left="900" w:hanging="420"/>
      </w:pPr>
      <w:rPr>
        <w:rFonts w:hint="default"/>
        <w:highlight w:val="no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99786C19"/>
    <w:multiLevelType w:val="multilevel"/>
    <w:tmpl w:val="99786C19"/>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suff w:val="nothing"/>
      <w:lvlText w:val="%1.%2.%3."/>
      <w:lvlJc w:val="left"/>
      <w:pPr>
        <w:ind w:left="720" w:hanging="720"/>
      </w:pPr>
      <w:rPr>
        <w:rFonts w:hint="default"/>
      </w:rPr>
    </w:lvl>
    <w:lvl w:ilvl="3" w:tentative="0">
      <w:start w:val="1"/>
      <w:numFmt w:val="decimal"/>
      <w:pStyle w:val="5"/>
      <w:suff w:val="nothing"/>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3">
    <w:nsid w:val="26967546"/>
    <w:multiLevelType w:val="singleLevel"/>
    <w:tmpl w:val="26967546"/>
    <w:lvl w:ilvl="0" w:tentative="0">
      <w:start w:val="1"/>
      <w:numFmt w:val="decimal"/>
      <w:suff w:val="nothing"/>
      <w:lvlText w:val="（%1）"/>
      <w:lvlJc w:val="left"/>
    </w:lvl>
  </w:abstractNum>
  <w:abstractNum w:abstractNumId="4">
    <w:nsid w:val="5058FDE0"/>
    <w:multiLevelType w:val="multilevel"/>
    <w:tmpl w:val="5058FDE0"/>
    <w:lvl w:ilvl="0" w:tentative="0">
      <w:start w:val="1"/>
      <w:numFmt w:val="decimal"/>
      <w:suff w:val="nothing"/>
      <w:lvlText w:val="%1  "/>
      <w:lvlJc w:val="left"/>
      <w:pPr>
        <w:tabs>
          <w:tab w:val="left" w:pos="420"/>
        </w:tabs>
        <w:ind w:left="0" w:firstLine="0"/>
      </w:pPr>
      <w:rPr>
        <w:rFonts w:hint="default" w:ascii="宋体" w:hAnsi="宋体" w:eastAsia="宋体" w:cs="宋体"/>
        <w:b/>
        <w:bCs/>
        <w:snapToGrid w:val="0"/>
        <w:sz w:val="28"/>
        <w:szCs w:val="28"/>
      </w:rPr>
    </w:lvl>
    <w:lvl w:ilvl="1" w:tentative="0">
      <w:start w:val="1"/>
      <w:numFmt w:val="decimal"/>
      <w:suff w:val="space"/>
      <w:lvlText w:val="%1.%2"/>
      <w:lvlJc w:val="left"/>
      <w:pPr>
        <w:tabs>
          <w:tab w:val="left" w:pos="420"/>
        </w:tabs>
        <w:ind w:left="0" w:firstLine="0"/>
      </w:pPr>
      <w:rPr>
        <w:rFonts w:hint="default" w:ascii="宋体" w:hAnsi="宋体" w:eastAsia="宋体" w:cs="宋体"/>
        <w:b/>
        <w:bCs/>
        <w:snapToGrid w:val="0"/>
        <w:sz w:val="28"/>
        <w:szCs w:val="28"/>
      </w:rPr>
    </w:lvl>
    <w:lvl w:ilvl="2" w:tentative="0">
      <w:start w:val="1"/>
      <w:numFmt w:val="decimal"/>
      <w:suff w:val="space"/>
      <w:lvlText w:val="%1.%2.%3"/>
      <w:lvlJc w:val="left"/>
      <w:pPr>
        <w:tabs>
          <w:tab w:val="left" w:pos="0"/>
        </w:tabs>
        <w:ind w:left="0" w:firstLine="510"/>
      </w:pPr>
      <w:rPr>
        <w:rFonts w:hint="default" w:ascii="黑体" w:hAnsi="黑体" w:eastAsia="黑体" w:cs="黑体"/>
        <w:b/>
        <w:bCs/>
        <w:snapToGrid w:val="0"/>
        <w:sz w:val="24"/>
        <w:szCs w:val="24"/>
      </w:rPr>
    </w:lvl>
    <w:lvl w:ilvl="3" w:tentative="0">
      <w:start w:val="1"/>
      <w:numFmt w:val="decimal"/>
      <w:suff w:val="space"/>
      <w:lvlText w:val="%1.%2.%3.%4"/>
      <w:lvlJc w:val="left"/>
      <w:pPr>
        <w:tabs>
          <w:tab w:val="left" w:pos="0"/>
        </w:tabs>
        <w:ind w:left="0" w:firstLine="510"/>
      </w:pPr>
      <w:rPr>
        <w:rFonts w:hint="default" w:ascii="黑体" w:hAnsi="黑体" w:eastAsia="黑体" w:cs="黑体"/>
        <w:b/>
        <w:bCs/>
        <w:snapToGrid w:val="0"/>
        <w:sz w:val="24"/>
        <w:szCs w:val="24"/>
      </w:rPr>
    </w:lvl>
    <w:lvl w:ilvl="4" w:tentative="0">
      <w:start w:val="1"/>
      <w:numFmt w:val="decimal"/>
      <w:pStyle w:val="130"/>
      <w:suff w:val="space"/>
      <w:lvlText w:val="(%5)"/>
      <w:lvlJc w:val="left"/>
      <w:pPr>
        <w:tabs>
          <w:tab w:val="left" w:pos="420"/>
        </w:tabs>
        <w:ind w:left="0" w:firstLine="510"/>
      </w:pPr>
      <w:rPr>
        <w:rFonts w:hint="default" w:ascii="宋体" w:hAnsi="宋体" w:eastAsia="宋体" w:cs="宋体"/>
      </w:rPr>
    </w:lvl>
    <w:lvl w:ilvl="5" w:tentative="0">
      <w:start w:val="1"/>
      <w:numFmt w:val="decimal"/>
      <w:pStyle w:val="134"/>
      <w:suff w:val="space"/>
      <w:lvlText w:val="%6)"/>
      <w:lvlJc w:val="left"/>
      <w:pPr>
        <w:tabs>
          <w:tab w:val="left" w:pos="420"/>
        </w:tabs>
        <w:ind w:left="0" w:firstLine="624"/>
      </w:pPr>
      <w:rPr>
        <w:rFonts w:hint="default" w:ascii="宋体" w:hAnsi="宋体" w:eastAsia="宋体" w:cs="宋体"/>
      </w:rPr>
    </w:lvl>
    <w:lvl w:ilvl="6" w:tentative="0">
      <w:start w:val="1"/>
      <w:numFmt w:val="lowerLetter"/>
      <w:suff w:val="space"/>
      <w:lvlText w:val="%7."/>
      <w:lvlJc w:val="left"/>
      <w:pPr>
        <w:tabs>
          <w:tab w:val="left" w:pos="420"/>
        </w:tabs>
        <w:ind w:left="0" w:firstLine="624"/>
      </w:pPr>
      <w:rPr>
        <w:rFonts w:hint="default" w:ascii="宋体" w:hAnsi="宋体" w:eastAsia="宋体" w:cs="宋体"/>
      </w:rPr>
    </w:lvl>
    <w:lvl w:ilvl="7" w:tentative="0">
      <w:start w:val="1"/>
      <w:numFmt w:val="decimal"/>
      <w:lvlRestart w:val="2"/>
      <w:pStyle w:val="131"/>
      <w:suff w:val="space"/>
      <w:lvlText w:val="表%1.%2-%8"/>
      <w:lvlJc w:val="left"/>
      <w:pPr>
        <w:tabs>
          <w:tab w:val="left" w:pos="0"/>
        </w:tabs>
        <w:ind w:left="0" w:firstLine="0"/>
      </w:pPr>
      <w:rPr>
        <w:rFonts w:hint="default" w:ascii="宋体" w:hAnsi="宋体" w:eastAsia="宋体" w:cs="宋体"/>
      </w:rPr>
    </w:lvl>
    <w:lvl w:ilvl="8" w:tentative="0">
      <w:start w:val="1"/>
      <w:numFmt w:val="decimal"/>
      <w:lvlRestart w:val="2"/>
      <w:pStyle w:val="129"/>
      <w:suff w:val="space"/>
      <w:lvlText w:val="图%1.%2-%9"/>
      <w:lvlJc w:val="left"/>
      <w:pPr>
        <w:tabs>
          <w:tab w:val="left" w:pos="420"/>
        </w:tabs>
        <w:ind w:left="0" w:firstLine="0"/>
      </w:pPr>
      <w:rPr>
        <w:rFonts w:hint="default" w:ascii="宋体" w:hAnsi="宋体" w:eastAsia="宋体" w:cs="宋体"/>
      </w:rPr>
    </w:lvl>
  </w:abstractNum>
  <w:abstractNum w:abstractNumId="5">
    <w:nsid w:val="53BC97FD"/>
    <w:multiLevelType w:val="multilevel"/>
    <w:tmpl w:val="53BC97FD"/>
    <w:lvl w:ilvl="0" w:tentative="0">
      <w:start w:val="1"/>
      <w:numFmt w:val="decimal"/>
      <w:suff w:val="space"/>
      <w:lvlText w:val="%1)"/>
      <w:lvlJc w:val="left"/>
      <w:pPr>
        <w:ind w:left="900" w:hanging="420"/>
      </w:pPr>
      <w:rPr>
        <w:rFonts w:hint="default"/>
        <w:highlight w:val="no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5B07CCF4"/>
    <w:multiLevelType w:val="singleLevel"/>
    <w:tmpl w:val="5B07CCF4"/>
    <w:lvl w:ilvl="0" w:tentative="0">
      <w:start w:val="1"/>
      <w:numFmt w:val="bullet"/>
      <w:pStyle w:val="122"/>
      <w:suff w:val="space"/>
      <w:lvlText w:val=""/>
      <w:lvlJc w:val="left"/>
      <w:pPr>
        <w:tabs>
          <w:tab w:val="left" w:pos="420"/>
        </w:tabs>
        <w:ind w:left="0" w:firstLine="624"/>
      </w:pPr>
      <w:rPr>
        <w:rFonts w:hint="default" w:ascii="Wingdings" w:hAnsi="Wingdings"/>
      </w:rPr>
    </w:lvl>
  </w:abstractNum>
  <w:abstractNum w:abstractNumId="7">
    <w:nsid w:val="6D6A43CE"/>
    <w:multiLevelType w:val="multilevel"/>
    <w:tmpl w:val="6D6A43CE"/>
    <w:lvl w:ilvl="0" w:tentative="0">
      <w:start w:val="1"/>
      <w:numFmt w:val="decimal"/>
      <w:suff w:val="space"/>
      <w:lvlText w:val="%1)"/>
      <w:lvlJc w:val="left"/>
      <w:pPr>
        <w:ind w:left="900" w:hanging="420"/>
      </w:pPr>
      <w:rPr>
        <w:rFonts w:hint="default"/>
        <w:highlight w:val="no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6"/>
  </w:num>
  <w:num w:numId="3">
    <w:abstractNumId w:val="4"/>
  </w:num>
  <w:num w:numId="4">
    <w:abstractNumId w:val="0"/>
  </w:num>
  <w:num w:numId="5">
    <w:abstractNumId w:val="7"/>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yODBjZDhlODI0MzFhY2U1ODg0YzczNWIwYmZmODEifQ=="/>
  </w:docVars>
  <w:rsids>
    <w:rsidRoot w:val="00172A27"/>
    <w:rsid w:val="000204F5"/>
    <w:rsid w:val="00023163"/>
    <w:rsid w:val="0003622A"/>
    <w:rsid w:val="000661A1"/>
    <w:rsid w:val="000733D0"/>
    <w:rsid w:val="000B39B3"/>
    <w:rsid w:val="000B6D8F"/>
    <w:rsid w:val="000E26E9"/>
    <w:rsid w:val="000F5900"/>
    <w:rsid w:val="001417A0"/>
    <w:rsid w:val="001608B1"/>
    <w:rsid w:val="00170FF5"/>
    <w:rsid w:val="00172A27"/>
    <w:rsid w:val="00172CC3"/>
    <w:rsid w:val="001803E1"/>
    <w:rsid w:val="00186D1D"/>
    <w:rsid w:val="001939BB"/>
    <w:rsid w:val="001E4B29"/>
    <w:rsid w:val="0020140C"/>
    <w:rsid w:val="002214F9"/>
    <w:rsid w:val="0024322A"/>
    <w:rsid w:val="00275A63"/>
    <w:rsid w:val="00313360"/>
    <w:rsid w:val="00323EFD"/>
    <w:rsid w:val="0038215B"/>
    <w:rsid w:val="003903DF"/>
    <w:rsid w:val="003B61A1"/>
    <w:rsid w:val="003B79CC"/>
    <w:rsid w:val="004020E2"/>
    <w:rsid w:val="00404207"/>
    <w:rsid w:val="00410AEE"/>
    <w:rsid w:val="0043254E"/>
    <w:rsid w:val="004443E9"/>
    <w:rsid w:val="00445A5B"/>
    <w:rsid w:val="00450340"/>
    <w:rsid w:val="00461C08"/>
    <w:rsid w:val="0046415C"/>
    <w:rsid w:val="004A0AD0"/>
    <w:rsid w:val="004B117A"/>
    <w:rsid w:val="004B716D"/>
    <w:rsid w:val="004C1F38"/>
    <w:rsid w:val="004E2E4C"/>
    <w:rsid w:val="004F47B4"/>
    <w:rsid w:val="004F6F31"/>
    <w:rsid w:val="005223C0"/>
    <w:rsid w:val="005459F4"/>
    <w:rsid w:val="00590694"/>
    <w:rsid w:val="005A7F3B"/>
    <w:rsid w:val="005B0183"/>
    <w:rsid w:val="005D5E9A"/>
    <w:rsid w:val="005F7EEB"/>
    <w:rsid w:val="006045FC"/>
    <w:rsid w:val="006368D5"/>
    <w:rsid w:val="00637396"/>
    <w:rsid w:val="00656511"/>
    <w:rsid w:val="00656BEB"/>
    <w:rsid w:val="00674771"/>
    <w:rsid w:val="00674C10"/>
    <w:rsid w:val="006851A4"/>
    <w:rsid w:val="006B7F23"/>
    <w:rsid w:val="006D03F7"/>
    <w:rsid w:val="006F78A2"/>
    <w:rsid w:val="00746F79"/>
    <w:rsid w:val="00756415"/>
    <w:rsid w:val="00766C8B"/>
    <w:rsid w:val="007737A4"/>
    <w:rsid w:val="0077660E"/>
    <w:rsid w:val="007964D0"/>
    <w:rsid w:val="007A60E7"/>
    <w:rsid w:val="007B7991"/>
    <w:rsid w:val="007C46C8"/>
    <w:rsid w:val="007C717F"/>
    <w:rsid w:val="007E1255"/>
    <w:rsid w:val="007F79AA"/>
    <w:rsid w:val="0087346B"/>
    <w:rsid w:val="0087459F"/>
    <w:rsid w:val="008D4492"/>
    <w:rsid w:val="00952C1C"/>
    <w:rsid w:val="009553D2"/>
    <w:rsid w:val="009908D7"/>
    <w:rsid w:val="00A153D2"/>
    <w:rsid w:val="00A23DEF"/>
    <w:rsid w:val="00A26772"/>
    <w:rsid w:val="00A37F53"/>
    <w:rsid w:val="00A40BAE"/>
    <w:rsid w:val="00A90905"/>
    <w:rsid w:val="00A94B06"/>
    <w:rsid w:val="00AE1473"/>
    <w:rsid w:val="00B15233"/>
    <w:rsid w:val="00B17ECA"/>
    <w:rsid w:val="00B5125F"/>
    <w:rsid w:val="00B5494B"/>
    <w:rsid w:val="00B66E85"/>
    <w:rsid w:val="00B94366"/>
    <w:rsid w:val="00B95A89"/>
    <w:rsid w:val="00BB61F6"/>
    <w:rsid w:val="00BC1CE2"/>
    <w:rsid w:val="00BC1E42"/>
    <w:rsid w:val="00BC4ECA"/>
    <w:rsid w:val="00BD4BEC"/>
    <w:rsid w:val="00BE129C"/>
    <w:rsid w:val="00BE1412"/>
    <w:rsid w:val="00C00BCA"/>
    <w:rsid w:val="00C445AA"/>
    <w:rsid w:val="00C63D1B"/>
    <w:rsid w:val="00C944E7"/>
    <w:rsid w:val="00CA47C6"/>
    <w:rsid w:val="00CD7D32"/>
    <w:rsid w:val="00D1510E"/>
    <w:rsid w:val="00D25EE5"/>
    <w:rsid w:val="00D33D7C"/>
    <w:rsid w:val="00D36976"/>
    <w:rsid w:val="00D70680"/>
    <w:rsid w:val="00D752C7"/>
    <w:rsid w:val="00D758BF"/>
    <w:rsid w:val="00DA23F4"/>
    <w:rsid w:val="00DA4AFA"/>
    <w:rsid w:val="00DB70FA"/>
    <w:rsid w:val="00DC79AC"/>
    <w:rsid w:val="00DD536D"/>
    <w:rsid w:val="00DE2A80"/>
    <w:rsid w:val="00DE4569"/>
    <w:rsid w:val="00DF1758"/>
    <w:rsid w:val="00E00D9C"/>
    <w:rsid w:val="00E25DBF"/>
    <w:rsid w:val="00E3327E"/>
    <w:rsid w:val="00E63775"/>
    <w:rsid w:val="00E63F0C"/>
    <w:rsid w:val="00E6431F"/>
    <w:rsid w:val="00E722B0"/>
    <w:rsid w:val="00EB5417"/>
    <w:rsid w:val="00ED05F6"/>
    <w:rsid w:val="00ED27E5"/>
    <w:rsid w:val="00ED4E34"/>
    <w:rsid w:val="00F00EC2"/>
    <w:rsid w:val="00F033ED"/>
    <w:rsid w:val="00F06D70"/>
    <w:rsid w:val="00F16523"/>
    <w:rsid w:val="00F302F3"/>
    <w:rsid w:val="00F40598"/>
    <w:rsid w:val="00F4725B"/>
    <w:rsid w:val="00F6587F"/>
    <w:rsid w:val="00F77FED"/>
    <w:rsid w:val="00F87ECD"/>
    <w:rsid w:val="00FA08C0"/>
    <w:rsid w:val="00FD26A4"/>
    <w:rsid w:val="021A3CBD"/>
    <w:rsid w:val="023216F2"/>
    <w:rsid w:val="02405F94"/>
    <w:rsid w:val="028C6A68"/>
    <w:rsid w:val="03031491"/>
    <w:rsid w:val="0333764D"/>
    <w:rsid w:val="03F15ED4"/>
    <w:rsid w:val="041A2AEF"/>
    <w:rsid w:val="047C4BE6"/>
    <w:rsid w:val="0486237A"/>
    <w:rsid w:val="04C32148"/>
    <w:rsid w:val="05774CAC"/>
    <w:rsid w:val="058B4971"/>
    <w:rsid w:val="05A72447"/>
    <w:rsid w:val="05B3487C"/>
    <w:rsid w:val="05E66441"/>
    <w:rsid w:val="06002DDC"/>
    <w:rsid w:val="06323AB9"/>
    <w:rsid w:val="078B7694"/>
    <w:rsid w:val="078E37F4"/>
    <w:rsid w:val="07A169A4"/>
    <w:rsid w:val="07B80ABA"/>
    <w:rsid w:val="07DD4780"/>
    <w:rsid w:val="07FC2953"/>
    <w:rsid w:val="08263C5B"/>
    <w:rsid w:val="088A6B37"/>
    <w:rsid w:val="08B91299"/>
    <w:rsid w:val="08E46A38"/>
    <w:rsid w:val="08E75619"/>
    <w:rsid w:val="096940A3"/>
    <w:rsid w:val="0AC46982"/>
    <w:rsid w:val="0BC75A7E"/>
    <w:rsid w:val="0BE01A5F"/>
    <w:rsid w:val="0BE8391A"/>
    <w:rsid w:val="0C4F0DDA"/>
    <w:rsid w:val="0C7D6E89"/>
    <w:rsid w:val="0CBF197A"/>
    <w:rsid w:val="0CFE6E17"/>
    <w:rsid w:val="0D0F01CD"/>
    <w:rsid w:val="0D450B46"/>
    <w:rsid w:val="0D702283"/>
    <w:rsid w:val="0D716C02"/>
    <w:rsid w:val="0D880067"/>
    <w:rsid w:val="0D8D1B4B"/>
    <w:rsid w:val="0E010CC3"/>
    <w:rsid w:val="0E4E52A8"/>
    <w:rsid w:val="0E62049E"/>
    <w:rsid w:val="0EE075E5"/>
    <w:rsid w:val="0F1467D4"/>
    <w:rsid w:val="0F9A7A42"/>
    <w:rsid w:val="1016277B"/>
    <w:rsid w:val="10AA5667"/>
    <w:rsid w:val="11311F25"/>
    <w:rsid w:val="11A22912"/>
    <w:rsid w:val="11A41D91"/>
    <w:rsid w:val="11A910BA"/>
    <w:rsid w:val="11C06C72"/>
    <w:rsid w:val="12BA538F"/>
    <w:rsid w:val="12D66B6A"/>
    <w:rsid w:val="13343215"/>
    <w:rsid w:val="136458B7"/>
    <w:rsid w:val="1372646B"/>
    <w:rsid w:val="13E30B4C"/>
    <w:rsid w:val="145036C4"/>
    <w:rsid w:val="14BC76F2"/>
    <w:rsid w:val="14DB5AA6"/>
    <w:rsid w:val="14DE0AFB"/>
    <w:rsid w:val="14F56550"/>
    <w:rsid w:val="15C42E81"/>
    <w:rsid w:val="16806CA1"/>
    <w:rsid w:val="16917B1C"/>
    <w:rsid w:val="16A9014A"/>
    <w:rsid w:val="16BF152A"/>
    <w:rsid w:val="16F4799C"/>
    <w:rsid w:val="171514DA"/>
    <w:rsid w:val="171F5781"/>
    <w:rsid w:val="176747AF"/>
    <w:rsid w:val="17AA6F27"/>
    <w:rsid w:val="17DF27C3"/>
    <w:rsid w:val="17E07B9B"/>
    <w:rsid w:val="18144709"/>
    <w:rsid w:val="18CB4563"/>
    <w:rsid w:val="18D44D2A"/>
    <w:rsid w:val="18FF7F74"/>
    <w:rsid w:val="190D610B"/>
    <w:rsid w:val="191E7BBA"/>
    <w:rsid w:val="19222E21"/>
    <w:rsid w:val="19405608"/>
    <w:rsid w:val="197952B3"/>
    <w:rsid w:val="19801694"/>
    <w:rsid w:val="198D0089"/>
    <w:rsid w:val="19A44E9B"/>
    <w:rsid w:val="19A76092"/>
    <w:rsid w:val="1AA45E9E"/>
    <w:rsid w:val="1BA13662"/>
    <w:rsid w:val="1C520F6B"/>
    <w:rsid w:val="1CA1608E"/>
    <w:rsid w:val="1CD756BC"/>
    <w:rsid w:val="1CFC4D2A"/>
    <w:rsid w:val="1D0E36EF"/>
    <w:rsid w:val="1D113D6F"/>
    <w:rsid w:val="1D6F11B3"/>
    <w:rsid w:val="1D8E4DA9"/>
    <w:rsid w:val="1DD575F2"/>
    <w:rsid w:val="1E1E0A3E"/>
    <w:rsid w:val="1E6A3CB5"/>
    <w:rsid w:val="1ED02A09"/>
    <w:rsid w:val="200D42B2"/>
    <w:rsid w:val="203F7B19"/>
    <w:rsid w:val="20895274"/>
    <w:rsid w:val="210070C5"/>
    <w:rsid w:val="21C428EF"/>
    <w:rsid w:val="22813975"/>
    <w:rsid w:val="22870996"/>
    <w:rsid w:val="22965A26"/>
    <w:rsid w:val="22980D40"/>
    <w:rsid w:val="22BA2054"/>
    <w:rsid w:val="22C67E74"/>
    <w:rsid w:val="234B7AE2"/>
    <w:rsid w:val="235B6F09"/>
    <w:rsid w:val="241C6ECF"/>
    <w:rsid w:val="242C0807"/>
    <w:rsid w:val="24920B19"/>
    <w:rsid w:val="24ED3960"/>
    <w:rsid w:val="25C5597D"/>
    <w:rsid w:val="25DE7B87"/>
    <w:rsid w:val="2617492B"/>
    <w:rsid w:val="26C53EFB"/>
    <w:rsid w:val="272324FB"/>
    <w:rsid w:val="27386D9D"/>
    <w:rsid w:val="27492919"/>
    <w:rsid w:val="27642A71"/>
    <w:rsid w:val="27D01FA7"/>
    <w:rsid w:val="2831332B"/>
    <w:rsid w:val="2840722C"/>
    <w:rsid w:val="289B1551"/>
    <w:rsid w:val="28BA140C"/>
    <w:rsid w:val="28D87B84"/>
    <w:rsid w:val="29422684"/>
    <w:rsid w:val="297168A5"/>
    <w:rsid w:val="29A33021"/>
    <w:rsid w:val="2A3F3258"/>
    <w:rsid w:val="2A754FB7"/>
    <w:rsid w:val="2ABB53C3"/>
    <w:rsid w:val="2AC63C23"/>
    <w:rsid w:val="2B1D7825"/>
    <w:rsid w:val="2B3E411C"/>
    <w:rsid w:val="2B40408C"/>
    <w:rsid w:val="2B6C2204"/>
    <w:rsid w:val="2BBD2BC9"/>
    <w:rsid w:val="2BCE31D3"/>
    <w:rsid w:val="2BEE0681"/>
    <w:rsid w:val="2BF34B33"/>
    <w:rsid w:val="2C1D1F8F"/>
    <w:rsid w:val="2C2C0D9D"/>
    <w:rsid w:val="2C9B4519"/>
    <w:rsid w:val="2CCC0255"/>
    <w:rsid w:val="2D194B04"/>
    <w:rsid w:val="2D265BF9"/>
    <w:rsid w:val="2D8F2D8C"/>
    <w:rsid w:val="2D914BB9"/>
    <w:rsid w:val="2D9F1D37"/>
    <w:rsid w:val="2DF42754"/>
    <w:rsid w:val="2E265B06"/>
    <w:rsid w:val="2EC56D57"/>
    <w:rsid w:val="2F525233"/>
    <w:rsid w:val="2FC81695"/>
    <w:rsid w:val="30532999"/>
    <w:rsid w:val="306D1AAC"/>
    <w:rsid w:val="30B46B24"/>
    <w:rsid w:val="30F51354"/>
    <w:rsid w:val="311D75A8"/>
    <w:rsid w:val="31606D41"/>
    <w:rsid w:val="31A510A0"/>
    <w:rsid w:val="31A6792F"/>
    <w:rsid w:val="31F255AF"/>
    <w:rsid w:val="339073AE"/>
    <w:rsid w:val="33B06364"/>
    <w:rsid w:val="34697184"/>
    <w:rsid w:val="34AE751F"/>
    <w:rsid w:val="35725E7F"/>
    <w:rsid w:val="35AA17FB"/>
    <w:rsid w:val="36591D72"/>
    <w:rsid w:val="36B1156E"/>
    <w:rsid w:val="370F4595"/>
    <w:rsid w:val="373B04F2"/>
    <w:rsid w:val="378064F0"/>
    <w:rsid w:val="37863768"/>
    <w:rsid w:val="37D43BD6"/>
    <w:rsid w:val="37EE37E7"/>
    <w:rsid w:val="383B22E8"/>
    <w:rsid w:val="38F058B8"/>
    <w:rsid w:val="38F82B3F"/>
    <w:rsid w:val="39807EED"/>
    <w:rsid w:val="39861813"/>
    <w:rsid w:val="398E7091"/>
    <w:rsid w:val="39A7506D"/>
    <w:rsid w:val="39AE3903"/>
    <w:rsid w:val="39BB05A7"/>
    <w:rsid w:val="39D17B83"/>
    <w:rsid w:val="3A285D28"/>
    <w:rsid w:val="3A4F322C"/>
    <w:rsid w:val="3A6A181A"/>
    <w:rsid w:val="3A882831"/>
    <w:rsid w:val="3A9071D6"/>
    <w:rsid w:val="3AC70F58"/>
    <w:rsid w:val="3AEC61EA"/>
    <w:rsid w:val="3B0F5ADC"/>
    <w:rsid w:val="3B3140E6"/>
    <w:rsid w:val="3B691C52"/>
    <w:rsid w:val="3BEE6312"/>
    <w:rsid w:val="3C910F67"/>
    <w:rsid w:val="3CCD1C64"/>
    <w:rsid w:val="3CFB349F"/>
    <w:rsid w:val="3D790732"/>
    <w:rsid w:val="3DD35697"/>
    <w:rsid w:val="3E344619"/>
    <w:rsid w:val="3E39568A"/>
    <w:rsid w:val="3EE93BE9"/>
    <w:rsid w:val="3F101FA9"/>
    <w:rsid w:val="3F40009A"/>
    <w:rsid w:val="3F500C15"/>
    <w:rsid w:val="3F6877DA"/>
    <w:rsid w:val="3F8F3AD1"/>
    <w:rsid w:val="3FB4100D"/>
    <w:rsid w:val="3FC368EA"/>
    <w:rsid w:val="40321124"/>
    <w:rsid w:val="40603B42"/>
    <w:rsid w:val="406132A7"/>
    <w:rsid w:val="408847A8"/>
    <w:rsid w:val="40B25AEE"/>
    <w:rsid w:val="40C07A63"/>
    <w:rsid w:val="416226F6"/>
    <w:rsid w:val="420C58B8"/>
    <w:rsid w:val="420F35B4"/>
    <w:rsid w:val="42BE671D"/>
    <w:rsid w:val="42D347BC"/>
    <w:rsid w:val="43690368"/>
    <w:rsid w:val="437C1635"/>
    <w:rsid w:val="43811F71"/>
    <w:rsid w:val="43A93D53"/>
    <w:rsid w:val="43BA2D18"/>
    <w:rsid w:val="43C0303F"/>
    <w:rsid w:val="43D941B5"/>
    <w:rsid w:val="43E17EBF"/>
    <w:rsid w:val="449D2088"/>
    <w:rsid w:val="44A96B47"/>
    <w:rsid w:val="44B1076D"/>
    <w:rsid w:val="46192E49"/>
    <w:rsid w:val="46470FFF"/>
    <w:rsid w:val="46F510E6"/>
    <w:rsid w:val="47077063"/>
    <w:rsid w:val="47550DFF"/>
    <w:rsid w:val="476870E2"/>
    <w:rsid w:val="479A6B25"/>
    <w:rsid w:val="47D255EE"/>
    <w:rsid w:val="47E07536"/>
    <w:rsid w:val="48612F4D"/>
    <w:rsid w:val="4A6A2C7C"/>
    <w:rsid w:val="4A6A3D1A"/>
    <w:rsid w:val="4ACB4374"/>
    <w:rsid w:val="4B104CAB"/>
    <w:rsid w:val="4B1101D5"/>
    <w:rsid w:val="4BFC24EE"/>
    <w:rsid w:val="4C0D5206"/>
    <w:rsid w:val="4C6E57AF"/>
    <w:rsid w:val="4C7642AE"/>
    <w:rsid w:val="4CFC50B6"/>
    <w:rsid w:val="4D0B3876"/>
    <w:rsid w:val="4D581E9C"/>
    <w:rsid w:val="4DD530AE"/>
    <w:rsid w:val="4E545090"/>
    <w:rsid w:val="4E682E87"/>
    <w:rsid w:val="4FB80EBC"/>
    <w:rsid w:val="504B489F"/>
    <w:rsid w:val="504C71AF"/>
    <w:rsid w:val="51125403"/>
    <w:rsid w:val="51B1480D"/>
    <w:rsid w:val="520E2B94"/>
    <w:rsid w:val="52140592"/>
    <w:rsid w:val="52326C6A"/>
    <w:rsid w:val="5286028E"/>
    <w:rsid w:val="5358382C"/>
    <w:rsid w:val="53937294"/>
    <w:rsid w:val="5394300C"/>
    <w:rsid w:val="5411535C"/>
    <w:rsid w:val="54624402"/>
    <w:rsid w:val="546F0B02"/>
    <w:rsid w:val="54F0316B"/>
    <w:rsid w:val="551A6081"/>
    <w:rsid w:val="553F741C"/>
    <w:rsid w:val="56AF69BC"/>
    <w:rsid w:val="56C043EA"/>
    <w:rsid w:val="577A72FF"/>
    <w:rsid w:val="58001828"/>
    <w:rsid w:val="58F8524D"/>
    <w:rsid w:val="596F7962"/>
    <w:rsid w:val="59DD4B1E"/>
    <w:rsid w:val="59F20A8D"/>
    <w:rsid w:val="5A22609C"/>
    <w:rsid w:val="5A491E32"/>
    <w:rsid w:val="5AC90ACD"/>
    <w:rsid w:val="5B8D53A1"/>
    <w:rsid w:val="5BFB3774"/>
    <w:rsid w:val="5C025C75"/>
    <w:rsid w:val="5C462F57"/>
    <w:rsid w:val="5C545A52"/>
    <w:rsid w:val="5C666A3C"/>
    <w:rsid w:val="5C6D7659"/>
    <w:rsid w:val="5D1B684A"/>
    <w:rsid w:val="5DE423C4"/>
    <w:rsid w:val="5DEF36EF"/>
    <w:rsid w:val="5E522066"/>
    <w:rsid w:val="5E5252BB"/>
    <w:rsid w:val="5E6B7C06"/>
    <w:rsid w:val="5E942425"/>
    <w:rsid w:val="5EA16130"/>
    <w:rsid w:val="5EDD69E1"/>
    <w:rsid w:val="5F3538F6"/>
    <w:rsid w:val="6039692A"/>
    <w:rsid w:val="603D41DA"/>
    <w:rsid w:val="60F53F7E"/>
    <w:rsid w:val="61125609"/>
    <w:rsid w:val="616C2E7B"/>
    <w:rsid w:val="61925E12"/>
    <w:rsid w:val="628A4BAD"/>
    <w:rsid w:val="62B52656"/>
    <w:rsid w:val="630E655D"/>
    <w:rsid w:val="63617D35"/>
    <w:rsid w:val="63763539"/>
    <w:rsid w:val="63D95908"/>
    <w:rsid w:val="646F7581"/>
    <w:rsid w:val="64860BE0"/>
    <w:rsid w:val="65024F8A"/>
    <w:rsid w:val="65892100"/>
    <w:rsid w:val="659A3BB5"/>
    <w:rsid w:val="66223497"/>
    <w:rsid w:val="66537BCF"/>
    <w:rsid w:val="666D5EA9"/>
    <w:rsid w:val="668B1E81"/>
    <w:rsid w:val="66AF0431"/>
    <w:rsid w:val="66DD5E8A"/>
    <w:rsid w:val="671D35ED"/>
    <w:rsid w:val="6A297A35"/>
    <w:rsid w:val="6A885221"/>
    <w:rsid w:val="6A915604"/>
    <w:rsid w:val="6AE451FC"/>
    <w:rsid w:val="6B0D3A71"/>
    <w:rsid w:val="6B5D608F"/>
    <w:rsid w:val="6C090214"/>
    <w:rsid w:val="6C1F5711"/>
    <w:rsid w:val="6C273661"/>
    <w:rsid w:val="6C4A4161"/>
    <w:rsid w:val="6C4C3DF0"/>
    <w:rsid w:val="6D1144C3"/>
    <w:rsid w:val="6D241FA6"/>
    <w:rsid w:val="6DAF79DB"/>
    <w:rsid w:val="6E4F1275"/>
    <w:rsid w:val="6E674587"/>
    <w:rsid w:val="6F117CE6"/>
    <w:rsid w:val="6F423C93"/>
    <w:rsid w:val="6F6001CA"/>
    <w:rsid w:val="6FA0258C"/>
    <w:rsid w:val="6FBC1CFE"/>
    <w:rsid w:val="70754611"/>
    <w:rsid w:val="7097261A"/>
    <w:rsid w:val="70FE7DA0"/>
    <w:rsid w:val="71866606"/>
    <w:rsid w:val="718A3FC6"/>
    <w:rsid w:val="71F201E8"/>
    <w:rsid w:val="72064E7B"/>
    <w:rsid w:val="725270D9"/>
    <w:rsid w:val="72705EF5"/>
    <w:rsid w:val="72F105E7"/>
    <w:rsid w:val="72FB10B3"/>
    <w:rsid w:val="735639FF"/>
    <w:rsid w:val="736A791C"/>
    <w:rsid w:val="73D4718D"/>
    <w:rsid w:val="73E93634"/>
    <w:rsid w:val="742D5F97"/>
    <w:rsid w:val="74600815"/>
    <w:rsid w:val="74EF7ED0"/>
    <w:rsid w:val="74FC2661"/>
    <w:rsid w:val="757C3914"/>
    <w:rsid w:val="75FF12B3"/>
    <w:rsid w:val="7601232C"/>
    <w:rsid w:val="760A60E2"/>
    <w:rsid w:val="76102D56"/>
    <w:rsid w:val="7623121A"/>
    <w:rsid w:val="762A724D"/>
    <w:rsid w:val="76592168"/>
    <w:rsid w:val="76B16156"/>
    <w:rsid w:val="76B45B7C"/>
    <w:rsid w:val="76C26B60"/>
    <w:rsid w:val="770824F7"/>
    <w:rsid w:val="774010E7"/>
    <w:rsid w:val="777E12CB"/>
    <w:rsid w:val="77881EC0"/>
    <w:rsid w:val="77C85586"/>
    <w:rsid w:val="799C5B39"/>
    <w:rsid w:val="79F7766A"/>
    <w:rsid w:val="7A053E04"/>
    <w:rsid w:val="7A1A6619"/>
    <w:rsid w:val="7A1C7734"/>
    <w:rsid w:val="7A600049"/>
    <w:rsid w:val="7A8E22CF"/>
    <w:rsid w:val="7AC3135B"/>
    <w:rsid w:val="7B315ED6"/>
    <w:rsid w:val="7B6612E1"/>
    <w:rsid w:val="7BBC37F0"/>
    <w:rsid w:val="7C4B7C00"/>
    <w:rsid w:val="7C8021FC"/>
    <w:rsid w:val="7CA1665A"/>
    <w:rsid w:val="7CD816F8"/>
    <w:rsid w:val="7D4D474C"/>
    <w:rsid w:val="7DC7010A"/>
    <w:rsid w:val="7DF5752C"/>
    <w:rsid w:val="7EFE38AC"/>
    <w:rsid w:val="7F0A0FA4"/>
    <w:rsid w:val="7F411A8C"/>
    <w:rsid w:val="7F6C7A6B"/>
    <w:rsid w:val="7F743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宋体" w:eastAsia="宋体" w:cs="Times New Roman"/>
      <w:kern w:val="2"/>
      <w:sz w:val="24"/>
      <w:szCs w:val="22"/>
      <w:lang w:val="en-US" w:eastAsia="zh-CN" w:bidi="ar-SA"/>
    </w:rPr>
  </w:style>
  <w:style w:type="paragraph" w:styleId="2">
    <w:name w:val="heading 1"/>
    <w:basedOn w:val="1"/>
    <w:next w:val="1"/>
    <w:qFormat/>
    <w:uiPriority w:val="0"/>
    <w:pPr>
      <w:keepNext/>
      <w:keepLines/>
      <w:numPr>
        <w:ilvl w:val="0"/>
        <w:numId w:val="1"/>
      </w:numPr>
      <w:spacing w:line="480" w:lineRule="auto"/>
      <w:ind w:left="432" w:hanging="432"/>
      <w:jc w:val="center"/>
      <w:outlineLvl w:val="0"/>
    </w:pPr>
    <w:rPr>
      <w:rFonts w:ascii="宋体" w:hAnsi="宋体" w:eastAsia="宋体"/>
      <w:b/>
      <w:color w:val="000000" w:themeColor="text1"/>
      <w:kern w:val="44"/>
      <w:sz w:val="30"/>
      <w14:textFill>
        <w14:solidFill>
          <w14:schemeClr w14:val="tx1"/>
        </w14:solidFill>
      </w14:textFill>
    </w:rPr>
  </w:style>
  <w:style w:type="paragraph" w:styleId="3">
    <w:name w:val="heading 2"/>
    <w:basedOn w:val="1"/>
    <w:next w:val="1"/>
    <w:link w:val="40"/>
    <w:unhideWhenUsed/>
    <w:qFormat/>
    <w:uiPriority w:val="0"/>
    <w:pPr>
      <w:keepNext/>
      <w:keepLines/>
      <w:numPr>
        <w:ilvl w:val="1"/>
        <w:numId w:val="1"/>
      </w:numPr>
      <w:spacing w:line="360" w:lineRule="auto"/>
      <w:ind w:left="575" w:leftChars="0" w:hanging="575"/>
      <w:jc w:val="left"/>
      <w:outlineLvl w:val="1"/>
    </w:pPr>
    <w:rPr>
      <w:rFonts w:ascii="宋体" w:hAnsi="宋体" w:eastAsia="宋体"/>
      <w:b/>
      <w:color w:val="000000" w:themeColor="text1"/>
      <w:sz w:val="28"/>
      <w14:textFill>
        <w14:solidFill>
          <w14:schemeClr w14:val="tx1"/>
        </w14:solidFill>
      </w14:textFill>
    </w:rPr>
  </w:style>
  <w:style w:type="paragraph" w:styleId="4">
    <w:name w:val="heading 3"/>
    <w:basedOn w:val="3"/>
    <w:next w:val="1"/>
    <w:unhideWhenUsed/>
    <w:qFormat/>
    <w:uiPriority w:val="0"/>
    <w:pPr>
      <w:keepNext/>
      <w:keepLines/>
      <w:numPr>
        <w:ilvl w:val="2"/>
        <w:numId w:val="1"/>
      </w:numPr>
      <w:spacing w:line="360" w:lineRule="auto"/>
      <w:ind w:left="720" w:leftChars="0" w:hanging="720"/>
      <w:outlineLvl w:val="2"/>
    </w:pPr>
    <w:rPr>
      <w:rFonts w:ascii="宋体" w:hAnsi="宋体" w:eastAsia="宋体"/>
      <w:color w:val="000000" w:themeColor="text1"/>
      <w14:textFill>
        <w14:solidFill>
          <w14:schemeClr w14:val="tx1"/>
        </w14:solidFill>
      </w14:textFill>
    </w:rPr>
  </w:style>
  <w:style w:type="paragraph" w:styleId="5">
    <w:name w:val="heading 4"/>
    <w:basedOn w:val="6"/>
    <w:next w:val="1"/>
    <w:unhideWhenUsed/>
    <w:qFormat/>
    <w:uiPriority w:val="0"/>
    <w:pPr>
      <w:keepNext/>
      <w:keepLines/>
      <w:numPr>
        <w:ilvl w:val="3"/>
        <w:numId w:val="1"/>
      </w:numPr>
      <w:tabs>
        <w:tab w:val="left" w:pos="0"/>
      </w:tabs>
      <w:spacing w:line="360" w:lineRule="auto"/>
      <w:ind w:left="864" w:leftChars="0" w:hanging="864"/>
      <w:outlineLvl w:val="3"/>
    </w:pPr>
    <w:rPr>
      <w:rFonts w:ascii="宋体" w:hAnsi="宋体" w:eastAsia="宋体" w:cstheme="majorBidi"/>
      <w:bCs/>
      <w:color w:val="000000" w:themeColor="text1"/>
      <w:szCs w:val="28"/>
      <w14:textFill>
        <w14:solidFill>
          <w14:schemeClr w14:val="tx1"/>
        </w14:solidFill>
      </w14:textFill>
    </w:rPr>
  </w:style>
  <w:style w:type="paragraph" w:styleId="7">
    <w:name w:val="heading 5"/>
    <w:basedOn w:val="1"/>
    <w:next w:val="1"/>
    <w:link w:val="111"/>
    <w:unhideWhenUsed/>
    <w:qFormat/>
    <w:uiPriority w:val="0"/>
    <w:pPr>
      <w:keepNext/>
      <w:keepLines/>
      <w:numPr>
        <w:ilvl w:val="4"/>
        <w:numId w:val="1"/>
      </w:numPr>
      <w:spacing w:line="360" w:lineRule="auto"/>
      <w:ind w:left="1008" w:hanging="1008" w:firstLineChars="0"/>
      <w:outlineLvl w:val="4"/>
    </w:pPr>
    <w:rPr>
      <w:b/>
      <w:bCs/>
      <w:sz w:val="24"/>
      <w:szCs w:val="28"/>
    </w:rPr>
  </w:style>
  <w:style w:type="paragraph" w:styleId="8">
    <w:name w:val="heading 6"/>
    <w:basedOn w:val="1"/>
    <w:next w:val="1"/>
    <w:link w:val="112"/>
    <w:unhideWhenUsed/>
    <w:qFormat/>
    <w:uiPriority w:val="0"/>
    <w:pPr>
      <w:keepNext/>
      <w:keepLines/>
      <w:numPr>
        <w:ilvl w:val="5"/>
        <w:numId w:val="1"/>
      </w:numPr>
      <w:adjustRightInd w:val="0"/>
      <w:snapToGrid w:val="0"/>
      <w:spacing w:before="240" w:after="64" w:line="317" w:lineRule="auto"/>
      <w:ind w:left="1151" w:hanging="1151" w:firstLineChars="0"/>
      <w:jc w:val="left"/>
      <w:outlineLvl w:val="5"/>
    </w:pPr>
    <w:rPr>
      <w:rFonts w:ascii="Arial" w:hAnsi="Arial" w:eastAsia="黑体" w:cs="宋体"/>
      <w:b/>
      <w:snapToGrid w:val="0"/>
      <w:kern w:val="0"/>
      <w:sz w:val="24"/>
      <w:szCs w:val="24"/>
    </w:rPr>
  </w:style>
  <w:style w:type="paragraph" w:styleId="9">
    <w:name w:val="heading 7"/>
    <w:basedOn w:val="1"/>
    <w:next w:val="1"/>
    <w:link w:val="114"/>
    <w:unhideWhenUsed/>
    <w:qFormat/>
    <w:uiPriority w:val="0"/>
    <w:pPr>
      <w:keepNext/>
      <w:keepLines/>
      <w:numPr>
        <w:ilvl w:val="6"/>
        <w:numId w:val="1"/>
      </w:numPr>
      <w:adjustRightInd w:val="0"/>
      <w:snapToGrid w:val="0"/>
      <w:spacing w:before="240" w:after="64" w:line="317" w:lineRule="auto"/>
      <w:ind w:left="1296" w:hanging="1296" w:firstLineChars="0"/>
      <w:jc w:val="left"/>
      <w:outlineLvl w:val="6"/>
    </w:pPr>
    <w:rPr>
      <w:rFonts w:ascii="宋体" w:hAnsi="宋体" w:eastAsia="宋体" w:cs="宋体"/>
      <w:b/>
      <w:snapToGrid w:val="0"/>
      <w:kern w:val="0"/>
      <w:sz w:val="24"/>
      <w:szCs w:val="24"/>
    </w:rPr>
  </w:style>
  <w:style w:type="paragraph" w:styleId="10">
    <w:name w:val="heading 8"/>
    <w:basedOn w:val="1"/>
    <w:next w:val="1"/>
    <w:link w:val="115"/>
    <w:unhideWhenUsed/>
    <w:qFormat/>
    <w:uiPriority w:val="0"/>
    <w:pPr>
      <w:numPr>
        <w:ilvl w:val="7"/>
        <w:numId w:val="1"/>
      </w:numPr>
      <w:tabs>
        <w:tab w:val="left" w:pos="420"/>
      </w:tabs>
      <w:adjustRightInd w:val="0"/>
      <w:snapToGrid w:val="0"/>
      <w:spacing w:after="160" w:line="400" w:lineRule="exact"/>
      <w:ind w:left="1440" w:hanging="1440"/>
      <w:jc w:val="center"/>
      <w:outlineLvl w:val="7"/>
    </w:pPr>
    <w:rPr>
      <w:rFonts w:ascii="宋体" w:hAnsi="宋体" w:eastAsia="宋体" w:cs="宋体"/>
      <w:b/>
      <w:bCs/>
      <w:snapToGrid w:val="0"/>
      <w:kern w:val="0"/>
      <w:szCs w:val="21"/>
    </w:rPr>
  </w:style>
  <w:style w:type="paragraph" w:styleId="11">
    <w:name w:val="heading 9"/>
    <w:basedOn w:val="1"/>
    <w:next w:val="1"/>
    <w:link w:val="116"/>
    <w:unhideWhenUsed/>
    <w:qFormat/>
    <w:uiPriority w:val="0"/>
    <w:pPr>
      <w:numPr>
        <w:ilvl w:val="8"/>
        <w:numId w:val="1"/>
      </w:numPr>
      <w:tabs>
        <w:tab w:val="left" w:pos="420"/>
      </w:tabs>
      <w:adjustRightInd w:val="0"/>
      <w:snapToGrid w:val="0"/>
      <w:ind w:left="1583" w:hanging="1583"/>
      <w:jc w:val="center"/>
      <w:outlineLvl w:val="8"/>
    </w:pPr>
    <w:rPr>
      <w:rFonts w:ascii="宋体" w:hAnsi="宋体" w:eastAsia="宋体" w:cs="宋体"/>
      <w:snapToGrid w:val="0"/>
      <w:kern w:val="0"/>
      <w:szCs w:val="21"/>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6">
    <w:name w:val="基准-无缩进"/>
    <w:basedOn w:val="4"/>
    <w:qFormat/>
    <w:uiPriority w:val="0"/>
    <w:pPr>
      <w:numPr>
        <w:ilvl w:val="0"/>
        <w:numId w:val="0"/>
      </w:numPr>
      <w:tabs>
        <w:tab w:val="left" w:pos="0"/>
      </w:tabs>
    </w:pPr>
  </w:style>
  <w:style w:type="paragraph" w:styleId="12">
    <w:name w:val="Normal Indent"/>
    <w:basedOn w:val="1"/>
    <w:next w:val="13"/>
    <w:qFormat/>
    <w:uiPriority w:val="0"/>
    <w:pPr>
      <w:spacing w:line="240" w:lineRule="auto"/>
      <w:ind w:firstLine="0" w:firstLineChars="0"/>
      <w:jc w:val="center"/>
    </w:pPr>
    <w:rPr>
      <w:sz w:val="21"/>
    </w:rPr>
  </w:style>
  <w:style w:type="paragraph" w:styleId="13">
    <w:name w:val="Body Text First Indent"/>
    <w:basedOn w:val="14"/>
    <w:next w:val="1"/>
    <w:link w:val="101"/>
    <w:qFormat/>
    <w:uiPriority w:val="99"/>
    <w:pPr>
      <w:ind w:firstLine="420" w:firstLineChars="100"/>
    </w:pPr>
    <w:rPr>
      <w:kern w:val="2"/>
      <w:sz w:val="21"/>
    </w:rPr>
  </w:style>
  <w:style w:type="paragraph" w:styleId="14">
    <w:name w:val="Body Text"/>
    <w:basedOn w:val="1"/>
    <w:link w:val="100"/>
    <w:qFormat/>
    <w:uiPriority w:val="0"/>
    <w:pPr>
      <w:spacing w:after="120"/>
    </w:pPr>
    <w:rPr>
      <w:kern w:val="0"/>
      <w:sz w:val="20"/>
    </w:rPr>
  </w:style>
  <w:style w:type="paragraph" w:styleId="15">
    <w:name w:val="caption"/>
    <w:basedOn w:val="1"/>
    <w:next w:val="16"/>
    <w:unhideWhenUsed/>
    <w:qFormat/>
    <w:uiPriority w:val="0"/>
    <w:pPr>
      <w:spacing w:line="360" w:lineRule="auto"/>
      <w:jc w:val="center"/>
    </w:pPr>
    <w:rPr>
      <w:rFonts w:ascii="Times New Roman" w:hAnsi="Times New Roman" w:eastAsia="黑体"/>
      <w:sz w:val="21"/>
      <w:szCs w:val="21"/>
    </w:rPr>
  </w:style>
  <w:style w:type="paragraph" w:customStyle="1" w:styleId="16">
    <w:name w:val="表内文字"/>
    <w:basedOn w:val="17"/>
    <w:next w:val="1"/>
    <w:autoRedefine/>
    <w:qFormat/>
    <w:uiPriority w:val="0"/>
    <w:pPr>
      <w:spacing w:line="240" w:lineRule="auto"/>
      <w:ind w:firstLine="0" w:firstLineChars="0"/>
      <w:jc w:val="center"/>
    </w:pPr>
    <w:rPr>
      <w:sz w:val="21"/>
    </w:rPr>
  </w:style>
  <w:style w:type="paragraph" w:customStyle="1" w:styleId="17">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paragraph" w:styleId="18">
    <w:name w:val="annotation text"/>
    <w:basedOn w:val="1"/>
    <w:link w:val="113"/>
    <w:qFormat/>
    <w:uiPriority w:val="0"/>
    <w:pPr>
      <w:jc w:val="left"/>
    </w:pPr>
  </w:style>
  <w:style w:type="paragraph" w:styleId="19">
    <w:name w:val="Body Text Indent"/>
    <w:basedOn w:val="1"/>
    <w:next w:val="1"/>
    <w:qFormat/>
    <w:uiPriority w:val="0"/>
    <w:pPr>
      <w:tabs>
        <w:tab w:val="left" w:pos="360"/>
      </w:tabs>
      <w:ind w:left="600" w:leftChars="257" w:hanging="60" w:hangingChars="25"/>
    </w:pPr>
    <w:rPr>
      <w:rFonts w:ascii="宋体" w:hAnsi="宋体"/>
      <w:kern w:val="0"/>
      <w:sz w:val="24"/>
    </w:rPr>
  </w:style>
  <w:style w:type="paragraph" w:styleId="20">
    <w:name w:val="toc 3"/>
    <w:basedOn w:val="1"/>
    <w:next w:val="1"/>
    <w:qFormat/>
    <w:uiPriority w:val="0"/>
    <w:pPr>
      <w:adjustRightInd w:val="0"/>
      <w:snapToGrid w:val="0"/>
      <w:spacing w:line="400" w:lineRule="exact"/>
      <w:ind w:left="480" w:leftChars="200"/>
    </w:pPr>
    <w:rPr>
      <w:rFonts w:ascii="宋体" w:hAnsi="宋体" w:eastAsia="宋体" w:cs="宋体"/>
      <w:snapToGrid w:val="0"/>
      <w:kern w:val="0"/>
      <w:sz w:val="24"/>
      <w:szCs w:val="24"/>
    </w:rPr>
  </w:style>
  <w:style w:type="paragraph" w:styleId="21">
    <w:name w:val="Plain Text"/>
    <w:basedOn w:val="1"/>
    <w:unhideWhenUsed/>
    <w:qFormat/>
    <w:uiPriority w:val="0"/>
    <w:rPr>
      <w:rFonts w:ascii="宋体" w:hAnsi="Courier New"/>
      <w:sz w:val="19"/>
    </w:rPr>
  </w:style>
  <w:style w:type="paragraph" w:styleId="22">
    <w:name w:val="Balloon Text"/>
    <w:basedOn w:val="1"/>
    <w:link w:val="89"/>
    <w:qFormat/>
    <w:uiPriority w:val="0"/>
    <w:rPr>
      <w:sz w:val="18"/>
      <w:szCs w:val="18"/>
    </w:rPr>
  </w:style>
  <w:style w:type="paragraph" w:styleId="23">
    <w:name w:val="footer"/>
    <w:basedOn w:val="1"/>
    <w:link w:val="144"/>
    <w:qFormat/>
    <w:uiPriority w:val="99"/>
    <w:pPr>
      <w:tabs>
        <w:tab w:val="center" w:pos="4153"/>
        <w:tab w:val="right" w:pos="8306"/>
      </w:tabs>
      <w:snapToGrid w:val="0"/>
      <w:jc w:val="left"/>
    </w:pPr>
    <w:rPr>
      <w:sz w:val="18"/>
    </w:rPr>
  </w:style>
  <w:style w:type="paragraph" w:styleId="2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5">
    <w:name w:val="toc 1"/>
    <w:basedOn w:val="1"/>
    <w:next w:val="1"/>
    <w:qFormat/>
    <w:uiPriority w:val="39"/>
  </w:style>
  <w:style w:type="paragraph" w:styleId="26">
    <w:name w:val="toc 2"/>
    <w:basedOn w:val="1"/>
    <w:next w:val="1"/>
    <w:qFormat/>
    <w:uiPriority w:val="39"/>
    <w:pPr>
      <w:ind w:left="420" w:leftChars="200"/>
    </w:pPr>
  </w:style>
  <w:style w:type="paragraph" w:styleId="27">
    <w:name w:val="Normal (Web)"/>
    <w:basedOn w:val="1"/>
    <w:qFormat/>
    <w:uiPriority w:val="0"/>
    <w:pPr>
      <w:spacing w:beforeAutospacing="1" w:afterAutospacing="1"/>
      <w:jc w:val="left"/>
    </w:pPr>
    <w:rPr>
      <w:kern w:val="0"/>
      <w:sz w:val="24"/>
    </w:rPr>
  </w:style>
  <w:style w:type="paragraph" w:styleId="28">
    <w:name w:val="Title"/>
    <w:basedOn w:val="1"/>
    <w:next w:val="1"/>
    <w:qFormat/>
    <w:uiPriority w:val="10"/>
    <w:pPr>
      <w:spacing w:before="240" w:after="60"/>
      <w:jc w:val="center"/>
      <w:outlineLvl w:val="0"/>
    </w:pPr>
    <w:rPr>
      <w:rFonts w:eastAsia="黑体" w:asciiTheme="majorHAnsi" w:hAnsiTheme="majorHAnsi" w:cstheme="majorBidi"/>
      <w:b/>
      <w:bCs/>
      <w:sz w:val="28"/>
      <w:szCs w:val="32"/>
    </w:rPr>
  </w:style>
  <w:style w:type="paragraph" w:styleId="29">
    <w:name w:val="Body Text First Indent 2"/>
    <w:basedOn w:val="19"/>
    <w:next w:val="21"/>
    <w:qFormat/>
    <w:uiPriority w:val="0"/>
    <w:pPr>
      <w:tabs>
        <w:tab w:val="left" w:pos="964"/>
      </w:tabs>
      <w:spacing w:line="240" w:lineRule="atLeast"/>
      <w:ind w:left="964" w:hanging="425"/>
    </w:pPr>
    <w:rPr>
      <w:sz w:val="28"/>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sz w:val="24"/>
      <w:szCs w:val="24"/>
    </w:rPr>
  </w:style>
  <w:style w:type="character" w:styleId="34">
    <w:name w:val="FollowedHyperlink"/>
    <w:basedOn w:val="32"/>
    <w:qFormat/>
    <w:uiPriority w:val="0"/>
    <w:rPr>
      <w:color w:val="954F72" w:themeColor="followedHyperlink"/>
      <w:u w:val="single"/>
      <w14:textFill>
        <w14:solidFill>
          <w14:schemeClr w14:val="folHlink"/>
        </w14:solidFill>
      </w14:textFill>
    </w:rPr>
  </w:style>
  <w:style w:type="character" w:styleId="35">
    <w:name w:val="Emphasis"/>
    <w:basedOn w:val="32"/>
    <w:qFormat/>
    <w:uiPriority w:val="0"/>
    <w:rPr>
      <w:color w:val="CC0000"/>
      <w:sz w:val="24"/>
      <w:szCs w:val="24"/>
    </w:rPr>
  </w:style>
  <w:style w:type="character" w:styleId="36">
    <w:name w:val="Hyperlink"/>
    <w:basedOn w:val="32"/>
    <w:unhideWhenUsed/>
    <w:qFormat/>
    <w:uiPriority w:val="99"/>
    <w:rPr>
      <w:color w:val="0563C1" w:themeColor="hyperlink"/>
      <w:u w:val="single"/>
      <w14:textFill>
        <w14:solidFill>
          <w14:schemeClr w14:val="hlink"/>
        </w14:solidFill>
      </w14:textFill>
    </w:rPr>
  </w:style>
  <w:style w:type="character" w:styleId="37">
    <w:name w:val="annotation reference"/>
    <w:qFormat/>
    <w:uiPriority w:val="0"/>
    <w:rPr>
      <w:sz w:val="21"/>
      <w:szCs w:val="21"/>
    </w:rPr>
  </w:style>
  <w:style w:type="character" w:styleId="38">
    <w:name w:val="HTML Cite"/>
    <w:basedOn w:val="32"/>
    <w:qFormat/>
    <w:uiPriority w:val="0"/>
    <w:rPr>
      <w:sz w:val="24"/>
      <w:szCs w:val="24"/>
    </w:rPr>
  </w:style>
  <w:style w:type="paragraph" w:customStyle="1" w:styleId="39">
    <w:name w:val="贵阳项目-标书正文"/>
    <w:basedOn w:val="1"/>
    <w:qFormat/>
    <w:uiPriority w:val="0"/>
    <w:pPr>
      <w:widowControl/>
      <w:spacing w:line="360" w:lineRule="auto"/>
      <w:ind w:firstLine="200" w:firstLineChars="200"/>
    </w:pPr>
    <w:rPr>
      <w:rFonts w:ascii="Times New Roman" w:hAnsi="Times New Roman" w:cs="Times New Roman"/>
      <w:szCs w:val="24"/>
    </w:rPr>
  </w:style>
  <w:style w:type="character" w:customStyle="1" w:styleId="40">
    <w:name w:val="标题 2 字符"/>
    <w:link w:val="3"/>
    <w:qFormat/>
    <w:uiPriority w:val="0"/>
    <w:rPr>
      <w:rFonts w:ascii="宋体" w:hAnsi="宋体" w:eastAsia="宋体"/>
      <w:b/>
      <w:color w:val="000000" w:themeColor="text1"/>
      <w:kern w:val="2"/>
      <w:sz w:val="28"/>
      <w:szCs w:val="22"/>
      <w14:textFill>
        <w14:solidFill>
          <w14:schemeClr w14:val="tx1"/>
        </w14:solidFill>
      </w14:textFill>
    </w:rPr>
  </w:style>
  <w:style w:type="paragraph" w:customStyle="1" w:styleId="41">
    <w:name w:val="图名"/>
    <w:basedOn w:val="42"/>
    <w:qFormat/>
    <w:uiPriority w:val="0"/>
    <w:pPr>
      <w:spacing w:line="240" w:lineRule="auto"/>
      <w:ind w:right="0"/>
    </w:pPr>
  </w:style>
  <w:style w:type="paragraph" w:customStyle="1" w:styleId="42">
    <w:name w:val="表头"/>
    <w:next w:val="1"/>
    <w:qFormat/>
    <w:uiPriority w:val="0"/>
    <w:pPr>
      <w:jc w:val="center"/>
    </w:pPr>
    <w:rPr>
      <w:rFonts w:ascii="仿宋" w:hAnsi="仿宋" w:eastAsia="黑体" w:cs="仿宋"/>
      <w:bCs/>
      <w:color w:val="000000" w:themeColor="text1"/>
      <w:kern w:val="2"/>
      <w:sz w:val="21"/>
      <w:szCs w:val="24"/>
      <w:lang w:val="en-US" w:eastAsia="zh-CN" w:bidi="ar-SA"/>
      <w14:textFill>
        <w14:solidFill>
          <w14:schemeClr w14:val="tx1"/>
        </w14:solidFill>
      </w14:textFill>
    </w:rPr>
  </w:style>
  <w:style w:type="paragraph" w:customStyle="1" w:styleId="43">
    <w:name w:val="图表标题"/>
    <w:basedOn w:val="1"/>
    <w:next w:val="1"/>
    <w:qFormat/>
    <w:uiPriority w:val="0"/>
    <w:pPr>
      <w:widowControl/>
      <w:ind w:firstLine="0" w:firstLineChars="0"/>
      <w:jc w:val="center"/>
    </w:pPr>
    <w:rPr>
      <w:rFonts w:ascii="Times New Roman" w:hAnsi="Times New Roman" w:eastAsia="宋体" w:cs="Times New Roman"/>
      <w:b/>
      <w:color w:val="C00000"/>
      <w:kern w:val="0"/>
      <w:szCs w:val="22"/>
    </w:rPr>
  </w:style>
  <w:style w:type="paragraph" w:customStyle="1" w:styleId="44">
    <w:name w:val="标题3"/>
    <w:basedOn w:val="45"/>
    <w:qFormat/>
    <w:uiPriority w:val="0"/>
    <w:pPr>
      <w:spacing w:line="360" w:lineRule="auto"/>
      <w:ind w:leftChars="100" w:firstLine="100" w:firstLineChars="100"/>
      <w:outlineLvl w:val="2"/>
    </w:pPr>
    <w:rPr>
      <w:rFonts w:ascii="宋体" w:hAnsi="宋体"/>
      <w:color w:val="0000E3"/>
    </w:rPr>
  </w:style>
  <w:style w:type="paragraph" w:customStyle="1" w:styleId="45">
    <w:name w:val="标题2"/>
    <w:basedOn w:val="1"/>
    <w:qFormat/>
    <w:uiPriority w:val="0"/>
    <w:pPr>
      <w:spacing w:before="40" w:after="40"/>
      <w:jc w:val="left"/>
      <w:outlineLvl w:val="1"/>
    </w:pPr>
    <w:rPr>
      <w:rFonts w:ascii="宋体" w:hAnsi="宋体"/>
      <w:b/>
      <w:bCs/>
      <w:color w:val="000000"/>
      <w:szCs w:val="24"/>
    </w:rPr>
  </w:style>
  <w:style w:type="paragraph" w:styleId="46">
    <w:name w:val="List Paragraph"/>
    <w:basedOn w:val="1"/>
    <w:qFormat/>
    <w:uiPriority w:val="34"/>
    <w:pPr>
      <w:ind w:firstLine="420" w:firstLineChars="200"/>
    </w:pPr>
  </w:style>
  <w:style w:type="paragraph" w:customStyle="1" w:styleId="47">
    <w:name w:val="正文B"/>
    <w:basedOn w:val="1"/>
    <w:link w:val="70"/>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48">
    <w:name w:val="正文C"/>
    <w:basedOn w:val="1"/>
    <w:link w:val="71"/>
    <w:qFormat/>
    <w:uiPriority w:val="0"/>
    <w:pPr>
      <w:widowControl/>
      <w:adjustRightInd w:val="0"/>
      <w:snapToGrid w:val="0"/>
      <w:spacing w:line="360" w:lineRule="auto"/>
      <w:ind w:firstLine="200" w:firstLineChars="200"/>
      <w:jc w:val="left"/>
    </w:pPr>
    <w:rPr>
      <w:rFonts w:ascii="宋体" w:hAnsi="宋体" w:eastAsia="宋体" w:cs="宋体"/>
      <w:color w:val="535353" w:themeColor="accent3" w:themeShade="80"/>
      <w:kern w:val="0"/>
      <w:sz w:val="24"/>
      <w:szCs w:val="24"/>
    </w:rPr>
  </w:style>
  <w:style w:type="paragraph" w:customStyle="1" w:styleId="49">
    <w:name w:val="正文D"/>
    <w:basedOn w:val="1"/>
    <w:qFormat/>
    <w:uiPriority w:val="0"/>
    <w:pPr>
      <w:spacing w:line="360" w:lineRule="auto"/>
    </w:pPr>
    <w:rPr>
      <w:rFonts w:ascii="宋体" w:hAnsi="宋体" w:eastAsia="宋体" w:cs="宋体"/>
      <w:color w:val="548235" w:themeColor="accent6" w:themeShade="BF"/>
      <w:kern w:val="0"/>
      <w:sz w:val="24"/>
      <w:szCs w:val="24"/>
    </w:rPr>
  </w:style>
  <w:style w:type="paragraph" w:customStyle="1" w:styleId="50">
    <w:name w:val="正文A"/>
    <w:basedOn w:val="1"/>
    <w:qFormat/>
    <w:uiPriority w:val="0"/>
    <w:pPr>
      <w:spacing w:line="360" w:lineRule="auto"/>
    </w:pPr>
    <w:rPr>
      <w:rFonts w:ascii="宋体" w:hAnsi="宋体" w:eastAsia="宋体" w:cs="宋体"/>
      <w:color w:val="FF0000"/>
      <w:kern w:val="0"/>
      <w:sz w:val="24"/>
      <w:szCs w:val="24"/>
    </w:rPr>
  </w:style>
  <w:style w:type="table" w:customStyle="1" w:styleId="51">
    <w:name w:val="网格型浅色1"/>
    <w:basedOn w:val="3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52">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53">
    <w:name w:val="小干表内"/>
    <w:basedOn w:val="1"/>
    <w:qFormat/>
    <w:uiPriority w:val="99"/>
    <w:pPr>
      <w:jc w:val="left"/>
    </w:pPr>
    <w:rPr>
      <w:rFonts w:ascii="宋体" w:hAnsi="宋体" w:cs="黑体" w:eastAsiaTheme="minorEastAsia"/>
    </w:rPr>
  </w:style>
  <w:style w:type="paragraph" w:customStyle="1" w:styleId="54">
    <w:name w:val="图表题注"/>
    <w:basedOn w:val="1"/>
    <w:next w:val="1"/>
    <w:qFormat/>
    <w:uiPriority w:val="0"/>
    <w:pPr>
      <w:adjustRightInd w:val="0"/>
      <w:snapToGrid w:val="0"/>
      <w:spacing w:line="360" w:lineRule="auto"/>
      <w:jc w:val="center"/>
    </w:pPr>
    <w:rPr>
      <w:rFonts w:ascii="Calibri" w:hAnsi="Calibri" w:eastAsia="宋体"/>
      <w:b/>
      <w:bCs/>
      <w:sz w:val="24"/>
      <w:szCs w:val="24"/>
    </w:rPr>
  </w:style>
  <w:style w:type="paragraph" w:customStyle="1" w:styleId="55">
    <w:name w:val="表中字"/>
    <w:basedOn w:val="56"/>
    <w:next w:val="1"/>
    <w:qFormat/>
    <w:uiPriority w:val="99"/>
    <w:pPr>
      <w:adjustRightInd w:val="0"/>
      <w:snapToGrid w:val="0"/>
      <w:jc w:val="center"/>
    </w:pPr>
    <w:rPr>
      <w:rFonts w:ascii="Times New Roman" w:hAnsi="Times New Roman" w:eastAsia="宋体"/>
    </w:rPr>
  </w:style>
  <w:style w:type="paragraph" w:customStyle="1" w:styleId="56">
    <w:name w:val="图表题"/>
    <w:basedOn w:val="1"/>
    <w:next w:val="1"/>
    <w:qFormat/>
    <w:uiPriority w:val="0"/>
    <w:pPr>
      <w:ind w:firstLine="0" w:firstLineChars="0"/>
      <w:jc w:val="center"/>
    </w:pPr>
    <w:rPr>
      <w:rFonts w:ascii="Times New Roman" w:hAnsi="Times New Roman"/>
      <w:b/>
    </w:rPr>
  </w:style>
  <w:style w:type="paragraph" w:customStyle="1" w:styleId="57">
    <w:name w:val="表格"/>
    <w:basedOn w:val="1"/>
    <w:qFormat/>
    <w:uiPriority w:val="0"/>
    <w:pPr>
      <w:adjustRightInd w:val="0"/>
      <w:snapToGrid w:val="0"/>
      <w:spacing w:line="500" w:lineRule="exact"/>
      <w:ind w:firstLine="200" w:firstLineChars="200"/>
      <w:jc w:val="center"/>
    </w:pPr>
    <w:rPr>
      <w:rFonts w:ascii="仿宋" w:hAnsi="仿宋" w:eastAsia="黑体"/>
      <w:color w:val="000000" w:themeColor="text1"/>
      <w:sz w:val="21"/>
      <w:szCs w:val="20"/>
      <w14:textFill>
        <w14:solidFill>
          <w14:schemeClr w14:val="tx1"/>
        </w14:solidFill>
      </w14:textFill>
    </w:rPr>
  </w:style>
  <w:style w:type="paragraph" w:customStyle="1" w:styleId="58">
    <w:name w:val="6正文"/>
    <w:basedOn w:val="1"/>
    <w:qFormat/>
    <w:uiPriority w:val="0"/>
    <w:pPr>
      <w:widowControl/>
      <w:adjustRightInd w:val="0"/>
      <w:snapToGrid w:val="0"/>
      <w:spacing w:line="360" w:lineRule="auto"/>
      <w:ind w:firstLine="480" w:firstLineChars="200"/>
    </w:pPr>
    <w:rPr>
      <w:rFonts w:ascii="宋体" w:hAnsi="宋体" w:eastAsia="宋体" w:cs="宋体"/>
      <w:kern w:val="0"/>
      <w:sz w:val="24"/>
      <w:szCs w:val="24"/>
    </w:rPr>
  </w:style>
  <w:style w:type="paragraph" w:customStyle="1" w:styleId="59">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60">
    <w:name w:val="图名z"/>
    <w:basedOn w:val="1"/>
    <w:qFormat/>
    <w:uiPriority w:val="99"/>
    <w:pPr>
      <w:spacing w:beforeLines="50" w:line="360" w:lineRule="auto"/>
      <w:jc w:val="center"/>
    </w:pPr>
    <w:rPr>
      <w:rFonts w:ascii="Calibri" w:hAnsi="Calibri" w:eastAsia="宋体"/>
      <w:sz w:val="24"/>
      <w:szCs w:val="24"/>
    </w:rPr>
  </w:style>
  <w:style w:type="paragraph" w:customStyle="1" w:styleId="61">
    <w:name w:val="正文1"/>
    <w:basedOn w:val="1"/>
    <w:qFormat/>
    <w:uiPriority w:val="99"/>
    <w:pPr>
      <w:adjustRightInd w:val="0"/>
      <w:snapToGrid w:val="0"/>
      <w:spacing w:line="360" w:lineRule="auto"/>
      <w:ind w:firstLine="200" w:firstLineChars="200"/>
      <w:jc w:val="left"/>
    </w:pPr>
    <w:rPr>
      <w:rFonts w:ascii="Calibri" w:hAnsi="Calibri" w:eastAsia="宋体"/>
      <w:kern w:val="0"/>
      <w:sz w:val="24"/>
      <w:szCs w:val="24"/>
    </w:rPr>
  </w:style>
  <w:style w:type="paragraph" w:customStyle="1" w:styleId="62">
    <w:name w:val="样式 (中文) 宋体 四号 行距: 1.5 倍行距"/>
    <w:basedOn w:val="1"/>
    <w:qFormat/>
    <w:uiPriority w:val="0"/>
    <w:pPr>
      <w:adjustRightInd w:val="0"/>
      <w:snapToGrid w:val="0"/>
      <w:spacing w:line="360" w:lineRule="auto"/>
      <w:ind w:firstLine="560" w:firstLineChars="200"/>
      <w:jc w:val="left"/>
    </w:pPr>
    <w:rPr>
      <w:rFonts w:ascii="Calibri" w:hAnsi="Calibri" w:eastAsia="宋体" w:cs="宋体"/>
      <w:sz w:val="24"/>
      <w:szCs w:val="20"/>
    </w:rPr>
  </w:style>
  <w:style w:type="paragraph" w:customStyle="1" w:styleId="63">
    <w:name w:val="7图表"/>
    <w:qFormat/>
    <w:uiPriority w:val="0"/>
    <w:pPr>
      <w:jc w:val="center"/>
    </w:pPr>
    <w:rPr>
      <w:rFonts w:ascii="宋体" w:hAnsi="宋体" w:eastAsia="宋体" w:cs="Times New Roman"/>
      <w:b/>
      <w:sz w:val="24"/>
      <w:szCs w:val="21"/>
      <w:lang w:val="en-US" w:eastAsia="zh-CN" w:bidi="ar-SA"/>
    </w:rPr>
  </w:style>
  <w:style w:type="paragraph" w:customStyle="1" w:styleId="64">
    <w:name w:val="正文文本缩进3"/>
    <w:basedOn w:val="1"/>
    <w:qFormat/>
    <w:uiPriority w:val="99"/>
    <w:pPr>
      <w:adjustRightInd w:val="0"/>
      <w:snapToGrid w:val="0"/>
      <w:spacing w:after="120" w:line="360" w:lineRule="auto"/>
      <w:ind w:left="420" w:leftChars="200" w:firstLine="200" w:firstLineChars="200"/>
      <w:jc w:val="left"/>
    </w:pPr>
    <w:rPr>
      <w:rFonts w:ascii="Calibri" w:hAnsi="Calibri" w:eastAsia="宋体"/>
      <w:szCs w:val="24"/>
    </w:rPr>
  </w:style>
  <w:style w:type="paragraph" w:customStyle="1" w:styleId="65">
    <w:name w:val="正文正"/>
    <w:basedOn w:val="1"/>
    <w:qFormat/>
    <w:uiPriority w:val="99"/>
    <w:pPr>
      <w:widowControl/>
      <w:spacing w:line="500" w:lineRule="exact"/>
      <w:ind w:firstLine="480" w:firstLineChars="200"/>
    </w:pPr>
    <w:rPr>
      <w:rFonts w:ascii="宋体" w:hAnsi="宋体" w:eastAsia="宋体" w:cs="宋体"/>
      <w:sz w:val="24"/>
      <w:szCs w:val="24"/>
    </w:rPr>
  </w:style>
  <w:style w:type="paragraph" w:customStyle="1" w:styleId="66">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paragraph" w:customStyle="1" w:styleId="67">
    <w:name w:val="正文格式"/>
    <w:basedOn w:val="1"/>
    <w:qFormat/>
    <w:uiPriority w:val="99"/>
    <w:pPr>
      <w:spacing w:beforeLines="50" w:line="480" w:lineRule="exact"/>
      <w:ind w:firstLine="480" w:firstLineChars="200"/>
      <w:jc w:val="left"/>
    </w:pPr>
    <w:rPr>
      <w:rFonts w:ascii="Calibri" w:hAnsi="Calibri" w:eastAsia="宋体"/>
      <w:sz w:val="24"/>
      <w:szCs w:val="24"/>
    </w:rPr>
  </w:style>
  <w:style w:type="paragraph" w:customStyle="1" w:styleId="68">
    <w:name w:val="Table Paragraph"/>
    <w:basedOn w:val="1"/>
    <w:qFormat/>
    <w:uiPriority w:val="1"/>
    <w:pPr>
      <w:jc w:val="left"/>
    </w:pPr>
    <w:rPr>
      <w:rFonts w:asciiTheme="minorHAnsi" w:hAnsiTheme="minorHAnsi" w:eastAsiaTheme="minorEastAsia" w:cstheme="minorBidi"/>
      <w:kern w:val="0"/>
      <w:sz w:val="22"/>
      <w:lang w:eastAsia="en-US"/>
    </w:rPr>
  </w:style>
  <w:style w:type="table" w:customStyle="1" w:styleId="69">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character" w:customStyle="1" w:styleId="70">
    <w:name w:val="正文B Char"/>
    <w:link w:val="47"/>
    <w:qFormat/>
    <w:uiPriority w:val="0"/>
    <w:rPr>
      <w:rFonts w:ascii="宋体" w:hAnsi="宋体" w:eastAsia="黑体" w:cs="宋体"/>
      <w:color w:val="FF0000"/>
      <w:kern w:val="0"/>
      <w:sz w:val="24"/>
      <w:szCs w:val="24"/>
    </w:rPr>
  </w:style>
  <w:style w:type="character" w:customStyle="1" w:styleId="71">
    <w:name w:val="正文C Char"/>
    <w:link w:val="48"/>
    <w:qFormat/>
    <w:uiPriority w:val="0"/>
    <w:rPr>
      <w:rFonts w:ascii="宋体" w:hAnsi="宋体" w:cs="宋体"/>
      <w:color w:val="535353" w:themeColor="accent3" w:themeShade="80"/>
      <w:sz w:val="24"/>
      <w:szCs w:val="24"/>
    </w:rPr>
  </w:style>
  <w:style w:type="paragraph" w:styleId="72">
    <w:name w:val="No Spacing"/>
    <w:basedOn w:val="1"/>
    <w:next w:val="1"/>
    <w:link w:val="140"/>
    <w:qFormat/>
    <w:uiPriority w:val="0"/>
    <w:pPr>
      <w:widowControl w:val="0"/>
      <w:spacing w:line="360" w:lineRule="auto"/>
      <w:jc w:val="center"/>
    </w:pPr>
    <w:rPr>
      <w:rFonts w:ascii="黑体" w:hAnsi="黑体" w:eastAsia="黑体" w:cs="Times New Roman"/>
      <w:sz w:val="21"/>
      <w:lang w:val="en-US" w:eastAsia="zh-CN" w:bidi="ar-SA"/>
    </w:rPr>
  </w:style>
  <w:style w:type="character" w:customStyle="1" w:styleId="73">
    <w:name w:val="comment-number"/>
    <w:basedOn w:val="32"/>
    <w:qFormat/>
    <w:uiPriority w:val="0"/>
    <w:rPr>
      <w:color w:val="FBA222"/>
    </w:rPr>
  </w:style>
  <w:style w:type="character" w:customStyle="1" w:styleId="74">
    <w:name w:val="comment-text-w"/>
    <w:basedOn w:val="32"/>
    <w:qFormat/>
    <w:uiPriority w:val="0"/>
    <w:rPr>
      <w:color w:val="FBA222"/>
    </w:rPr>
  </w:style>
  <w:style w:type="character" w:customStyle="1" w:styleId="75">
    <w:name w:val="comment-link-num"/>
    <w:basedOn w:val="32"/>
    <w:qFormat/>
    <w:uiPriority w:val="0"/>
  </w:style>
  <w:style w:type="character" w:customStyle="1" w:styleId="76">
    <w:name w:val="wrap-name-w"/>
    <w:basedOn w:val="32"/>
    <w:qFormat/>
    <w:uiPriority w:val="0"/>
    <w:rPr>
      <w:rFonts w:ascii="微软雅黑" w:hAnsi="微软雅黑" w:eastAsia="微软雅黑" w:cs="微软雅黑"/>
      <w:color w:val="FBA222"/>
      <w:sz w:val="19"/>
      <w:szCs w:val="19"/>
    </w:rPr>
  </w:style>
  <w:style w:type="character" w:customStyle="1" w:styleId="77">
    <w:name w:val="text-null"/>
    <w:basedOn w:val="32"/>
    <w:qFormat/>
    <w:uiPriority w:val="0"/>
    <w:rPr>
      <w:color w:val="FBA222"/>
    </w:rPr>
  </w:style>
  <w:style w:type="character" w:customStyle="1" w:styleId="78">
    <w:name w:val="prompt-empty-w"/>
    <w:basedOn w:val="32"/>
    <w:qFormat/>
    <w:uiPriority w:val="0"/>
    <w:rPr>
      <w:vanish/>
      <w:color w:val="FBA222"/>
      <w:sz w:val="14"/>
      <w:szCs w:val="14"/>
    </w:rPr>
  </w:style>
  <w:style w:type="character" w:customStyle="1" w:styleId="79">
    <w:name w:val="prop-span"/>
    <w:basedOn w:val="32"/>
    <w:qFormat/>
    <w:uiPriority w:val="0"/>
  </w:style>
  <w:style w:type="character" w:customStyle="1" w:styleId="80">
    <w:name w:val="comment-link-numtext"/>
    <w:basedOn w:val="32"/>
    <w:qFormat/>
    <w:uiPriority w:val="0"/>
  </w:style>
  <w:style w:type="character" w:customStyle="1" w:styleId="81">
    <w:name w:val="cy-number"/>
    <w:basedOn w:val="32"/>
    <w:qFormat/>
    <w:uiPriority w:val="0"/>
    <w:rPr>
      <w:rFonts w:ascii="Impact" w:hAnsi="Impact" w:eastAsia="Impact" w:cs="Impact"/>
      <w:color w:val="FBA222"/>
      <w:sz w:val="24"/>
      <w:szCs w:val="24"/>
    </w:rPr>
  </w:style>
  <w:style w:type="character" w:customStyle="1" w:styleId="82">
    <w:name w:val="prompt-empty-w4"/>
    <w:basedOn w:val="32"/>
    <w:qFormat/>
    <w:uiPriority w:val="0"/>
    <w:rPr>
      <w:color w:val="FBA222"/>
    </w:rPr>
  </w:style>
  <w:style w:type="character" w:customStyle="1" w:styleId="83">
    <w:name w:val="cy-number2"/>
    <w:basedOn w:val="32"/>
    <w:qFormat/>
    <w:uiPriority w:val="0"/>
    <w:rPr>
      <w:color w:val="FBA222"/>
    </w:rPr>
  </w:style>
  <w:style w:type="paragraph" w:customStyle="1" w:styleId="84">
    <w:name w:val="正文标题"/>
    <w:basedOn w:val="1"/>
    <w:qFormat/>
    <w:uiPriority w:val="0"/>
    <w:pPr>
      <w:adjustRightInd w:val="0"/>
      <w:snapToGrid w:val="0"/>
      <w:jc w:val="left"/>
    </w:pPr>
    <w:rPr>
      <w:b/>
      <w:sz w:val="28"/>
      <w:szCs w:val="24"/>
    </w:rPr>
  </w:style>
  <w:style w:type="paragraph" w:customStyle="1" w:styleId="85">
    <w:name w:val="p0"/>
    <w:basedOn w:val="1"/>
    <w:qFormat/>
    <w:uiPriority w:val="0"/>
    <w:pPr>
      <w:widowControl/>
      <w:spacing w:before="100" w:beforeAutospacing="1" w:after="100" w:afterAutospacing="1"/>
      <w:jc w:val="left"/>
    </w:pPr>
    <w:rPr>
      <w:rFonts w:ascii="宋体" w:hAnsi="宋体" w:cs="宋体"/>
      <w:szCs w:val="24"/>
    </w:rPr>
  </w:style>
  <w:style w:type="paragraph" w:customStyle="1" w:styleId="86">
    <w:name w:val="图片"/>
    <w:basedOn w:val="1"/>
    <w:link w:val="87"/>
    <w:qFormat/>
    <w:uiPriority w:val="0"/>
    <w:pPr>
      <w:spacing w:line="360" w:lineRule="auto"/>
      <w:jc w:val="center"/>
    </w:pPr>
    <w:rPr>
      <w:rFonts w:ascii="宋体" w:hAnsi="宋体" w:eastAsia="宋体" w:cs="宋体"/>
      <w:b/>
      <w:color w:val="0766D4"/>
      <w:kern w:val="0"/>
      <w:sz w:val="24"/>
      <w:szCs w:val="20"/>
    </w:rPr>
  </w:style>
  <w:style w:type="character" w:customStyle="1" w:styleId="87">
    <w:name w:val="图片 Char"/>
    <w:link w:val="86"/>
    <w:qFormat/>
    <w:uiPriority w:val="0"/>
    <w:rPr>
      <w:rFonts w:ascii="宋体" w:hAnsi="宋体" w:cs="宋体"/>
      <w:b/>
      <w:color w:val="0766D4"/>
      <w:sz w:val="24"/>
    </w:rPr>
  </w:style>
  <w:style w:type="paragraph" w:customStyle="1" w:styleId="88">
    <w:name w:val="表文字"/>
    <w:basedOn w:val="1"/>
    <w:qFormat/>
    <w:uiPriority w:val="0"/>
    <w:pPr>
      <w:jc w:val="center"/>
    </w:pPr>
    <w:rPr>
      <w:rFonts w:ascii="宋体" w:hAnsi="宋体" w:eastAsia="宋体" w:cs="宋体"/>
      <w:color w:val="000000" w:themeColor="text1"/>
      <w:szCs w:val="24"/>
      <w14:textFill>
        <w14:solidFill>
          <w14:schemeClr w14:val="tx1"/>
        </w14:solidFill>
      </w14:textFill>
    </w:rPr>
  </w:style>
  <w:style w:type="character" w:customStyle="1" w:styleId="89">
    <w:name w:val="批注框文本 字符"/>
    <w:basedOn w:val="32"/>
    <w:link w:val="22"/>
    <w:qFormat/>
    <w:uiPriority w:val="0"/>
    <w:rPr>
      <w:rFonts w:ascii="等线" w:hAnsi="等线" w:eastAsia="仿宋"/>
      <w:kern w:val="2"/>
      <w:sz w:val="18"/>
      <w:szCs w:val="18"/>
    </w:rPr>
  </w:style>
  <w:style w:type="paragraph" w:customStyle="1" w:styleId="90">
    <w:name w:val="Revision"/>
    <w:hidden/>
    <w:semiHidden/>
    <w:qFormat/>
    <w:uiPriority w:val="99"/>
    <w:rPr>
      <w:rFonts w:ascii="等线" w:hAnsi="等线" w:eastAsia="仿宋" w:cs="Times New Roman"/>
      <w:kern w:val="2"/>
      <w:sz w:val="21"/>
      <w:szCs w:val="22"/>
      <w:lang w:val="en-US" w:eastAsia="zh-CN" w:bidi="ar-SA"/>
    </w:rPr>
  </w:style>
  <w:style w:type="paragraph" w:customStyle="1" w:styleId="91">
    <w:name w:val="正文 1）"/>
    <w:basedOn w:val="1"/>
    <w:next w:val="1"/>
    <w:qFormat/>
    <w:uiPriority w:val="0"/>
    <w:pPr>
      <w:tabs>
        <w:tab w:val="left" w:pos="-204"/>
        <w:tab w:val="left" w:pos="0"/>
      </w:tabs>
      <w:adjustRightInd w:val="0"/>
      <w:snapToGrid w:val="0"/>
      <w:spacing w:line="430" w:lineRule="exact"/>
      <w:ind w:left="-624"/>
      <w:jc w:val="left"/>
    </w:pPr>
    <w:rPr>
      <w:rFonts w:ascii="宋体" w:hAnsi="宋体" w:eastAsia="宋体" w:cs="宋体"/>
      <w:snapToGrid w:val="0"/>
      <w:kern w:val="0"/>
      <w:sz w:val="24"/>
      <w:szCs w:val="24"/>
    </w:rPr>
  </w:style>
  <w:style w:type="paragraph" w:customStyle="1" w:styleId="92">
    <w:name w:val="正文 a"/>
    <w:basedOn w:val="1"/>
    <w:next w:val="1"/>
    <w:qFormat/>
    <w:uiPriority w:val="0"/>
    <w:pPr>
      <w:tabs>
        <w:tab w:val="left" w:pos="420"/>
        <w:tab w:val="left" w:pos="568"/>
      </w:tabs>
      <w:adjustRightInd w:val="0"/>
      <w:snapToGrid w:val="0"/>
      <w:spacing w:line="430" w:lineRule="exact"/>
      <w:ind w:left="-56"/>
      <w:jc w:val="left"/>
    </w:pPr>
    <w:rPr>
      <w:rFonts w:ascii="宋体" w:hAnsi="宋体" w:eastAsia="宋体" w:cs="宋体"/>
      <w:snapToGrid w:val="0"/>
      <w:kern w:val="0"/>
      <w:sz w:val="24"/>
      <w:szCs w:val="24"/>
    </w:rPr>
  </w:style>
  <w:style w:type="paragraph" w:customStyle="1" w:styleId="93">
    <w:name w:val="40正文(1)"/>
    <w:basedOn w:val="1"/>
    <w:link w:val="98"/>
    <w:qFormat/>
    <w:uiPriority w:val="0"/>
    <w:pPr>
      <w:tabs>
        <w:tab w:val="left" w:pos="0"/>
        <w:tab w:val="left" w:pos="420"/>
        <w:tab w:val="left" w:pos="478"/>
        <w:tab w:val="left" w:pos="510"/>
      </w:tabs>
      <w:adjustRightInd w:val="0"/>
      <w:snapToGrid w:val="0"/>
      <w:spacing w:line="430" w:lineRule="exact"/>
      <w:ind w:left="58"/>
      <w:jc w:val="left"/>
    </w:pPr>
    <w:rPr>
      <w:rFonts w:ascii="宋体" w:hAnsi="宋体" w:eastAsia="宋体" w:cs="宋体"/>
      <w:snapToGrid w:val="0"/>
      <w:kern w:val="0"/>
      <w:sz w:val="24"/>
      <w:szCs w:val="24"/>
    </w:rPr>
  </w:style>
  <w:style w:type="paragraph" w:customStyle="1" w:styleId="94">
    <w:name w:val="70标题表格"/>
    <w:basedOn w:val="1"/>
    <w:next w:val="1"/>
    <w:link w:val="99"/>
    <w:qFormat/>
    <w:uiPriority w:val="0"/>
    <w:pPr>
      <w:tabs>
        <w:tab w:val="left" w:pos="42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95">
    <w:name w:val="80标题图片"/>
    <w:basedOn w:val="1"/>
    <w:next w:val="1"/>
    <w:qFormat/>
    <w:uiPriority w:val="0"/>
    <w:pPr>
      <w:tabs>
        <w:tab w:val="left" w:pos="0"/>
        <w:tab w:val="left" w:pos="2973"/>
        <w:tab w:val="left" w:pos="3540"/>
        <w:tab w:val="left" w:pos="3681"/>
        <w:tab w:val="left" w:pos="4107"/>
      </w:tabs>
      <w:adjustRightInd w:val="0"/>
      <w:snapToGrid w:val="0"/>
      <w:spacing w:after="120" w:line="430" w:lineRule="exact"/>
      <w:ind w:left="3687"/>
      <w:jc w:val="center"/>
    </w:pPr>
    <w:rPr>
      <w:rFonts w:ascii="宋体" w:hAnsi="宋体" w:eastAsia="宋体" w:cs="宋体"/>
      <w:b/>
      <w:snapToGrid w:val="0"/>
      <w:kern w:val="0"/>
      <w:szCs w:val="21"/>
    </w:rPr>
  </w:style>
  <w:style w:type="paragraph" w:customStyle="1" w:styleId="96">
    <w:name w:val="90表格序号"/>
    <w:basedOn w:val="1"/>
    <w:next w:val="1"/>
    <w:qFormat/>
    <w:uiPriority w:val="0"/>
    <w:pPr>
      <w:tabs>
        <w:tab w:val="left" w:pos="0"/>
      </w:tabs>
      <w:adjustRightInd w:val="0"/>
      <w:snapToGrid w:val="0"/>
      <w:jc w:val="center"/>
    </w:pPr>
    <w:rPr>
      <w:rFonts w:ascii="宋体" w:hAnsi="宋体" w:eastAsia="宋体" w:cs="宋体"/>
      <w:snapToGrid w:val="0"/>
      <w:kern w:val="0"/>
      <w:szCs w:val="21"/>
    </w:rPr>
  </w:style>
  <w:style w:type="paragraph" w:customStyle="1" w:styleId="97">
    <w:name w:val="81图片居中"/>
    <w:basedOn w:val="1"/>
    <w:next w:val="1"/>
    <w:qFormat/>
    <w:uiPriority w:val="0"/>
    <w:pPr>
      <w:adjustRightInd w:val="0"/>
      <w:snapToGrid w:val="0"/>
      <w:spacing w:before="80" w:beforeLines="80"/>
      <w:jc w:val="center"/>
    </w:pPr>
    <w:rPr>
      <w:rFonts w:ascii="宋体" w:hAnsi="宋体" w:eastAsia="宋体" w:cs="宋体"/>
      <w:snapToGrid w:val="0"/>
      <w:kern w:val="0"/>
      <w:sz w:val="24"/>
      <w:szCs w:val="24"/>
    </w:rPr>
  </w:style>
  <w:style w:type="character" w:customStyle="1" w:styleId="98">
    <w:name w:val="正文（1） Char"/>
    <w:link w:val="93"/>
    <w:qFormat/>
    <w:uiPriority w:val="0"/>
    <w:rPr>
      <w:rFonts w:ascii="宋体" w:hAnsi="宋体" w:cs="宋体"/>
      <w:snapToGrid w:val="0"/>
      <w:sz w:val="24"/>
      <w:szCs w:val="24"/>
    </w:rPr>
  </w:style>
  <w:style w:type="character" w:customStyle="1" w:styleId="99">
    <w:name w:val="70标题表格 Char"/>
    <w:link w:val="94"/>
    <w:qFormat/>
    <w:uiPriority w:val="0"/>
    <w:rPr>
      <w:rFonts w:ascii="宋体" w:hAnsi="宋体" w:cs="宋体"/>
      <w:b/>
      <w:bCs/>
      <w:snapToGrid w:val="0"/>
      <w:sz w:val="21"/>
      <w:szCs w:val="21"/>
    </w:rPr>
  </w:style>
  <w:style w:type="character" w:customStyle="1" w:styleId="100">
    <w:name w:val="正文文本 字符"/>
    <w:basedOn w:val="32"/>
    <w:link w:val="14"/>
    <w:qFormat/>
    <w:uiPriority w:val="0"/>
    <w:rPr>
      <w:rFonts w:ascii="等线" w:hAnsi="等线" w:eastAsia="仿宋"/>
      <w:szCs w:val="22"/>
    </w:rPr>
  </w:style>
  <w:style w:type="character" w:customStyle="1" w:styleId="101">
    <w:name w:val="正文文本首行缩进 字符"/>
    <w:basedOn w:val="100"/>
    <w:link w:val="13"/>
    <w:qFormat/>
    <w:uiPriority w:val="0"/>
    <w:rPr>
      <w:rFonts w:ascii="等线" w:hAnsi="等线" w:eastAsia="仿宋"/>
      <w:kern w:val="2"/>
      <w:sz w:val="21"/>
      <w:szCs w:val="22"/>
    </w:rPr>
  </w:style>
  <w:style w:type="paragraph" w:customStyle="1" w:styleId="102">
    <w:name w:val="72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03">
    <w:name w:val="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04">
    <w:name w:val="BT正文"/>
    <w:basedOn w:val="1"/>
    <w:qFormat/>
    <w:uiPriority w:val="0"/>
    <w:pPr>
      <w:adjustRightInd w:val="0"/>
      <w:snapToGrid w:val="0"/>
      <w:spacing w:line="430" w:lineRule="exact"/>
      <w:ind w:firstLine="562" w:firstLineChars="200"/>
    </w:pPr>
    <w:rPr>
      <w:rFonts w:ascii="宋体" w:hAnsi="宋体" w:eastAsia="宋体"/>
      <w:snapToGrid w:val="0"/>
      <w:kern w:val="0"/>
      <w:sz w:val="24"/>
      <w:szCs w:val="20"/>
    </w:rPr>
  </w:style>
  <w:style w:type="paragraph" w:customStyle="1" w:styleId="105">
    <w:name w:val="表格文字"/>
    <w:basedOn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106">
    <w:name w:val="插图"/>
    <w:basedOn w:val="1"/>
    <w:qFormat/>
    <w:uiPriority w:val="0"/>
    <w:pPr>
      <w:adjustRightInd w:val="0"/>
      <w:snapToGrid w:val="0"/>
      <w:jc w:val="center"/>
    </w:pPr>
    <w:rPr>
      <w:rFonts w:ascii="Times New Roman" w:hAnsi="Times New Roman" w:eastAsia="宋体" w:cs="宋体"/>
      <w:snapToGrid w:val="0"/>
      <w:kern w:val="0"/>
      <w:sz w:val="24"/>
      <w:szCs w:val="20"/>
    </w:rPr>
  </w:style>
  <w:style w:type="paragraph" w:customStyle="1" w:styleId="107">
    <w:name w:val="表格五号"/>
    <w:basedOn w:val="1"/>
    <w:qFormat/>
    <w:uiPriority w:val="0"/>
    <w:pPr>
      <w:adjustRightInd w:val="0"/>
      <w:snapToGrid w:val="0"/>
      <w:jc w:val="center"/>
    </w:pPr>
    <w:rPr>
      <w:rFonts w:ascii="宋体" w:hAnsi="宋体" w:eastAsia="宋体" w:cs="宋体"/>
      <w:snapToGrid w:val="0"/>
      <w:kern w:val="0"/>
      <w:sz w:val="21"/>
      <w:szCs w:val="21"/>
    </w:rPr>
  </w:style>
  <w:style w:type="paragraph" w:customStyle="1" w:styleId="108">
    <w:name w:val="71表格五号"/>
    <w:basedOn w:val="1"/>
    <w:qFormat/>
    <w:uiPriority w:val="0"/>
    <w:pPr>
      <w:adjustRightInd w:val="0"/>
      <w:snapToGrid w:val="0"/>
      <w:jc w:val="center"/>
    </w:pPr>
    <w:rPr>
      <w:rFonts w:ascii="宋体" w:hAnsi="宋体" w:eastAsia="宋体" w:cs="宋体"/>
      <w:snapToGrid w:val="0"/>
      <w:kern w:val="0"/>
      <w:szCs w:val="21"/>
    </w:rPr>
  </w:style>
  <w:style w:type="paragraph" w:customStyle="1" w:styleId="109">
    <w:name w:val="正文（1）"/>
    <w:basedOn w:val="1"/>
    <w:next w:val="1"/>
    <w:link w:val="110"/>
    <w:qFormat/>
    <w:uiPriority w:val="0"/>
    <w:pPr>
      <w:tabs>
        <w:tab w:val="left" w:pos="510"/>
      </w:tabs>
      <w:adjustRightInd w:val="0"/>
      <w:snapToGrid w:val="0"/>
      <w:spacing w:line="430" w:lineRule="exact"/>
      <w:ind w:firstLine="510"/>
      <w:jc w:val="left"/>
    </w:pPr>
    <w:rPr>
      <w:rFonts w:ascii="宋体" w:hAnsi="宋体" w:eastAsia="宋体" w:cs="宋体"/>
      <w:snapToGrid w:val="0"/>
      <w:kern w:val="0"/>
      <w:sz w:val="24"/>
      <w:szCs w:val="24"/>
    </w:rPr>
  </w:style>
  <w:style w:type="character" w:customStyle="1" w:styleId="110">
    <w:name w:val="正文（1） Char1"/>
    <w:link w:val="109"/>
    <w:qFormat/>
    <w:uiPriority w:val="0"/>
    <w:rPr>
      <w:rFonts w:ascii="宋体" w:hAnsi="宋体" w:cs="宋体"/>
      <w:snapToGrid w:val="0"/>
      <w:sz w:val="24"/>
      <w:szCs w:val="24"/>
    </w:rPr>
  </w:style>
  <w:style w:type="character" w:customStyle="1" w:styleId="111">
    <w:name w:val="标题 5 字符"/>
    <w:basedOn w:val="32"/>
    <w:link w:val="7"/>
    <w:qFormat/>
    <w:uiPriority w:val="0"/>
    <w:rPr>
      <w:rFonts w:ascii="等线" w:hAnsi="等线" w:eastAsia="仿宋"/>
      <w:b/>
      <w:bCs/>
      <w:kern w:val="2"/>
      <w:sz w:val="24"/>
      <w:szCs w:val="28"/>
    </w:rPr>
  </w:style>
  <w:style w:type="character" w:customStyle="1" w:styleId="112">
    <w:name w:val="标题 6 字符"/>
    <w:basedOn w:val="32"/>
    <w:link w:val="8"/>
    <w:qFormat/>
    <w:uiPriority w:val="0"/>
    <w:rPr>
      <w:rFonts w:ascii="Arial" w:hAnsi="Arial" w:eastAsia="黑体" w:cs="宋体"/>
      <w:b/>
      <w:snapToGrid w:val="0"/>
      <w:sz w:val="24"/>
      <w:szCs w:val="24"/>
    </w:rPr>
  </w:style>
  <w:style w:type="character" w:customStyle="1" w:styleId="113">
    <w:name w:val="批注文字 字符"/>
    <w:basedOn w:val="32"/>
    <w:link w:val="18"/>
    <w:qFormat/>
    <w:uiPriority w:val="0"/>
    <w:rPr>
      <w:rFonts w:ascii="等线" w:hAnsi="等线" w:eastAsia="仿宋"/>
      <w:kern w:val="2"/>
      <w:sz w:val="21"/>
      <w:szCs w:val="22"/>
    </w:rPr>
  </w:style>
  <w:style w:type="character" w:customStyle="1" w:styleId="114">
    <w:name w:val="标题 7 字符"/>
    <w:basedOn w:val="32"/>
    <w:link w:val="9"/>
    <w:qFormat/>
    <w:uiPriority w:val="0"/>
    <w:rPr>
      <w:rFonts w:ascii="宋体" w:hAnsi="宋体" w:cs="宋体"/>
      <w:b/>
      <w:snapToGrid w:val="0"/>
      <w:sz w:val="24"/>
      <w:szCs w:val="24"/>
    </w:rPr>
  </w:style>
  <w:style w:type="character" w:customStyle="1" w:styleId="115">
    <w:name w:val="标题 8 字符"/>
    <w:basedOn w:val="32"/>
    <w:link w:val="10"/>
    <w:qFormat/>
    <w:uiPriority w:val="0"/>
    <w:rPr>
      <w:rFonts w:ascii="宋体" w:hAnsi="宋体" w:cs="宋体"/>
      <w:b/>
      <w:bCs/>
      <w:snapToGrid w:val="0"/>
      <w:sz w:val="21"/>
      <w:szCs w:val="21"/>
    </w:rPr>
  </w:style>
  <w:style w:type="character" w:customStyle="1" w:styleId="116">
    <w:name w:val="标题 9 字符"/>
    <w:basedOn w:val="32"/>
    <w:link w:val="11"/>
    <w:qFormat/>
    <w:uiPriority w:val="0"/>
    <w:rPr>
      <w:rFonts w:ascii="宋体" w:hAnsi="宋体" w:cs="宋体"/>
      <w:snapToGrid w:val="0"/>
      <w:sz w:val="21"/>
      <w:szCs w:val="21"/>
    </w:rPr>
  </w:style>
  <w:style w:type="paragraph" w:customStyle="1" w:styleId="117">
    <w:name w:val="标题表格"/>
    <w:basedOn w:val="1"/>
    <w:next w:val="1"/>
    <w:qFormat/>
    <w:uiPriority w:val="0"/>
    <w:pPr>
      <w:tabs>
        <w:tab w:val="left" w:pos="0"/>
        <w:tab w:val="left" w:pos="420"/>
      </w:tabs>
      <w:adjustRightInd w:val="0"/>
      <w:snapToGrid w:val="0"/>
      <w:spacing w:before="180" w:after="120" w:line="400" w:lineRule="atLeast"/>
      <w:jc w:val="center"/>
    </w:pPr>
    <w:rPr>
      <w:rFonts w:ascii="宋体" w:hAnsi="宋体" w:eastAsia="宋体" w:cs="宋体"/>
      <w:b/>
      <w:bCs/>
      <w:kern w:val="0"/>
      <w:szCs w:val="21"/>
    </w:rPr>
  </w:style>
  <w:style w:type="paragraph" w:customStyle="1" w:styleId="118">
    <w:name w:val="标题图画"/>
    <w:basedOn w:val="1"/>
    <w:next w:val="1"/>
    <w:qFormat/>
    <w:uiPriority w:val="0"/>
    <w:pPr>
      <w:tabs>
        <w:tab w:val="left" w:pos="0"/>
        <w:tab w:val="left" w:pos="420"/>
      </w:tabs>
      <w:adjustRightInd w:val="0"/>
      <w:snapToGrid w:val="0"/>
      <w:spacing w:after="240" w:line="400" w:lineRule="atLeast"/>
      <w:jc w:val="center"/>
    </w:pPr>
    <w:rPr>
      <w:rFonts w:ascii="宋体" w:hAnsi="宋体" w:eastAsia="宋体" w:cs="宋体"/>
      <w:b/>
      <w:kern w:val="0"/>
      <w:szCs w:val="21"/>
    </w:rPr>
  </w:style>
  <w:style w:type="paragraph" w:customStyle="1" w:styleId="119">
    <w:name w:val="表格序号"/>
    <w:basedOn w:val="1"/>
    <w:next w:val="1"/>
    <w:qFormat/>
    <w:uiPriority w:val="0"/>
    <w:pPr>
      <w:tabs>
        <w:tab w:val="left" w:pos="0"/>
      </w:tabs>
      <w:adjustRightInd w:val="0"/>
      <w:snapToGrid w:val="0"/>
      <w:jc w:val="center"/>
    </w:pPr>
    <w:rPr>
      <w:rFonts w:ascii="宋体" w:hAnsi="宋体" w:eastAsia="宋体" w:cs="宋体"/>
      <w:snapToGrid w:val="0"/>
      <w:kern w:val="0"/>
      <w:szCs w:val="21"/>
    </w:rPr>
  </w:style>
  <w:style w:type="paragraph" w:customStyle="1" w:styleId="120">
    <w:name w:val="表图居中"/>
    <w:basedOn w:val="1"/>
    <w:next w:val="1"/>
    <w:qFormat/>
    <w:uiPriority w:val="0"/>
    <w:pPr>
      <w:adjustRightInd w:val="0"/>
      <w:snapToGrid w:val="0"/>
      <w:spacing w:before="85" w:beforeLines="85"/>
      <w:jc w:val="center"/>
    </w:pPr>
    <w:rPr>
      <w:rFonts w:ascii="宋体" w:hAnsi="宋体" w:eastAsia="宋体" w:cs="宋体"/>
      <w:snapToGrid w:val="0"/>
      <w:kern w:val="0"/>
      <w:sz w:val="24"/>
      <w:szCs w:val="24"/>
    </w:rPr>
  </w:style>
  <w:style w:type="paragraph" w:customStyle="1" w:styleId="121">
    <w:name w:val="8-1图片居中"/>
    <w:basedOn w:val="1"/>
    <w:next w:val="1"/>
    <w:qFormat/>
    <w:uiPriority w:val="0"/>
    <w:pPr>
      <w:adjustRightInd w:val="0"/>
      <w:snapToGrid w:val="0"/>
      <w:spacing w:before="85" w:beforeLines="85"/>
      <w:jc w:val="center"/>
    </w:pPr>
    <w:rPr>
      <w:rFonts w:ascii="宋体" w:hAnsi="宋体" w:eastAsia="宋体" w:cs="宋体"/>
      <w:snapToGrid w:val="0"/>
      <w:kern w:val="0"/>
      <w:sz w:val="24"/>
      <w:szCs w:val="24"/>
    </w:rPr>
  </w:style>
  <w:style w:type="paragraph" w:customStyle="1" w:styleId="122">
    <w:name w:val="91正文 &gt;"/>
    <w:basedOn w:val="1"/>
    <w:qFormat/>
    <w:uiPriority w:val="0"/>
    <w:pPr>
      <w:numPr>
        <w:ilvl w:val="0"/>
        <w:numId w:val="2"/>
      </w:numPr>
      <w:tabs>
        <w:tab w:val="left" w:pos="624"/>
      </w:tabs>
      <w:adjustRightInd w:val="0"/>
      <w:snapToGrid w:val="0"/>
      <w:spacing w:line="430" w:lineRule="exact"/>
      <w:ind w:firstLine="0"/>
      <w:jc w:val="left"/>
    </w:pPr>
    <w:rPr>
      <w:rFonts w:ascii="宋体" w:hAnsi="宋体" w:eastAsia="宋体" w:cs="宋体"/>
      <w:snapToGrid w:val="0"/>
      <w:kern w:val="0"/>
      <w:sz w:val="24"/>
      <w:szCs w:val="24"/>
    </w:rPr>
  </w:style>
  <w:style w:type="paragraph" w:customStyle="1" w:styleId="123">
    <w:name w:val="插图编号"/>
    <w:basedOn w:val="106"/>
    <w:qFormat/>
    <w:uiPriority w:val="0"/>
    <w:rPr>
      <w:rFonts w:eastAsia="黑体"/>
      <w:sz w:val="21"/>
      <w:szCs w:val="24"/>
    </w:rPr>
  </w:style>
  <w:style w:type="paragraph" w:customStyle="1" w:styleId="124">
    <w:name w:val="表头字"/>
    <w:basedOn w:val="1"/>
    <w:next w:val="1"/>
    <w:qFormat/>
    <w:uiPriority w:val="0"/>
    <w:pPr>
      <w:adjustRightInd w:val="0"/>
      <w:snapToGrid w:val="0"/>
      <w:jc w:val="center"/>
    </w:pPr>
    <w:rPr>
      <w:rFonts w:ascii="Times New Roman" w:hAnsi="宋体" w:eastAsia="宋体"/>
      <w:b/>
      <w:snapToGrid w:val="0"/>
      <w:kern w:val="0"/>
      <w:sz w:val="24"/>
    </w:rPr>
  </w:style>
  <w:style w:type="paragraph" w:customStyle="1" w:styleId="125">
    <w:name w:val="插表编号"/>
    <w:basedOn w:val="126"/>
    <w:qFormat/>
    <w:uiPriority w:val="0"/>
    <w:rPr>
      <w:b/>
    </w:rPr>
  </w:style>
  <w:style w:type="paragraph" w:customStyle="1" w:styleId="126">
    <w:name w:val="插表"/>
    <w:basedOn w:val="106"/>
    <w:qFormat/>
    <w:uiPriority w:val="0"/>
    <w:rPr>
      <w:sz w:val="21"/>
      <w:szCs w:val="24"/>
    </w:rPr>
  </w:style>
  <w:style w:type="paragraph" w:customStyle="1" w:styleId="127">
    <w:name w:val="图表"/>
    <w:basedOn w:val="1"/>
    <w:qFormat/>
    <w:uiPriority w:val="0"/>
    <w:pPr>
      <w:widowControl/>
      <w:adjustRightInd w:val="0"/>
      <w:snapToGrid w:val="0"/>
      <w:jc w:val="center"/>
    </w:pPr>
    <w:rPr>
      <w:rFonts w:ascii="Times New Roman" w:hAnsi="Times New Roman" w:eastAsia="宋体"/>
      <w:bCs/>
      <w:snapToGrid w:val="0"/>
      <w:kern w:val="0"/>
      <w:szCs w:val="28"/>
      <w:lang w:eastAsia="en-US" w:bidi="en-US"/>
    </w:rPr>
  </w:style>
  <w:style w:type="paragraph" w:customStyle="1" w:styleId="128">
    <w:name w:val="61图片居中"/>
    <w:basedOn w:val="1"/>
    <w:next w:val="1"/>
    <w:qFormat/>
    <w:uiPriority w:val="0"/>
    <w:pPr>
      <w:adjustRightInd w:val="0"/>
      <w:snapToGrid w:val="0"/>
      <w:spacing w:before="80" w:beforeLines="80"/>
      <w:jc w:val="center"/>
    </w:pPr>
    <w:rPr>
      <w:rFonts w:ascii="宋体" w:hAnsi="宋体" w:eastAsia="宋体" w:cs="宋体"/>
      <w:snapToGrid w:val="0"/>
      <w:kern w:val="0"/>
      <w:sz w:val="24"/>
      <w:szCs w:val="24"/>
    </w:rPr>
  </w:style>
  <w:style w:type="paragraph" w:customStyle="1" w:styleId="129">
    <w:name w:val="60标题图片"/>
    <w:basedOn w:val="1"/>
    <w:next w:val="1"/>
    <w:qFormat/>
    <w:uiPriority w:val="0"/>
    <w:pPr>
      <w:numPr>
        <w:ilvl w:val="8"/>
        <w:numId w:val="3"/>
      </w:numPr>
      <w:adjustRightInd w:val="0"/>
      <w:snapToGrid w:val="0"/>
      <w:spacing w:after="120" w:line="430" w:lineRule="exact"/>
      <w:jc w:val="center"/>
    </w:pPr>
    <w:rPr>
      <w:rFonts w:ascii="宋体" w:hAnsi="宋体" w:eastAsia="宋体" w:cs="宋体"/>
      <w:b/>
      <w:bCs/>
      <w:snapToGrid w:val="0"/>
      <w:kern w:val="0"/>
      <w:szCs w:val="21"/>
    </w:rPr>
  </w:style>
  <w:style w:type="paragraph" w:customStyle="1" w:styleId="130">
    <w:name w:val="10正文（1）"/>
    <w:basedOn w:val="1"/>
    <w:qFormat/>
    <w:uiPriority w:val="0"/>
    <w:pPr>
      <w:numPr>
        <w:ilvl w:val="4"/>
        <w:numId w:val="3"/>
      </w:numPr>
      <w:adjustRightInd w:val="0"/>
      <w:snapToGrid w:val="0"/>
      <w:spacing w:line="430" w:lineRule="exact"/>
      <w:jc w:val="left"/>
    </w:pPr>
    <w:rPr>
      <w:rFonts w:ascii="宋体" w:hAnsi="宋体" w:eastAsia="宋体" w:cs="宋体"/>
      <w:snapToGrid w:val="0"/>
      <w:kern w:val="0"/>
      <w:sz w:val="24"/>
      <w:szCs w:val="24"/>
    </w:rPr>
  </w:style>
  <w:style w:type="paragraph" w:customStyle="1" w:styleId="131">
    <w:name w:val="50标题表格"/>
    <w:basedOn w:val="1"/>
    <w:next w:val="1"/>
    <w:qFormat/>
    <w:uiPriority w:val="0"/>
    <w:pPr>
      <w:numPr>
        <w:ilvl w:val="7"/>
        <w:numId w:val="3"/>
      </w:numPr>
      <w:tabs>
        <w:tab w:val="left" w:pos="420"/>
        <w:tab w:val="clear" w:pos="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132">
    <w:name w:val="52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33">
    <w:name w:val="54表格序号"/>
    <w:basedOn w:val="1"/>
    <w:qFormat/>
    <w:uiPriority w:val="0"/>
    <w:pPr>
      <w:numPr>
        <w:ilvl w:val="0"/>
        <w:numId w:val="4"/>
      </w:numPr>
      <w:adjustRightInd w:val="0"/>
      <w:snapToGrid w:val="0"/>
      <w:jc w:val="center"/>
    </w:pPr>
    <w:rPr>
      <w:rFonts w:ascii="宋体" w:hAnsi="宋体" w:eastAsia="宋体" w:cs="宋体"/>
      <w:snapToGrid w:val="0"/>
      <w:kern w:val="0"/>
      <w:szCs w:val="21"/>
    </w:rPr>
  </w:style>
  <w:style w:type="paragraph" w:customStyle="1" w:styleId="134">
    <w:name w:val="20正文1）"/>
    <w:basedOn w:val="1"/>
    <w:qFormat/>
    <w:uiPriority w:val="0"/>
    <w:pPr>
      <w:numPr>
        <w:ilvl w:val="5"/>
        <w:numId w:val="3"/>
      </w:numPr>
      <w:adjustRightInd w:val="0"/>
      <w:snapToGrid w:val="0"/>
      <w:spacing w:line="430" w:lineRule="exact"/>
      <w:ind w:firstLine="0"/>
      <w:jc w:val="left"/>
    </w:pPr>
    <w:rPr>
      <w:rFonts w:ascii="宋体" w:hAnsi="宋体" w:eastAsia="宋体" w:cs="宋体"/>
      <w:snapToGrid w:val="0"/>
      <w:kern w:val="0"/>
      <w:sz w:val="24"/>
      <w:szCs w:val="24"/>
    </w:rPr>
  </w:style>
  <w:style w:type="paragraph" w:customStyle="1" w:styleId="135">
    <w:name w:val="流程"/>
    <w:basedOn w:val="1"/>
    <w:qFormat/>
    <w:uiPriority w:val="0"/>
    <w:pPr>
      <w:jc w:val="center"/>
    </w:pPr>
    <w:rPr>
      <w:rFonts w:ascii="宋体" w:hAnsi="宋体" w:eastAsia="宋体" w:cs="宋体"/>
      <w:sz w:val="18"/>
      <w:szCs w:val="24"/>
    </w:rPr>
  </w:style>
  <w:style w:type="table" w:customStyle="1" w:styleId="136">
    <w:name w:val="标准样式"/>
    <w:basedOn w:val="30"/>
    <w:qFormat/>
    <w:uiPriority w:val="0"/>
    <w:pPr>
      <w:jc w:val="center"/>
    </w:pPr>
    <w:rPr>
      <w:rFonts w:ascii="Times New Roman" w:hAnsi="Times New Roman"/>
      <w:kern w:val="2"/>
    </w:rPr>
    <w:tblP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cPr>
      <w:tcBorders>
        <w:top w:val="double" w:color="0000C8" w:sz="6" w:space="0"/>
        <w:left w:val="double" w:color="0000C8" w:sz="6" w:space="0"/>
        <w:bottom w:val="double" w:color="0000C8" w:sz="6" w:space="0"/>
        <w:right w:val="double" w:color="0000C8" w:sz="6" w:space="0"/>
      </w:tcBorders>
      <w:shd w:val="clear" w:color="auto" w:fill="D9D9D9"/>
      <w:vAlign w:val="center"/>
    </w:tcPr>
    <w:tblStylePr w:type="firstRow">
      <w:rPr>
        <w:b/>
      </w:rPr>
      <w:tcPr>
        <w:shd w:val="clear" w:color="auto" w:fill="B6DDE8"/>
      </w:tcPr>
    </w:tblStylePr>
    <w:tblStylePr w:type="firstCol">
      <w:rPr>
        <w:b/>
      </w:rPr>
      <w:tcPr>
        <w:shd w:val="clear" w:color="auto" w:fill="FBD4B4"/>
      </w:tcPr>
    </w:tblStylePr>
  </w:style>
  <w:style w:type="paragraph" w:customStyle="1" w:styleId="13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38">
    <w:name w:val="图居中、图表标题"/>
    <w:basedOn w:val="1"/>
    <w:next w:val="1"/>
    <w:link w:val="141"/>
    <w:qFormat/>
    <w:uiPriority w:val="0"/>
    <w:pPr>
      <w:spacing w:line="360" w:lineRule="auto"/>
      <w:jc w:val="center"/>
    </w:pPr>
    <w:rPr>
      <w:rFonts w:ascii="Times New Roman" w:hAnsi="Times New Roman" w:eastAsia="宋体" w:cs="宋体"/>
      <w:b/>
      <w:color w:val="0000C8"/>
      <w:kern w:val="0"/>
      <w:sz w:val="24"/>
      <w:szCs w:val="20"/>
    </w:rPr>
  </w:style>
  <w:style w:type="table" w:customStyle="1" w:styleId="139">
    <w:name w:val="样式4"/>
    <w:basedOn w:val="30"/>
    <w:qFormat/>
    <w:uiPriority w:val="99"/>
    <w:pPr>
      <w:jc w:val="center"/>
    </w:pPr>
    <w:tblPr>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
    <w:trPr>
      <w:jc w:val="center"/>
    </w:trPr>
    <w:tcPr>
      <w:vAlign w:val="center"/>
    </w:tcPr>
  </w:style>
  <w:style w:type="character" w:customStyle="1" w:styleId="140">
    <w:name w:val="无间隔 字符"/>
    <w:basedOn w:val="32"/>
    <w:link w:val="72"/>
    <w:qFormat/>
    <w:uiPriority w:val="0"/>
    <w:rPr>
      <w:rFonts w:ascii="黑体" w:hAnsi="黑体" w:eastAsia="黑体"/>
      <w:sz w:val="21"/>
    </w:rPr>
  </w:style>
  <w:style w:type="character" w:customStyle="1" w:styleId="141">
    <w:name w:val="图居中、图表标题 Char"/>
    <w:basedOn w:val="32"/>
    <w:link w:val="138"/>
    <w:qFormat/>
    <w:uiPriority w:val="0"/>
    <w:rPr>
      <w:rFonts w:ascii="Times New Roman" w:hAnsi="Times New Roman" w:cs="宋体"/>
      <w:b/>
      <w:color w:val="0000C8"/>
      <w:sz w:val="24"/>
    </w:rPr>
  </w:style>
  <w:style w:type="paragraph" w:customStyle="1" w:styleId="142">
    <w:name w:val="正文更改"/>
    <w:basedOn w:val="93"/>
    <w:link w:val="143"/>
    <w:qFormat/>
    <w:uiPriority w:val="0"/>
    <w:pPr>
      <w:spacing w:line="360" w:lineRule="auto"/>
      <w:ind w:left="0" w:firstLine="200" w:firstLineChars="200"/>
    </w:pPr>
  </w:style>
  <w:style w:type="character" w:customStyle="1" w:styleId="143">
    <w:name w:val="正文更改 字符"/>
    <w:basedOn w:val="98"/>
    <w:link w:val="142"/>
    <w:qFormat/>
    <w:uiPriority w:val="0"/>
    <w:rPr>
      <w:rFonts w:ascii="宋体" w:hAnsi="宋体" w:cs="宋体"/>
      <w:snapToGrid w:val="0"/>
      <w:sz w:val="24"/>
      <w:szCs w:val="24"/>
    </w:rPr>
  </w:style>
  <w:style w:type="character" w:customStyle="1" w:styleId="144">
    <w:name w:val="页脚 字符"/>
    <w:basedOn w:val="32"/>
    <w:link w:val="23"/>
    <w:qFormat/>
    <w:uiPriority w:val="99"/>
    <w:rPr>
      <w:rFonts w:ascii="等线" w:hAnsi="等线" w:eastAsia="仿宋"/>
      <w:kern w:val="2"/>
      <w:sz w:val="18"/>
      <w:szCs w:val="22"/>
    </w:rPr>
  </w:style>
  <w:style w:type="paragraph" w:customStyle="1" w:styleId="145">
    <w:name w:val="列出段落1"/>
    <w:basedOn w:val="1"/>
    <w:qFormat/>
    <w:uiPriority w:val="34"/>
    <w:pPr>
      <w:ind w:firstLine="420" w:firstLineChars="200"/>
    </w:pPr>
  </w:style>
  <w:style w:type="character" w:customStyle="1" w:styleId="146">
    <w:name w:val="font01"/>
    <w:basedOn w:val="32"/>
    <w:qFormat/>
    <w:uiPriority w:val="0"/>
    <w:rPr>
      <w:rFonts w:ascii="微软雅黑" w:hAnsi="微软雅黑" w:eastAsia="微软雅黑" w:cs="微软雅黑"/>
      <w:b/>
      <w:bCs/>
      <w:color w:val="000000"/>
      <w:sz w:val="16"/>
      <w:szCs w:val="16"/>
      <w:u w:val="none"/>
    </w:rPr>
  </w:style>
  <w:style w:type="character" w:customStyle="1" w:styleId="147">
    <w:name w:val="font31"/>
    <w:basedOn w:val="32"/>
    <w:qFormat/>
    <w:uiPriority w:val="0"/>
    <w:rPr>
      <w:rFonts w:hint="eastAsia" w:ascii="微软雅黑" w:hAnsi="微软雅黑" w:eastAsia="微软雅黑" w:cs="微软雅黑"/>
      <w:color w:val="000000"/>
      <w:sz w:val="16"/>
      <w:szCs w:val="16"/>
      <w:u w:val="none"/>
    </w:rPr>
  </w:style>
  <w:style w:type="character" w:customStyle="1" w:styleId="148">
    <w:name w:val="font51"/>
    <w:basedOn w:val="32"/>
    <w:qFormat/>
    <w:uiPriority w:val="0"/>
    <w:rPr>
      <w:rFonts w:hint="default" w:ascii="Times New Roman" w:hAnsi="Times New Roman" w:cs="Times New Roman"/>
      <w:b/>
      <w:bCs/>
      <w:color w:val="000000"/>
      <w:sz w:val="16"/>
      <w:szCs w:val="16"/>
      <w:u w:val="none"/>
    </w:rPr>
  </w:style>
  <w:style w:type="character" w:customStyle="1" w:styleId="149">
    <w:name w:val="font61"/>
    <w:basedOn w:val="32"/>
    <w:qFormat/>
    <w:uiPriority w:val="0"/>
    <w:rPr>
      <w:rFonts w:ascii="宋体" w:hAnsi="宋体" w:eastAsia="宋体" w:cs="宋体"/>
      <w:color w:val="000000"/>
      <w:sz w:val="16"/>
      <w:szCs w:val="16"/>
      <w:u w:val="none"/>
    </w:rPr>
  </w:style>
  <w:style w:type="character" w:customStyle="1" w:styleId="150">
    <w:name w:val="font41"/>
    <w:basedOn w:val="32"/>
    <w:qFormat/>
    <w:uiPriority w:val="0"/>
    <w:rPr>
      <w:rFonts w:hint="default" w:ascii="Times New Roman" w:hAnsi="Times New Roman" w:cs="Times New Roman"/>
      <w:color w:val="000000"/>
      <w:sz w:val="16"/>
      <w:szCs w:val="16"/>
      <w:u w:val="none"/>
    </w:rPr>
  </w:style>
  <w:style w:type="character" w:customStyle="1" w:styleId="151">
    <w:name w:val="font11"/>
    <w:basedOn w:val="32"/>
    <w:qFormat/>
    <w:uiPriority w:val="0"/>
    <w:rPr>
      <w:rFonts w:ascii="微软雅黑" w:hAnsi="微软雅黑" w:eastAsia="微软雅黑" w:cs="微软雅黑"/>
      <w:b/>
      <w:bCs/>
      <w:color w:val="000000"/>
      <w:sz w:val="16"/>
      <w:szCs w:val="16"/>
      <w:u w:val="none"/>
    </w:rPr>
  </w:style>
  <w:style w:type="character" w:customStyle="1" w:styleId="152">
    <w:name w:val="font71"/>
    <w:basedOn w:val="32"/>
    <w:qFormat/>
    <w:uiPriority w:val="0"/>
    <w:rPr>
      <w:rFonts w:hint="default" w:ascii="Times New Roman" w:hAnsi="Times New Roman" w:cs="Times New Roman"/>
      <w:b/>
      <w:bCs/>
      <w:color w:val="000000"/>
      <w:sz w:val="16"/>
      <w:szCs w:val="16"/>
      <w:u w:val="none"/>
    </w:rPr>
  </w:style>
  <w:style w:type="character" w:customStyle="1" w:styleId="153">
    <w:name w:val="font81"/>
    <w:basedOn w:val="32"/>
    <w:qFormat/>
    <w:uiPriority w:val="0"/>
    <w:rPr>
      <w:rFonts w:ascii="宋体" w:hAnsi="宋体" w:eastAsia="宋体" w:cs="宋体"/>
      <w:color w:val="000000"/>
      <w:sz w:val="16"/>
      <w:szCs w:val="16"/>
      <w:u w:val="none"/>
    </w:rPr>
  </w:style>
  <w:style w:type="character" w:customStyle="1" w:styleId="154">
    <w:name w:val="font91"/>
    <w:basedOn w:val="32"/>
    <w:qFormat/>
    <w:uiPriority w:val="0"/>
    <w:rPr>
      <w:rFonts w:hint="default" w:ascii="Arial" w:hAnsi="Arial" w:cs="Arial"/>
      <w:color w:val="000000"/>
      <w:sz w:val="7"/>
      <w:szCs w:val="7"/>
      <w:u w:val="none"/>
    </w:rPr>
  </w:style>
  <w:style w:type="character" w:customStyle="1" w:styleId="155">
    <w:name w:val="font101"/>
    <w:basedOn w:val="32"/>
    <w:qFormat/>
    <w:uiPriority w:val="0"/>
    <w:rPr>
      <w:rFonts w:ascii="宋体" w:hAnsi="宋体" w:eastAsia="宋体" w:cs="宋体"/>
      <w:color w:val="000000"/>
      <w:sz w:val="18"/>
      <w:szCs w:val="18"/>
      <w:u w:val="none"/>
    </w:rPr>
  </w:style>
  <w:style w:type="character" w:customStyle="1" w:styleId="156">
    <w:name w:val="font112"/>
    <w:basedOn w:val="32"/>
    <w:qFormat/>
    <w:uiPriority w:val="0"/>
    <w:rPr>
      <w:rFonts w:hint="default" w:ascii="Times New Roman" w:hAnsi="Times New Roman" w:cs="Times New Roman"/>
      <w:color w:val="000000"/>
      <w:sz w:val="18"/>
      <w:szCs w:val="18"/>
      <w:u w:val="none"/>
    </w:rPr>
  </w:style>
  <w:style w:type="paragraph" w:customStyle="1" w:styleId="157">
    <w:name w:val="方案正文"/>
    <w:basedOn w:val="1"/>
    <w:qFormat/>
    <w:uiPriority w:val="0"/>
    <w:pPr>
      <w:ind w:firstLine="480"/>
      <w:jc w:val="left"/>
    </w:pPr>
    <w:rPr>
      <w:rFonts w:cs="Times New Roman"/>
    </w:rPr>
  </w:style>
  <w:style w:type="paragraph" w:customStyle="1" w:styleId="158">
    <w:name w:val="k 正文"/>
    <w:basedOn w:val="1"/>
    <w:qFormat/>
    <w:uiPriority w:val="0"/>
  </w:style>
  <w:style w:type="paragraph" w:customStyle="1" w:styleId="159">
    <w:name w:val="W正文"/>
    <w:basedOn w:val="1"/>
    <w:qFormat/>
    <w:uiPriority w:val="0"/>
    <w:pPr>
      <w:tabs>
        <w:tab w:val="left" w:pos="4320"/>
      </w:tabs>
      <w:ind w:firstLine="480"/>
    </w:pPr>
    <w:rPr>
      <w:rFonts w:cs="Times New Roman"/>
    </w:rPr>
  </w:style>
  <w:style w:type="paragraph" w:customStyle="1" w:styleId="160">
    <w:name w:val="表左字"/>
    <w:basedOn w:val="55"/>
    <w:next w:val="1"/>
    <w:qFormat/>
    <w:uiPriority w:val="0"/>
    <w:pPr>
      <w:jc w:val="left"/>
    </w:pPr>
  </w:style>
  <w:style w:type="paragraph" w:customStyle="1" w:styleId="161">
    <w:name w:val="WPSOffice手动目录 1"/>
    <w:qFormat/>
    <w:uiPriority w:val="0"/>
    <w:pPr>
      <w:ind w:leftChars="0"/>
    </w:pPr>
    <w:rPr>
      <w:rFonts w:ascii="Times New Roman" w:hAnsi="Times New Roman" w:eastAsia="宋体" w:cs="Times New Roman"/>
      <w:sz w:val="20"/>
      <w:szCs w:val="20"/>
    </w:rPr>
  </w:style>
  <w:style w:type="paragraph" w:customStyle="1" w:styleId="162">
    <w:name w:val="WPSOffice手动目录 2"/>
    <w:qFormat/>
    <w:uiPriority w:val="0"/>
    <w:pPr>
      <w:ind w:leftChars="200"/>
    </w:pPr>
    <w:rPr>
      <w:rFonts w:ascii="Times New Roman" w:hAnsi="Times New Roman" w:eastAsia="宋体" w:cs="Times New Roman"/>
      <w:sz w:val="20"/>
      <w:szCs w:val="20"/>
    </w:rPr>
  </w:style>
  <w:style w:type="character" w:customStyle="1" w:styleId="163">
    <w:name w:val="font21"/>
    <w:basedOn w:val="32"/>
    <w:qFormat/>
    <w:uiPriority w:val="0"/>
    <w:rPr>
      <w:rFonts w:hint="eastAsia" w:ascii="仿宋" w:hAnsi="仿宋" w:eastAsia="仿宋" w:cs="仿宋"/>
      <w:color w:val="000000"/>
      <w:sz w:val="21"/>
      <w:szCs w:val="21"/>
      <w:u w:val="none"/>
    </w:rPr>
  </w:style>
  <w:style w:type="table" w:customStyle="1" w:styleId="164">
    <w:name w:val="网格型1"/>
    <w:basedOn w:val="30"/>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166">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header" Target="head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142</Pages>
  <Words>65212</Words>
  <Characters>68774</Characters>
  <Lines>551</Lines>
  <Paragraphs>155</Paragraphs>
  <TotalTime>0</TotalTime>
  <ScaleCrop>false</ScaleCrop>
  <LinksUpToDate>false</LinksUpToDate>
  <CharactersWithSpaces>69613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2019-09-24T00:51:00Z</dcterms:created>
  <dc:creator>一头小野牛</dc:creator>
  <cp:lastModifiedBy>WPS_1178362952</cp:lastModifiedBy>
  <cp:lastPrinted>2025-03-22T02:27:00Z</cp:lastPrinted>
  <dcterms:modified xsi:type="dcterms:W3CDTF">2025-10-21T00:35:14Z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AF351EE5AD114C5886F90216C259A502_13</vt:lpwstr>
  </property>
  <property fmtid="{D5CDD505-2E9C-101B-9397-08002B2CF9AE}" pid="4" name="KSOTemplateDocerSaveRecord">
    <vt:lpwstr>eyJoZGlkIjoiN2RlOWMwNTAzZGNmZDIwNjBhMTA3YTIxY2M4ZWUyZmEiLCJ1c2VySWQiOiIxMTc4MzYyOTUyIn0=</vt:lpwstr>
  </property>
</Properties>
</file>